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70031" w14:textId="77777777" w:rsidR="005715C4" w:rsidRPr="00283544" w:rsidRDefault="005715C4" w:rsidP="00283544">
      <w:pPr>
        <w:pStyle w:val="Heading3"/>
        <w:spacing w:before="0" w:beforeAutospacing="0" w:after="0" w:afterAutospacing="0" w:line="360" w:lineRule="auto"/>
        <w:jc w:val="center"/>
        <w:rPr>
          <w:rFonts w:ascii="Verdana" w:hAnsi="Verdana"/>
          <w:b w:val="0"/>
          <w:spacing w:val="16"/>
          <w:sz w:val="20"/>
          <w:szCs w:val="20"/>
        </w:rPr>
      </w:pPr>
      <w:bookmarkStart w:id="0" w:name="_GoBack"/>
      <w:bookmarkEnd w:id="0"/>
    </w:p>
    <w:p w14:paraId="71A68071" w14:textId="28CA6FFD" w:rsidR="000B0187" w:rsidRPr="00572F03" w:rsidRDefault="000B0187" w:rsidP="00283544">
      <w:pPr>
        <w:pStyle w:val="Heading3"/>
        <w:spacing w:before="0" w:beforeAutospacing="0" w:after="0" w:afterAutospacing="0" w:line="360" w:lineRule="auto"/>
        <w:jc w:val="center"/>
        <w:rPr>
          <w:rFonts w:ascii="Verdana" w:hAnsi="Verdana"/>
          <w:spacing w:val="16"/>
          <w:sz w:val="24"/>
          <w:szCs w:val="24"/>
        </w:rPr>
      </w:pPr>
      <w:r w:rsidRPr="00572F03">
        <w:rPr>
          <w:rFonts w:ascii="Verdana" w:hAnsi="Verdana"/>
          <w:spacing w:val="16"/>
          <w:sz w:val="24"/>
          <w:szCs w:val="24"/>
        </w:rPr>
        <w:t>МИНИСТЕРСТВО НА ЗЕМЕДЕЛИЕТО</w:t>
      </w:r>
      <w:r w:rsidR="000D2ECC">
        <w:rPr>
          <w:rFonts w:ascii="Verdana" w:hAnsi="Verdana"/>
          <w:spacing w:val="16"/>
          <w:sz w:val="24"/>
          <w:szCs w:val="24"/>
        </w:rPr>
        <w:t xml:space="preserve"> И</w:t>
      </w:r>
      <w:r w:rsidRPr="00572F03">
        <w:rPr>
          <w:rFonts w:ascii="Verdana" w:hAnsi="Verdana"/>
          <w:spacing w:val="16"/>
          <w:sz w:val="24"/>
          <w:szCs w:val="24"/>
        </w:rPr>
        <w:t xml:space="preserve"> ХРАНИТЕ</w:t>
      </w:r>
    </w:p>
    <w:p w14:paraId="63D731D1" w14:textId="77777777" w:rsidR="00C63463" w:rsidRDefault="00C63463" w:rsidP="00283544">
      <w:pPr>
        <w:spacing w:after="0" w:line="360" w:lineRule="auto"/>
        <w:jc w:val="center"/>
        <w:rPr>
          <w:rFonts w:ascii="Verdana" w:hAnsi="Verdana"/>
          <w:bCs/>
          <w:color w:val="000000"/>
          <w:sz w:val="20"/>
          <w:szCs w:val="20"/>
        </w:rPr>
      </w:pPr>
    </w:p>
    <w:p w14:paraId="4928E8E9" w14:textId="77777777" w:rsidR="0076258D" w:rsidRPr="00FB6579" w:rsidRDefault="0076258D" w:rsidP="00283544">
      <w:pPr>
        <w:spacing w:after="0" w:line="360" w:lineRule="auto"/>
        <w:jc w:val="center"/>
        <w:rPr>
          <w:rFonts w:ascii="Verdana" w:hAnsi="Verdana"/>
          <w:bCs/>
          <w:color w:val="000000"/>
          <w:sz w:val="20"/>
          <w:szCs w:val="20"/>
        </w:rPr>
      </w:pPr>
    </w:p>
    <w:p w14:paraId="424D030C" w14:textId="537497F7" w:rsidR="009C4CB4" w:rsidRPr="00E3482E" w:rsidRDefault="009C4CB4" w:rsidP="00113304">
      <w:pPr>
        <w:pStyle w:val="m"/>
        <w:spacing w:line="360" w:lineRule="auto"/>
        <w:ind w:firstLine="0"/>
        <w:jc w:val="center"/>
        <w:rPr>
          <w:rFonts w:ascii="Verdana" w:hAnsi="Verdana"/>
          <w:spacing w:val="-2"/>
          <w:sz w:val="20"/>
          <w:szCs w:val="20"/>
          <w:lang w:val="bg-BG"/>
        </w:rPr>
      </w:pPr>
      <w:r w:rsidRPr="00E3482E">
        <w:rPr>
          <w:rFonts w:ascii="Verdana" w:hAnsi="Verdana"/>
          <w:b/>
          <w:bCs/>
          <w:sz w:val="20"/>
          <w:szCs w:val="20"/>
          <w:lang w:val="bg-BG"/>
        </w:rPr>
        <w:t xml:space="preserve">Наредба за изменение и допълнение на Наредба № 8 от 2011 г. за </w:t>
      </w:r>
      <w:proofErr w:type="spellStart"/>
      <w:r w:rsidRPr="00E3482E">
        <w:rPr>
          <w:rFonts w:ascii="Verdana" w:hAnsi="Verdana"/>
          <w:b/>
          <w:bCs/>
          <w:sz w:val="20"/>
          <w:szCs w:val="20"/>
          <w:lang w:val="bg-BG"/>
        </w:rPr>
        <w:t>сечите</w:t>
      </w:r>
      <w:proofErr w:type="spellEnd"/>
      <w:r w:rsidRPr="00E3482E">
        <w:rPr>
          <w:rFonts w:ascii="Verdana" w:hAnsi="Verdana"/>
          <w:b/>
          <w:bCs/>
          <w:sz w:val="20"/>
          <w:szCs w:val="20"/>
          <w:lang w:val="bg-BG"/>
        </w:rPr>
        <w:t xml:space="preserve"> в горите </w:t>
      </w:r>
      <w:r w:rsidRPr="00E3482E">
        <w:rPr>
          <w:rFonts w:ascii="Verdana" w:hAnsi="Verdana"/>
          <w:bCs/>
          <w:sz w:val="20"/>
          <w:szCs w:val="20"/>
          <w:lang w:val="bg-BG"/>
        </w:rPr>
        <w:t>(</w:t>
      </w:r>
      <w:proofErr w:type="spellStart"/>
      <w:r w:rsidRPr="00E3482E">
        <w:rPr>
          <w:rFonts w:ascii="Verdana" w:hAnsi="Verdana"/>
          <w:sz w:val="20"/>
          <w:szCs w:val="20"/>
          <w:lang w:val="bg-BG"/>
        </w:rPr>
        <w:t>о</w:t>
      </w:r>
      <w:r w:rsidR="00E76B6B" w:rsidRPr="00E3482E">
        <w:rPr>
          <w:rFonts w:ascii="Verdana" w:hAnsi="Verdana"/>
          <w:sz w:val="20"/>
          <w:szCs w:val="20"/>
          <w:lang w:val="bg-BG"/>
        </w:rPr>
        <w:t>бн</w:t>
      </w:r>
      <w:proofErr w:type="spellEnd"/>
      <w:r w:rsidR="00E76B6B" w:rsidRPr="00E3482E">
        <w:rPr>
          <w:rFonts w:ascii="Verdana" w:hAnsi="Verdana"/>
          <w:sz w:val="20"/>
          <w:szCs w:val="20"/>
          <w:lang w:val="bg-BG"/>
        </w:rPr>
        <w:t xml:space="preserve">., </w:t>
      </w:r>
      <w:r w:rsidRPr="00E3482E">
        <w:rPr>
          <w:rFonts w:ascii="Verdana" w:hAnsi="Verdana"/>
          <w:sz w:val="20"/>
          <w:szCs w:val="20"/>
          <w:lang w:val="bg-BG"/>
        </w:rPr>
        <w:t xml:space="preserve">ДВ, бр. 64 от 2011 г.; изм. и доп., бр. 63 от 2013 г., </w:t>
      </w:r>
      <w:hyperlink r:id="rId8" w:history="1">
        <w:r w:rsidRPr="00E3482E">
          <w:rPr>
            <w:rFonts w:ascii="Verdana" w:hAnsi="Verdana"/>
            <w:sz w:val="20"/>
            <w:szCs w:val="20"/>
            <w:lang w:val="bg-BG"/>
          </w:rPr>
          <w:t>бр. 72</w:t>
        </w:r>
      </w:hyperlink>
      <w:r w:rsidRPr="00E3482E">
        <w:rPr>
          <w:rFonts w:ascii="Verdana" w:hAnsi="Verdana"/>
          <w:sz w:val="20"/>
          <w:szCs w:val="20"/>
          <w:lang w:val="bg-BG"/>
        </w:rPr>
        <w:t xml:space="preserve"> от 2015 г.</w:t>
      </w:r>
      <w:r w:rsidR="00355B31" w:rsidRPr="00E3482E">
        <w:rPr>
          <w:rFonts w:ascii="Verdana" w:hAnsi="Verdana"/>
          <w:sz w:val="20"/>
          <w:szCs w:val="20"/>
          <w:lang w:val="bg-BG"/>
        </w:rPr>
        <w:t>,</w:t>
      </w:r>
      <w:r w:rsidRPr="00E3482E">
        <w:rPr>
          <w:rFonts w:ascii="Verdana" w:hAnsi="Verdana"/>
          <w:sz w:val="20"/>
          <w:szCs w:val="20"/>
          <w:lang w:val="bg-BG"/>
        </w:rPr>
        <w:t xml:space="preserve"> бр. 71 от 2017 г.</w:t>
      </w:r>
      <w:r w:rsidR="00E919DB" w:rsidRPr="00E3482E">
        <w:rPr>
          <w:rFonts w:ascii="Verdana" w:hAnsi="Verdana"/>
          <w:sz w:val="20"/>
          <w:szCs w:val="20"/>
          <w:lang w:val="bg-BG"/>
        </w:rPr>
        <w:t xml:space="preserve">, бр. 84 от 2020 г.; изм. с Решение № 6888 </w:t>
      </w:r>
      <w:r w:rsidR="00E919DB" w:rsidRPr="00E3482E">
        <w:rPr>
          <w:rFonts w:ascii="Verdana" w:hAnsi="Verdana"/>
          <w:color w:val="auto"/>
          <w:sz w:val="20"/>
          <w:szCs w:val="20"/>
          <w:lang w:val="bg-BG"/>
        </w:rPr>
        <w:t xml:space="preserve">от </w:t>
      </w:r>
      <w:r w:rsidR="005715C4" w:rsidRPr="00E3482E">
        <w:rPr>
          <w:rFonts w:ascii="Verdana" w:hAnsi="Verdana"/>
          <w:color w:val="auto"/>
          <w:sz w:val="20"/>
          <w:szCs w:val="20"/>
          <w:lang w:val="bg-BG"/>
        </w:rPr>
        <w:t>8.06.</w:t>
      </w:r>
      <w:r w:rsidR="00E919DB" w:rsidRPr="00E3482E">
        <w:rPr>
          <w:rFonts w:ascii="Verdana" w:hAnsi="Verdana"/>
          <w:color w:val="auto"/>
          <w:sz w:val="20"/>
          <w:szCs w:val="20"/>
          <w:lang w:val="bg-BG"/>
        </w:rPr>
        <w:t>2021 г.</w:t>
      </w:r>
      <w:r w:rsidR="005715C4" w:rsidRPr="00E3482E">
        <w:rPr>
          <w:rFonts w:ascii="Verdana" w:hAnsi="Verdana"/>
          <w:color w:val="auto"/>
          <w:sz w:val="20"/>
          <w:szCs w:val="20"/>
          <w:lang w:val="bg-BG"/>
        </w:rPr>
        <w:t xml:space="preserve"> на ВАС на РБ</w:t>
      </w:r>
      <w:r w:rsidR="00E919DB" w:rsidRPr="00E3482E">
        <w:rPr>
          <w:rFonts w:ascii="Verdana" w:hAnsi="Verdana"/>
          <w:color w:val="auto"/>
          <w:sz w:val="20"/>
          <w:szCs w:val="20"/>
          <w:lang w:val="bg-BG"/>
        </w:rPr>
        <w:t xml:space="preserve">, </w:t>
      </w:r>
      <w:r w:rsidR="00E919DB" w:rsidRPr="00E3482E">
        <w:rPr>
          <w:rFonts w:ascii="Verdana" w:hAnsi="Verdana"/>
          <w:color w:val="auto"/>
          <w:spacing w:val="-2"/>
          <w:sz w:val="20"/>
          <w:szCs w:val="20"/>
          <w:lang w:val="bg-BG"/>
        </w:rPr>
        <w:t>Решение № 4795</w:t>
      </w:r>
      <w:r w:rsidR="005715C4" w:rsidRPr="00E3482E">
        <w:rPr>
          <w:rFonts w:ascii="Verdana" w:hAnsi="Verdana"/>
          <w:color w:val="auto"/>
          <w:spacing w:val="-2"/>
          <w:sz w:val="20"/>
          <w:szCs w:val="20"/>
          <w:lang w:val="bg-BG"/>
        </w:rPr>
        <w:t xml:space="preserve"> от 18.05.2022 г. на ВАС на РБ</w:t>
      </w:r>
      <w:r w:rsidR="00E919DB" w:rsidRPr="00E3482E">
        <w:rPr>
          <w:rFonts w:ascii="Verdana" w:hAnsi="Verdana"/>
          <w:color w:val="auto"/>
          <w:spacing w:val="-2"/>
          <w:sz w:val="20"/>
          <w:szCs w:val="20"/>
          <w:lang w:val="bg-BG"/>
        </w:rPr>
        <w:t xml:space="preserve"> и Решение № 5288 от </w:t>
      </w:r>
      <w:r w:rsidR="005715C4" w:rsidRPr="00E3482E">
        <w:rPr>
          <w:rFonts w:ascii="Verdana" w:hAnsi="Verdana"/>
          <w:color w:val="auto"/>
          <w:spacing w:val="-2"/>
          <w:sz w:val="20"/>
          <w:szCs w:val="20"/>
          <w:lang w:val="bg-BG"/>
        </w:rPr>
        <w:t>1.06.2022</w:t>
      </w:r>
      <w:r w:rsidR="00E919DB" w:rsidRPr="00E3482E">
        <w:rPr>
          <w:rFonts w:ascii="Verdana" w:hAnsi="Verdana"/>
          <w:color w:val="auto"/>
          <w:spacing w:val="-2"/>
          <w:sz w:val="20"/>
          <w:szCs w:val="20"/>
          <w:lang w:val="bg-BG"/>
        </w:rPr>
        <w:t xml:space="preserve"> </w:t>
      </w:r>
      <w:r w:rsidR="00E919DB" w:rsidRPr="00E3482E">
        <w:rPr>
          <w:rFonts w:ascii="Verdana" w:hAnsi="Verdana"/>
          <w:spacing w:val="-2"/>
          <w:sz w:val="20"/>
          <w:szCs w:val="20"/>
          <w:lang w:val="bg-BG"/>
        </w:rPr>
        <w:t xml:space="preserve">г. на ВАС на РБ </w:t>
      </w:r>
      <w:r w:rsidR="00283544">
        <w:rPr>
          <w:rFonts w:ascii="Verdana" w:hAnsi="Verdana"/>
          <w:spacing w:val="-2"/>
          <w:sz w:val="20"/>
          <w:szCs w:val="20"/>
          <w:lang w:val="bg-BG"/>
        </w:rPr>
        <w:t>–</w:t>
      </w:r>
      <w:r w:rsidR="00E919DB" w:rsidRPr="00E3482E">
        <w:rPr>
          <w:rFonts w:ascii="Verdana" w:hAnsi="Verdana"/>
          <w:spacing w:val="-2"/>
          <w:sz w:val="20"/>
          <w:szCs w:val="20"/>
          <w:lang w:val="bg-BG"/>
        </w:rPr>
        <w:t xml:space="preserve"> бр. 50 от </w:t>
      </w:r>
      <w:r w:rsidR="005715C4" w:rsidRPr="00E3482E">
        <w:rPr>
          <w:rFonts w:ascii="Verdana" w:hAnsi="Verdana"/>
          <w:spacing w:val="-2"/>
          <w:sz w:val="20"/>
          <w:szCs w:val="20"/>
          <w:lang w:val="bg-BG"/>
        </w:rPr>
        <w:t>2023 г</w:t>
      </w:r>
      <w:r w:rsidR="005715C4" w:rsidRPr="005F0BC9">
        <w:rPr>
          <w:rFonts w:ascii="Verdana" w:hAnsi="Verdana"/>
          <w:color w:val="auto"/>
          <w:spacing w:val="-2"/>
          <w:sz w:val="20"/>
          <w:szCs w:val="20"/>
          <w:lang w:val="bg-BG"/>
        </w:rPr>
        <w:t>.</w:t>
      </w:r>
      <w:r w:rsidR="00283544" w:rsidRPr="005F0BC9">
        <w:rPr>
          <w:rFonts w:ascii="Verdana" w:hAnsi="Verdana"/>
          <w:color w:val="auto"/>
          <w:spacing w:val="-2"/>
          <w:sz w:val="20"/>
          <w:szCs w:val="20"/>
          <w:lang w:val="bg-BG"/>
        </w:rPr>
        <w:t>; изм. и доп.,</w:t>
      </w:r>
      <w:r w:rsidR="00E919DB" w:rsidRPr="005F0BC9">
        <w:rPr>
          <w:rFonts w:ascii="Verdana" w:hAnsi="Verdana"/>
          <w:color w:val="auto"/>
          <w:spacing w:val="-2"/>
          <w:sz w:val="20"/>
          <w:szCs w:val="20"/>
          <w:lang w:val="bg-BG"/>
        </w:rPr>
        <w:t xml:space="preserve"> </w:t>
      </w:r>
      <w:r w:rsidR="00E919DB" w:rsidRPr="00E3482E">
        <w:rPr>
          <w:rFonts w:ascii="Verdana" w:hAnsi="Verdana"/>
          <w:spacing w:val="-2"/>
          <w:sz w:val="20"/>
          <w:szCs w:val="20"/>
          <w:lang w:val="bg-BG"/>
        </w:rPr>
        <w:t>бр. 91 от 2023 г.</w:t>
      </w:r>
      <w:r w:rsidR="002A7426">
        <w:rPr>
          <w:rFonts w:ascii="Verdana" w:hAnsi="Verdana"/>
          <w:spacing w:val="-2"/>
          <w:sz w:val="20"/>
          <w:szCs w:val="20"/>
          <w:lang w:val="bg-BG"/>
        </w:rPr>
        <w:t xml:space="preserve"> и</w:t>
      </w:r>
      <w:r w:rsidR="006A572D">
        <w:rPr>
          <w:lang w:val="bg-BG"/>
        </w:rPr>
        <w:t xml:space="preserve"> </w:t>
      </w:r>
      <w:r w:rsidR="006A572D" w:rsidRPr="006A572D">
        <w:rPr>
          <w:rFonts w:ascii="Verdana" w:hAnsi="Verdana"/>
          <w:spacing w:val="-2"/>
          <w:sz w:val="20"/>
          <w:szCs w:val="20"/>
          <w:lang w:val="bg-BG"/>
        </w:rPr>
        <w:t>бр. 49 от 2025 г.</w:t>
      </w:r>
      <w:r w:rsidRPr="00E3482E">
        <w:rPr>
          <w:rFonts w:ascii="Verdana" w:hAnsi="Verdana"/>
          <w:spacing w:val="-2"/>
          <w:sz w:val="20"/>
          <w:szCs w:val="20"/>
          <w:lang w:val="bg-BG"/>
        </w:rPr>
        <w:t>)</w:t>
      </w:r>
    </w:p>
    <w:p w14:paraId="6C7921EB" w14:textId="02CBBC5F" w:rsidR="00283544" w:rsidRDefault="00283544" w:rsidP="00113304">
      <w:pPr>
        <w:spacing w:after="0" w:line="360" w:lineRule="auto"/>
        <w:ind w:firstLine="709"/>
        <w:rPr>
          <w:rFonts w:ascii="Verdana" w:hAnsi="Verdana" w:cs="Times New Roman"/>
          <w:sz w:val="20"/>
          <w:szCs w:val="20"/>
        </w:rPr>
      </w:pPr>
    </w:p>
    <w:p w14:paraId="5D062DF9" w14:textId="77777777" w:rsidR="00113304" w:rsidRDefault="00113304" w:rsidP="00113304">
      <w:pPr>
        <w:spacing w:after="0" w:line="360" w:lineRule="auto"/>
        <w:ind w:firstLine="709"/>
        <w:rPr>
          <w:rFonts w:ascii="Verdana" w:hAnsi="Verdana" w:cs="Times New Roman"/>
          <w:sz w:val="20"/>
          <w:szCs w:val="20"/>
        </w:rPr>
      </w:pPr>
    </w:p>
    <w:p w14:paraId="4DD673DC" w14:textId="6E7341C4" w:rsidR="00BE5B3C" w:rsidRDefault="009C4CB4" w:rsidP="00113304">
      <w:pPr>
        <w:spacing w:after="0" w:line="360" w:lineRule="auto"/>
        <w:ind w:firstLine="709"/>
        <w:jc w:val="both"/>
        <w:rPr>
          <w:rFonts w:ascii="Verdana" w:hAnsi="Verdana" w:cs="Times New Roman"/>
          <w:sz w:val="20"/>
          <w:szCs w:val="20"/>
        </w:rPr>
      </w:pPr>
      <w:r w:rsidRPr="00204564">
        <w:rPr>
          <w:rFonts w:ascii="Verdana" w:hAnsi="Verdana" w:cs="Times New Roman"/>
          <w:b/>
          <w:sz w:val="20"/>
          <w:szCs w:val="20"/>
        </w:rPr>
        <w:t>§ 1.</w:t>
      </w:r>
      <w:r w:rsidR="00204564">
        <w:rPr>
          <w:rFonts w:ascii="Verdana" w:hAnsi="Verdana" w:cs="Times New Roman"/>
          <w:sz w:val="20"/>
          <w:szCs w:val="20"/>
        </w:rPr>
        <w:t xml:space="preserve"> В чл. 4</w:t>
      </w:r>
      <w:r w:rsidR="00AD6ABD">
        <w:rPr>
          <w:rFonts w:ascii="Verdana" w:hAnsi="Verdana" w:cs="Times New Roman"/>
          <w:sz w:val="20"/>
          <w:szCs w:val="20"/>
        </w:rPr>
        <w:t xml:space="preserve">5, ал. 7 </w:t>
      </w:r>
      <w:r w:rsidR="00AD6ABD" w:rsidRPr="00AD6ABD">
        <w:rPr>
          <w:rFonts w:ascii="Verdana" w:hAnsi="Verdana" w:cs="Times New Roman"/>
          <w:sz w:val="20"/>
          <w:szCs w:val="20"/>
        </w:rPr>
        <w:t xml:space="preserve">думите </w:t>
      </w:r>
      <w:r w:rsidR="00BE5B3C" w:rsidRPr="00C27AFD">
        <w:rPr>
          <w:rFonts w:ascii="Verdana" w:hAnsi="Verdana" w:cs="Times New Roman"/>
          <w:sz w:val="20"/>
          <w:szCs w:val="20"/>
        </w:rPr>
        <w:t>„или договор“ се заменят с „договор или документ по §1 от Допълнителната разпоредба на Наредба № 16 от 2004 г. за сервитутите на енергийните обекти“.</w:t>
      </w:r>
    </w:p>
    <w:p w14:paraId="56AF00C0" w14:textId="77777777" w:rsidR="00113304" w:rsidRPr="00113304" w:rsidRDefault="00113304" w:rsidP="00113304">
      <w:pPr>
        <w:spacing w:after="0" w:line="360" w:lineRule="auto"/>
        <w:ind w:firstLine="709"/>
        <w:jc w:val="both"/>
        <w:rPr>
          <w:rFonts w:ascii="Verdana" w:hAnsi="Verdana" w:cs="Times New Roman"/>
          <w:sz w:val="20"/>
          <w:szCs w:val="20"/>
        </w:rPr>
      </w:pPr>
    </w:p>
    <w:p w14:paraId="4082BA07" w14:textId="47CBB2AD" w:rsidR="006A572D" w:rsidRDefault="009C4CB4" w:rsidP="00113304">
      <w:pPr>
        <w:spacing w:after="0" w:line="360" w:lineRule="auto"/>
        <w:ind w:firstLine="709"/>
        <w:jc w:val="both"/>
        <w:rPr>
          <w:rFonts w:ascii="Verdana" w:hAnsi="Verdana" w:cs="Times New Roman"/>
          <w:sz w:val="20"/>
          <w:szCs w:val="20"/>
        </w:rPr>
      </w:pPr>
      <w:r w:rsidRPr="00E3482E">
        <w:rPr>
          <w:rFonts w:ascii="Verdana" w:hAnsi="Verdana" w:cs="Times New Roman"/>
          <w:b/>
          <w:sz w:val="20"/>
          <w:szCs w:val="20"/>
        </w:rPr>
        <w:t>§ 2.</w:t>
      </w:r>
      <w:r w:rsidR="0067648D" w:rsidRPr="00E3482E">
        <w:rPr>
          <w:rFonts w:ascii="Verdana" w:hAnsi="Verdana" w:cs="Times New Roman"/>
          <w:sz w:val="20"/>
          <w:szCs w:val="20"/>
        </w:rPr>
        <w:t xml:space="preserve"> В чл. 5</w:t>
      </w:r>
      <w:r w:rsidR="006A572D">
        <w:rPr>
          <w:rFonts w:ascii="Verdana" w:hAnsi="Verdana" w:cs="Times New Roman"/>
          <w:sz w:val="20"/>
          <w:szCs w:val="20"/>
        </w:rPr>
        <w:t>0</w:t>
      </w:r>
      <w:r w:rsidR="0067648D" w:rsidRPr="00E3482E">
        <w:rPr>
          <w:rFonts w:ascii="Verdana" w:hAnsi="Verdana" w:cs="Times New Roman"/>
          <w:sz w:val="20"/>
          <w:szCs w:val="20"/>
        </w:rPr>
        <w:t>, ал.</w:t>
      </w:r>
      <w:r w:rsidR="00671477" w:rsidRPr="00E3482E">
        <w:rPr>
          <w:rFonts w:ascii="Verdana" w:hAnsi="Verdana" w:cs="Times New Roman"/>
          <w:sz w:val="20"/>
          <w:szCs w:val="20"/>
        </w:rPr>
        <w:t xml:space="preserve"> </w:t>
      </w:r>
      <w:r w:rsidR="0067648D" w:rsidRPr="00E3482E">
        <w:rPr>
          <w:rFonts w:ascii="Verdana" w:hAnsi="Verdana" w:cs="Times New Roman"/>
          <w:sz w:val="20"/>
          <w:szCs w:val="20"/>
        </w:rPr>
        <w:t>1</w:t>
      </w:r>
      <w:r w:rsidR="006A572D">
        <w:rPr>
          <w:rFonts w:ascii="Verdana" w:hAnsi="Verdana" w:cs="Times New Roman"/>
          <w:sz w:val="20"/>
          <w:szCs w:val="20"/>
        </w:rPr>
        <w:t>5</w:t>
      </w:r>
      <w:r w:rsidR="006C3D2B">
        <w:rPr>
          <w:rFonts w:ascii="Verdana" w:hAnsi="Verdana" w:cs="Times New Roman"/>
          <w:sz w:val="20"/>
          <w:szCs w:val="20"/>
        </w:rPr>
        <w:t xml:space="preserve"> </w:t>
      </w:r>
      <w:r w:rsidR="006A572D">
        <w:rPr>
          <w:rFonts w:ascii="Verdana" w:hAnsi="Verdana" w:cs="Times New Roman"/>
          <w:sz w:val="20"/>
          <w:szCs w:val="20"/>
        </w:rPr>
        <w:t>се създава т. 5:</w:t>
      </w:r>
    </w:p>
    <w:p w14:paraId="6770DE39" w14:textId="163714B6" w:rsidR="00FB6579" w:rsidRDefault="006A572D" w:rsidP="00113304">
      <w:pPr>
        <w:pStyle w:val="ListParagraph"/>
        <w:spacing w:after="0" w:line="360" w:lineRule="auto"/>
        <w:ind w:left="0" w:firstLine="709"/>
        <w:jc w:val="both"/>
        <w:rPr>
          <w:rFonts w:ascii="Verdana" w:hAnsi="Verdana" w:cs="Times New Roman"/>
          <w:sz w:val="20"/>
          <w:szCs w:val="20"/>
        </w:rPr>
      </w:pPr>
      <w:r>
        <w:rPr>
          <w:rFonts w:ascii="Verdana" w:hAnsi="Verdana" w:cs="Times New Roman"/>
          <w:sz w:val="20"/>
          <w:szCs w:val="20"/>
        </w:rPr>
        <w:t>„</w:t>
      </w:r>
      <w:r w:rsidRPr="006A572D">
        <w:rPr>
          <w:rFonts w:ascii="Verdana" w:hAnsi="Verdana" w:cs="Times New Roman"/>
          <w:sz w:val="20"/>
          <w:szCs w:val="20"/>
        </w:rPr>
        <w:t>5. лице с висше лесовъдско образование, регистрирано в публичния регистър</w:t>
      </w:r>
      <w:r w:rsidR="00D64A09">
        <w:rPr>
          <w:rFonts w:ascii="Verdana" w:hAnsi="Verdana" w:cs="Times New Roman"/>
          <w:sz w:val="20"/>
          <w:szCs w:val="20"/>
          <w:lang w:val="en-US"/>
        </w:rPr>
        <w:t xml:space="preserve"> </w:t>
      </w:r>
      <w:r w:rsidR="00D64A09">
        <w:rPr>
          <w:rFonts w:ascii="Verdana" w:hAnsi="Verdana" w:cs="Times New Roman"/>
          <w:sz w:val="20"/>
          <w:szCs w:val="20"/>
        </w:rPr>
        <w:t>по чл. 235 от</w:t>
      </w:r>
      <w:r w:rsidR="00D64A09" w:rsidRPr="00D64A09">
        <w:rPr>
          <w:rFonts w:ascii="Verdana" w:hAnsi="Verdana" w:cs="Times New Roman"/>
          <w:sz w:val="20"/>
          <w:szCs w:val="20"/>
        </w:rPr>
        <w:t xml:space="preserve"> </w:t>
      </w:r>
      <w:r w:rsidR="00D64A09">
        <w:rPr>
          <w:rFonts w:ascii="Verdana" w:hAnsi="Verdana" w:cs="Times New Roman"/>
          <w:sz w:val="20"/>
          <w:szCs w:val="20"/>
        </w:rPr>
        <w:t xml:space="preserve">Закона за горите </w:t>
      </w:r>
      <w:r w:rsidRPr="006A572D">
        <w:rPr>
          <w:rFonts w:ascii="Verdana" w:hAnsi="Verdana" w:cs="Times New Roman"/>
          <w:sz w:val="20"/>
          <w:szCs w:val="20"/>
        </w:rPr>
        <w:t>за упражняване на лесовъдска практика – за горските територии, върху които има учредено или възникнало ограничено вещно право, с което титулярят на правото има сключен договор.</w:t>
      </w:r>
      <w:r>
        <w:rPr>
          <w:rFonts w:ascii="Verdana" w:hAnsi="Verdana" w:cs="Times New Roman"/>
          <w:sz w:val="20"/>
          <w:szCs w:val="20"/>
        </w:rPr>
        <w:t>“</w:t>
      </w:r>
    </w:p>
    <w:p w14:paraId="4EA89F2A" w14:textId="77777777" w:rsidR="006A572D" w:rsidRPr="00113304" w:rsidRDefault="006A572D" w:rsidP="00113304">
      <w:pPr>
        <w:pStyle w:val="ListParagraph"/>
        <w:spacing w:after="0" w:line="360" w:lineRule="auto"/>
        <w:ind w:left="0" w:firstLine="709"/>
        <w:jc w:val="both"/>
        <w:rPr>
          <w:rFonts w:ascii="Verdana" w:hAnsi="Verdana" w:cs="Times New Roman"/>
          <w:sz w:val="20"/>
          <w:szCs w:val="20"/>
        </w:rPr>
      </w:pPr>
    </w:p>
    <w:p w14:paraId="4690A356" w14:textId="74FCD751" w:rsidR="00447F2E" w:rsidRDefault="00447F2E" w:rsidP="00113304">
      <w:pPr>
        <w:spacing w:after="0" w:line="360" w:lineRule="auto"/>
        <w:ind w:firstLine="709"/>
        <w:jc w:val="both"/>
        <w:rPr>
          <w:rFonts w:ascii="Verdana" w:hAnsi="Verdana" w:cs="Times New Roman"/>
          <w:b/>
          <w:sz w:val="20"/>
          <w:szCs w:val="20"/>
        </w:rPr>
      </w:pPr>
      <w:r w:rsidRPr="00A77C05">
        <w:rPr>
          <w:rFonts w:ascii="Verdana" w:hAnsi="Verdana" w:cs="Times New Roman"/>
          <w:b/>
          <w:sz w:val="20"/>
          <w:szCs w:val="20"/>
        </w:rPr>
        <w:t>§ 3</w:t>
      </w:r>
      <w:r w:rsidRPr="00A77C05">
        <w:rPr>
          <w:rFonts w:ascii="Verdana" w:hAnsi="Verdana" w:cs="Times New Roman"/>
          <w:sz w:val="20"/>
          <w:szCs w:val="20"/>
        </w:rPr>
        <w:t xml:space="preserve">. </w:t>
      </w:r>
      <w:r w:rsidR="006A572D">
        <w:rPr>
          <w:rFonts w:ascii="Verdana" w:hAnsi="Verdana" w:cs="Times New Roman"/>
          <w:sz w:val="20"/>
          <w:szCs w:val="20"/>
        </w:rPr>
        <w:t>Ч</w:t>
      </w:r>
      <w:r w:rsidR="00321CF7">
        <w:rPr>
          <w:rFonts w:ascii="Verdana" w:hAnsi="Verdana" w:cs="Times New Roman"/>
          <w:sz w:val="20"/>
          <w:szCs w:val="20"/>
        </w:rPr>
        <w:t>лен</w:t>
      </w:r>
      <w:r w:rsidR="006A572D">
        <w:rPr>
          <w:rFonts w:ascii="Verdana" w:hAnsi="Verdana" w:cs="Times New Roman"/>
          <w:sz w:val="20"/>
          <w:szCs w:val="20"/>
        </w:rPr>
        <w:t xml:space="preserve"> 51в се изменя така:</w:t>
      </w:r>
    </w:p>
    <w:p w14:paraId="12E37160" w14:textId="71212676" w:rsidR="006A572D" w:rsidRPr="006A572D" w:rsidRDefault="006A572D" w:rsidP="00113304">
      <w:pPr>
        <w:spacing w:after="0" w:line="360" w:lineRule="auto"/>
        <w:ind w:firstLine="709"/>
        <w:jc w:val="both"/>
        <w:rPr>
          <w:rFonts w:ascii="Verdana" w:hAnsi="Verdana" w:cs="Times New Roman"/>
          <w:sz w:val="20"/>
          <w:szCs w:val="20"/>
        </w:rPr>
      </w:pPr>
      <w:r>
        <w:rPr>
          <w:rFonts w:ascii="Verdana" w:hAnsi="Verdana" w:cs="Times New Roman"/>
          <w:sz w:val="20"/>
          <w:szCs w:val="20"/>
        </w:rPr>
        <w:t>„</w:t>
      </w:r>
      <w:r w:rsidRPr="006A572D">
        <w:rPr>
          <w:rFonts w:ascii="Verdana" w:hAnsi="Verdana" w:cs="Times New Roman"/>
          <w:sz w:val="20"/>
          <w:szCs w:val="20"/>
        </w:rPr>
        <w:t>Чл. 51в. (1) При необходимост от отсичане на дървета в изключителни случаи, с цел потушаване на пожари, при възникнали природни бедствия и аварии, включително и когато в тези случаи възниква опасност за функциониране на инфраструктурни обекти, решението за отсичане се взема от:</w:t>
      </w:r>
    </w:p>
    <w:p w14:paraId="3A813123" w14:textId="77777777" w:rsidR="006A572D" w:rsidRPr="006A572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t>1. служители на Министерството на вътрешните работи или Министерството на отбраната;</w:t>
      </w:r>
    </w:p>
    <w:p w14:paraId="0946ED93" w14:textId="77777777" w:rsidR="006A572D" w:rsidRPr="006A572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t>2. служители на Изпълнителната агенция по горите или на нейните структури;</w:t>
      </w:r>
    </w:p>
    <w:p w14:paraId="0114DC6D" w14:textId="77777777" w:rsidR="006A572D" w:rsidRPr="006A572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t>3. областния управител или кмета на съответната община или упълномощени от тях лица;</w:t>
      </w:r>
    </w:p>
    <w:p w14:paraId="1858E1AB" w14:textId="0E66D680" w:rsidR="006A572D" w:rsidRPr="006A572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t>4. служители на държавните предприятия по чл. 163 от Закона за горите, на държавните горски стопанства, държавните ловни стопанства, учебно-опитните горски стопанства, на общинските горски структури и горски сдружения по чл. 183 от</w:t>
      </w:r>
      <w:r w:rsidR="00712E33">
        <w:rPr>
          <w:rFonts w:ascii="Verdana" w:hAnsi="Verdana" w:cs="Times New Roman"/>
          <w:sz w:val="20"/>
          <w:szCs w:val="20"/>
        </w:rPr>
        <w:t xml:space="preserve"> </w:t>
      </w:r>
      <w:r w:rsidRPr="00E8274E">
        <w:rPr>
          <w:rFonts w:ascii="Verdana" w:hAnsi="Verdana" w:cs="Times New Roman"/>
          <w:sz w:val="20"/>
          <w:szCs w:val="20"/>
        </w:rPr>
        <w:t>З</w:t>
      </w:r>
      <w:r w:rsidR="003A5479">
        <w:rPr>
          <w:rFonts w:ascii="Verdana" w:hAnsi="Verdana" w:cs="Times New Roman"/>
          <w:sz w:val="20"/>
          <w:szCs w:val="20"/>
        </w:rPr>
        <w:t>акона за горите</w:t>
      </w:r>
      <w:r w:rsidRPr="006A572D">
        <w:rPr>
          <w:rFonts w:ascii="Verdana" w:hAnsi="Verdana" w:cs="Times New Roman"/>
          <w:sz w:val="20"/>
          <w:szCs w:val="20"/>
        </w:rPr>
        <w:t>;</w:t>
      </w:r>
    </w:p>
    <w:p w14:paraId="24D62D13" w14:textId="77777777" w:rsidR="006A572D" w:rsidRPr="006A572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t>5. собственика на горската територия или лицето, упълномощено да я управлява или стопанисва;</w:t>
      </w:r>
    </w:p>
    <w:p w14:paraId="478BE99D" w14:textId="77777777" w:rsidR="006A572D" w:rsidRPr="006A572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t>6. титуляря на учредените или възникнали ограничени вещни права или лицето, управляващо, стопанисващо или контролиращо съответния инфраструктурен обект, или упълномощени от тях лица;</w:t>
      </w:r>
    </w:p>
    <w:p w14:paraId="5D8DF49A" w14:textId="77777777" w:rsidR="006A572D" w:rsidRPr="006A572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lastRenderedPageBreak/>
        <w:t>(2) При необходимост от отсичането на дървета в изключителни случаи с превантивна цел - за предотвратяване на пожари или на аварии във връзка с евентуални природни бедствия, или с цел премахване на дървета, които биха могли да застрашат нормалното функциониране на инфраструктурни обекти, както и за предотвратяване на опасности, застрашаващи живота и здравето на хората, решенията се вземат от:</w:t>
      </w:r>
    </w:p>
    <w:p w14:paraId="29EDA1E5" w14:textId="77777777" w:rsidR="006A572D" w:rsidRPr="006A572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t>1. лицата по ал. 1 т. 1, 2 и 3, по предложение на заинтересованите лица или по собствена инициатива за всички горски територии, като сечта се организира от лицата, на които е връчен протокола по ал. 4;</w:t>
      </w:r>
    </w:p>
    <w:p w14:paraId="1C68A1E4" w14:textId="77777777" w:rsidR="006A572D" w:rsidRPr="006A572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t>2. лицата по ал. 1, т. 4 и т. 5, по предложение на заинтересованите лица или по собствена инициатива за горски територии, които стопанисват/управляват или са тяхна собственост. Когато решението е взето от лицата по ал. 1, т. 5, премахването на дърветата се извършва, след съгласуване с директора на съответната регионална дирекция по горите или упълномощено от него лице.</w:t>
      </w:r>
    </w:p>
    <w:p w14:paraId="7517572E" w14:textId="77777777" w:rsidR="006A572D" w:rsidRPr="006A572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t>3. лицата по ал. 1, т. 6, за дървета разположени в площи в обхвата/сервитута на съответния инфраструктурен обект, както и при необходимост от кастрене на външни граничещи дървета.</w:t>
      </w:r>
    </w:p>
    <w:p w14:paraId="1B787820" w14:textId="37910D26" w:rsidR="006A572D" w:rsidRPr="006A572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t xml:space="preserve">(3) В случаите по ал. 2, когато взетото решение </w:t>
      </w:r>
      <w:r w:rsidR="00641F79" w:rsidRPr="00AD6ABD">
        <w:rPr>
          <w:rFonts w:ascii="Verdana" w:hAnsi="Verdana" w:cs="Times New Roman"/>
          <w:sz w:val="20"/>
          <w:szCs w:val="20"/>
        </w:rPr>
        <w:t>за отсичане</w:t>
      </w:r>
      <w:r w:rsidR="00641F79" w:rsidRPr="00641F79">
        <w:rPr>
          <w:rFonts w:ascii="Verdana" w:hAnsi="Verdana" w:cs="Times New Roman"/>
          <w:color w:val="FF0000"/>
          <w:sz w:val="20"/>
          <w:szCs w:val="20"/>
        </w:rPr>
        <w:t xml:space="preserve"> </w:t>
      </w:r>
      <w:r w:rsidRPr="006A572D">
        <w:rPr>
          <w:rFonts w:ascii="Verdana" w:hAnsi="Verdana" w:cs="Times New Roman"/>
          <w:sz w:val="20"/>
          <w:szCs w:val="20"/>
        </w:rPr>
        <w:t>е по предложение на заинтересовани лица, организирането и извършването на сечта е за тяхна собствена сметка.</w:t>
      </w:r>
    </w:p>
    <w:p w14:paraId="77A51334" w14:textId="7BE759D1" w:rsidR="006A572D" w:rsidRPr="006A572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t>(4) Съответното лице, взело решението</w:t>
      </w:r>
      <w:r w:rsidR="00641F79">
        <w:rPr>
          <w:rFonts w:ascii="Verdana" w:hAnsi="Verdana" w:cs="Times New Roman"/>
          <w:sz w:val="20"/>
          <w:szCs w:val="20"/>
        </w:rPr>
        <w:t xml:space="preserve"> </w:t>
      </w:r>
      <w:r w:rsidR="00641F79" w:rsidRPr="00AD6ABD">
        <w:rPr>
          <w:rFonts w:ascii="Verdana" w:hAnsi="Verdana" w:cs="Times New Roman"/>
          <w:sz w:val="20"/>
          <w:szCs w:val="20"/>
        </w:rPr>
        <w:t>за отсичане</w:t>
      </w:r>
      <w:r w:rsidR="00B42961" w:rsidRPr="00AD6ABD">
        <w:rPr>
          <w:rFonts w:ascii="Verdana" w:hAnsi="Verdana" w:cs="Times New Roman"/>
          <w:sz w:val="20"/>
          <w:szCs w:val="20"/>
        </w:rPr>
        <w:t xml:space="preserve"> по ал.</w:t>
      </w:r>
      <w:r w:rsidR="002F2546" w:rsidRPr="00AD6ABD">
        <w:rPr>
          <w:rFonts w:ascii="Verdana" w:hAnsi="Verdana" w:cs="Times New Roman"/>
          <w:sz w:val="20"/>
          <w:szCs w:val="20"/>
        </w:rPr>
        <w:t xml:space="preserve"> </w:t>
      </w:r>
      <w:r w:rsidR="00B42961" w:rsidRPr="00AD6ABD">
        <w:rPr>
          <w:rFonts w:ascii="Verdana" w:hAnsi="Verdana" w:cs="Times New Roman"/>
          <w:sz w:val="20"/>
          <w:szCs w:val="20"/>
        </w:rPr>
        <w:t>1 и 2</w:t>
      </w:r>
      <w:r w:rsidRPr="00AD6ABD">
        <w:rPr>
          <w:rFonts w:ascii="Verdana" w:hAnsi="Verdana" w:cs="Times New Roman"/>
          <w:sz w:val="20"/>
          <w:szCs w:val="20"/>
        </w:rPr>
        <w:t>, съставя констативен пр</w:t>
      </w:r>
      <w:r w:rsidR="00641F79" w:rsidRPr="00AD6ABD">
        <w:rPr>
          <w:rFonts w:ascii="Verdana" w:hAnsi="Verdana" w:cs="Times New Roman"/>
          <w:sz w:val="20"/>
          <w:szCs w:val="20"/>
        </w:rPr>
        <w:t>отокол, в който описва причини</w:t>
      </w:r>
      <w:r w:rsidR="00152A30" w:rsidRPr="00AD6ABD">
        <w:rPr>
          <w:rFonts w:ascii="Verdana" w:hAnsi="Verdana" w:cs="Times New Roman"/>
          <w:sz w:val="20"/>
          <w:szCs w:val="20"/>
        </w:rPr>
        <w:t>те</w:t>
      </w:r>
      <w:r w:rsidRPr="00AD6ABD">
        <w:rPr>
          <w:rFonts w:ascii="Verdana" w:hAnsi="Verdana" w:cs="Times New Roman"/>
          <w:sz w:val="20"/>
          <w:szCs w:val="20"/>
        </w:rPr>
        <w:t>, място</w:t>
      </w:r>
      <w:r w:rsidR="00152A30" w:rsidRPr="00AD6ABD">
        <w:rPr>
          <w:rFonts w:ascii="Verdana" w:hAnsi="Verdana" w:cs="Times New Roman"/>
          <w:sz w:val="20"/>
          <w:szCs w:val="20"/>
        </w:rPr>
        <w:t>то</w:t>
      </w:r>
      <w:r w:rsidRPr="00AD6ABD">
        <w:rPr>
          <w:rFonts w:ascii="Verdana" w:hAnsi="Verdana" w:cs="Times New Roman"/>
          <w:sz w:val="20"/>
          <w:szCs w:val="20"/>
        </w:rPr>
        <w:t>, дата</w:t>
      </w:r>
      <w:r w:rsidR="00152A30" w:rsidRPr="00AD6ABD">
        <w:rPr>
          <w:rFonts w:ascii="Verdana" w:hAnsi="Verdana" w:cs="Times New Roman"/>
          <w:sz w:val="20"/>
          <w:szCs w:val="20"/>
        </w:rPr>
        <w:t>та</w:t>
      </w:r>
      <w:r w:rsidRPr="00AD6ABD">
        <w:rPr>
          <w:rFonts w:ascii="Verdana" w:hAnsi="Verdana" w:cs="Times New Roman"/>
          <w:sz w:val="20"/>
          <w:szCs w:val="20"/>
        </w:rPr>
        <w:t>, отдел</w:t>
      </w:r>
      <w:r w:rsidR="00152A30" w:rsidRPr="00AD6ABD">
        <w:rPr>
          <w:rFonts w:ascii="Verdana" w:hAnsi="Verdana" w:cs="Times New Roman"/>
          <w:sz w:val="20"/>
          <w:szCs w:val="20"/>
        </w:rPr>
        <w:t>а</w:t>
      </w:r>
      <w:r w:rsidRPr="00AD6ABD">
        <w:rPr>
          <w:rFonts w:ascii="Verdana" w:hAnsi="Verdana" w:cs="Times New Roman"/>
          <w:sz w:val="20"/>
          <w:szCs w:val="20"/>
        </w:rPr>
        <w:t xml:space="preserve"> и подотдел</w:t>
      </w:r>
      <w:r w:rsidR="00152A30" w:rsidRPr="00AD6ABD">
        <w:rPr>
          <w:rFonts w:ascii="Verdana" w:hAnsi="Verdana" w:cs="Times New Roman"/>
          <w:sz w:val="20"/>
          <w:szCs w:val="20"/>
        </w:rPr>
        <w:t>а</w:t>
      </w:r>
      <w:r w:rsidRPr="00AD6ABD">
        <w:rPr>
          <w:rFonts w:ascii="Verdana" w:hAnsi="Verdana" w:cs="Times New Roman"/>
          <w:sz w:val="20"/>
          <w:szCs w:val="20"/>
        </w:rPr>
        <w:t>, номер</w:t>
      </w:r>
      <w:r w:rsidR="00152A30" w:rsidRPr="00AD6ABD">
        <w:rPr>
          <w:rFonts w:ascii="Verdana" w:hAnsi="Verdana" w:cs="Times New Roman"/>
          <w:sz w:val="20"/>
          <w:szCs w:val="20"/>
        </w:rPr>
        <w:t>а</w:t>
      </w:r>
      <w:r w:rsidRPr="00AD6ABD">
        <w:rPr>
          <w:rFonts w:ascii="Verdana" w:hAnsi="Verdana" w:cs="Times New Roman"/>
          <w:sz w:val="20"/>
          <w:szCs w:val="20"/>
        </w:rPr>
        <w:t xml:space="preserve"> на имота съгласно кадастралния регистър или картата на възстановената собственост, наименование</w:t>
      </w:r>
      <w:r w:rsidR="00152A30" w:rsidRPr="00AD6ABD">
        <w:rPr>
          <w:rFonts w:ascii="Verdana" w:hAnsi="Verdana" w:cs="Times New Roman"/>
          <w:sz w:val="20"/>
          <w:szCs w:val="20"/>
        </w:rPr>
        <w:t>то</w:t>
      </w:r>
      <w:r w:rsidRPr="00AD6ABD">
        <w:rPr>
          <w:rFonts w:ascii="Verdana" w:hAnsi="Verdana" w:cs="Times New Roman"/>
          <w:sz w:val="20"/>
          <w:szCs w:val="20"/>
        </w:rPr>
        <w:t xml:space="preserve"> на инфраструктурния обект; бро</w:t>
      </w:r>
      <w:r w:rsidR="00152A30" w:rsidRPr="00AD6ABD">
        <w:rPr>
          <w:rFonts w:ascii="Verdana" w:hAnsi="Verdana" w:cs="Times New Roman"/>
          <w:sz w:val="20"/>
          <w:szCs w:val="20"/>
        </w:rPr>
        <w:t>я</w:t>
      </w:r>
      <w:r w:rsidRPr="00AD6ABD">
        <w:rPr>
          <w:rFonts w:ascii="Verdana" w:hAnsi="Verdana" w:cs="Times New Roman"/>
          <w:sz w:val="20"/>
          <w:szCs w:val="20"/>
        </w:rPr>
        <w:t xml:space="preserve"> на отсечените или подлежащи на отсичане дърветата по дървесни видове, приблизителния</w:t>
      </w:r>
      <w:r w:rsidR="00152A30" w:rsidRPr="00AD6ABD">
        <w:rPr>
          <w:rFonts w:ascii="Verdana" w:hAnsi="Verdana" w:cs="Times New Roman"/>
          <w:sz w:val="20"/>
          <w:szCs w:val="20"/>
        </w:rPr>
        <w:t>т</w:t>
      </w:r>
      <w:r w:rsidRPr="00AD6ABD">
        <w:rPr>
          <w:rFonts w:ascii="Verdana" w:hAnsi="Verdana" w:cs="Times New Roman"/>
          <w:sz w:val="20"/>
          <w:szCs w:val="20"/>
        </w:rPr>
        <w:t xml:space="preserve"> им обем по категории дървесина и мястото на складиране на отсечените дървета/дървесината, както и </w:t>
      </w:r>
      <w:r w:rsidR="002F2546" w:rsidRPr="00AD6ABD">
        <w:rPr>
          <w:rFonts w:ascii="Verdana" w:hAnsi="Verdana" w:cs="Times New Roman"/>
          <w:sz w:val="20"/>
          <w:szCs w:val="20"/>
        </w:rPr>
        <w:t>лицето, което щ</w:t>
      </w:r>
      <w:r w:rsidR="002F2546">
        <w:rPr>
          <w:rFonts w:ascii="Verdana" w:hAnsi="Verdana" w:cs="Times New Roman"/>
          <w:sz w:val="20"/>
          <w:szCs w:val="20"/>
        </w:rPr>
        <w:t xml:space="preserve">е </w:t>
      </w:r>
      <w:r w:rsidR="00AD6ABD">
        <w:rPr>
          <w:rFonts w:ascii="Verdana" w:hAnsi="Verdana" w:cs="Times New Roman"/>
          <w:sz w:val="20"/>
          <w:szCs w:val="20"/>
        </w:rPr>
        <w:t>извършва</w:t>
      </w:r>
      <w:r w:rsidRPr="006A572D">
        <w:rPr>
          <w:rFonts w:ascii="Verdana" w:hAnsi="Verdana" w:cs="Times New Roman"/>
          <w:sz w:val="20"/>
          <w:szCs w:val="20"/>
        </w:rPr>
        <w:t xml:space="preserve"> сечта.</w:t>
      </w:r>
    </w:p>
    <w:p w14:paraId="12DE98D8" w14:textId="77777777" w:rsidR="006A572D" w:rsidRPr="006A572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t>(5) За съставянето на констативен протокол по ал. 4 се уведомява собственикът на горската територия и съответната регионална дирекция по горите, на които се предоставя и копие от констативния протокол. В случай, че собственикът не може да бъде открит, копие от констативния протокол се предоставя на кмета на населеното място, в землището на което се намира имота, който го поставя на видно място в съответната административна сграда или на определено място на електронната страница.</w:t>
      </w:r>
    </w:p>
    <w:p w14:paraId="009A6021" w14:textId="5DAAB6DC" w:rsidR="006A572D" w:rsidRPr="00C27AF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t xml:space="preserve">(6) </w:t>
      </w:r>
      <w:r w:rsidR="00B42961" w:rsidRPr="00C27AFD">
        <w:rPr>
          <w:rFonts w:ascii="Verdana" w:hAnsi="Verdana" w:cs="Times New Roman"/>
          <w:sz w:val="20"/>
          <w:szCs w:val="20"/>
        </w:rPr>
        <w:t>В случаите по ал.</w:t>
      </w:r>
      <w:r w:rsidR="008C3D83" w:rsidRPr="00C27AFD">
        <w:rPr>
          <w:rFonts w:ascii="Verdana" w:hAnsi="Verdana" w:cs="Times New Roman"/>
          <w:sz w:val="20"/>
          <w:szCs w:val="20"/>
        </w:rPr>
        <w:t xml:space="preserve"> </w:t>
      </w:r>
      <w:r w:rsidR="00B42961" w:rsidRPr="00C27AFD">
        <w:rPr>
          <w:rFonts w:ascii="Verdana" w:hAnsi="Verdana" w:cs="Times New Roman"/>
          <w:sz w:val="20"/>
          <w:szCs w:val="20"/>
        </w:rPr>
        <w:t xml:space="preserve">1 </w:t>
      </w:r>
      <w:r w:rsidR="002F2546" w:rsidRPr="00C27AFD">
        <w:rPr>
          <w:rFonts w:ascii="Verdana" w:hAnsi="Verdana" w:cs="Times New Roman"/>
          <w:sz w:val="20"/>
          <w:szCs w:val="20"/>
        </w:rPr>
        <w:t>лицето</w:t>
      </w:r>
      <w:r w:rsidR="008C3D83" w:rsidRPr="00C27AFD">
        <w:rPr>
          <w:rFonts w:ascii="Verdana" w:hAnsi="Verdana" w:cs="Times New Roman"/>
          <w:sz w:val="20"/>
          <w:szCs w:val="20"/>
        </w:rPr>
        <w:t>,</w:t>
      </w:r>
      <w:r w:rsidR="002F2546" w:rsidRPr="00C27AFD">
        <w:rPr>
          <w:rFonts w:ascii="Verdana" w:hAnsi="Verdana" w:cs="Times New Roman"/>
          <w:sz w:val="20"/>
          <w:szCs w:val="20"/>
        </w:rPr>
        <w:t xml:space="preserve"> взело решението за отсичане </w:t>
      </w:r>
      <w:r w:rsidR="00B53C06" w:rsidRPr="00C27AFD">
        <w:rPr>
          <w:rFonts w:ascii="Verdana" w:hAnsi="Verdana" w:cs="Times New Roman"/>
          <w:sz w:val="20"/>
          <w:szCs w:val="20"/>
        </w:rPr>
        <w:t xml:space="preserve">съставя констативният протокол по ал. 4 </w:t>
      </w:r>
      <w:r w:rsidR="00B42961" w:rsidRPr="00C27AFD">
        <w:rPr>
          <w:rFonts w:ascii="Verdana" w:hAnsi="Verdana" w:cs="Times New Roman"/>
          <w:sz w:val="20"/>
          <w:szCs w:val="20"/>
        </w:rPr>
        <w:t>в едномесечен срок от потушаване на</w:t>
      </w:r>
      <w:r w:rsidR="002F2546" w:rsidRPr="00C27AFD">
        <w:rPr>
          <w:rFonts w:ascii="Verdana" w:hAnsi="Verdana" w:cs="Times New Roman"/>
          <w:sz w:val="20"/>
          <w:szCs w:val="20"/>
        </w:rPr>
        <w:t xml:space="preserve"> пожара, съответно от приключване на</w:t>
      </w:r>
      <w:r w:rsidR="00B42961" w:rsidRPr="00C27AFD">
        <w:rPr>
          <w:rFonts w:ascii="Verdana" w:hAnsi="Verdana" w:cs="Times New Roman"/>
          <w:sz w:val="20"/>
          <w:szCs w:val="20"/>
        </w:rPr>
        <w:t xml:space="preserve"> природното бедствие</w:t>
      </w:r>
      <w:r w:rsidR="002F2546" w:rsidRPr="00C27AFD">
        <w:rPr>
          <w:rFonts w:ascii="Verdana" w:hAnsi="Verdana" w:cs="Times New Roman"/>
          <w:sz w:val="20"/>
          <w:szCs w:val="20"/>
        </w:rPr>
        <w:t>/</w:t>
      </w:r>
      <w:r w:rsidR="00B42961" w:rsidRPr="00C27AFD">
        <w:rPr>
          <w:rFonts w:ascii="Verdana" w:hAnsi="Verdana" w:cs="Times New Roman"/>
          <w:sz w:val="20"/>
          <w:szCs w:val="20"/>
        </w:rPr>
        <w:t>авария</w:t>
      </w:r>
      <w:r w:rsidR="001B1DC7" w:rsidRPr="00C27AFD">
        <w:rPr>
          <w:rFonts w:ascii="Verdana" w:hAnsi="Verdana" w:cs="Times New Roman"/>
          <w:sz w:val="20"/>
          <w:szCs w:val="20"/>
        </w:rPr>
        <w:t>та</w:t>
      </w:r>
      <w:r w:rsidR="002F2546" w:rsidRPr="00C27AFD">
        <w:rPr>
          <w:rFonts w:ascii="Verdana" w:hAnsi="Verdana" w:cs="Times New Roman"/>
          <w:sz w:val="20"/>
          <w:szCs w:val="20"/>
        </w:rPr>
        <w:t xml:space="preserve"> или</w:t>
      </w:r>
      <w:r w:rsidR="00B42961" w:rsidRPr="00C27AFD">
        <w:rPr>
          <w:rFonts w:ascii="Verdana" w:hAnsi="Verdana" w:cs="Times New Roman"/>
          <w:sz w:val="20"/>
          <w:szCs w:val="20"/>
        </w:rPr>
        <w:t xml:space="preserve"> възникнала</w:t>
      </w:r>
      <w:r w:rsidR="002F2546" w:rsidRPr="00C27AFD">
        <w:rPr>
          <w:rFonts w:ascii="Verdana" w:hAnsi="Verdana" w:cs="Times New Roman"/>
          <w:sz w:val="20"/>
          <w:szCs w:val="20"/>
        </w:rPr>
        <w:t>та</w:t>
      </w:r>
      <w:r w:rsidR="00B42961" w:rsidRPr="00C27AFD">
        <w:rPr>
          <w:rFonts w:ascii="Verdana" w:hAnsi="Verdana" w:cs="Times New Roman"/>
          <w:sz w:val="20"/>
          <w:szCs w:val="20"/>
        </w:rPr>
        <w:t xml:space="preserve"> опасност.</w:t>
      </w:r>
    </w:p>
    <w:p w14:paraId="3D66744E" w14:textId="0E4C1092" w:rsidR="006A572D" w:rsidRPr="006A572D" w:rsidRDefault="006A572D" w:rsidP="00113304">
      <w:pPr>
        <w:spacing w:after="0" w:line="360" w:lineRule="auto"/>
        <w:ind w:firstLine="709"/>
        <w:jc w:val="both"/>
        <w:rPr>
          <w:rFonts w:ascii="Verdana" w:hAnsi="Verdana" w:cs="Times New Roman"/>
          <w:sz w:val="20"/>
          <w:szCs w:val="20"/>
        </w:rPr>
      </w:pPr>
      <w:r w:rsidRPr="00C27AFD">
        <w:rPr>
          <w:rFonts w:ascii="Verdana" w:hAnsi="Verdana" w:cs="Times New Roman"/>
          <w:sz w:val="20"/>
          <w:szCs w:val="20"/>
        </w:rPr>
        <w:t xml:space="preserve">(7) </w:t>
      </w:r>
      <w:r w:rsidR="00B53C06" w:rsidRPr="00C27AFD">
        <w:rPr>
          <w:rFonts w:ascii="Verdana" w:hAnsi="Verdana" w:cs="Times New Roman"/>
          <w:sz w:val="20"/>
          <w:szCs w:val="20"/>
        </w:rPr>
        <w:t>В случаите по ал. 2 л</w:t>
      </w:r>
      <w:r w:rsidR="008C3D83" w:rsidRPr="00C27AFD">
        <w:rPr>
          <w:rFonts w:ascii="Verdana" w:hAnsi="Verdana" w:cs="Times New Roman"/>
          <w:sz w:val="20"/>
          <w:szCs w:val="20"/>
        </w:rPr>
        <w:t>ицето,</w:t>
      </w:r>
      <w:r w:rsidRPr="00C27AFD">
        <w:rPr>
          <w:rFonts w:ascii="Verdana" w:hAnsi="Verdana" w:cs="Times New Roman"/>
          <w:sz w:val="20"/>
          <w:szCs w:val="20"/>
        </w:rPr>
        <w:t xml:space="preserve"> взело решението </w:t>
      </w:r>
      <w:r w:rsidR="00B53C06" w:rsidRPr="00C27AFD">
        <w:rPr>
          <w:rFonts w:ascii="Verdana" w:hAnsi="Verdana" w:cs="Times New Roman"/>
          <w:sz w:val="20"/>
          <w:szCs w:val="20"/>
        </w:rPr>
        <w:t>за отсичане</w:t>
      </w:r>
      <w:r w:rsidRPr="00C27AFD">
        <w:rPr>
          <w:rFonts w:ascii="Verdana" w:hAnsi="Verdana" w:cs="Times New Roman"/>
          <w:sz w:val="20"/>
          <w:szCs w:val="20"/>
        </w:rPr>
        <w:t xml:space="preserve">, </w:t>
      </w:r>
      <w:r w:rsidRPr="006A572D">
        <w:rPr>
          <w:rFonts w:ascii="Verdana" w:hAnsi="Verdana" w:cs="Times New Roman"/>
          <w:sz w:val="20"/>
          <w:szCs w:val="20"/>
        </w:rPr>
        <w:t xml:space="preserve">съставя констативен протокол по ал. 4, който е основание за извършване на сечта. Отсечените </w:t>
      </w:r>
      <w:r w:rsidRPr="006A572D">
        <w:rPr>
          <w:rFonts w:ascii="Verdana" w:hAnsi="Verdana" w:cs="Times New Roman"/>
          <w:sz w:val="20"/>
          <w:szCs w:val="20"/>
        </w:rPr>
        <w:lastRenderedPageBreak/>
        <w:t>дървета и/или добитата дървесина се складира по начин, който не възпрепятства нормалното функциониране на съществуващата инфраструктура, като по възможност местоположението да осигурява достъп до складираната дървесина.</w:t>
      </w:r>
    </w:p>
    <w:p w14:paraId="1E88B585" w14:textId="71AFB7C0" w:rsidR="006A572D" w:rsidRPr="006A572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t xml:space="preserve">(8) Лицето, взело решението по ал. 1, съответно заинтересованото лице по </w:t>
      </w:r>
      <w:r w:rsidR="00113304">
        <w:rPr>
          <w:rFonts w:ascii="Verdana" w:hAnsi="Verdana" w:cs="Times New Roman"/>
          <w:sz w:val="20"/>
          <w:szCs w:val="20"/>
        </w:rPr>
        <w:br/>
      </w:r>
      <w:r w:rsidRPr="006A572D">
        <w:rPr>
          <w:rFonts w:ascii="Verdana" w:hAnsi="Verdana" w:cs="Times New Roman"/>
          <w:sz w:val="20"/>
          <w:szCs w:val="20"/>
        </w:rPr>
        <w:t>ал. 2, осигурява отбелязването на челата на пъновете на отсечените немаркирани дървета с контролна горска марка с жълт цвят на боята.</w:t>
      </w:r>
    </w:p>
    <w:p w14:paraId="7DA884CE" w14:textId="77777777" w:rsidR="006A572D" w:rsidRPr="006A572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t xml:space="preserve">(9) В случаите, когато за съответните насаждения няма издадено позволително за сеч, такова се издава на основание на констативния протокол по ал. 4, след отбелязването по реда на ал. 8, без да се съставят </w:t>
      </w:r>
      <w:proofErr w:type="spellStart"/>
      <w:r w:rsidRPr="006A572D">
        <w:rPr>
          <w:rFonts w:ascii="Verdana" w:hAnsi="Verdana" w:cs="Times New Roman"/>
          <w:sz w:val="20"/>
          <w:szCs w:val="20"/>
        </w:rPr>
        <w:t>сортиментна</w:t>
      </w:r>
      <w:proofErr w:type="spellEnd"/>
      <w:r w:rsidRPr="006A572D">
        <w:rPr>
          <w:rFonts w:ascii="Verdana" w:hAnsi="Verdana" w:cs="Times New Roman"/>
          <w:sz w:val="20"/>
          <w:szCs w:val="20"/>
        </w:rPr>
        <w:t xml:space="preserve"> ведомост, карнет-опис и технологичен план.</w:t>
      </w:r>
    </w:p>
    <w:p w14:paraId="44FBDCB4" w14:textId="668E56F2" w:rsidR="006A572D" w:rsidRPr="006A572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t xml:space="preserve">(10) Констативният протокол по ал. 4 се регистрира в </w:t>
      </w:r>
      <w:r w:rsidR="00ED31A4" w:rsidRPr="000D20FB">
        <w:rPr>
          <w:rFonts w:ascii="Verdana" w:hAnsi="Verdana" w:cs="Times New Roman"/>
          <w:sz w:val="20"/>
          <w:szCs w:val="20"/>
        </w:rPr>
        <w:t xml:space="preserve">интернет </w:t>
      </w:r>
      <w:r w:rsidR="00ED31A4" w:rsidRPr="00ED31A4">
        <w:rPr>
          <w:rFonts w:ascii="Verdana" w:hAnsi="Verdana" w:cs="Times New Roman"/>
          <w:sz w:val="20"/>
          <w:szCs w:val="20"/>
        </w:rPr>
        <w:t>информационна система на Изпълнителната агенция</w:t>
      </w:r>
      <w:r w:rsidRPr="006A572D">
        <w:rPr>
          <w:rFonts w:ascii="Verdana" w:hAnsi="Verdana" w:cs="Times New Roman"/>
          <w:sz w:val="20"/>
          <w:szCs w:val="20"/>
        </w:rPr>
        <w:t xml:space="preserve"> към съответното позволително за сеч и се посочват в протокола за освидетелстване на сечището.</w:t>
      </w:r>
    </w:p>
    <w:p w14:paraId="0D4EC7A0" w14:textId="77777777" w:rsidR="006A572D" w:rsidRPr="006A572D" w:rsidRDefault="006A572D" w:rsidP="00113304">
      <w:pPr>
        <w:spacing w:after="0" w:line="360" w:lineRule="auto"/>
        <w:ind w:firstLine="709"/>
        <w:jc w:val="both"/>
        <w:rPr>
          <w:rFonts w:ascii="Verdana" w:hAnsi="Verdana" w:cs="Times New Roman"/>
          <w:sz w:val="20"/>
          <w:szCs w:val="20"/>
        </w:rPr>
      </w:pPr>
      <w:r w:rsidRPr="006A572D">
        <w:rPr>
          <w:rFonts w:ascii="Verdana" w:hAnsi="Verdana" w:cs="Times New Roman"/>
          <w:sz w:val="20"/>
          <w:szCs w:val="20"/>
        </w:rPr>
        <w:t>(11) Превозните билети за транспортирането на добитата дървесина се издават на основание на съответното позволително за сеч.</w:t>
      </w:r>
    </w:p>
    <w:p w14:paraId="136CCF26" w14:textId="77777777" w:rsidR="00447F2E" w:rsidRPr="006438AE" w:rsidRDefault="00447F2E" w:rsidP="00113304">
      <w:pPr>
        <w:spacing w:after="0" w:line="360" w:lineRule="auto"/>
        <w:ind w:firstLine="709"/>
        <w:jc w:val="both"/>
        <w:rPr>
          <w:rFonts w:ascii="Verdana" w:hAnsi="Verdana" w:cs="Times New Roman"/>
          <w:sz w:val="20"/>
          <w:szCs w:val="20"/>
        </w:rPr>
      </w:pPr>
    </w:p>
    <w:p w14:paraId="7EEDAB62" w14:textId="5D26566E" w:rsidR="00FB7866" w:rsidRDefault="00447F2E" w:rsidP="00113304">
      <w:pPr>
        <w:spacing w:after="0" w:line="360" w:lineRule="auto"/>
        <w:ind w:firstLine="709"/>
        <w:jc w:val="both"/>
        <w:rPr>
          <w:rFonts w:ascii="Verdana" w:hAnsi="Verdana" w:cs="Times New Roman"/>
          <w:sz w:val="20"/>
          <w:szCs w:val="20"/>
        </w:rPr>
      </w:pPr>
      <w:r>
        <w:rPr>
          <w:rFonts w:ascii="Verdana" w:hAnsi="Verdana" w:cs="Times New Roman"/>
          <w:b/>
          <w:sz w:val="20"/>
          <w:szCs w:val="20"/>
        </w:rPr>
        <w:t xml:space="preserve">§ </w:t>
      </w:r>
      <w:r>
        <w:rPr>
          <w:rFonts w:ascii="Verdana" w:hAnsi="Verdana" w:cs="Times New Roman"/>
          <w:b/>
          <w:sz w:val="20"/>
          <w:szCs w:val="20"/>
          <w:lang w:val="en-US"/>
        </w:rPr>
        <w:t>4</w:t>
      </w:r>
      <w:r w:rsidR="009C4CB4" w:rsidRPr="00E3482E">
        <w:rPr>
          <w:rFonts w:ascii="Verdana" w:hAnsi="Verdana" w:cs="Times New Roman"/>
          <w:sz w:val="20"/>
          <w:szCs w:val="20"/>
        </w:rPr>
        <w:t xml:space="preserve">. </w:t>
      </w:r>
      <w:r w:rsidR="00DD4CB1" w:rsidRPr="00DD4CB1">
        <w:rPr>
          <w:rFonts w:ascii="Verdana" w:hAnsi="Verdana" w:cs="Times New Roman"/>
          <w:sz w:val="20"/>
          <w:szCs w:val="20"/>
        </w:rPr>
        <w:t>В чл. 52, ал.1, т. 4 накрая се добавя „с изключение на случаите по чл. 108, ал.</w:t>
      </w:r>
      <w:r w:rsidR="002A7426">
        <w:rPr>
          <w:rFonts w:ascii="Verdana" w:hAnsi="Verdana" w:cs="Times New Roman"/>
          <w:sz w:val="20"/>
          <w:szCs w:val="20"/>
        </w:rPr>
        <w:t xml:space="preserve"> </w:t>
      </w:r>
      <w:r w:rsidR="00DD4CB1" w:rsidRPr="00DD4CB1">
        <w:rPr>
          <w:rFonts w:ascii="Verdana" w:hAnsi="Verdana" w:cs="Times New Roman"/>
          <w:sz w:val="20"/>
          <w:szCs w:val="20"/>
        </w:rPr>
        <w:t xml:space="preserve">1, т. 5 от </w:t>
      </w:r>
      <w:r w:rsidR="00DD4CB1" w:rsidRPr="006C3D2B">
        <w:rPr>
          <w:rFonts w:ascii="Verdana" w:hAnsi="Verdana" w:cs="Times New Roman"/>
          <w:sz w:val="20"/>
          <w:szCs w:val="20"/>
        </w:rPr>
        <w:t>З</w:t>
      </w:r>
      <w:r w:rsidR="006C3D2B">
        <w:rPr>
          <w:rFonts w:ascii="Verdana" w:hAnsi="Verdana" w:cs="Times New Roman"/>
          <w:sz w:val="20"/>
          <w:szCs w:val="20"/>
        </w:rPr>
        <w:t>акона за горите</w:t>
      </w:r>
      <w:r w:rsidR="00DD4CB1" w:rsidRPr="00DD4CB1">
        <w:rPr>
          <w:rFonts w:ascii="Verdana" w:hAnsi="Verdana" w:cs="Times New Roman"/>
          <w:sz w:val="20"/>
          <w:szCs w:val="20"/>
        </w:rPr>
        <w:t>“.</w:t>
      </w:r>
    </w:p>
    <w:p w14:paraId="09D30C6B" w14:textId="77777777" w:rsidR="00DD4CB1" w:rsidRPr="0043230F" w:rsidRDefault="00DD4CB1" w:rsidP="00113304">
      <w:pPr>
        <w:spacing w:after="0" w:line="360" w:lineRule="auto"/>
        <w:ind w:firstLine="709"/>
        <w:jc w:val="both"/>
        <w:rPr>
          <w:rFonts w:ascii="Verdana" w:hAnsi="Verdana" w:cs="Times New Roman"/>
          <w:sz w:val="20"/>
          <w:szCs w:val="20"/>
        </w:rPr>
      </w:pPr>
    </w:p>
    <w:p w14:paraId="4296D0C8" w14:textId="58567FCA" w:rsidR="00DE7725" w:rsidRPr="008C3D83" w:rsidRDefault="00447F2E" w:rsidP="00113304">
      <w:pPr>
        <w:spacing w:after="0" w:line="360" w:lineRule="auto"/>
        <w:ind w:firstLine="709"/>
        <w:jc w:val="both"/>
        <w:rPr>
          <w:rFonts w:ascii="Verdana" w:hAnsi="Verdana" w:cs="Times New Roman"/>
          <w:sz w:val="20"/>
          <w:szCs w:val="20"/>
          <w:lang w:val="en-US"/>
        </w:rPr>
      </w:pPr>
      <w:r>
        <w:rPr>
          <w:rFonts w:ascii="Verdana" w:hAnsi="Verdana" w:cs="Times New Roman"/>
          <w:b/>
          <w:sz w:val="20"/>
          <w:szCs w:val="20"/>
        </w:rPr>
        <w:t xml:space="preserve">§ </w:t>
      </w:r>
      <w:r w:rsidR="00EE7393">
        <w:rPr>
          <w:rFonts w:ascii="Verdana" w:hAnsi="Verdana" w:cs="Times New Roman"/>
          <w:b/>
          <w:sz w:val="20"/>
          <w:szCs w:val="20"/>
          <w:lang w:val="en-US"/>
        </w:rPr>
        <w:t>5</w:t>
      </w:r>
      <w:r w:rsidR="009C4CB4" w:rsidRPr="00E3482E">
        <w:rPr>
          <w:rFonts w:ascii="Verdana" w:hAnsi="Verdana" w:cs="Times New Roman"/>
          <w:b/>
          <w:sz w:val="20"/>
          <w:szCs w:val="20"/>
        </w:rPr>
        <w:t>.</w:t>
      </w:r>
      <w:r w:rsidR="009C4CB4" w:rsidRPr="00E3482E">
        <w:rPr>
          <w:rFonts w:ascii="Verdana" w:hAnsi="Verdana" w:cs="Times New Roman"/>
          <w:sz w:val="20"/>
          <w:szCs w:val="20"/>
        </w:rPr>
        <w:t xml:space="preserve"> В чл. </w:t>
      </w:r>
      <w:r w:rsidR="00DD4CB1">
        <w:rPr>
          <w:rFonts w:ascii="Verdana" w:hAnsi="Verdana" w:cs="Times New Roman"/>
          <w:sz w:val="20"/>
          <w:szCs w:val="20"/>
        </w:rPr>
        <w:t>54, ал.3 след думата „сдружение“ се добавя „</w:t>
      </w:r>
      <w:r w:rsidR="00DD4CB1" w:rsidRPr="00DD4CB1">
        <w:rPr>
          <w:rFonts w:ascii="Verdana" w:hAnsi="Verdana" w:cs="Times New Roman"/>
          <w:sz w:val="20"/>
          <w:szCs w:val="20"/>
        </w:rPr>
        <w:t xml:space="preserve">както и </w:t>
      </w:r>
      <w:r w:rsidR="000E4DEB">
        <w:rPr>
          <w:rFonts w:ascii="Verdana" w:hAnsi="Verdana" w:cs="Times New Roman"/>
          <w:sz w:val="20"/>
          <w:szCs w:val="20"/>
        </w:rPr>
        <w:t>к</w:t>
      </w:r>
      <w:r w:rsidR="000E4DEB" w:rsidRPr="000E4DEB">
        <w:rPr>
          <w:rFonts w:ascii="Verdana" w:hAnsi="Verdana" w:cs="Times New Roman"/>
          <w:sz w:val="20"/>
          <w:szCs w:val="20"/>
        </w:rPr>
        <w:t xml:space="preserve">огато позволителното е издадено от лице </w:t>
      </w:r>
      <w:r w:rsidR="00DD4CB1" w:rsidRPr="000E4DEB">
        <w:rPr>
          <w:rFonts w:ascii="Verdana" w:hAnsi="Verdana" w:cs="Times New Roman"/>
          <w:sz w:val="20"/>
          <w:szCs w:val="20"/>
        </w:rPr>
        <w:t>по</w:t>
      </w:r>
      <w:r w:rsidR="00DD4CB1" w:rsidRPr="00DD4CB1">
        <w:rPr>
          <w:rFonts w:ascii="Verdana" w:hAnsi="Verdana" w:cs="Times New Roman"/>
          <w:sz w:val="20"/>
          <w:szCs w:val="20"/>
        </w:rPr>
        <w:t xml:space="preserve"> чл. 108, ал.1, т. 5 от </w:t>
      </w:r>
      <w:r w:rsidR="00DD4CB1" w:rsidRPr="006C3D2B">
        <w:rPr>
          <w:rFonts w:ascii="Verdana" w:hAnsi="Verdana" w:cs="Times New Roman"/>
          <w:sz w:val="20"/>
          <w:szCs w:val="20"/>
        </w:rPr>
        <w:t>З</w:t>
      </w:r>
      <w:r w:rsidR="006C3D2B">
        <w:rPr>
          <w:rFonts w:ascii="Verdana" w:hAnsi="Verdana" w:cs="Times New Roman"/>
          <w:sz w:val="20"/>
          <w:szCs w:val="20"/>
        </w:rPr>
        <w:t>акона за горите</w:t>
      </w:r>
      <w:r w:rsidR="00DD4CB1" w:rsidRPr="006C3D2B">
        <w:rPr>
          <w:rFonts w:ascii="Verdana" w:hAnsi="Verdana" w:cs="Times New Roman"/>
          <w:sz w:val="20"/>
          <w:szCs w:val="20"/>
        </w:rPr>
        <w:t>“.</w:t>
      </w:r>
    </w:p>
    <w:p w14:paraId="4E08CDF0" w14:textId="77777777" w:rsidR="00DD4CB1" w:rsidRPr="006438AE" w:rsidRDefault="00DD4CB1" w:rsidP="00113304">
      <w:pPr>
        <w:spacing w:after="0" w:line="360" w:lineRule="auto"/>
        <w:ind w:firstLine="709"/>
        <w:jc w:val="both"/>
        <w:rPr>
          <w:rFonts w:ascii="Verdana" w:hAnsi="Verdana" w:cs="Times New Roman"/>
          <w:sz w:val="20"/>
          <w:szCs w:val="20"/>
        </w:rPr>
      </w:pPr>
    </w:p>
    <w:p w14:paraId="1DBA6366" w14:textId="353F3B7F" w:rsidR="005A1116" w:rsidRPr="00C27AFD" w:rsidRDefault="005A1116" w:rsidP="00113304">
      <w:pPr>
        <w:spacing w:after="0" w:line="360" w:lineRule="auto"/>
        <w:ind w:firstLine="709"/>
        <w:jc w:val="both"/>
        <w:rPr>
          <w:rFonts w:ascii="Verdana" w:hAnsi="Verdana" w:cs="Times New Roman"/>
          <w:sz w:val="20"/>
          <w:szCs w:val="20"/>
        </w:rPr>
      </w:pPr>
      <w:r w:rsidRPr="00B95FD4">
        <w:rPr>
          <w:rFonts w:ascii="Verdana" w:hAnsi="Verdana" w:cs="Times New Roman"/>
          <w:b/>
          <w:sz w:val="20"/>
          <w:szCs w:val="20"/>
        </w:rPr>
        <w:t>§</w:t>
      </w:r>
      <w:r w:rsidR="00447F2E">
        <w:rPr>
          <w:rFonts w:ascii="Verdana" w:hAnsi="Verdana" w:cs="Times New Roman"/>
          <w:b/>
          <w:sz w:val="20"/>
          <w:szCs w:val="20"/>
        </w:rPr>
        <w:t xml:space="preserve"> </w:t>
      </w:r>
      <w:r w:rsidR="00190C47">
        <w:rPr>
          <w:rFonts w:ascii="Verdana" w:hAnsi="Verdana" w:cs="Times New Roman"/>
          <w:b/>
          <w:sz w:val="20"/>
          <w:szCs w:val="20"/>
          <w:lang w:val="en-US"/>
        </w:rPr>
        <w:t>6</w:t>
      </w:r>
      <w:r w:rsidR="005D762A" w:rsidRPr="00B95FD4">
        <w:rPr>
          <w:rFonts w:ascii="Verdana" w:hAnsi="Verdana" w:cs="Times New Roman"/>
          <w:b/>
          <w:sz w:val="20"/>
          <w:szCs w:val="20"/>
        </w:rPr>
        <w:t>.</w:t>
      </w:r>
      <w:r w:rsidR="00706BB3">
        <w:rPr>
          <w:rFonts w:ascii="Verdana" w:hAnsi="Verdana" w:cs="Times New Roman"/>
          <w:sz w:val="20"/>
          <w:szCs w:val="20"/>
        </w:rPr>
        <w:t xml:space="preserve"> </w:t>
      </w:r>
      <w:r w:rsidRPr="00B95FD4">
        <w:rPr>
          <w:rFonts w:ascii="Verdana" w:hAnsi="Verdana" w:cs="Times New Roman"/>
          <w:sz w:val="20"/>
          <w:szCs w:val="20"/>
        </w:rPr>
        <w:t xml:space="preserve">В чл. </w:t>
      </w:r>
      <w:r w:rsidR="00DD4CB1">
        <w:rPr>
          <w:rFonts w:ascii="Verdana" w:hAnsi="Verdana" w:cs="Times New Roman"/>
          <w:sz w:val="20"/>
          <w:szCs w:val="20"/>
        </w:rPr>
        <w:t xml:space="preserve">57 т. 2 след </w:t>
      </w:r>
      <w:r w:rsidR="0010120C">
        <w:rPr>
          <w:rFonts w:ascii="Verdana" w:hAnsi="Verdana" w:cs="Times New Roman"/>
          <w:sz w:val="20"/>
          <w:szCs w:val="20"/>
        </w:rPr>
        <w:t>д</w:t>
      </w:r>
      <w:r w:rsidR="00DD4CB1">
        <w:rPr>
          <w:rFonts w:ascii="Verdana" w:hAnsi="Verdana" w:cs="Times New Roman"/>
          <w:sz w:val="20"/>
          <w:szCs w:val="20"/>
        </w:rPr>
        <w:t>умата „собственика“ се добавя „</w:t>
      </w:r>
      <w:r w:rsidR="00DD4CB1" w:rsidRPr="00DD4CB1">
        <w:rPr>
          <w:rFonts w:ascii="Verdana" w:hAnsi="Verdana" w:cs="Times New Roman"/>
          <w:sz w:val="20"/>
          <w:szCs w:val="20"/>
        </w:rPr>
        <w:t>на титуляря на учредените или възникнали ограничени вещни права</w:t>
      </w:r>
      <w:r w:rsidR="00DD4CB1" w:rsidRPr="00C27AFD">
        <w:rPr>
          <w:rFonts w:ascii="Verdana" w:hAnsi="Verdana" w:cs="Times New Roman"/>
          <w:sz w:val="20"/>
          <w:szCs w:val="20"/>
        </w:rPr>
        <w:t>“</w:t>
      </w:r>
      <w:r w:rsidR="00AD6ABD" w:rsidRPr="00C27AFD">
        <w:rPr>
          <w:rFonts w:ascii="Verdana" w:hAnsi="Verdana" w:cs="Times New Roman"/>
          <w:sz w:val="20"/>
          <w:szCs w:val="20"/>
        </w:rPr>
        <w:t xml:space="preserve">, </w:t>
      </w:r>
      <w:r w:rsidR="00113304">
        <w:rPr>
          <w:rFonts w:ascii="Verdana" w:hAnsi="Verdana" w:cs="Times New Roman"/>
          <w:sz w:val="20"/>
          <w:szCs w:val="20"/>
        </w:rPr>
        <w:t xml:space="preserve">а </w:t>
      </w:r>
      <w:r w:rsidR="00113304" w:rsidRPr="007B58B8">
        <w:rPr>
          <w:rFonts w:ascii="Verdana" w:hAnsi="Verdana" w:cs="Times New Roman"/>
          <w:sz w:val="20"/>
          <w:szCs w:val="20"/>
        </w:rPr>
        <w:t>думите „чл. 108, ал.</w:t>
      </w:r>
      <w:r w:rsidR="002A7426">
        <w:rPr>
          <w:rFonts w:ascii="Verdana" w:hAnsi="Verdana" w:cs="Times New Roman"/>
          <w:sz w:val="20"/>
          <w:szCs w:val="20"/>
        </w:rPr>
        <w:t xml:space="preserve"> </w:t>
      </w:r>
      <w:r w:rsidR="00113304" w:rsidRPr="007B58B8">
        <w:rPr>
          <w:rFonts w:ascii="Verdana" w:hAnsi="Verdana" w:cs="Times New Roman"/>
          <w:sz w:val="20"/>
          <w:szCs w:val="20"/>
        </w:rPr>
        <w:t xml:space="preserve">1 т. 3 и </w:t>
      </w:r>
      <w:r w:rsidR="00AD6ABD" w:rsidRPr="007B58B8">
        <w:rPr>
          <w:rFonts w:ascii="Verdana" w:hAnsi="Verdana" w:cs="Times New Roman"/>
          <w:sz w:val="20"/>
          <w:szCs w:val="20"/>
        </w:rPr>
        <w:t>4“ се заменят с „ чл. 108, ал.</w:t>
      </w:r>
      <w:r w:rsidR="002A7426">
        <w:rPr>
          <w:rFonts w:ascii="Verdana" w:hAnsi="Verdana" w:cs="Times New Roman"/>
          <w:sz w:val="20"/>
          <w:szCs w:val="20"/>
        </w:rPr>
        <w:t xml:space="preserve"> </w:t>
      </w:r>
      <w:r w:rsidR="00AD6ABD" w:rsidRPr="007B58B8">
        <w:rPr>
          <w:rFonts w:ascii="Verdana" w:hAnsi="Verdana" w:cs="Times New Roman"/>
          <w:sz w:val="20"/>
          <w:szCs w:val="20"/>
        </w:rPr>
        <w:t>1, т. 3, 4, и 5</w:t>
      </w:r>
      <w:r w:rsidR="00723888" w:rsidRPr="007B58B8">
        <w:t xml:space="preserve"> </w:t>
      </w:r>
      <w:r w:rsidR="00723888" w:rsidRPr="007B58B8">
        <w:rPr>
          <w:rFonts w:ascii="Verdana" w:hAnsi="Verdana" w:cs="Times New Roman"/>
          <w:sz w:val="20"/>
          <w:szCs w:val="20"/>
        </w:rPr>
        <w:t>“.</w:t>
      </w:r>
      <w:r w:rsidR="00723888" w:rsidRPr="00C27AFD">
        <w:rPr>
          <w:rFonts w:ascii="Verdana" w:hAnsi="Verdana" w:cs="Times New Roman"/>
          <w:sz w:val="20"/>
          <w:szCs w:val="20"/>
        </w:rPr>
        <w:t xml:space="preserve"> </w:t>
      </w:r>
    </w:p>
    <w:p w14:paraId="2080E948" w14:textId="77777777" w:rsidR="005A1116" w:rsidRPr="0043230F" w:rsidRDefault="005A1116" w:rsidP="008C25E0">
      <w:pPr>
        <w:spacing w:after="0" w:line="360" w:lineRule="auto"/>
        <w:ind w:firstLine="709"/>
        <w:jc w:val="both"/>
        <w:rPr>
          <w:rFonts w:ascii="Verdana" w:hAnsi="Verdana" w:cs="Times New Roman"/>
          <w:sz w:val="20"/>
          <w:szCs w:val="20"/>
        </w:rPr>
      </w:pPr>
    </w:p>
    <w:p w14:paraId="12B5879D" w14:textId="243B21D5" w:rsidR="0078477A" w:rsidRDefault="00447F2E" w:rsidP="008C25E0">
      <w:pPr>
        <w:spacing w:after="0" w:line="360" w:lineRule="auto"/>
        <w:ind w:firstLine="709"/>
        <w:jc w:val="both"/>
        <w:rPr>
          <w:rFonts w:ascii="Verdana" w:hAnsi="Verdana" w:cs="Times New Roman"/>
          <w:sz w:val="20"/>
          <w:szCs w:val="20"/>
        </w:rPr>
      </w:pPr>
      <w:r>
        <w:rPr>
          <w:rFonts w:ascii="Verdana" w:hAnsi="Verdana" w:cs="Times New Roman"/>
          <w:b/>
          <w:sz w:val="20"/>
          <w:szCs w:val="20"/>
        </w:rPr>
        <w:t xml:space="preserve">§ </w:t>
      </w:r>
      <w:r w:rsidR="00190C47">
        <w:rPr>
          <w:rFonts w:ascii="Verdana" w:hAnsi="Verdana" w:cs="Times New Roman"/>
          <w:b/>
          <w:sz w:val="20"/>
          <w:szCs w:val="20"/>
          <w:lang w:val="en-US"/>
        </w:rPr>
        <w:t>7</w:t>
      </w:r>
      <w:r w:rsidR="009C4CB4" w:rsidRPr="00E3482E">
        <w:rPr>
          <w:rFonts w:ascii="Verdana" w:hAnsi="Verdana" w:cs="Times New Roman"/>
          <w:b/>
          <w:sz w:val="20"/>
          <w:szCs w:val="20"/>
        </w:rPr>
        <w:t>.</w:t>
      </w:r>
      <w:r w:rsidR="009C4CB4" w:rsidRPr="00E3482E">
        <w:rPr>
          <w:rFonts w:ascii="Verdana" w:hAnsi="Verdana" w:cs="Times New Roman"/>
          <w:sz w:val="20"/>
          <w:szCs w:val="20"/>
        </w:rPr>
        <w:t xml:space="preserve"> В чл. </w:t>
      </w:r>
      <w:r w:rsidR="006E04E9">
        <w:rPr>
          <w:rFonts w:ascii="Verdana" w:hAnsi="Verdana" w:cs="Times New Roman"/>
          <w:sz w:val="20"/>
          <w:szCs w:val="20"/>
        </w:rPr>
        <w:t>64</w:t>
      </w:r>
      <w:r w:rsidR="00C82F08">
        <w:rPr>
          <w:rFonts w:ascii="Verdana" w:hAnsi="Verdana" w:cs="Times New Roman"/>
          <w:sz w:val="20"/>
          <w:szCs w:val="20"/>
        </w:rPr>
        <w:t xml:space="preserve"> се правят следните допълнения</w:t>
      </w:r>
      <w:r w:rsidR="0078477A">
        <w:rPr>
          <w:rFonts w:ascii="Verdana" w:hAnsi="Verdana" w:cs="Times New Roman"/>
          <w:sz w:val="20"/>
          <w:szCs w:val="20"/>
        </w:rPr>
        <w:t>:</w:t>
      </w:r>
    </w:p>
    <w:p w14:paraId="326F9AF8" w14:textId="0A5FFE37" w:rsidR="0078477A" w:rsidRPr="008C25E0" w:rsidRDefault="008C25E0" w:rsidP="008C25E0">
      <w:pPr>
        <w:spacing w:after="0" w:line="360" w:lineRule="auto"/>
        <w:ind w:firstLine="709"/>
        <w:jc w:val="both"/>
        <w:rPr>
          <w:rFonts w:ascii="Verdana" w:hAnsi="Verdana" w:cs="Times New Roman"/>
          <w:sz w:val="20"/>
          <w:szCs w:val="20"/>
        </w:rPr>
      </w:pPr>
      <w:r w:rsidRPr="008C25E0">
        <w:rPr>
          <w:rFonts w:ascii="Verdana" w:hAnsi="Verdana" w:cs="Times New Roman"/>
          <w:sz w:val="20"/>
          <w:szCs w:val="20"/>
        </w:rPr>
        <w:t xml:space="preserve">1. </w:t>
      </w:r>
      <w:r w:rsidR="0078477A" w:rsidRPr="008C25E0">
        <w:rPr>
          <w:rFonts w:ascii="Verdana" w:hAnsi="Verdana" w:cs="Times New Roman"/>
          <w:sz w:val="20"/>
          <w:szCs w:val="20"/>
        </w:rPr>
        <w:t>В ал. 1 в основния текст след думите „чл. 108, ал. 1, т.4 се добавя „и 5“;</w:t>
      </w:r>
    </w:p>
    <w:p w14:paraId="10ED28D9" w14:textId="3C74E037" w:rsidR="0078477A" w:rsidRPr="008C25E0" w:rsidRDefault="008C25E0" w:rsidP="008C25E0">
      <w:pPr>
        <w:spacing w:after="0" w:line="360" w:lineRule="auto"/>
        <w:ind w:firstLine="709"/>
        <w:jc w:val="both"/>
        <w:rPr>
          <w:rFonts w:ascii="Verdana" w:hAnsi="Verdana" w:cs="Times New Roman"/>
          <w:sz w:val="20"/>
          <w:szCs w:val="20"/>
        </w:rPr>
      </w:pPr>
      <w:r w:rsidRPr="008C25E0">
        <w:rPr>
          <w:rFonts w:ascii="Verdana" w:hAnsi="Verdana" w:cs="Times New Roman"/>
          <w:sz w:val="20"/>
          <w:szCs w:val="20"/>
        </w:rPr>
        <w:t xml:space="preserve">2. </w:t>
      </w:r>
      <w:r w:rsidR="0078477A" w:rsidRPr="008C25E0">
        <w:rPr>
          <w:rFonts w:ascii="Verdana" w:hAnsi="Verdana" w:cs="Times New Roman"/>
          <w:sz w:val="20"/>
          <w:szCs w:val="20"/>
        </w:rPr>
        <w:t>В ал. 2 след думите „чл. 108, ал. 1, т.</w:t>
      </w:r>
      <w:r w:rsidR="002A7426">
        <w:rPr>
          <w:rFonts w:ascii="Verdana" w:hAnsi="Verdana" w:cs="Times New Roman"/>
          <w:sz w:val="20"/>
          <w:szCs w:val="20"/>
        </w:rPr>
        <w:t xml:space="preserve"> </w:t>
      </w:r>
      <w:r w:rsidR="0078477A" w:rsidRPr="008C25E0">
        <w:rPr>
          <w:rFonts w:ascii="Verdana" w:hAnsi="Verdana" w:cs="Times New Roman"/>
          <w:sz w:val="20"/>
          <w:szCs w:val="20"/>
        </w:rPr>
        <w:t>4 се добавя „и 5“.</w:t>
      </w:r>
    </w:p>
    <w:p w14:paraId="60189F23" w14:textId="77777777" w:rsidR="00C146C4" w:rsidRPr="00113304" w:rsidRDefault="00C146C4" w:rsidP="00113304">
      <w:pPr>
        <w:spacing w:after="0" w:line="360" w:lineRule="auto"/>
        <w:ind w:firstLine="709"/>
        <w:jc w:val="both"/>
        <w:rPr>
          <w:rFonts w:ascii="Verdana" w:hAnsi="Verdana" w:cs="Times New Roman"/>
          <w:sz w:val="20"/>
          <w:szCs w:val="20"/>
        </w:rPr>
      </w:pPr>
    </w:p>
    <w:p w14:paraId="490D0ACF" w14:textId="4C31A1F1" w:rsidR="00FB4215" w:rsidRDefault="00C146C4" w:rsidP="002A7426">
      <w:pPr>
        <w:spacing w:after="0" w:line="360" w:lineRule="auto"/>
        <w:jc w:val="center"/>
        <w:rPr>
          <w:rFonts w:ascii="Verdana" w:hAnsi="Verdana" w:cs="Times New Roman"/>
          <w:b/>
          <w:sz w:val="20"/>
          <w:szCs w:val="20"/>
        </w:rPr>
      </w:pPr>
      <w:r w:rsidRPr="00C146C4">
        <w:rPr>
          <w:rFonts w:ascii="Verdana" w:hAnsi="Verdana" w:cs="Times New Roman"/>
          <w:b/>
          <w:sz w:val="20"/>
          <w:szCs w:val="20"/>
        </w:rPr>
        <w:t>Заключителна разпоредба</w:t>
      </w:r>
    </w:p>
    <w:p w14:paraId="2FB57A11" w14:textId="77777777" w:rsidR="00C146C4" w:rsidRPr="00113304" w:rsidRDefault="00C146C4" w:rsidP="00113304">
      <w:pPr>
        <w:spacing w:after="0" w:line="360" w:lineRule="auto"/>
        <w:ind w:firstLine="709"/>
        <w:jc w:val="both"/>
        <w:rPr>
          <w:rFonts w:ascii="Verdana" w:hAnsi="Verdana" w:cs="Times New Roman"/>
          <w:sz w:val="20"/>
          <w:szCs w:val="20"/>
        </w:rPr>
      </w:pPr>
    </w:p>
    <w:p w14:paraId="14BCBD43" w14:textId="75E181AB" w:rsidR="00B95FD4" w:rsidRDefault="00447F2E" w:rsidP="00113304">
      <w:pPr>
        <w:spacing w:after="0" w:line="360" w:lineRule="auto"/>
        <w:ind w:firstLine="709"/>
        <w:jc w:val="both"/>
        <w:rPr>
          <w:rFonts w:ascii="Verdana" w:hAnsi="Verdana" w:cs="Times New Roman"/>
          <w:sz w:val="20"/>
          <w:szCs w:val="20"/>
        </w:rPr>
      </w:pPr>
      <w:r w:rsidRPr="00C146C4">
        <w:rPr>
          <w:rFonts w:ascii="Verdana" w:hAnsi="Verdana" w:cs="Times New Roman"/>
          <w:b/>
          <w:sz w:val="20"/>
          <w:szCs w:val="20"/>
        </w:rPr>
        <w:t xml:space="preserve">§ </w:t>
      </w:r>
      <w:r w:rsidR="00190C47" w:rsidRPr="00C146C4">
        <w:rPr>
          <w:rFonts w:ascii="Verdana" w:hAnsi="Verdana" w:cs="Times New Roman"/>
          <w:b/>
          <w:sz w:val="20"/>
          <w:szCs w:val="20"/>
          <w:lang w:val="en-US"/>
        </w:rPr>
        <w:t>8</w:t>
      </w:r>
      <w:r w:rsidR="009A7A7C" w:rsidRPr="00C146C4">
        <w:rPr>
          <w:rFonts w:ascii="Verdana" w:hAnsi="Verdana" w:cs="Times New Roman"/>
          <w:b/>
          <w:sz w:val="20"/>
          <w:szCs w:val="20"/>
        </w:rPr>
        <w:t>.</w:t>
      </w:r>
      <w:r w:rsidR="009A7A7C" w:rsidRPr="009A7A7C">
        <w:rPr>
          <w:rFonts w:ascii="Verdana" w:hAnsi="Verdana" w:cs="Times New Roman"/>
          <w:sz w:val="20"/>
          <w:szCs w:val="20"/>
          <w:lang w:val="en-US"/>
        </w:rPr>
        <w:t xml:space="preserve"> </w:t>
      </w:r>
      <w:r w:rsidR="00906AFF" w:rsidRPr="00906AFF">
        <w:rPr>
          <w:rFonts w:ascii="Verdana" w:hAnsi="Verdana" w:cs="Times New Roman"/>
          <w:sz w:val="20"/>
          <w:szCs w:val="20"/>
        </w:rPr>
        <w:t xml:space="preserve">Наредбата влиза в сила от деня на обнародването </w:t>
      </w:r>
      <w:r w:rsidR="00113304">
        <w:rPr>
          <w:rFonts w:ascii="Verdana" w:eastAsia="Times New Roman" w:hAnsi="Verdana" w:cs="Times New Roman"/>
          <w:sz w:val="20"/>
          <w:szCs w:val="20"/>
        </w:rPr>
        <w:t>ѝ</w:t>
      </w:r>
      <w:r w:rsidR="00113304">
        <w:rPr>
          <w:rFonts w:ascii="Verdana" w:hAnsi="Verdana" w:cs="Times New Roman"/>
          <w:sz w:val="20"/>
          <w:szCs w:val="20"/>
        </w:rPr>
        <w:t xml:space="preserve"> в „Държавен вестник“</w:t>
      </w:r>
      <w:r w:rsidR="00906AFF">
        <w:rPr>
          <w:rFonts w:ascii="Verdana" w:hAnsi="Verdana" w:cs="Times New Roman"/>
          <w:sz w:val="20"/>
          <w:szCs w:val="20"/>
        </w:rPr>
        <w:t>.</w:t>
      </w:r>
    </w:p>
    <w:p w14:paraId="49C551E4" w14:textId="726F7016" w:rsidR="00360E92" w:rsidRPr="00113304" w:rsidRDefault="00360E92" w:rsidP="00283544">
      <w:pPr>
        <w:spacing w:after="0" w:line="360" w:lineRule="auto"/>
        <w:outlineLvl w:val="0"/>
        <w:rPr>
          <w:rFonts w:ascii="Verdana" w:eastAsia="MS Mincho" w:hAnsi="Verdana"/>
          <w:bCs/>
          <w:caps/>
          <w:sz w:val="20"/>
          <w:szCs w:val="20"/>
        </w:rPr>
      </w:pPr>
    </w:p>
    <w:p w14:paraId="382BEF9B" w14:textId="560B1BAD" w:rsidR="00113304" w:rsidRPr="00113304" w:rsidRDefault="00113304" w:rsidP="00113304">
      <w:pPr>
        <w:spacing w:after="0" w:line="360" w:lineRule="auto"/>
        <w:outlineLvl w:val="0"/>
        <w:rPr>
          <w:rFonts w:ascii="Verdana" w:eastAsia="MS Mincho" w:hAnsi="Verdana"/>
          <w:bCs/>
          <w:caps/>
          <w:sz w:val="20"/>
          <w:szCs w:val="20"/>
        </w:rPr>
      </w:pPr>
    </w:p>
    <w:p w14:paraId="0331916B" w14:textId="441F4039" w:rsidR="00113304" w:rsidRPr="00113304" w:rsidRDefault="009876B4" w:rsidP="00113304">
      <w:pPr>
        <w:spacing w:after="0" w:line="360" w:lineRule="auto"/>
        <w:outlineLvl w:val="0"/>
        <w:rPr>
          <w:rFonts w:ascii="Verdana" w:eastAsia="MS Mincho" w:hAnsi="Verdana"/>
          <w:bCs/>
          <w:caps/>
          <w:sz w:val="20"/>
          <w:szCs w:val="20"/>
        </w:rPr>
      </w:pPr>
      <w:r>
        <w:rPr>
          <w:rFonts w:ascii="Times New Roman" w:eastAsia="Times New Roman" w:hAnsi="Times New Roman" w:cs="Times New Roman"/>
          <w:bCs/>
          <w:caps/>
          <w:sz w:val="24"/>
          <w:szCs w:val="24"/>
        </w:rPr>
        <w:pict w14:anchorId="41ADD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9pt;height:97.25pt">
            <v:imagedata r:id="rId9" o:title=""/>
            <o:lock v:ext="edit" ungrouping="t" rotation="t" cropping="t" verticies="t" text="t" grouping="t"/>
            <o:signatureline v:ext="edit" id="{F89499D0-BD0F-4A9B-A203-67DE596C510B}" provid="{00000000-0000-0000-0000-000000000000}" o:suggestedsigner="Д-Р ГЕОРГИ ТАХОВ" o:suggestedsigner2="Министър" issignatureline="t"/>
          </v:shape>
        </w:pict>
      </w:r>
    </w:p>
    <w:sectPr w:rsidR="00113304" w:rsidRPr="00113304" w:rsidSect="008C25E0">
      <w:footerReference w:type="default" r:id="rId10"/>
      <w:headerReference w:type="first" r:id="rId11"/>
      <w:pgSz w:w="11906" w:h="16838" w:code="9"/>
      <w:pgMar w:top="1134"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3612D" w14:textId="77777777" w:rsidR="0034119C" w:rsidRDefault="0034119C" w:rsidP="00572F03">
      <w:pPr>
        <w:spacing w:after="0" w:line="240" w:lineRule="auto"/>
      </w:pPr>
      <w:r>
        <w:separator/>
      </w:r>
    </w:p>
  </w:endnote>
  <w:endnote w:type="continuationSeparator" w:id="0">
    <w:p w14:paraId="12FEF952" w14:textId="77777777" w:rsidR="0034119C" w:rsidRDefault="0034119C" w:rsidP="0057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948838"/>
      <w:docPartObj>
        <w:docPartGallery w:val="Page Numbers (Bottom of Page)"/>
        <w:docPartUnique/>
      </w:docPartObj>
    </w:sdtPr>
    <w:sdtEndPr>
      <w:rPr>
        <w:noProof/>
      </w:rPr>
    </w:sdtEndPr>
    <w:sdtContent>
      <w:p w14:paraId="2522DB8D" w14:textId="51719480" w:rsidR="00492211" w:rsidRDefault="00492211" w:rsidP="00572F03">
        <w:pPr>
          <w:pStyle w:val="Footer"/>
          <w:jc w:val="right"/>
        </w:pPr>
        <w:r w:rsidRPr="00572F03">
          <w:rPr>
            <w:rFonts w:ascii="Verdana" w:hAnsi="Verdana"/>
            <w:sz w:val="16"/>
            <w:szCs w:val="16"/>
          </w:rPr>
          <w:fldChar w:fldCharType="begin"/>
        </w:r>
        <w:r w:rsidRPr="00572F03">
          <w:rPr>
            <w:rFonts w:ascii="Verdana" w:hAnsi="Verdana"/>
            <w:sz w:val="16"/>
            <w:szCs w:val="16"/>
          </w:rPr>
          <w:instrText xml:space="preserve"> PAGE   \* MERGEFORMAT </w:instrText>
        </w:r>
        <w:r w:rsidRPr="00572F03">
          <w:rPr>
            <w:rFonts w:ascii="Verdana" w:hAnsi="Verdana"/>
            <w:sz w:val="16"/>
            <w:szCs w:val="16"/>
          </w:rPr>
          <w:fldChar w:fldCharType="separate"/>
        </w:r>
        <w:r w:rsidR="009876B4">
          <w:rPr>
            <w:rFonts w:ascii="Verdana" w:hAnsi="Verdana"/>
            <w:noProof/>
            <w:sz w:val="16"/>
            <w:szCs w:val="16"/>
          </w:rPr>
          <w:t>3</w:t>
        </w:r>
        <w:r w:rsidRPr="00572F03">
          <w:rPr>
            <w:rFonts w:ascii="Verdana" w:hAnsi="Verdana"/>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2C2DD" w14:textId="77777777" w:rsidR="0034119C" w:rsidRDefault="0034119C" w:rsidP="00572F03">
      <w:pPr>
        <w:spacing w:after="0" w:line="240" w:lineRule="auto"/>
      </w:pPr>
      <w:r>
        <w:separator/>
      </w:r>
    </w:p>
  </w:footnote>
  <w:footnote w:type="continuationSeparator" w:id="0">
    <w:p w14:paraId="2C344051" w14:textId="77777777" w:rsidR="0034119C" w:rsidRDefault="0034119C" w:rsidP="00572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062D7" w14:textId="0B8F90EA" w:rsidR="005715C4" w:rsidRPr="005670D9" w:rsidRDefault="005715C4" w:rsidP="005715C4">
    <w:pPr>
      <w:tabs>
        <w:tab w:val="center" w:pos="4153"/>
        <w:tab w:val="right" w:pos="8306"/>
      </w:tabs>
      <w:overflowPunct w:val="0"/>
      <w:autoSpaceDE w:val="0"/>
      <w:autoSpaceDN w:val="0"/>
      <w:adjustRightInd w:val="0"/>
      <w:spacing w:after="0" w:line="240" w:lineRule="auto"/>
      <w:jc w:val="right"/>
      <w:textAlignment w:val="baseline"/>
      <w:rPr>
        <w:rFonts w:ascii="Verdana" w:eastAsia="Times New Roman" w:hAnsi="Verdana" w:cs="Times New Roman"/>
        <w:sz w:val="16"/>
        <w:szCs w:val="16"/>
        <w:lang w:eastAsia="bg-BG"/>
      </w:rPr>
    </w:pPr>
    <w:r w:rsidRPr="005670D9">
      <w:rPr>
        <w:rFonts w:ascii="Verdana" w:eastAsia="Times New Roman" w:hAnsi="Verdana" w:cs="Times New Roman"/>
        <w:sz w:val="16"/>
        <w:szCs w:val="16"/>
        <w:lang w:eastAsia="bg-BG"/>
      </w:rPr>
      <w:t>Класификация на информацията:</w:t>
    </w:r>
  </w:p>
  <w:p w14:paraId="12CC9CD0" w14:textId="18405DCE" w:rsidR="005715C4" w:rsidRPr="005670D9" w:rsidRDefault="005715C4" w:rsidP="005715C4">
    <w:pPr>
      <w:tabs>
        <w:tab w:val="center" w:pos="4153"/>
        <w:tab w:val="right" w:pos="8306"/>
      </w:tabs>
      <w:overflowPunct w:val="0"/>
      <w:autoSpaceDE w:val="0"/>
      <w:autoSpaceDN w:val="0"/>
      <w:adjustRightInd w:val="0"/>
      <w:spacing w:after="0" w:line="240" w:lineRule="auto"/>
      <w:jc w:val="right"/>
      <w:textAlignment w:val="baseline"/>
      <w:rPr>
        <w:rFonts w:ascii="Verdana" w:eastAsia="Times New Roman" w:hAnsi="Verdana" w:cs="Times New Roman"/>
        <w:bCs/>
        <w:sz w:val="16"/>
        <w:szCs w:val="16"/>
        <w:lang w:val="en-US" w:eastAsia="bg-BG"/>
      </w:rPr>
    </w:pPr>
    <w:r w:rsidRPr="005670D9">
      <w:rPr>
        <w:rFonts w:ascii="Verdana" w:eastAsia="Times New Roman" w:hAnsi="Verdana" w:cs="Times New Roman"/>
        <w:bCs/>
        <w:sz w:val="16"/>
        <w:szCs w:val="16"/>
        <w:lang w:eastAsia="bg-BG"/>
      </w:rPr>
      <w:t>Ниво 0, TLP-</w:t>
    </w:r>
    <w:r w:rsidRPr="005670D9">
      <w:rPr>
        <w:rFonts w:ascii="Verdana" w:eastAsia="Times New Roman" w:hAnsi="Verdana" w:cs="Times New Roman"/>
        <w:bCs/>
        <w:sz w:val="16"/>
        <w:szCs w:val="16"/>
        <w:lang w:val="en-US" w:eastAsia="bg-BG"/>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2ED6"/>
    <w:multiLevelType w:val="multilevel"/>
    <w:tmpl w:val="AA36569E"/>
    <w:lvl w:ilvl="0">
      <w:start w:val="1"/>
      <w:numFmt w:val="decimal"/>
      <w:suff w:val="space"/>
      <w:lvlText w:val="%1."/>
      <w:lvlJc w:val="left"/>
      <w:pPr>
        <w:ind w:left="177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0B5AD3"/>
    <w:multiLevelType w:val="multilevel"/>
    <w:tmpl w:val="A84AB340"/>
    <w:lvl w:ilvl="0">
      <w:start w:val="1"/>
      <w:numFmt w:val="decimal"/>
      <w:suff w:val="space"/>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 w15:restartNumberingAfterBreak="0">
    <w:nsid w:val="174D1D91"/>
    <w:multiLevelType w:val="hybridMultilevel"/>
    <w:tmpl w:val="6284C81A"/>
    <w:lvl w:ilvl="0" w:tplc="08620C78">
      <w:start w:val="1"/>
      <w:numFmt w:val="decimal"/>
      <w:lvlText w:val="%1."/>
      <w:lvlJc w:val="left"/>
      <w:pPr>
        <w:ind w:left="1080" w:hanging="360"/>
      </w:pPr>
      <w:rPr>
        <w:rFonts w:hint="default"/>
        <w:color w:val="auto"/>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1963295B"/>
    <w:multiLevelType w:val="multilevel"/>
    <w:tmpl w:val="7004E9E4"/>
    <w:lvl w:ilvl="0">
      <w:start w:val="1"/>
      <w:numFmt w:val="decimal"/>
      <w:suff w:val="space"/>
      <w:lvlText w:val="%1."/>
      <w:lvlJc w:val="right"/>
      <w:pPr>
        <w:ind w:left="0" w:firstLine="9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A9A3011"/>
    <w:multiLevelType w:val="hybridMultilevel"/>
    <w:tmpl w:val="6B062668"/>
    <w:lvl w:ilvl="0" w:tplc="E166C77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2C200CDF"/>
    <w:multiLevelType w:val="multilevel"/>
    <w:tmpl w:val="9FB8EA96"/>
    <w:lvl w:ilvl="0">
      <w:start w:val="1"/>
      <w:numFmt w:val="decimal"/>
      <w:suff w:val="space"/>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6" w15:restartNumberingAfterBreak="0">
    <w:nsid w:val="305F6CC2"/>
    <w:multiLevelType w:val="multilevel"/>
    <w:tmpl w:val="0F04537A"/>
    <w:lvl w:ilvl="0">
      <w:start w:val="1"/>
      <w:numFmt w:val="decimal"/>
      <w:suff w:val="space"/>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7" w15:restartNumberingAfterBreak="0">
    <w:nsid w:val="392C1AD0"/>
    <w:multiLevelType w:val="hybridMultilevel"/>
    <w:tmpl w:val="B8AC5102"/>
    <w:lvl w:ilvl="0" w:tplc="3A2AE8D4">
      <w:start w:val="1"/>
      <w:numFmt w:val="decimal"/>
      <w:lvlText w:val="(%1)"/>
      <w:lvlJc w:val="left"/>
      <w:pPr>
        <w:ind w:left="1084" w:hanging="375"/>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C317484"/>
    <w:multiLevelType w:val="hybridMultilevel"/>
    <w:tmpl w:val="67FE12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F00229D"/>
    <w:multiLevelType w:val="hybridMultilevel"/>
    <w:tmpl w:val="921CE5CC"/>
    <w:lvl w:ilvl="0" w:tplc="112E6CF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40A66F6F"/>
    <w:multiLevelType w:val="hybridMultilevel"/>
    <w:tmpl w:val="A6742862"/>
    <w:lvl w:ilvl="0" w:tplc="9B54801E">
      <w:start w:val="1"/>
      <w:numFmt w:val="decimal"/>
      <w:lvlText w:val="%1."/>
      <w:lvlJc w:val="left"/>
      <w:pPr>
        <w:ind w:left="1069" w:hanging="360"/>
      </w:pPr>
      <w:rPr>
        <w:rFonts w:hint="default"/>
        <w:strike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1" w15:restartNumberingAfterBreak="0">
    <w:nsid w:val="415F2E0B"/>
    <w:multiLevelType w:val="hybridMultilevel"/>
    <w:tmpl w:val="F3943C62"/>
    <w:lvl w:ilvl="0" w:tplc="E3CE1016">
      <w:start w:val="1"/>
      <w:numFmt w:val="decimal"/>
      <w:lvlText w:val="%1."/>
      <w:lvlJc w:val="left"/>
      <w:pPr>
        <w:ind w:left="840" w:hanging="360"/>
      </w:pPr>
      <w:rPr>
        <w:rFonts w:hint="default"/>
        <w:color w:val="000000" w:themeColor="text1"/>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43567ACD"/>
    <w:multiLevelType w:val="multilevel"/>
    <w:tmpl w:val="F12CA384"/>
    <w:lvl w:ilvl="0">
      <w:start w:val="1"/>
      <w:numFmt w:val="decimal"/>
      <w:suff w:val="space"/>
      <w:lvlText w:val="%1."/>
      <w:lvlJc w:val="right"/>
      <w:pPr>
        <w:ind w:left="0" w:firstLine="907"/>
      </w:pPr>
      <w:rPr>
        <w:rFonts w:hint="default"/>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13" w15:restartNumberingAfterBreak="0">
    <w:nsid w:val="4B217ED2"/>
    <w:multiLevelType w:val="multilevel"/>
    <w:tmpl w:val="0D549BE2"/>
    <w:lvl w:ilvl="0">
      <w:start w:val="1"/>
      <w:numFmt w:val="decimal"/>
      <w:suff w:val="space"/>
      <w:lvlText w:val="%1."/>
      <w:lvlJc w:val="right"/>
      <w:pPr>
        <w:ind w:left="0" w:firstLine="907"/>
      </w:pPr>
      <w:rPr>
        <w:rFonts w:hint="default"/>
      </w:rPr>
    </w:lvl>
    <w:lvl w:ilvl="1">
      <w:start w:val="1"/>
      <w:numFmt w:val="lowerLetter"/>
      <w:lvlText w:val="%2."/>
      <w:lvlJc w:val="left"/>
      <w:pPr>
        <w:ind w:left="1785" w:hanging="360"/>
      </w:pPr>
      <w:rPr>
        <w:rFonts w:hint="default"/>
      </w:rPr>
    </w:lvl>
    <w:lvl w:ilvl="2">
      <w:start w:val="1"/>
      <w:numFmt w:val="lowerRoman"/>
      <w:suff w:val="space"/>
      <w:lvlText w:val="%3."/>
      <w:lvlJc w:val="right"/>
      <w:pPr>
        <w:ind w:left="0" w:firstLine="907"/>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14" w15:restartNumberingAfterBreak="0">
    <w:nsid w:val="4BD8706F"/>
    <w:multiLevelType w:val="hybridMultilevel"/>
    <w:tmpl w:val="00A039FA"/>
    <w:lvl w:ilvl="0" w:tplc="CDE68C0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15:restartNumberingAfterBreak="0">
    <w:nsid w:val="50A91DC5"/>
    <w:multiLevelType w:val="multilevel"/>
    <w:tmpl w:val="9B8A8630"/>
    <w:lvl w:ilvl="0">
      <w:start w:val="1"/>
      <w:numFmt w:val="decimal"/>
      <w:suff w:val="space"/>
      <w:lvlText w:val="%1."/>
      <w:lvlJc w:val="left"/>
      <w:pPr>
        <w:ind w:left="1080" w:hanging="360"/>
      </w:pPr>
      <w:rPr>
        <w:rFonts w:cs="Times New Roman" w:hint="default"/>
        <w:b w:val="0"/>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A5C394A"/>
    <w:multiLevelType w:val="hybridMultilevel"/>
    <w:tmpl w:val="55003B72"/>
    <w:lvl w:ilvl="0" w:tplc="0FA2F4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C0F66E8"/>
    <w:multiLevelType w:val="hybridMultilevel"/>
    <w:tmpl w:val="3418F4BC"/>
    <w:lvl w:ilvl="0" w:tplc="0402000F">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15:restartNumberingAfterBreak="0">
    <w:nsid w:val="64820D6C"/>
    <w:multiLevelType w:val="hybridMultilevel"/>
    <w:tmpl w:val="5A4A3DEE"/>
    <w:lvl w:ilvl="0" w:tplc="756876E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68D04840"/>
    <w:multiLevelType w:val="hybridMultilevel"/>
    <w:tmpl w:val="4EE40F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6F5A1BA9"/>
    <w:multiLevelType w:val="hybridMultilevel"/>
    <w:tmpl w:val="FC9CA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B468C"/>
    <w:multiLevelType w:val="multilevel"/>
    <w:tmpl w:val="B6AECF5A"/>
    <w:lvl w:ilvl="0">
      <w:start w:val="1"/>
      <w:numFmt w:val="decimal"/>
      <w:suff w:val="space"/>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abstractNumId w:val="2"/>
  </w:num>
  <w:num w:numId="2">
    <w:abstractNumId w:val="10"/>
  </w:num>
  <w:num w:numId="3">
    <w:abstractNumId w:val="8"/>
  </w:num>
  <w:num w:numId="4">
    <w:abstractNumId w:val="0"/>
  </w:num>
  <w:num w:numId="5">
    <w:abstractNumId w:val="19"/>
  </w:num>
  <w:num w:numId="6">
    <w:abstractNumId w:val="17"/>
  </w:num>
  <w:num w:numId="7">
    <w:abstractNumId w:val="20"/>
  </w:num>
  <w:num w:numId="8">
    <w:abstractNumId w:val="11"/>
  </w:num>
  <w:num w:numId="9">
    <w:abstractNumId w:val="12"/>
  </w:num>
  <w:num w:numId="10">
    <w:abstractNumId w:val="9"/>
  </w:num>
  <w:num w:numId="11">
    <w:abstractNumId w:val="3"/>
  </w:num>
  <w:num w:numId="12">
    <w:abstractNumId w:val="7"/>
  </w:num>
  <w:num w:numId="13">
    <w:abstractNumId w:val="4"/>
  </w:num>
  <w:num w:numId="14">
    <w:abstractNumId w:val="14"/>
  </w:num>
  <w:num w:numId="15">
    <w:abstractNumId w:val="13"/>
  </w:num>
  <w:num w:numId="16">
    <w:abstractNumId w:val="21"/>
  </w:num>
  <w:num w:numId="17">
    <w:abstractNumId w:val="18"/>
  </w:num>
  <w:num w:numId="18">
    <w:abstractNumId w:val="6"/>
  </w:num>
  <w:num w:numId="19">
    <w:abstractNumId w:val="1"/>
  </w:num>
  <w:num w:numId="20">
    <w:abstractNumId w:val="5"/>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1E"/>
    <w:rsid w:val="000006BA"/>
    <w:rsid w:val="00006A60"/>
    <w:rsid w:val="000153EC"/>
    <w:rsid w:val="00025EC7"/>
    <w:rsid w:val="00035BB9"/>
    <w:rsid w:val="00040307"/>
    <w:rsid w:val="00040572"/>
    <w:rsid w:val="00042400"/>
    <w:rsid w:val="000465CF"/>
    <w:rsid w:val="00051345"/>
    <w:rsid w:val="00053170"/>
    <w:rsid w:val="000537F5"/>
    <w:rsid w:val="0005463E"/>
    <w:rsid w:val="00060869"/>
    <w:rsid w:val="00067E34"/>
    <w:rsid w:val="0007393A"/>
    <w:rsid w:val="000820F4"/>
    <w:rsid w:val="00085E48"/>
    <w:rsid w:val="00091105"/>
    <w:rsid w:val="00092DC2"/>
    <w:rsid w:val="000A0556"/>
    <w:rsid w:val="000A0606"/>
    <w:rsid w:val="000A3006"/>
    <w:rsid w:val="000A3D52"/>
    <w:rsid w:val="000A7E1E"/>
    <w:rsid w:val="000B0187"/>
    <w:rsid w:val="000B155E"/>
    <w:rsid w:val="000B2798"/>
    <w:rsid w:val="000B3D71"/>
    <w:rsid w:val="000B3DFF"/>
    <w:rsid w:val="000C049B"/>
    <w:rsid w:val="000C1769"/>
    <w:rsid w:val="000C69E5"/>
    <w:rsid w:val="000D20FB"/>
    <w:rsid w:val="000D2ECC"/>
    <w:rsid w:val="000D41A8"/>
    <w:rsid w:val="000D459F"/>
    <w:rsid w:val="000D7B26"/>
    <w:rsid w:val="000E276D"/>
    <w:rsid w:val="000E44D6"/>
    <w:rsid w:val="000E4DEB"/>
    <w:rsid w:val="000F30D3"/>
    <w:rsid w:val="000F4AB5"/>
    <w:rsid w:val="000F4C7E"/>
    <w:rsid w:val="000F529E"/>
    <w:rsid w:val="0010120C"/>
    <w:rsid w:val="00106118"/>
    <w:rsid w:val="00107EB4"/>
    <w:rsid w:val="00113304"/>
    <w:rsid w:val="00121028"/>
    <w:rsid w:val="00126704"/>
    <w:rsid w:val="00137E44"/>
    <w:rsid w:val="001401D1"/>
    <w:rsid w:val="00144DA7"/>
    <w:rsid w:val="001453EF"/>
    <w:rsid w:val="00147522"/>
    <w:rsid w:val="00152A30"/>
    <w:rsid w:val="0016529D"/>
    <w:rsid w:val="001710F3"/>
    <w:rsid w:val="0017242C"/>
    <w:rsid w:val="00172798"/>
    <w:rsid w:val="001907C5"/>
    <w:rsid w:val="00190C47"/>
    <w:rsid w:val="00190F01"/>
    <w:rsid w:val="00190F29"/>
    <w:rsid w:val="00193B77"/>
    <w:rsid w:val="001965E9"/>
    <w:rsid w:val="00196F98"/>
    <w:rsid w:val="001A1487"/>
    <w:rsid w:val="001A1A31"/>
    <w:rsid w:val="001A3CA2"/>
    <w:rsid w:val="001A4EAC"/>
    <w:rsid w:val="001A7E0D"/>
    <w:rsid w:val="001B1DC7"/>
    <w:rsid w:val="001B4AED"/>
    <w:rsid w:val="001B617D"/>
    <w:rsid w:val="001C38F2"/>
    <w:rsid w:val="001C512B"/>
    <w:rsid w:val="001D10E5"/>
    <w:rsid w:val="001D38F2"/>
    <w:rsid w:val="001E099D"/>
    <w:rsid w:val="001E2AE9"/>
    <w:rsid w:val="001E5020"/>
    <w:rsid w:val="001E5CA2"/>
    <w:rsid w:val="001F25CE"/>
    <w:rsid w:val="001F377F"/>
    <w:rsid w:val="00203892"/>
    <w:rsid w:val="00204564"/>
    <w:rsid w:val="00207BE9"/>
    <w:rsid w:val="002115CC"/>
    <w:rsid w:val="00217E87"/>
    <w:rsid w:val="00225F79"/>
    <w:rsid w:val="00226C9B"/>
    <w:rsid w:val="002279B9"/>
    <w:rsid w:val="002279EA"/>
    <w:rsid w:val="00231A67"/>
    <w:rsid w:val="002525F3"/>
    <w:rsid w:val="00260A9B"/>
    <w:rsid w:val="002629B4"/>
    <w:rsid w:val="00264D2C"/>
    <w:rsid w:val="00272264"/>
    <w:rsid w:val="00273BC1"/>
    <w:rsid w:val="00283544"/>
    <w:rsid w:val="00285023"/>
    <w:rsid w:val="002A4D26"/>
    <w:rsid w:val="002A6602"/>
    <w:rsid w:val="002A7426"/>
    <w:rsid w:val="002B48AB"/>
    <w:rsid w:val="002B6CCB"/>
    <w:rsid w:val="002C2AE9"/>
    <w:rsid w:val="002C4720"/>
    <w:rsid w:val="002D06F4"/>
    <w:rsid w:val="002D2DFC"/>
    <w:rsid w:val="002D3921"/>
    <w:rsid w:val="002D3EDC"/>
    <w:rsid w:val="002D6244"/>
    <w:rsid w:val="002E6278"/>
    <w:rsid w:val="002E62B6"/>
    <w:rsid w:val="002E7BD1"/>
    <w:rsid w:val="002F0145"/>
    <w:rsid w:val="002F2546"/>
    <w:rsid w:val="002F5CA0"/>
    <w:rsid w:val="002F6B86"/>
    <w:rsid w:val="00315B00"/>
    <w:rsid w:val="00320833"/>
    <w:rsid w:val="00321CF7"/>
    <w:rsid w:val="00333B05"/>
    <w:rsid w:val="00334465"/>
    <w:rsid w:val="0034119C"/>
    <w:rsid w:val="003512CB"/>
    <w:rsid w:val="003525CB"/>
    <w:rsid w:val="003526F6"/>
    <w:rsid w:val="00355B31"/>
    <w:rsid w:val="00355F9F"/>
    <w:rsid w:val="0036091B"/>
    <w:rsid w:val="00360E92"/>
    <w:rsid w:val="00364C35"/>
    <w:rsid w:val="003730BB"/>
    <w:rsid w:val="0037374E"/>
    <w:rsid w:val="0037790A"/>
    <w:rsid w:val="00383B86"/>
    <w:rsid w:val="00383D26"/>
    <w:rsid w:val="003874F8"/>
    <w:rsid w:val="0038778F"/>
    <w:rsid w:val="00397A20"/>
    <w:rsid w:val="003A0B90"/>
    <w:rsid w:val="003A50D9"/>
    <w:rsid w:val="003A5479"/>
    <w:rsid w:val="003B10D8"/>
    <w:rsid w:val="003B4640"/>
    <w:rsid w:val="003B5267"/>
    <w:rsid w:val="003B6BCB"/>
    <w:rsid w:val="003C35C0"/>
    <w:rsid w:val="003C6E1F"/>
    <w:rsid w:val="003D18E0"/>
    <w:rsid w:val="003D5A3B"/>
    <w:rsid w:val="003E2DA4"/>
    <w:rsid w:val="003E36A1"/>
    <w:rsid w:val="003E7C3C"/>
    <w:rsid w:val="003F2416"/>
    <w:rsid w:val="003F44EB"/>
    <w:rsid w:val="003F503E"/>
    <w:rsid w:val="003F66EE"/>
    <w:rsid w:val="004014AD"/>
    <w:rsid w:val="00402BA6"/>
    <w:rsid w:val="00405AE7"/>
    <w:rsid w:val="00423807"/>
    <w:rsid w:val="00424FC7"/>
    <w:rsid w:val="0043199A"/>
    <w:rsid w:val="0043230F"/>
    <w:rsid w:val="00437D21"/>
    <w:rsid w:val="0044010F"/>
    <w:rsid w:val="0044060E"/>
    <w:rsid w:val="0044447D"/>
    <w:rsid w:val="00447F2E"/>
    <w:rsid w:val="00467CA0"/>
    <w:rsid w:val="0047541C"/>
    <w:rsid w:val="004918B5"/>
    <w:rsid w:val="00492211"/>
    <w:rsid w:val="00496945"/>
    <w:rsid w:val="004D11B2"/>
    <w:rsid w:val="004D27E7"/>
    <w:rsid w:val="004D51B3"/>
    <w:rsid w:val="004F558B"/>
    <w:rsid w:val="004F788B"/>
    <w:rsid w:val="00502605"/>
    <w:rsid w:val="00532997"/>
    <w:rsid w:val="00533E4B"/>
    <w:rsid w:val="005441C4"/>
    <w:rsid w:val="00550120"/>
    <w:rsid w:val="00551F14"/>
    <w:rsid w:val="0056408C"/>
    <w:rsid w:val="0056667F"/>
    <w:rsid w:val="005670D9"/>
    <w:rsid w:val="0057066A"/>
    <w:rsid w:val="005715C4"/>
    <w:rsid w:val="00572F03"/>
    <w:rsid w:val="00575B0E"/>
    <w:rsid w:val="0057668C"/>
    <w:rsid w:val="00592117"/>
    <w:rsid w:val="00597727"/>
    <w:rsid w:val="005A1116"/>
    <w:rsid w:val="005A2B3D"/>
    <w:rsid w:val="005A2EAA"/>
    <w:rsid w:val="005A44EE"/>
    <w:rsid w:val="005A607B"/>
    <w:rsid w:val="005A75BC"/>
    <w:rsid w:val="005B4CB9"/>
    <w:rsid w:val="005C3881"/>
    <w:rsid w:val="005C3ECF"/>
    <w:rsid w:val="005C7128"/>
    <w:rsid w:val="005C7C5D"/>
    <w:rsid w:val="005D2915"/>
    <w:rsid w:val="005D762A"/>
    <w:rsid w:val="005E0979"/>
    <w:rsid w:val="005F0BC9"/>
    <w:rsid w:val="005F2E6C"/>
    <w:rsid w:val="005F2E9C"/>
    <w:rsid w:val="005F4B53"/>
    <w:rsid w:val="005F5612"/>
    <w:rsid w:val="005F61F0"/>
    <w:rsid w:val="005F7DB4"/>
    <w:rsid w:val="00604F76"/>
    <w:rsid w:val="00612FD3"/>
    <w:rsid w:val="00641F79"/>
    <w:rsid w:val="006438AE"/>
    <w:rsid w:val="00647FDD"/>
    <w:rsid w:val="00666502"/>
    <w:rsid w:val="00670C16"/>
    <w:rsid w:val="00671477"/>
    <w:rsid w:val="0067648D"/>
    <w:rsid w:val="00680C5D"/>
    <w:rsid w:val="00682AC9"/>
    <w:rsid w:val="00697A47"/>
    <w:rsid w:val="006A06E7"/>
    <w:rsid w:val="006A424F"/>
    <w:rsid w:val="006A572D"/>
    <w:rsid w:val="006A62C1"/>
    <w:rsid w:val="006B155B"/>
    <w:rsid w:val="006B43DA"/>
    <w:rsid w:val="006B7A4F"/>
    <w:rsid w:val="006C3D2B"/>
    <w:rsid w:val="006D00AB"/>
    <w:rsid w:val="006D2A43"/>
    <w:rsid w:val="006D5FB5"/>
    <w:rsid w:val="006E04E9"/>
    <w:rsid w:val="006E54F7"/>
    <w:rsid w:val="006E7AD4"/>
    <w:rsid w:val="006F6151"/>
    <w:rsid w:val="006F671E"/>
    <w:rsid w:val="00703008"/>
    <w:rsid w:val="00706BB3"/>
    <w:rsid w:val="00712E33"/>
    <w:rsid w:val="0071412F"/>
    <w:rsid w:val="007204E0"/>
    <w:rsid w:val="00722307"/>
    <w:rsid w:val="00723888"/>
    <w:rsid w:val="00725EDA"/>
    <w:rsid w:val="00740FC6"/>
    <w:rsid w:val="0075366F"/>
    <w:rsid w:val="00755471"/>
    <w:rsid w:val="0076258D"/>
    <w:rsid w:val="00766EF1"/>
    <w:rsid w:val="00771AF3"/>
    <w:rsid w:val="00771C08"/>
    <w:rsid w:val="007753C0"/>
    <w:rsid w:val="007827A8"/>
    <w:rsid w:val="0078477A"/>
    <w:rsid w:val="00790DEA"/>
    <w:rsid w:val="0079380A"/>
    <w:rsid w:val="00794F43"/>
    <w:rsid w:val="0079631E"/>
    <w:rsid w:val="00796D07"/>
    <w:rsid w:val="007A62D4"/>
    <w:rsid w:val="007B5238"/>
    <w:rsid w:val="007B58B8"/>
    <w:rsid w:val="007C052C"/>
    <w:rsid w:val="007C37C2"/>
    <w:rsid w:val="007D08BD"/>
    <w:rsid w:val="007D2F68"/>
    <w:rsid w:val="007F1A9B"/>
    <w:rsid w:val="007F374A"/>
    <w:rsid w:val="007F5C49"/>
    <w:rsid w:val="00800395"/>
    <w:rsid w:val="008036D3"/>
    <w:rsid w:val="0080638F"/>
    <w:rsid w:val="008132AA"/>
    <w:rsid w:val="00826DD7"/>
    <w:rsid w:val="00831FF9"/>
    <w:rsid w:val="0083501E"/>
    <w:rsid w:val="008351B0"/>
    <w:rsid w:val="008351C1"/>
    <w:rsid w:val="00835E63"/>
    <w:rsid w:val="00842FAB"/>
    <w:rsid w:val="00843527"/>
    <w:rsid w:val="008442E8"/>
    <w:rsid w:val="008447F2"/>
    <w:rsid w:val="00852C3E"/>
    <w:rsid w:val="00855181"/>
    <w:rsid w:val="008553EA"/>
    <w:rsid w:val="008738C1"/>
    <w:rsid w:val="00875753"/>
    <w:rsid w:val="00880383"/>
    <w:rsid w:val="00885C24"/>
    <w:rsid w:val="008A2362"/>
    <w:rsid w:val="008A2637"/>
    <w:rsid w:val="008A3147"/>
    <w:rsid w:val="008A4CA4"/>
    <w:rsid w:val="008A7999"/>
    <w:rsid w:val="008B0BF3"/>
    <w:rsid w:val="008C25E0"/>
    <w:rsid w:val="008C2DB6"/>
    <w:rsid w:val="008C3D83"/>
    <w:rsid w:val="008C5825"/>
    <w:rsid w:val="008C725D"/>
    <w:rsid w:val="008D0ABD"/>
    <w:rsid w:val="008D3351"/>
    <w:rsid w:val="008D7986"/>
    <w:rsid w:val="008E47FD"/>
    <w:rsid w:val="008E5FB5"/>
    <w:rsid w:val="008E6FC1"/>
    <w:rsid w:val="008F1571"/>
    <w:rsid w:val="008F1C81"/>
    <w:rsid w:val="008F49BB"/>
    <w:rsid w:val="00906AFF"/>
    <w:rsid w:val="00910DC6"/>
    <w:rsid w:val="00927EA9"/>
    <w:rsid w:val="00936E8B"/>
    <w:rsid w:val="00937E0F"/>
    <w:rsid w:val="00942AD9"/>
    <w:rsid w:val="009437DD"/>
    <w:rsid w:val="00950973"/>
    <w:rsid w:val="00957204"/>
    <w:rsid w:val="00965404"/>
    <w:rsid w:val="00986DC9"/>
    <w:rsid w:val="009876B4"/>
    <w:rsid w:val="00990A65"/>
    <w:rsid w:val="00995EF9"/>
    <w:rsid w:val="0099623E"/>
    <w:rsid w:val="009A636A"/>
    <w:rsid w:val="009A7A7C"/>
    <w:rsid w:val="009B1546"/>
    <w:rsid w:val="009B19E9"/>
    <w:rsid w:val="009B236B"/>
    <w:rsid w:val="009C07C3"/>
    <w:rsid w:val="009C2ABA"/>
    <w:rsid w:val="009C425C"/>
    <w:rsid w:val="009C440A"/>
    <w:rsid w:val="009C4CB4"/>
    <w:rsid w:val="009C6B96"/>
    <w:rsid w:val="009D56DC"/>
    <w:rsid w:val="009F593C"/>
    <w:rsid w:val="009F5A58"/>
    <w:rsid w:val="009F6416"/>
    <w:rsid w:val="009F7F4D"/>
    <w:rsid w:val="00A00BC3"/>
    <w:rsid w:val="00A04AAA"/>
    <w:rsid w:val="00A13CB8"/>
    <w:rsid w:val="00A15B11"/>
    <w:rsid w:val="00A24915"/>
    <w:rsid w:val="00A32A98"/>
    <w:rsid w:val="00A341FA"/>
    <w:rsid w:val="00A40AD7"/>
    <w:rsid w:val="00A40B56"/>
    <w:rsid w:val="00A605EF"/>
    <w:rsid w:val="00A67908"/>
    <w:rsid w:val="00A75615"/>
    <w:rsid w:val="00A762B8"/>
    <w:rsid w:val="00A84AF8"/>
    <w:rsid w:val="00A85ACA"/>
    <w:rsid w:val="00A9316E"/>
    <w:rsid w:val="00A97E6B"/>
    <w:rsid w:val="00AA0DCB"/>
    <w:rsid w:val="00AA189B"/>
    <w:rsid w:val="00AA68B4"/>
    <w:rsid w:val="00AB127E"/>
    <w:rsid w:val="00AB2B7F"/>
    <w:rsid w:val="00AB364D"/>
    <w:rsid w:val="00AB726D"/>
    <w:rsid w:val="00AC1369"/>
    <w:rsid w:val="00AC5137"/>
    <w:rsid w:val="00AD07FA"/>
    <w:rsid w:val="00AD3332"/>
    <w:rsid w:val="00AD6ABD"/>
    <w:rsid w:val="00AD6E46"/>
    <w:rsid w:val="00AE4ACE"/>
    <w:rsid w:val="00AF4C2A"/>
    <w:rsid w:val="00B03E9A"/>
    <w:rsid w:val="00B07DF7"/>
    <w:rsid w:val="00B1066C"/>
    <w:rsid w:val="00B11FC6"/>
    <w:rsid w:val="00B172A4"/>
    <w:rsid w:val="00B23E53"/>
    <w:rsid w:val="00B24784"/>
    <w:rsid w:val="00B25F56"/>
    <w:rsid w:val="00B26A7F"/>
    <w:rsid w:val="00B340ED"/>
    <w:rsid w:val="00B37BF6"/>
    <w:rsid w:val="00B42961"/>
    <w:rsid w:val="00B51B3C"/>
    <w:rsid w:val="00B53B3A"/>
    <w:rsid w:val="00B53C06"/>
    <w:rsid w:val="00B569C0"/>
    <w:rsid w:val="00B7264B"/>
    <w:rsid w:val="00B74A17"/>
    <w:rsid w:val="00B8560E"/>
    <w:rsid w:val="00B9190F"/>
    <w:rsid w:val="00B923A0"/>
    <w:rsid w:val="00B95FD4"/>
    <w:rsid w:val="00B96126"/>
    <w:rsid w:val="00BA0566"/>
    <w:rsid w:val="00BA078B"/>
    <w:rsid w:val="00BA3F7C"/>
    <w:rsid w:val="00BA586A"/>
    <w:rsid w:val="00BB500E"/>
    <w:rsid w:val="00BB647C"/>
    <w:rsid w:val="00BB7D95"/>
    <w:rsid w:val="00BC54E1"/>
    <w:rsid w:val="00BC575D"/>
    <w:rsid w:val="00BC69E8"/>
    <w:rsid w:val="00BD2242"/>
    <w:rsid w:val="00BE5B3C"/>
    <w:rsid w:val="00BF36C3"/>
    <w:rsid w:val="00BF4955"/>
    <w:rsid w:val="00C01C73"/>
    <w:rsid w:val="00C032A8"/>
    <w:rsid w:val="00C146C4"/>
    <w:rsid w:val="00C21292"/>
    <w:rsid w:val="00C27AFD"/>
    <w:rsid w:val="00C30F0E"/>
    <w:rsid w:val="00C32D99"/>
    <w:rsid w:val="00C36ABE"/>
    <w:rsid w:val="00C45916"/>
    <w:rsid w:val="00C57A6A"/>
    <w:rsid w:val="00C60C58"/>
    <w:rsid w:val="00C6158E"/>
    <w:rsid w:val="00C63463"/>
    <w:rsid w:val="00C6637F"/>
    <w:rsid w:val="00C67056"/>
    <w:rsid w:val="00C67A54"/>
    <w:rsid w:val="00C72B7C"/>
    <w:rsid w:val="00C74819"/>
    <w:rsid w:val="00C82F08"/>
    <w:rsid w:val="00C85140"/>
    <w:rsid w:val="00C859EB"/>
    <w:rsid w:val="00C85E7D"/>
    <w:rsid w:val="00C93648"/>
    <w:rsid w:val="00C94452"/>
    <w:rsid w:val="00CA7F05"/>
    <w:rsid w:val="00CB54ED"/>
    <w:rsid w:val="00CD3C00"/>
    <w:rsid w:val="00CD4B36"/>
    <w:rsid w:val="00CE0019"/>
    <w:rsid w:val="00CE70E4"/>
    <w:rsid w:val="00CF3AEA"/>
    <w:rsid w:val="00CF6CD1"/>
    <w:rsid w:val="00D0254F"/>
    <w:rsid w:val="00D04F7C"/>
    <w:rsid w:val="00D05925"/>
    <w:rsid w:val="00D05CA9"/>
    <w:rsid w:val="00D071CF"/>
    <w:rsid w:val="00D072D0"/>
    <w:rsid w:val="00D10D9D"/>
    <w:rsid w:val="00D15569"/>
    <w:rsid w:val="00D164EB"/>
    <w:rsid w:val="00D17B66"/>
    <w:rsid w:val="00D421B3"/>
    <w:rsid w:val="00D50654"/>
    <w:rsid w:val="00D6293D"/>
    <w:rsid w:val="00D62AB2"/>
    <w:rsid w:val="00D63C7D"/>
    <w:rsid w:val="00D64A09"/>
    <w:rsid w:val="00D65096"/>
    <w:rsid w:val="00D662F3"/>
    <w:rsid w:val="00D71C06"/>
    <w:rsid w:val="00D734D0"/>
    <w:rsid w:val="00D74DC0"/>
    <w:rsid w:val="00D76FF6"/>
    <w:rsid w:val="00D7783E"/>
    <w:rsid w:val="00D81BA5"/>
    <w:rsid w:val="00D9554D"/>
    <w:rsid w:val="00D95A12"/>
    <w:rsid w:val="00DA2C37"/>
    <w:rsid w:val="00DB05C1"/>
    <w:rsid w:val="00DC1178"/>
    <w:rsid w:val="00DC5076"/>
    <w:rsid w:val="00DD4CB1"/>
    <w:rsid w:val="00DE7725"/>
    <w:rsid w:val="00DE7B05"/>
    <w:rsid w:val="00E05F9B"/>
    <w:rsid w:val="00E11EED"/>
    <w:rsid w:val="00E13BFB"/>
    <w:rsid w:val="00E21932"/>
    <w:rsid w:val="00E2729C"/>
    <w:rsid w:val="00E27D80"/>
    <w:rsid w:val="00E3482E"/>
    <w:rsid w:val="00E362BF"/>
    <w:rsid w:val="00E412D2"/>
    <w:rsid w:val="00E42873"/>
    <w:rsid w:val="00E44197"/>
    <w:rsid w:val="00E50C75"/>
    <w:rsid w:val="00E54FDD"/>
    <w:rsid w:val="00E579C1"/>
    <w:rsid w:val="00E72F9F"/>
    <w:rsid w:val="00E74D07"/>
    <w:rsid w:val="00E76B6B"/>
    <w:rsid w:val="00E8274E"/>
    <w:rsid w:val="00E919DB"/>
    <w:rsid w:val="00E91EE8"/>
    <w:rsid w:val="00E92817"/>
    <w:rsid w:val="00E949F8"/>
    <w:rsid w:val="00E955BF"/>
    <w:rsid w:val="00EA1FD7"/>
    <w:rsid w:val="00EA406F"/>
    <w:rsid w:val="00EB032C"/>
    <w:rsid w:val="00EB2A65"/>
    <w:rsid w:val="00EB3E2C"/>
    <w:rsid w:val="00EB445F"/>
    <w:rsid w:val="00EB4A75"/>
    <w:rsid w:val="00EB6005"/>
    <w:rsid w:val="00EC1AD2"/>
    <w:rsid w:val="00EC65D7"/>
    <w:rsid w:val="00EC7B9F"/>
    <w:rsid w:val="00ED132C"/>
    <w:rsid w:val="00ED31A4"/>
    <w:rsid w:val="00EE0A3E"/>
    <w:rsid w:val="00EE5E44"/>
    <w:rsid w:val="00EE7393"/>
    <w:rsid w:val="00EF0607"/>
    <w:rsid w:val="00EF19E2"/>
    <w:rsid w:val="00EF498F"/>
    <w:rsid w:val="00F03083"/>
    <w:rsid w:val="00F03411"/>
    <w:rsid w:val="00F27536"/>
    <w:rsid w:val="00F27D8C"/>
    <w:rsid w:val="00F30CFC"/>
    <w:rsid w:val="00F474DF"/>
    <w:rsid w:val="00F53550"/>
    <w:rsid w:val="00F61D14"/>
    <w:rsid w:val="00F627F2"/>
    <w:rsid w:val="00F74A5C"/>
    <w:rsid w:val="00F759B9"/>
    <w:rsid w:val="00F82A74"/>
    <w:rsid w:val="00F847DC"/>
    <w:rsid w:val="00F851DA"/>
    <w:rsid w:val="00F85DA6"/>
    <w:rsid w:val="00F8740A"/>
    <w:rsid w:val="00F87567"/>
    <w:rsid w:val="00F92BAA"/>
    <w:rsid w:val="00F97C80"/>
    <w:rsid w:val="00FA4C97"/>
    <w:rsid w:val="00FB4215"/>
    <w:rsid w:val="00FB6445"/>
    <w:rsid w:val="00FB6579"/>
    <w:rsid w:val="00FB7866"/>
    <w:rsid w:val="00FD17FF"/>
    <w:rsid w:val="00FD6FF2"/>
    <w:rsid w:val="00FE1767"/>
    <w:rsid w:val="00FE5173"/>
    <w:rsid w:val="00FE63CD"/>
  </w:rsids>
  <m:mathPr>
    <m:mathFont m:val="Cambria Math"/>
    <m:brkBin m:val="before"/>
    <m:brkBinSub m:val="--"/>
    <m:smallFrac m:val="0"/>
    <m:dispDef/>
    <m:lMargin m:val="0"/>
    <m:rMargin m:val="0"/>
    <m:defJc m:val="centerGroup"/>
    <m:wrapIndent m:val="1440"/>
    <m:intLim m:val="subSup"/>
    <m:naryLim m:val="undOvr"/>
  </m:mathPr>
  <w:themeFontLang w:val="bg-B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8802"/>
  <w15:docId w15:val="{90A8BB85-739B-4054-AE67-7A18EB3C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CB4"/>
  </w:style>
  <w:style w:type="paragraph" w:styleId="Heading3">
    <w:name w:val="heading 3"/>
    <w:basedOn w:val="Normal"/>
    <w:link w:val="Heading3Char"/>
    <w:qFormat/>
    <w:rsid w:val="000B0187"/>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CB4"/>
    <w:pPr>
      <w:ind w:left="720"/>
      <w:contextualSpacing/>
    </w:pPr>
  </w:style>
  <w:style w:type="character" w:customStyle="1" w:styleId="alcapt2">
    <w:name w:val="al_capt2"/>
    <w:rsid w:val="009C4CB4"/>
    <w:rPr>
      <w:rFonts w:cs="Times New Roman"/>
      <w:i/>
      <w:iCs/>
    </w:rPr>
  </w:style>
  <w:style w:type="paragraph" w:customStyle="1" w:styleId="m">
    <w:name w:val="m"/>
    <w:basedOn w:val="Normal"/>
    <w:rsid w:val="009C4CB4"/>
    <w:pPr>
      <w:spacing w:after="0" w:line="240" w:lineRule="auto"/>
      <w:ind w:firstLine="990"/>
      <w:jc w:val="both"/>
    </w:pPr>
    <w:rPr>
      <w:rFonts w:ascii="Times New Roman" w:eastAsia="Times New Roman" w:hAnsi="Times New Roman" w:cs="Times New Roman"/>
      <w:color w:val="000000"/>
      <w:sz w:val="24"/>
      <w:szCs w:val="24"/>
      <w:lang w:val="en-US"/>
    </w:rPr>
  </w:style>
  <w:style w:type="character" w:customStyle="1" w:styleId="ala20">
    <w:name w:val="al_a20"/>
    <w:rsid w:val="009C4CB4"/>
    <w:rPr>
      <w:rFonts w:cs="Times New Roman"/>
    </w:rPr>
  </w:style>
  <w:style w:type="paragraph" w:styleId="BalloonText">
    <w:name w:val="Balloon Text"/>
    <w:basedOn w:val="Normal"/>
    <w:link w:val="BalloonTextChar"/>
    <w:uiPriority w:val="99"/>
    <w:semiHidden/>
    <w:unhideWhenUsed/>
    <w:rsid w:val="00E41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2D2"/>
    <w:rPr>
      <w:rFonts w:ascii="Segoe UI" w:hAnsi="Segoe UI" w:cs="Segoe UI"/>
      <w:sz w:val="18"/>
      <w:szCs w:val="18"/>
    </w:rPr>
  </w:style>
  <w:style w:type="character" w:customStyle="1" w:styleId="ala7">
    <w:name w:val="al_a7"/>
    <w:rsid w:val="002279B9"/>
    <w:rPr>
      <w:rFonts w:cs="Times New Roman"/>
    </w:rPr>
  </w:style>
  <w:style w:type="character" w:styleId="CommentReference">
    <w:name w:val="annotation reference"/>
    <w:basedOn w:val="DefaultParagraphFont"/>
    <w:uiPriority w:val="99"/>
    <w:semiHidden/>
    <w:unhideWhenUsed/>
    <w:rsid w:val="006D5FB5"/>
    <w:rPr>
      <w:sz w:val="16"/>
      <w:szCs w:val="16"/>
    </w:rPr>
  </w:style>
  <w:style w:type="paragraph" w:styleId="CommentText">
    <w:name w:val="annotation text"/>
    <w:basedOn w:val="Normal"/>
    <w:link w:val="CommentTextChar"/>
    <w:uiPriority w:val="99"/>
    <w:semiHidden/>
    <w:unhideWhenUsed/>
    <w:rsid w:val="006D5FB5"/>
    <w:pPr>
      <w:spacing w:line="240" w:lineRule="auto"/>
    </w:pPr>
    <w:rPr>
      <w:sz w:val="20"/>
      <w:szCs w:val="20"/>
    </w:rPr>
  </w:style>
  <w:style w:type="character" w:customStyle="1" w:styleId="CommentTextChar">
    <w:name w:val="Comment Text Char"/>
    <w:basedOn w:val="DefaultParagraphFont"/>
    <w:link w:val="CommentText"/>
    <w:uiPriority w:val="99"/>
    <w:semiHidden/>
    <w:rsid w:val="006D5FB5"/>
    <w:rPr>
      <w:sz w:val="20"/>
      <w:szCs w:val="20"/>
    </w:rPr>
  </w:style>
  <w:style w:type="paragraph" w:styleId="CommentSubject">
    <w:name w:val="annotation subject"/>
    <w:basedOn w:val="CommentText"/>
    <w:next w:val="CommentText"/>
    <w:link w:val="CommentSubjectChar"/>
    <w:uiPriority w:val="99"/>
    <w:semiHidden/>
    <w:unhideWhenUsed/>
    <w:rsid w:val="006D5FB5"/>
    <w:rPr>
      <w:b/>
      <w:bCs/>
    </w:rPr>
  </w:style>
  <w:style w:type="character" w:customStyle="1" w:styleId="CommentSubjectChar">
    <w:name w:val="Comment Subject Char"/>
    <w:basedOn w:val="CommentTextChar"/>
    <w:link w:val="CommentSubject"/>
    <w:uiPriority w:val="99"/>
    <w:semiHidden/>
    <w:rsid w:val="006D5FB5"/>
    <w:rPr>
      <w:b/>
      <w:bCs/>
      <w:sz w:val="20"/>
      <w:szCs w:val="20"/>
    </w:rPr>
  </w:style>
  <w:style w:type="character" w:customStyle="1" w:styleId="Heading3Char">
    <w:name w:val="Heading 3 Char"/>
    <w:basedOn w:val="DefaultParagraphFont"/>
    <w:link w:val="Heading3"/>
    <w:rsid w:val="000B0187"/>
    <w:rPr>
      <w:rFonts w:ascii="Times New Roman" w:eastAsia="Times New Roman" w:hAnsi="Times New Roman" w:cs="Times New Roman"/>
      <w:b/>
      <w:bCs/>
      <w:sz w:val="27"/>
      <w:szCs w:val="27"/>
      <w:lang w:eastAsia="bg-BG"/>
    </w:rPr>
  </w:style>
  <w:style w:type="paragraph" w:styleId="Header">
    <w:name w:val="header"/>
    <w:basedOn w:val="Normal"/>
    <w:link w:val="HeaderChar"/>
    <w:uiPriority w:val="99"/>
    <w:unhideWhenUsed/>
    <w:rsid w:val="00572F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2F03"/>
  </w:style>
  <w:style w:type="paragraph" w:styleId="Footer">
    <w:name w:val="footer"/>
    <w:basedOn w:val="Normal"/>
    <w:link w:val="FooterChar"/>
    <w:uiPriority w:val="99"/>
    <w:unhideWhenUsed/>
    <w:rsid w:val="00572F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2F03"/>
  </w:style>
  <w:style w:type="character" w:styleId="Hyperlink">
    <w:name w:val="Hyperlink"/>
    <w:basedOn w:val="DefaultParagraphFont"/>
    <w:uiPriority w:val="99"/>
    <w:semiHidden/>
    <w:unhideWhenUsed/>
    <w:rsid w:val="006A62C1"/>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977289">
      <w:bodyDiv w:val="1"/>
      <w:marLeft w:val="0"/>
      <w:marRight w:val="0"/>
      <w:marTop w:val="0"/>
      <w:marBottom w:val="0"/>
      <w:divBdr>
        <w:top w:val="none" w:sz="0" w:space="0" w:color="auto"/>
        <w:left w:val="none" w:sz="0" w:space="0" w:color="auto"/>
        <w:bottom w:val="none" w:sz="0" w:space="0" w:color="auto"/>
        <w:right w:val="none" w:sz="0" w:space="0" w:color="auto"/>
      </w:divBdr>
      <w:divsChild>
        <w:div w:id="591623297">
          <w:marLeft w:val="0"/>
          <w:marRight w:val="0"/>
          <w:marTop w:val="0"/>
          <w:marBottom w:val="0"/>
          <w:divBdr>
            <w:top w:val="none" w:sz="0" w:space="0" w:color="auto"/>
            <w:left w:val="none" w:sz="0" w:space="0" w:color="auto"/>
            <w:bottom w:val="none" w:sz="0" w:space="0" w:color="auto"/>
            <w:right w:val="none" w:sz="0" w:space="0" w:color="auto"/>
          </w:divBdr>
        </w:div>
        <w:div w:id="774860493">
          <w:marLeft w:val="0"/>
          <w:marRight w:val="0"/>
          <w:marTop w:val="0"/>
          <w:marBottom w:val="0"/>
          <w:divBdr>
            <w:top w:val="none" w:sz="0" w:space="0" w:color="auto"/>
            <w:left w:val="none" w:sz="0" w:space="0" w:color="auto"/>
            <w:bottom w:val="none" w:sz="0" w:space="0" w:color="auto"/>
            <w:right w:val="none" w:sz="0" w:space="0" w:color="auto"/>
          </w:divBdr>
        </w:div>
        <w:div w:id="1364986889">
          <w:marLeft w:val="0"/>
          <w:marRight w:val="0"/>
          <w:marTop w:val="0"/>
          <w:marBottom w:val="0"/>
          <w:divBdr>
            <w:top w:val="none" w:sz="0" w:space="0" w:color="auto"/>
            <w:left w:val="none" w:sz="0" w:space="0" w:color="auto"/>
            <w:bottom w:val="none" w:sz="0" w:space="0" w:color="auto"/>
            <w:right w:val="none" w:sz="0" w:space="0" w:color="auto"/>
          </w:divBdr>
        </w:div>
        <w:div w:id="1029918087">
          <w:marLeft w:val="0"/>
          <w:marRight w:val="0"/>
          <w:marTop w:val="0"/>
          <w:marBottom w:val="0"/>
          <w:divBdr>
            <w:top w:val="none" w:sz="0" w:space="0" w:color="auto"/>
            <w:left w:val="none" w:sz="0" w:space="0" w:color="auto"/>
            <w:bottom w:val="none" w:sz="0" w:space="0" w:color="auto"/>
            <w:right w:val="none" w:sz="0" w:space="0" w:color="auto"/>
          </w:divBdr>
        </w:div>
        <w:div w:id="1210843238">
          <w:marLeft w:val="0"/>
          <w:marRight w:val="0"/>
          <w:marTop w:val="0"/>
          <w:marBottom w:val="0"/>
          <w:divBdr>
            <w:top w:val="none" w:sz="0" w:space="0" w:color="auto"/>
            <w:left w:val="none" w:sz="0" w:space="0" w:color="auto"/>
            <w:bottom w:val="none" w:sz="0" w:space="0" w:color="auto"/>
            <w:right w:val="none" w:sz="0" w:space="0" w:color="auto"/>
          </w:divBdr>
        </w:div>
        <w:div w:id="1531799637">
          <w:marLeft w:val="0"/>
          <w:marRight w:val="0"/>
          <w:marTop w:val="0"/>
          <w:marBottom w:val="0"/>
          <w:divBdr>
            <w:top w:val="none" w:sz="0" w:space="0" w:color="auto"/>
            <w:left w:val="none" w:sz="0" w:space="0" w:color="auto"/>
            <w:bottom w:val="none" w:sz="0" w:space="0" w:color="auto"/>
            <w:right w:val="none" w:sz="0" w:space="0" w:color="auto"/>
          </w:divBdr>
        </w:div>
        <w:div w:id="1036271852">
          <w:marLeft w:val="0"/>
          <w:marRight w:val="0"/>
          <w:marTop w:val="0"/>
          <w:marBottom w:val="0"/>
          <w:divBdr>
            <w:top w:val="none" w:sz="0" w:space="0" w:color="auto"/>
            <w:left w:val="none" w:sz="0" w:space="0" w:color="auto"/>
            <w:bottom w:val="none" w:sz="0" w:space="0" w:color="auto"/>
            <w:right w:val="none" w:sz="0" w:space="0" w:color="auto"/>
          </w:divBdr>
        </w:div>
        <w:div w:id="953245426">
          <w:marLeft w:val="0"/>
          <w:marRight w:val="0"/>
          <w:marTop w:val="0"/>
          <w:marBottom w:val="0"/>
          <w:divBdr>
            <w:top w:val="none" w:sz="0" w:space="0" w:color="auto"/>
            <w:left w:val="none" w:sz="0" w:space="0" w:color="auto"/>
            <w:bottom w:val="none" w:sz="0" w:space="0" w:color="auto"/>
            <w:right w:val="none" w:sz="0" w:space="0" w:color="auto"/>
          </w:divBdr>
        </w:div>
        <w:div w:id="251624105">
          <w:marLeft w:val="0"/>
          <w:marRight w:val="0"/>
          <w:marTop w:val="0"/>
          <w:marBottom w:val="0"/>
          <w:divBdr>
            <w:top w:val="none" w:sz="0" w:space="0" w:color="auto"/>
            <w:left w:val="none" w:sz="0" w:space="0" w:color="auto"/>
            <w:bottom w:val="none" w:sz="0" w:space="0" w:color="auto"/>
            <w:right w:val="none" w:sz="0" w:space="0" w:color="auto"/>
          </w:divBdr>
        </w:div>
        <w:div w:id="1581988885">
          <w:marLeft w:val="0"/>
          <w:marRight w:val="0"/>
          <w:marTop w:val="0"/>
          <w:marBottom w:val="0"/>
          <w:divBdr>
            <w:top w:val="none" w:sz="0" w:space="0" w:color="auto"/>
            <w:left w:val="none" w:sz="0" w:space="0" w:color="auto"/>
            <w:bottom w:val="none" w:sz="0" w:space="0" w:color="auto"/>
            <w:right w:val="none" w:sz="0" w:space="0" w:color="auto"/>
          </w:divBdr>
        </w:div>
        <w:div w:id="2121098278">
          <w:marLeft w:val="0"/>
          <w:marRight w:val="0"/>
          <w:marTop w:val="0"/>
          <w:marBottom w:val="0"/>
          <w:divBdr>
            <w:top w:val="none" w:sz="0" w:space="0" w:color="auto"/>
            <w:left w:val="none" w:sz="0" w:space="0" w:color="auto"/>
            <w:bottom w:val="none" w:sz="0" w:space="0" w:color="auto"/>
            <w:right w:val="none" w:sz="0" w:space="0" w:color="auto"/>
          </w:divBdr>
        </w:div>
      </w:divsChild>
    </w:div>
    <w:div w:id="1039621615">
      <w:bodyDiv w:val="1"/>
      <w:marLeft w:val="0"/>
      <w:marRight w:val="0"/>
      <w:marTop w:val="0"/>
      <w:marBottom w:val="0"/>
      <w:divBdr>
        <w:top w:val="none" w:sz="0" w:space="0" w:color="auto"/>
        <w:left w:val="none" w:sz="0" w:space="0" w:color="auto"/>
        <w:bottom w:val="none" w:sz="0" w:space="0" w:color="auto"/>
        <w:right w:val="none" w:sz="0" w:space="0" w:color="auto"/>
      </w:divBdr>
      <w:divsChild>
        <w:div w:id="1373767639">
          <w:marLeft w:val="0"/>
          <w:marRight w:val="0"/>
          <w:marTop w:val="150"/>
          <w:marBottom w:val="0"/>
          <w:divBdr>
            <w:top w:val="none" w:sz="0" w:space="0" w:color="auto"/>
            <w:left w:val="none" w:sz="0" w:space="0" w:color="auto"/>
            <w:bottom w:val="none" w:sz="0" w:space="0" w:color="auto"/>
            <w:right w:val="none" w:sz="0" w:space="0" w:color="auto"/>
          </w:divBdr>
        </w:div>
      </w:divsChild>
    </w:div>
    <w:div w:id="1372800816">
      <w:bodyDiv w:val="1"/>
      <w:marLeft w:val="0"/>
      <w:marRight w:val="0"/>
      <w:marTop w:val="0"/>
      <w:marBottom w:val="0"/>
      <w:divBdr>
        <w:top w:val="none" w:sz="0" w:space="0" w:color="auto"/>
        <w:left w:val="none" w:sz="0" w:space="0" w:color="auto"/>
        <w:bottom w:val="none" w:sz="0" w:space="0" w:color="auto"/>
        <w:right w:val="none" w:sz="0" w:space="0" w:color="auto"/>
      </w:divBdr>
    </w:div>
    <w:div w:id="1396079284">
      <w:bodyDiv w:val="1"/>
      <w:marLeft w:val="0"/>
      <w:marRight w:val="0"/>
      <w:marTop w:val="0"/>
      <w:marBottom w:val="0"/>
      <w:divBdr>
        <w:top w:val="none" w:sz="0" w:space="0" w:color="auto"/>
        <w:left w:val="none" w:sz="0" w:space="0" w:color="auto"/>
        <w:bottom w:val="none" w:sz="0" w:space="0" w:color="auto"/>
        <w:right w:val="none" w:sz="0" w:space="0" w:color="auto"/>
      </w:divBdr>
      <w:divsChild>
        <w:div w:id="504126862">
          <w:marLeft w:val="0"/>
          <w:marRight w:val="0"/>
          <w:marTop w:val="0"/>
          <w:marBottom w:val="0"/>
          <w:divBdr>
            <w:top w:val="none" w:sz="0" w:space="0" w:color="auto"/>
            <w:left w:val="none" w:sz="0" w:space="0" w:color="auto"/>
            <w:bottom w:val="none" w:sz="0" w:space="0" w:color="auto"/>
            <w:right w:val="none" w:sz="0" w:space="0" w:color="auto"/>
          </w:divBdr>
        </w:div>
        <w:div w:id="1038050291">
          <w:marLeft w:val="0"/>
          <w:marRight w:val="0"/>
          <w:marTop w:val="0"/>
          <w:marBottom w:val="0"/>
          <w:divBdr>
            <w:top w:val="none" w:sz="0" w:space="0" w:color="auto"/>
            <w:left w:val="none" w:sz="0" w:space="0" w:color="auto"/>
            <w:bottom w:val="none" w:sz="0" w:space="0" w:color="auto"/>
            <w:right w:val="none" w:sz="0" w:space="0" w:color="auto"/>
          </w:divBdr>
        </w:div>
        <w:div w:id="284192289">
          <w:marLeft w:val="0"/>
          <w:marRight w:val="0"/>
          <w:marTop w:val="0"/>
          <w:marBottom w:val="0"/>
          <w:divBdr>
            <w:top w:val="none" w:sz="0" w:space="0" w:color="auto"/>
            <w:left w:val="none" w:sz="0" w:space="0" w:color="auto"/>
            <w:bottom w:val="none" w:sz="0" w:space="0" w:color="auto"/>
            <w:right w:val="none" w:sz="0" w:space="0" w:color="auto"/>
          </w:divBdr>
        </w:div>
        <w:div w:id="518548934">
          <w:marLeft w:val="0"/>
          <w:marRight w:val="0"/>
          <w:marTop w:val="0"/>
          <w:marBottom w:val="0"/>
          <w:divBdr>
            <w:top w:val="none" w:sz="0" w:space="0" w:color="auto"/>
            <w:left w:val="none" w:sz="0" w:space="0" w:color="auto"/>
            <w:bottom w:val="none" w:sz="0" w:space="0" w:color="auto"/>
            <w:right w:val="none" w:sz="0" w:space="0" w:color="auto"/>
          </w:divBdr>
        </w:div>
        <w:div w:id="1798834599">
          <w:marLeft w:val="0"/>
          <w:marRight w:val="0"/>
          <w:marTop w:val="0"/>
          <w:marBottom w:val="0"/>
          <w:divBdr>
            <w:top w:val="none" w:sz="0" w:space="0" w:color="auto"/>
            <w:left w:val="none" w:sz="0" w:space="0" w:color="auto"/>
            <w:bottom w:val="none" w:sz="0" w:space="0" w:color="auto"/>
            <w:right w:val="none" w:sz="0" w:space="0" w:color="auto"/>
          </w:divBdr>
        </w:div>
        <w:div w:id="1628777345">
          <w:marLeft w:val="0"/>
          <w:marRight w:val="0"/>
          <w:marTop w:val="0"/>
          <w:marBottom w:val="0"/>
          <w:divBdr>
            <w:top w:val="none" w:sz="0" w:space="0" w:color="auto"/>
            <w:left w:val="none" w:sz="0" w:space="0" w:color="auto"/>
            <w:bottom w:val="none" w:sz="0" w:space="0" w:color="auto"/>
            <w:right w:val="none" w:sz="0" w:space="0" w:color="auto"/>
          </w:divBdr>
        </w:div>
        <w:div w:id="32970102">
          <w:marLeft w:val="0"/>
          <w:marRight w:val="0"/>
          <w:marTop w:val="0"/>
          <w:marBottom w:val="0"/>
          <w:divBdr>
            <w:top w:val="none" w:sz="0" w:space="0" w:color="auto"/>
            <w:left w:val="none" w:sz="0" w:space="0" w:color="auto"/>
            <w:bottom w:val="none" w:sz="0" w:space="0" w:color="auto"/>
            <w:right w:val="none" w:sz="0" w:space="0" w:color="auto"/>
          </w:divBdr>
        </w:div>
      </w:divsChild>
    </w:div>
    <w:div w:id="1507597921">
      <w:bodyDiv w:val="1"/>
      <w:marLeft w:val="0"/>
      <w:marRight w:val="0"/>
      <w:marTop w:val="0"/>
      <w:marBottom w:val="0"/>
      <w:divBdr>
        <w:top w:val="none" w:sz="0" w:space="0" w:color="auto"/>
        <w:left w:val="none" w:sz="0" w:space="0" w:color="auto"/>
        <w:bottom w:val="none" w:sz="0" w:space="0" w:color="auto"/>
        <w:right w:val="none" w:sz="0" w:space="0" w:color="auto"/>
      </w:divBdr>
    </w:div>
    <w:div w:id="190251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8337917071&amp;Type=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0CCF7-B843-4A32-903B-DA5E3D53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5598</Characters>
  <Application>Microsoft Office Word</Application>
  <DocSecurity>0</DocSecurity>
  <Lines>46</Lines>
  <Paragraphs>13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Slavina I. Popova</cp:lastModifiedBy>
  <cp:revision>2</cp:revision>
  <cp:lastPrinted>2026-01-07T12:26:00Z</cp:lastPrinted>
  <dcterms:created xsi:type="dcterms:W3CDTF">2026-01-27T14:23:00Z</dcterms:created>
  <dcterms:modified xsi:type="dcterms:W3CDTF">2026-01-27T14:23:00Z</dcterms:modified>
</cp:coreProperties>
</file>