
<file path=[Content_Types].xml><?xml version="1.0" encoding="utf-8"?>
<Types xmlns="http://schemas.openxmlformats.org/package/2006/content-types">
  <Default Extension="bin" ContentType="application/vnd.ms-office.activeX"/>
  <Default Extension="wmf" ContentType="image/x-wmf"/>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activeX/activeX17.xml" ContentType="application/vnd.ms-office.activeX+xml"/>
  <Override PartName="/docProps/app.xml" ContentType="application/vnd.openxmlformats-officedocument.extended-properties+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4.xml" ContentType="application/vnd.ms-office.activeX+xml"/>
  <Override PartName="/word/activeX/activeX3.xml" ContentType="application/vnd.ms-office.activeX+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8.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2.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6.xml" ContentType="application/vnd.ms-office.activeX+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550546" w14:textId="77777777" w:rsidR="00F431B8" w:rsidRPr="00240285" w:rsidRDefault="00F431B8" w:rsidP="00F44FA7">
      <w:pPr>
        <w:spacing w:after="0" w:line="240" w:lineRule="auto"/>
        <w:rPr>
          <w:lang w:val="bg-BG"/>
        </w:rPr>
      </w:pPr>
    </w:p>
    <w:tbl>
      <w:tblPr>
        <w:tblW w:w="9704" w:type="dxa"/>
        <w:tblInd w:w="-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
        <w:gridCol w:w="4626"/>
        <w:gridCol w:w="5062"/>
        <w:gridCol w:w="8"/>
      </w:tblGrid>
      <w:tr w:rsidR="002B208F" w:rsidRPr="002B208F" w14:paraId="5A5A2D93" w14:textId="77777777" w:rsidTr="00F431B8">
        <w:trPr>
          <w:gridBefore w:val="1"/>
          <w:wBefore w:w="8" w:type="dxa"/>
        </w:trPr>
        <w:tc>
          <w:tcPr>
            <w:tcW w:w="9696" w:type="dxa"/>
            <w:gridSpan w:val="3"/>
            <w:tcBorders>
              <w:bottom w:val="single" w:sz="18" w:space="0" w:color="auto"/>
            </w:tcBorders>
            <w:shd w:val="clear" w:color="auto" w:fill="D9D9D9"/>
          </w:tcPr>
          <w:p w14:paraId="312B048C" w14:textId="77777777" w:rsidR="00076E63" w:rsidRPr="002B208F" w:rsidRDefault="00FE55C5" w:rsidP="009B7765">
            <w:pPr>
              <w:spacing w:before="240" w:after="120" w:line="336" w:lineRule="auto"/>
              <w:jc w:val="center"/>
              <w:rPr>
                <w:rFonts w:ascii="Verdana" w:eastAsia="Times New Roman" w:hAnsi="Verdana" w:cs="Times New Roman"/>
                <w:b/>
                <w:sz w:val="20"/>
                <w:szCs w:val="20"/>
                <w:lang w:val="bg-BG"/>
              </w:rPr>
            </w:pPr>
            <w:r w:rsidRPr="002B208F">
              <w:rPr>
                <w:rFonts w:ascii="Verdana" w:eastAsia="Times New Roman" w:hAnsi="Verdana" w:cs="Times New Roman"/>
                <w:b/>
                <w:sz w:val="20"/>
                <w:szCs w:val="20"/>
                <w:lang w:val="bg-BG"/>
              </w:rPr>
              <w:t>Частична предварителна оценка на въздействието</w:t>
            </w:r>
          </w:p>
        </w:tc>
      </w:tr>
      <w:tr w:rsidR="002B208F" w:rsidRPr="002B208F" w14:paraId="4C641A96" w14:textId="77777777" w:rsidTr="00F431B8">
        <w:trPr>
          <w:gridBefore w:val="1"/>
          <w:wBefore w:w="8" w:type="dxa"/>
        </w:trPr>
        <w:tc>
          <w:tcPr>
            <w:tcW w:w="4626" w:type="dxa"/>
            <w:tcBorders>
              <w:bottom w:val="single" w:sz="18" w:space="0" w:color="auto"/>
            </w:tcBorders>
          </w:tcPr>
          <w:p w14:paraId="50933B84" w14:textId="77777777" w:rsidR="00076E63" w:rsidRPr="002B208F" w:rsidRDefault="00076E63" w:rsidP="009B7765">
            <w:pPr>
              <w:spacing w:before="120" w:after="120" w:line="336" w:lineRule="auto"/>
              <w:jc w:val="both"/>
              <w:rPr>
                <w:rFonts w:ascii="Verdana" w:eastAsia="Times New Roman" w:hAnsi="Verdana" w:cs="Times New Roman"/>
                <w:b/>
                <w:sz w:val="20"/>
                <w:szCs w:val="20"/>
                <w:lang w:val="bg-BG"/>
              </w:rPr>
            </w:pPr>
            <w:r w:rsidRPr="002B208F">
              <w:rPr>
                <w:rFonts w:ascii="Verdana" w:eastAsia="Times New Roman" w:hAnsi="Verdana" w:cs="Times New Roman"/>
                <w:b/>
                <w:sz w:val="20"/>
                <w:szCs w:val="20"/>
                <w:lang w:val="bg-BG"/>
              </w:rPr>
              <w:t>Институция:</w:t>
            </w:r>
          </w:p>
          <w:p w14:paraId="3B5F0BFF" w14:textId="77777777" w:rsidR="007026A1" w:rsidRPr="002B208F" w:rsidRDefault="00A9265D" w:rsidP="009B7765">
            <w:pPr>
              <w:spacing w:after="0" w:line="336" w:lineRule="auto"/>
              <w:rPr>
                <w:rFonts w:ascii="Verdana" w:hAnsi="Verdana"/>
                <w:sz w:val="20"/>
                <w:szCs w:val="20"/>
                <w:lang w:val="bg-BG"/>
              </w:rPr>
            </w:pPr>
            <w:r w:rsidRPr="002B208F">
              <w:rPr>
                <w:rFonts w:ascii="Verdana" w:hAnsi="Verdana"/>
                <w:sz w:val="20"/>
                <w:szCs w:val="20"/>
                <w:lang w:val="bg-BG"/>
              </w:rPr>
              <w:t>Министерство на земеделието</w:t>
            </w:r>
            <w:r w:rsidR="00A26885" w:rsidRPr="002B208F">
              <w:rPr>
                <w:rFonts w:ascii="Verdana" w:hAnsi="Verdana"/>
                <w:sz w:val="20"/>
                <w:szCs w:val="20"/>
                <w:lang w:val="bg-BG"/>
              </w:rPr>
              <w:t xml:space="preserve"> и храните</w:t>
            </w:r>
          </w:p>
        </w:tc>
        <w:tc>
          <w:tcPr>
            <w:tcW w:w="5070" w:type="dxa"/>
            <w:gridSpan w:val="2"/>
            <w:tcBorders>
              <w:bottom w:val="single" w:sz="18" w:space="0" w:color="auto"/>
            </w:tcBorders>
          </w:tcPr>
          <w:p w14:paraId="485C15B2" w14:textId="77777777" w:rsidR="00076E63" w:rsidRPr="002B208F" w:rsidRDefault="00076E63" w:rsidP="009B7765">
            <w:pPr>
              <w:spacing w:before="120" w:after="120" w:line="336" w:lineRule="auto"/>
              <w:jc w:val="both"/>
              <w:rPr>
                <w:rFonts w:ascii="Verdana" w:eastAsia="Times New Roman" w:hAnsi="Verdana" w:cs="Times New Roman"/>
                <w:b/>
                <w:spacing w:val="4"/>
                <w:sz w:val="20"/>
                <w:szCs w:val="20"/>
                <w:lang w:val="bg-BG"/>
              </w:rPr>
            </w:pPr>
            <w:r w:rsidRPr="002B208F">
              <w:rPr>
                <w:rFonts w:ascii="Verdana" w:eastAsia="Times New Roman" w:hAnsi="Verdana" w:cs="Times New Roman"/>
                <w:b/>
                <w:spacing w:val="4"/>
                <w:sz w:val="20"/>
                <w:szCs w:val="20"/>
                <w:lang w:val="bg-BG"/>
              </w:rPr>
              <w:t>Нормативен акт:</w:t>
            </w:r>
          </w:p>
          <w:p w14:paraId="0FB92243" w14:textId="78068B26" w:rsidR="004B6886" w:rsidRPr="002B208F" w:rsidRDefault="00EA2324" w:rsidP="009B7765">
            <w:pPr>
              <w:shd w:val="clear" w:color="auto" w:fill="FFFFFF"/>
              <w:spacing w:after="0" w:line="336" w:lineRule="auto"/>
              <w:jc w:val="both"/>
              <w:rPr>
                <w:rFonts w:ascii="Verdana" w:eastAsia="Times New Roman" w:hAnsi="Verdana" w:cs="Times New Roman"/>
                <w:spacing w:val="4"/>
                <w:sz w:val="20"/>
                <w:szCs w:val="20"/>
                <w:lang w:val="bg-BG"/>
              </w:rPr>
            </w:pPr>
            <w:r w:rsidRPr="002B208F">
              <w:rPr>
                <w:rFonts w:ascii="Verdana" w:eastAsia="Times New Roman" w:hAnsi="Verdana" w:cs="Times New Roman"/>
                <w:spacing w:val="4"/>
                <w:sz w:val="20"/>
                <w:szCs w:val="20"/>
                <w:lang w:val="bg-BG"/>
              </w:rPr>
              <w:t>Проект на Постановление на Министерския съвет за изменение на Правилника за прилагане на Закона за собствеността и ползването на земеделските земи, приет с Постановление № 74 на Министерския съвет от 1991 г.</w:t>
            </w:r>
          </w:p>
        </w:tc>
      </w:tr>
      <w:tr w:rsidR="002B208F" w:rsidRPr="002B208F" w14:paraId="337FF7FB" w14:textId="77777777" w:rsidTr="00F431B8">
        <w:trPr>
          <w:gridBefore w:val="1"/>
          <w:wBefore w:w="8" w:type="dxa"/>
        </w:trPr>
        <w:tc>
          <w:tcPr>
            <w:tcW w:w="4626" w:type="dxa"/>
            <w:tcBorders>
              <w:top w:val="single" w:sz="18" w:space="0" w:color="auto"/>
              <w:bottom w:val="single" w:sz="18" w:space="0" w:color="auto"/>
            </w:tcBorders>
          </w:tcPr>
          <w:p w14:paraId="375CD9D0" w14:textId="7237A56F" w:rsidR="00076E63" w:rsidRPr="002B208F" w:rsidRDefault="006C27D6" w:rsidP="009B7765">
            <w:pPr>
              <w:spacing w:after="0" w:line="336" w:lineRule="auto"/>
              <w:rPr>
                <w:rFonts w:ascii="Verdana" w:eastAsia="Times New Roman" w:hAnsi="Verdana" w:cs="Times New Roman"/>
                <w:b/>
                <w:sz w:val="20"/>
                <w:szCs w:val="20"/>
                <w:lang w:val="bg-BG"/>
              </w:rPr>
            </w:pPr>
            <w:r w:rsidRPr="002B208F">
              <w:rPr>
                <w:rFonts w:ascii="Verdana" w:eastAsia="Times New Roman" w:hAnsi="Verdana" w:cs="Times New Roman"/>
                <w:b/>
                <w:sz w:val="20"/>
                <w:szCs w:val="20"/>
              </w:rPr>
              <w:object w:dxaOrig="225" w:dyaOrig="225" w14:anchorId="101DBD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0" type="#_x0000_t75" style="width:202.4pt;height:40.1pt" o:ole="">
                  <v:imagedata r:id="rId8" o:title=""/>
                </v:shape>
                <w:control r:id="rId9" w:name="OptionButton2" w:shapeid="_x0000_i1060"/>
              </w:object>
            </w:r>
          </w:p>
        </w:tc>
        <w:tc>
          <w:tcPr>
            <w:tcW w:w="5070" w:type="dxa"/>
            <w:gridSpan w:val="2"/>
            <w:tcBorders>
              <w:top w:val="single" w:sz="18" w:space="0" w:color="auto"/>
              <w:bottom w:val="single" w:sz="18" w:space="0" w:color="auto"/>
            </w:tcBorders>
          </w:tcPr>
          <w:p w14:paraId="6E07922F" w14:textId="30D0CCD5" w:rsidR="001F3D4C" w:rsidRPr="002B208F" w:rsidRDefault="006C27D6" w:rsidP="009B7765">
            <w:pPr>
              <w:spacing w:after="0" w:line="336" w:lineRule="auto"/>
              <w:rPr>
                <w:rFonts w:ascii="Verdana" w:eastAsia="Times New Roman" w:hAnsi="Verdana" w:cs="Times New Roman"/>
                <w:b/>
                <w:sz w:val="20"/>
                <w:szCs w:val="20"/>
              </w:rPr>
            </w:pPr>
            <w:r w:rsidRPr="002B208F">
              <w:rPr>
                <w:rFonts w:ascii="Verdana" w:eastAsia="Times New Roman" w:hAnsi="Verdana" w:cs="Times New Roman"/>
                <w:b/>
                <w:sz w:val="20"/>
                <w:szCs w:val="20"/>
              </w:rPr>
              <w:object w:dxaOrig="225" w:dyaOrig="225" w14:anchorId="6003E953">
                <v:shape id="_x0000_i1062" type="#_x0000_t75" style="width:202.4pt;height:38.7pt" o:ole="">
                  <v:imagedata r:id="rId10" o:title=""/>
                </v:shape>
                <w:control r:id="rId11" w:name="OptionButton1" w:shapeid="_x0000_i1062"/>
              </w:object>
            </w:r>
          </w:p>
        </w:tc>
      </w:tr>
      <w:tr w:rsidR="002B208F" w:rsidRPr="002B208F" w14:paraId="711309B6" w14:textId="77777777" w:rsidTr="00F431B8">
        <w:trPr>
          <w:gridBefore w:val="1"/>
          <w:wBefore w:w="8" w:type="dxa"/>
        </w:trPr>
        <w:tc>
          <w:tcPr>
            <w:tcW w:w="4626" w:type="dxa"/>
            <w:tcBorders>
              <w:bottom w:val="nil"/>
            </w:tcBorders>
          </w:tcPr>
          <w:p w14:paraId="4F59376B" w14:textId="77777777" w:rsidR="00AB499A" w:rsidRPr="002B208F" w:rsidRDefault="00076E63" w:rsidP="009B7765">
            <w:pPr>
              <w:spacing w:before="120" w:after="120" w:line="336" w:lineRule="auto"/>
              <w:jc w:val="both"/>
              <w:rPr>
                <w:rFonts w:ascii="Verdana" w:eastAsia="Times New Roman" w:hAnsi="Verdana" w:cs="Times New Roman"/>
                <w:sz w:val="20"/>
                <w:szCs w:val="20"/>
                <w:lang w:val="bg-BG"/>
              </w:rPr>
            </w:pPr>
            <w:r w:rsidRPr="002B208F">
              <w:rPr>
                <w:rFonts w:ascii="Verdana" w:eastAsia="Times New Roman" w:hAnsi="Verdana" w:cs="Times New Roman"/>
                <w:b/>
                <w:sz w:val="20"/>
                <w:szCs w:val="20"/>
                <w:lang w:val="bg-BG"/>
              </w:rPr>
              <w:t>Лиц</w:t>
            </w:r>
            <w:r w:rsidR="00AB499A" w:rsidRPr="002B208F">
              <w:rPr>
                <w:rFonts w:ascii="Verdana" w:eastAsia="Times New Roman" w:hAnsi="Verdana" w:cs="Times New Roman"/>
                <w:b/>
                <w:sz w:val="20"/>
                <w:szCs w:val="20"/>
                <w:lang w:val="bg-BG"/>
              </w:rPr>
              <w:t xml:space="preserve">а </w:t>
            </w:r>
            <w:r w:rsidRPr="002B208F">
              <w:rPr>
                <w:rFonts w:ascii="Verdana" w:eastAsia="Times New Roman" w:hAnsi="Verdana" w:cs="Times New Roman"/>
                <w:b/>
                <w:sz w:val="20"/>
                <w:szCs w:val="20"/>
                <w:lang w:val="bg-BG"/>
              </w:rPr>
              <w:t>за контакт:</w:t>
            </w:r>
          </w:p>
        </w:tc>
        <w:tc>
          <w:tcPr>
            <w:tcW w:w="5070" w:type="dxa"/>
            <w:gridSpan w:val="2"/>
            <w:tcBorders>
              <w:bottom w:val="nil"/>
            </w:tcBorders>
          </w:tcPr>
          <w:p w14:paraId="2CAFD88B" w14:textId="77777777" w:rsidR="00730732" w:rsidRPr="002B208F" w:rsidRDefault="00076E63" w:rsidP="009B7765">
            <w:pPr>
              <w:spacing w:before="120" w:after="120" w:line="336" w:lineRule="auto"/>
              <w:jc w:val="both"/>
              <w:rPr>
                <w:rFonts w:ascii="Verdana" w:eastAsia="Times New Roman" w:hAnsi="Verdana" w:cs="Times New Roman"/>
                <w:b/>
                <w:sz w:val="20"/>
                <w:szCs w:val="20"/>
                <w:lang w:val="bg-BG"/>
              </w:rPr>
            </w:pPr>
            <w:r w:rsidRPr="002B208F">
              <w:rPr>
                <w:rFonts w:ascii="Verdana" w:eastAsia="Times New Roman" w:hAnsi="Verdana" w:cs="Times New Roman"/>
                <w:b/>
                <w:sz w:val="20"/>
                <w:szCs w:val="20"/>
                <w:lang w:val="bg-BG"/>
              </w:rPr>
              <w:t>Телефон</w:t>
            </w:r>
            <w:r w:rsidR="00646B47" w:rsidRPr="002B208F">
              <w:rPr>
                <w:rFonts w:ascii="Verdana" w:eastAsia="Times New Roman" w:hAnsi="Verdana" w:cs="Times New Roman"/>
                <w:b/>
                <w:sz w:val="20"/>
                <w:szCs w:val="20"/>
                <w:lang w:val="bg-BG"/>
              </w:rPr>
              <w:t xml:space="preserve"> и електронна </w:t>
            </w:r>
            <w:r w:rsidR="0060089B" w:rsidRPr="002B208F">
              <w:rPr>
                <w:rFonts w:ascii="Verdana" w:eastAsia="Times New Roman" w:hAnsi="Verdana" w:cs="Times New Roman"/>
                <w:b/>
                <w:sz w:val="20"/>
                <w:szCs w:val="20"/>
                <w:lang w:val="bg-BG"/>
              </w:rPr>
              <w:t>поща</w:t>
            </w:r>
            <w:r w:rsidRPr="002B208F">
              <w:rPr>
                <w:rFonts w:ascii="Verdana" w:eastAsia="Times New Roman" w:hAnsi="Verdana" w:cs="Times New Roman"/>
                <w:b/>
                <w:sz w:val="20"/>
                <w:szCs w:val="20"/>
                <w:lang w:val="bg-BG"/>
              </w:rPr>
              <w:t>:</w:t>
            </w:r>
          </w:p>
        </w:tc>
      </w:tr>
      <w:tr w:rsidR="002B208F" w:rsidRPr="002B208F" w14:paraId="7B8F1C87" w14:textId="77777777" w:rsidTr="00F431B8">
        <w:trPr>
          <w:gridBefore w:val="1"/>
          <w:wBefore w:w="8" w:type="dxa"/>
        </w:trPr>
        <w:tc>
          <w:tcPr>
            <w:tcW w:w="4626" w:type="dxa"/>
            <w:tcBorders>
              <w:top w:val="nil"/>
              <w:bottom w:val="nil"/>
            </w:tcBorders>
          </w:tcPr>
          <w:p w14:paraId="02687452" w14:textId="33A83A0A" w:rsidR="00A4251A" w:rsidRPr="002B208F" w:rsidRDefault="00E27E07" w:rsidP="00F431B8">
            <w:pPr>
              <w:spacing w:before="120" w:after="0" w:line="336" w:lineRule="auto"/>
              <w:jc w:val="both"/>
              <w:rPr>
                <w:rFonts w:ascii="Verdana" w:eastAsia="Times New Roman" w:hAnsi="Verdana" w:cs="Times New Roman"/>
                <w:sz w:val="20"/>
                <w:szCs w:val="20"/>
                <w:lang w:val="bg-BG"/>
              </w:rPr>
            </w:pPr>
            <w:r w:rsidRPr="002B208F">
              <w:rPr>
                <w:rFonts w:ascii="Verdana" w:eastAsia="Times New Roman" w:hAnsi="Verdana" w:cs="Times New Roman"/>
                <w:sz w:val="20"/>
                <w:szCs w:val="20"/>
                <w:lang w:val="bg-BG"/>
              </w:rPr>
              <w:t xml:space="preserve">Лилия Стоянова – директор на дирекция „Поземлени отношения и комасация“, </w:t>
            </w:r>
            <w:r w:rsidR="00EC6010" w:rsidRPr="002B208F">
              <w:rPr>
                <w:rFonts w:ascii="Verdana" w:eastAsia="Times New Roman" w:hAnsi="Verdana" w:cs="Times New Roman"/>
                <w:sz w:val="20"/>
                <w:szCs w:val="20"/>
                <w:lang w:val="bg-BG"/>
              </w:rPr>
              <w:t>Министерство на земеделието и храните;</w:t>
            </w:r>
          </w:p>
        </w:tc>
        <w:tc>
          <w:tcPr>
            <w:tcW w:w="5070" w:type="dxa"/>
            <w:gridSpan w:val="2"/>
            <w:tcBorders>
              <w:top w:val="nil"/>
              <w:bottom w:val="nil"/>
            </w:tcBorders>
          </w:tcPr>
          <w:p w14:paraId="7C432229" w14:textId="1797AD45" w:rsidR="00C7728C" w:rsidRPr="002B208F" w:rsidRDefault="00C7728C" w:rsidP="00F431B8">
            <w:pPr>
              <w:spacing w:before="120" w:after="0" w:line="336" w:lineRule="auto"/>
              <w:rPr>
                <w:rFonts w:ascii="Verdana" w:eastAsia="Times New Roman" w:hAnsi="Verdana" w:cs="Times New Roman"/>
                <w:sz w:val="20"/>
                <w:szCs w:val="20"/>
              </w:rPr>
            </w:pPr>
            <w:r w:rsidRPr="002B208F">
              <w:rPr>
                <w:rFonts w:ascii="Verdana" w:eastAsia="Times New Roman" w:hAnsi="Verdana" w:cs="Times New Roman"/>
                <w:sz w:val="20"/>
                <w:szCs w:val="20"/>
                <w:lang w:val="bg-BG"/>
              </w:rPr>
              <w:t xml:space="preserve">02 98511 </w:t>
            </w:r>
            <w:r w:rsidR="00E27E07" w:rsidRPr="002B208F">
              <w:rPr>
                <w:rFonts w:ascii="Verdana" w:eastAsia="Times New Roman" w:hAnsi="Verdana" w:cs="Times New Roman"/>
                <w:sz w:val="20"/>
                <w:szCs w:val="20"/>
                <w:lang w:val="bg-BG"/>
              </w:rPr>
              <w:t>219</w:t>
            </w:r>
          </w:p>
          <w:p w14:paraId="4721ED08" w14:textId="27AE89AF" w:rsidR="00E27E07" w:rsidRPr="00F44FA7" w:rsidRDefault="00F53C95" w:rsidP="00F53C95">
            <w:pPr>
              <w:spacing w:after="0" w:line="336" w:lineRule="auto"/>
              <w:jc w:val="both"/>
              <w:rPr>
                <w:rFonts w:ascii="Verdana" w:eastAsia="Times New Roman" w:hAnsi="Verdana" w:cs="Times New Roman"/>
                <w:sz w:val="20"/>
                <w:szCs w:val="20"/>
              </w:rPr>
            </w:pPr>
            <w:hyperlink r:id="rId12" w:history="1">
              <w:r w:rsidRPr="0029431C">
                <w:rPr>
                  <w:rStyle w:val="Hyperlink"/>
                  <w:rFonts w:ascii="Verdana" w:eastAsia="Times New Roman" w:hAnsi="Verdana" w:cs="Times New Roman"/>
                  <w:sz w:val="20"/>
                  <w:szCs w:val="20"/>
                  <w:lang w:val="bg-BG"/>
                </w:rPr>
                <w:t>LStoyanova@mzh.government.bg</w:t>
              </w:r>
            </w:hyperlink>
          </w:p>
        </w:tc>
      </w:tr>
      <w:tr w:rsidR="002B208F" w:rsidRPr="002B208F" w14:paraId="14CDE64B" w14:textId="77777777" w:rsidTr="00F431B8">
        <w:trPr>
          <w:gridBefore w:val="1"/>
          <w:wBefore w:w="8" w:type="dxa"/>
        </w:trPr>
        <w:tc>
          <w:tcPr>
            <w:tcW w:w="4626" w:type="dxa"/>
            <w:tcBorders>
              <w:top w:val="nil"/>
              <w:bottom w:val="nil"/>
            </w:tcBorders>
          </w:tcPr>
          <w:p w14:paraId="126FF204" w14:textId="5D5A999B" w:rsidR="00F431B8" w:rsidRPr="002B208F" w:rsidRDefault="00F431B8" w:rsidP="00F431B8">
            <w:pPr>
              <w:spacing w:before="120" w:after="0" w:line="336" w:lineRule="auto"/>
              <w:jc w:val="both"/>
              <w:rPr>
                <w:rFonts w:ascii="Verdana" w:eastAsia="Times New Roman" w:hAnsi="Verdana" w:cs="Times New Roman"/>
                <w:spacing w:val="-2"/>
                <w:sz w:val="20"/>
                <w:szCs w:val="20"/>
                <w:lang w:val="bg-BG"/>
              </w:rPr>
            </w:pPr>
            <w:r w:rsidRPr="002B208F">
              <w:rPr>
                <w:rFonts w:ascii="Verdana" w:eastAsia="Times New Roman" w:hAnsi="Verdana" w:cs="Times New Roman"/>
                <w:spacing w:val="-2"/>
                <w:sz w:val="20"/>
                <w:szCs w:val="20"/>
                <w:lang w:val="bg-BG"/>
              </w:rPr>
              <w:t xml:space="preserve">Антоанета Делева – началник на отдел </w:t>
            </w:r>
            <w:r w:rsidRPr="002B208F">
              <w:rPr>
                <w:rFonts w:ascii="Verdana" w:hAnsi="Verdana"/>
                <w:sz w:val="20"/>
                <w:szCs w:val="20"/>
                <w:lang w:val="bg-BG"/>
              </w:rPr>
              <w:t>„Поземлена собственост и поземлени отношения и комасация“, дирекция „Поземлени отношения и комасация“</w:t>
            </w:r>
            <w:r w:rsidRPr="002B208F">
              <w:rPr>
                <w:rFonts w:ascii="Verdana" w:eastAsia="Times New Roman" w:hAnsi="Verdana" w:cs="Times New Roman"/>
                <w:spacing w:val="-2"/>
                <w:sz w:val="20"/>
                <w:szCs w:val="20"/>
                <w:lang w:val="bg-BG"/>
              </w:rPr>
              <w:t>, Министерство на земеделието и храните;</w:t>
            </w:r>
          </w:p>
        </w:tc>
        <w:tc>
          <w:tcPr>
            <w:tcW w:w="5070" w:type="dxa"/>
            <w:gridSpan w:val="2"/>
            <w:tcBorders>
              <w:top w:val="nil"/>
              <w:bottom w:val="nil"/>
            </w:tcBorders>
          </w:tcPr>
          <w:p w14:paraId="7B65F7C4" w14:textId="77777777" w:rsidR="00F431B8" w:rsidRPr="002B208F" w:rsidRDefault="00F431B8" w:rsidP="00F431B8">
            <w:pPr>
              <w:spacing w:before="120" w:after="0" w:line="336" w:lineRule="auto"/>
              <w:jc w:val="both"/>
              <w:rPr>
                <w:rFonts w:ascii="Verdana" w:eastAsia="Times New Roman" w:hAnsi="Verdana" w:cs="Times New Roman"/>
                <w:sz w:val="20"/>
                <w:szCs w:val="20"/>
                <w:lang w:val="bg-BG"/>
              </w:rPr>
            </w:pPr>
            <w:r w:rsidRPr="002B208F">
              <w:rPr>
                <w:rFonts w:ascii="Verdana" w:eastAsia="Times New Roman" w:hAnsi="Verdana" w:cs="Times New Roman"/>
                <w:sz w:val="20"/>
                <w:szCs w:val="20"/>
                <w:lang w:val="bg-BG"/>
              </w:rPr>
              <w:t>02 98511 437</w:t>
            </w:r>
          </w:p>
          <w:p w14:paraId="6BA42FE2" w14:textId="5675FCA2" w:rsidR="00F431B8" w:rsidRPr="00F44FA7" w:rsidRDefault="0091562E" w:rsidP="008A7E4F">
            <w:pPr>
              <w:spacing w:after="0" w:line="336" w:lineRule="auto"/>
              <w:rPr>
                <w:rFonts w:ascii="Verdana" w:hAnsi="Verdana" w:cs="Times New Roman"/>
                <w:sz w:val="20"/>
                <w:szCs w:val="20"/>
                <w:u w:val="single"/>
              </w:rPr>
            </w:pPr>
            <w:hyperlink r:id="rId13" w:history="1">
              <w:r w:rsidR="008A7E4F" w:rsidRPr="0003106E">
                <w:rPr>
                  <w:rStyle w:val="Hyperlink"/>
                  <w:rFonts w:ascii="Verdana" w:hAnsi="Verdana" w:cs="Times New Roman"/>
                  <w:sz w:val="20"/>
                  <w:szCs w:val="20"/>
                  <w:lang w:val="bg-BG"/>
                </w:rPr>
                <w:t>ADeleva@mzh.government.bg</w:t>
              </w:r>
            </w:hyperlink>
          </w:p>
        </w:tc>
      </w:tr>
      <w:tr w:rsidR="002B208F" w:rsidRPr="002B208F" w14:paraId="0B38FAC3" w14:textId="77777777" w:rsidTr="00F431B8">
        <w:trPr>
          <w:gridBefore w:val="1"/>
          <w:wBefore w:w="8" w:type="dxa"/>
        </w:trPr>
        <w:tc>
          <w:tcPr>
            <w:tcW w:w="4626" w:type="dxa"/>
            <w:tcBorders>
              <w:top w:val="nil"/>
              <w:bottom w:val="nil"/>
            </w:tcBorders>
          </w:tcPr>
          <w:p w14:paraId="25D3866A" w14:textId="35837050" w:rsidR="00F431B8" w:rsidRPr="002B208F" w:rsidRDefault="00F431B8" w:rsidP="00F431B8">
            <w:pPr>
              <w:spacing w:before="120" w:after="0" w:line="336" w:lineRule="auto"/>
              <w:jc w:val="both"/>
              <w:rPr>
                <w:rFonts w:ascii="Verdana" w:eastAsia="Times New Roman" w:hAnsi="Verdana" w:cs="Times New Roman"/>
                <w:sz w:val="20"/>
                <w:szCs w:val="20"/>
                <w:lang w:val="bg-BG"/>
              </w:rPr>
            </w:pPr>
            <w:r w:rsidRPr="002B208F">
              <w:rPr>
                <w:rFonts w:ascii="Verdana" w:eastAsia="Times New Roman" w:hAnsi="Verdana" w:cs="Times New Roman"/>
                <w:spacing w:val="-2"/>
                <w:sz w:val="20"/>
                <w:szCs w:val="20"/>
                <w:lang w:val="bg-BG"/>
              </w:rPr>
              <w:t xml:space="preserve">Калина Попова-Чьонг – главен юрисконсулт в отдел </w:t>
            </w:r>
            <w:r w:rsidRPr="002B208F">
              <w:rPr>
                <w:rFonts w:ascii="Verdana" w:hAnsi="Verdana"/>
                <w:sz w:val="20"/>
                <w:szCs w:val="20"/>
                <w:lang w:val="bg-BG"/>
              </w:rPr>
              <w:t>„Поземлена собственост и поземлени отношения и комасация“, дирекция „Поземлени отношения и комасация“</w:t>
            </w:r>
            <w:r w:rsidRPr="002B208F">
              <w:rPr>
                <w:rFonts w:ascii="Verdana" w:eastAsia="Times New Roman" w:hAnsi="Verdana" w:cs="Times New Roman"/>
                <w:spacing w:val="-2"/>
                <w:sz w:val="20"/>
                <w:szCs w:val="20"/>
                <w:lang w:val="bg-BG"/>
              </w:rPr>
              <w:t>, Министерство на земеделието и храните</w:t>
            </w:r>
          </w:p>
        </w:tc>
        <w:tc>
          <w:tcPr>
            <w:tcW w:w="5070" w:type="dxa"/>
            <w:gridSpan w:val="2"/>
            <w:tcBorders>
              <w:top w:val="nil"/>
              <w:bottom w:val="nil"/>
            </w:tcBorders>
          </w:tcPr>
          <w:p w14:paraId="4B7F359E" w14:textId="77777777" w:rsidR="00F431B8" w:rsidRPr="002B208F" w:rsidRDefault="00F431B8" w:rsidP="00F431B8">
            <w:pPr>
              <w:spacing w:before="120" w:after="0" w:line="336" w:lineRule="auto"/>
              <w:rPr>
                <w:rFonts w:ascii="Verdana" w:eastAsia="Times New Roman" w:hAnsi="Verdana" w:cs="Times New Roman"/>
                <w:sz w:val="20"/>
                <w:szCs w:val="20"/>
                <w:lang w:val="bg-BG"/>
              </w:rPr>
            </w:pPr>
            <w:r w:rsidRPr="002B208F">
              <w:rPr>
                <w:rFonts w:ascii="Verdana" w:eastAsia="Times New Roman" w:hAnsi="Verdana" w:cs="Times New Roman"/>
                <w:sz w:val="20"/>
                <w:szCs w:val="20"/>
                <w:lang w:val="bg-BG"/>
              </w:rPr>
              <w:t>02 98511 616</w:t>
            </w:r>
          </w:p>
          <w:p w14:paraId="3ED84E19" w14:textId="15245B52" w:rsidR="00F431B8" w:rsidRPr="002B208F" w:rsidRDefault="0091562E" w:rsidP="008A7E4F">
            <w:pPr>
              <w:spacing w:after="0" w:line="336" w:lineRule="auto"/>
              <w:jc w:val="both"/>
              <w:rPr>
                <w:rFonts w:ascii="Verdana" w:eastAsia="Times New Roman" w:hAnsi="Verdana" w:cs="Times New Roman"/>
                <w:sz w:val="20"/>
                <w:szCs w:val="20"/>
                <w:lang w:val="bg-BG"/>
              </w:rPr>
            </w:pPr>
            <w:hyperlink r:id="rId14" w:history="1">
              <w:r w:rsidR="008A7E4F" w:rsidRPr="0003106E">
                <w:rPr>
                  <w:rStyle w:val="Hyperlink"/>
                  <w:rFonts w:ascii="Verdana" w:eastAsia="Times New Roman" w:hAnsi="Verdana" w:cs="Times New Roman"/>
                  <w:sz w:val="20"/>
                  <w:szCs w:val="20"/>
                </w:rPr>
                <w:t>K</w:t>
              </w:r>
              <w:r w:rsidR="008A7E4F" w:rsidRPr="0003106E">
                <w:rPr>
                  <w:rStyle w:val="Hyperlink"/>
                  <w:rFonts w:ascii="Verdana" w:eastAsia="Times New Roman" w:hAnsi="Verdana" w:cs="Times New Roman"/>
                  <w:sz w:val="20"/>
                  <w:szCs w:val="20"/>
                  <w:lang w:val="bg-BG"/>
                </w:rPr>
                <w:t>.</w:t>
              </w:r>
              <w:r w:rsidR="008A7E4F" w:rsidRPr="0003106E">
                <w:rPr>
                  <w:rStyle w:val="Hyperlink"/>
                  <w:rFonts w:ascii="Verdana" w:eastAsia="Times New Roman" w:hAnsi="Verdana" w:cs="Times New Roman"/>
                  <w:sz w:val="20"/>
                  <w:szCs w:val="20"/>
                </w:rPr>
                <w:t>P</w:t>
              </w:r>
              <w:r w:rsidR="008A7E4F" w:rsidRPr="0003106E">
                <w:rPr>
                  <w:rStyle w:val="Hyperlink"/>
                  <w:rFonts w:ascii="Verdana" w:eastAsia="Times New Roman" w:hAnsi="Verdana" w:cs="Times New Roman"/>
                  <w:sz w:val="20"/>
                  <w:szCs w:val="20"/>
                  <w:lang w:val="bg-BG"/>
                </w:rPr>
                <w:t>opova@mzh.government.bg</w:t>
              </w:r>
            </w:hyperlink>
          </w:p>
        </w:tc>
      </w:tr>
      <w:tr w:rsidR="002B208F" w:rsidRPr="002B208F" w14:paraId="2B579704" w14:textId="77777777" w:rsidTr="00F431B8">
        <w:trPr>
          <w:gridBefore w:val="1"/>
          <w:wBefore w:w="8" w:type="dxa"/>
        </w:trPr>
        <w:tc>
          <w:tcPr>
            <w:tcW w:w="9696" w:type="dxa"/>
            <w:gridSpan w:val="3"/>
          </w:tcPr>
          <w:p w14:paraId="1670B5AE" w14:textId="168228C5" w:rsidR="00F023B1" w:rsidRPr="002B208F" w:rsidRDefault="00076E63" w:rsidP="009B7765">
            <w:pPr>
              <w:spacing w:before="120" w:after="120" w:line="336" w:lineRule="auto"/>
              <w:jc w:val="both"/>
              <w:rPr>
                <w:rFonts w:ascii="Verdana" w:eastAsia="Times New Roman" w:hAnsi="Verdana" w:cs="Times New Roman"/>
                <w:bCs/>
                <w:sz w:val="20"/>
                <w:szCs w:val="20"/>
              </w:rPr>
            </w:pPr>
            <w:r w:rsidRPr="002B208F">
              <w:rPr>
                <w:rFonts w:ascii="Verdana" w:eastAsia="Times New Roman" w:hAnsi="Verdana" w:cs="Times New Roman"/>
                <w:b/>
                <w:sz w:val="20"/>
                <w:szCs w:val="20"/>
                <w:lang w:val="bg-BG"/>
              </w:rPr>
              <w:t xml:space="preserve">1. </w:t>
            </w:r>
            <w:r w:rsidR="001138D1" w:rsidRPr="002B208F">
              <w:rPr>
                <w:rFonts w:ascii="Verdana" w:eastAsia="Times New Roman" w:hAnsi="Verdana" w:cs="Times New Roman"/>
                <w:b/>
                <w:sz w:val="20"/>
                <w:szCs w:val="20"/>
                <w:lang w:val="bg-BG"/>
              </w:rPr>
              <w:t>Проблем/</w:t>
            </w:r>
            <w:r w:rsidR="009D4DA5" w:rsidRPr="002B208F">
              <w:rPr>
                <w:rFonts w:ascii="Verdana" w:eastAsia="Times New Roman" w:hAnsi="Verdana" w:cs="Times New Roman"/>
                <w:b/>
                <w:sz w:val="20"/>
                <w:szCs w:val="20"/>
                <w:lang w:val="bg-BG"/>
              </w:rPr>
              <w:t>проблем</w:t>
            </w:r>
            <w:r w:rsidR="001138D1" w:rsidRPr="002B208F">
              <w:rPr>
                <w:rFonts w:ascii="Verdana" w:eastAsia="Times New Roman" w:hAnsi="Verdana" w:cs="Times New Roman"/>
                <w:b/>
                <w:sz w:val="20"/>
                <w:szCs w:val="20"/>
                <w:lang w:val="bg-BG"/>
              </w:rPr>
              <w:t>и за решаване</w:t>
            </w:r>
            <w:r w:rsidRPr="002B208F">
              <w:rPr>
                <w:rFonts w:ascii="Verdana" w:eastAsia="Times New Roman" w:hAnsi="Verdana" w:cs="Times New Roman"/>
                <w:b/>
                <w:sz w:val="20"/>
                <w:szCs w:val="20"/>
                <w:lang w:val="bg-BG"/>
              </w:rPr>
              <w:t xml:space="preserve">: </w:t>
            </w:r>
            <w:r w:rsidR="00235A81" w:rsidRPr="002B208F">
              <w:rPr>
                <w:rFonts w:ascii="Verdana" w:eastAsia="Times New Roman" w:hAnsi="Verdana" w:cs="Times New Roman"/>
                <w:b/>
                <w:sz w:val="20"/>
                <w:szCs w:val="20"/>
                <w:lang w:val="bg-BG"/>
              </w:rPr>
              <w:t xml:space="preserve"> </w:t>
            </w:r>
          </w:p>
          <w:p w14:paraId="19D8BFF7" w14:textId="2C86D75F" w:rsidR="00E07566" w:rsidRPr="00F44FA7" w:rsidRDefault="00D75B0B" w:rsidP="009B7765">
            <w:pPr>
              <w:spacing w:after="0" w:line="336" w:lineRule="auto"/>
              <w:jc w:val="both"/>
              <w:rPr>
                <w:rFonts w:ascii="Verdana" w:eastAsia="Times New Roman" w:hAnsi="Verdana" w:cs="Times New Roman"/>
                <w:sz w:val="20"/>
                <w:szCs w:val="20"/>
              </w:rPr>
            </w:pPr>
            <w:r w:rsidRPr="002B208F">
              <w:rPr>
                <w:rFonts w:ascii="Verdana" w:eastAsia="Times New Roman" w:hAnsi="Verdana" w:cs="Times New Roman"/>
                <w:sz w:val="20"/>
                <w:szCs w:val="20"/>
                <w:lang w:val="bg-BG"/>
              </w:rPr>
              <w:t xml:space="preserve">Необходимост от </w:t>
            </w:r>
            <w:r w:rsidR="00EC6010" w:rsidRPr="002B208F">
              <w:rPr>
                <w:rFonts w:ascii="Verdana" w:eastAsia="Times New Roman" w:hAnsi="Verdana" w:cs="Times New Roman"/>
                <w:sz w:val="20"/>
                <w:szCs w:val="20"/>
                <w:lang w:val="bg-BG"/>
              </w:rPr>
              <w:t xml:space="preserve">привеждане на </w:t>
            </w:r>
            <w:r w:rsidR="00E07566" w:rsidRPr="002B208F">
              <w:rPr>
                <w:rFonts w:ascii="Verdana" w:eastAsia="Times New Roman" w:hAnsi="Verdana" w:cs="Times New Roman"/>
                <w:sz w:val="20"/>
                <w:szCs w:val="20"/>
                <w:lang w:val="bg-BG"/>
              </w:rPr>
              <w:t xml:space="preserve">разпоредбите на </w:t>
            </w:r>
            <w:r w:rsidR="00EC6010" w:rsidRPr="002B208F">
              <w:rPr>
                <w:rFonts w:ascii="Verdana" w:eastAsia="Times New Roman" w:hAnsi="Verdana" w:cs="Times New Roman"/>
                <w:sz w:val="20"/>
                <w:szCs w:val="20"/>
                <w:lang w:val="bg-BG"/>
              </w:rPr>
              <w:t>Правилника за прилагане на Закона за собствеността и ползването на земеделските земи</w:t>
            </w:r>
            <w:r w:rsidR="00617AF6" w:rsidRPr="002B208F">
              <w:rPr>
                <w:rFonts w:ascii="Verdana" w:eastAsia="Times New Roman" w:hAnsi="Verdana" w:cs="Times New Roman"/>
                <w:sz w:val="20"/>
                <w:szCs w:val="20"/>
                <w:lang w:val="bg-BG"/>
              </w:rPr>
              <w:t xml:space="preserve"> </w:t>
            </w:r>
            <w:r w:rsidR="00617AF6" w:rsidRPr="002B208F">
              <w:rPr>
                <w:rFonts w:ascii="Verdana" w:eastAsia="Times New Roman" w:hAnsi="Verdana" w:cs="Times New Roman"/>
                <w:sz w:val="20"/>
                <w:szCs w:val="20"/>
              </w:rPr>
              <w:t>(</w:t>
            </w:r>
            <w:r w:rsidR="00617AF6" w:rsidRPr="002B208F">
              <w:rPr>
                <w:rFonts w:ascii="Verdana" w:eastAsia="Times New Roman" w:hAnsi="Verdana" w:cs="Times New Roman"/>
                <w:sz w:val="20"/>
                <w:szCs w:val="20"/>
                <w:lang w:val="bg-BG"/>
              </w:rPr>
              <w:t>ППЗСПЗЗ</w:t>
            </w:r>
            <w:r w:rsidR="00617AF6" w:rsidRPr="002B208F">
              <w:rPr>
                <w:rFonts w:ascii="Verdana" w:eastAsia="Times New Roman" w:hAnsi="Verdana" w:cs="Times New Roman"/>
                <w:sz w:val="20"/>
                <w:szCs w:val="20"/>
              </w:rPr>
              <w:t>)</w:t>
            </w:r>
            <w:r w:rsidR="00EC6010" w:rsidRPr="002B208F">
              <w:rPr>
                <w:rFonts w:ascii="Verdana" w:eastAsia="Times New Roman" w:hAnsi="Verdana" w:cs="Times New Roman"/>
                <w:sz w:val="20"/>
                <w:szCs w:val="20"/>
                <w:lang w:val="bg-BG"/>
              </w:rPr>
              <w:t xml:space="preserve"> в съответствие  със Закона за въвеждане на еврото в Република България </w:t>
            </w:r>
            <w:r w:rsidR="00EC6010" w:rsidRPr="002B208F">
              <w:rPr>
                <w:rFonts w:ascii="Verdana" w:eastAsia="Times New Roman" w:hAnsi="Verdana" w:cs="Times New Roman"/>
                <w:sz w:val="20"/>
                <w:szCs w:val="20"/>
              </w:rPr>
              <w:t>(</w:t>
            </w:r>
            <w:r w:rsidR="00EC6010" w:rsidRPr="002B208F">
              <w:rPr>
                <w:rFonts w:ascii="Verdana" w:eastAsia="Times New Roman" w:hAnsi="Verdana" w:cs="Times New Roman"/>
                <w:sz w:val="20"/>
                <w:szCs w:val="20"/>
                <w:lang w:val="bg-BG"/>
              </w:rPr>
              <w:t>ЗВЕРБ</w:t>
            </w:r>
            <w:r w:rsidR="00EC6010" w:rsidRPr="002B208F">
              <w:rPr>
                <w:rFonts w:ascii="Verdana" w:eastAsia="Times New Roman" w:hAnsi="Verdana" w:cs="Times New Roman"/>
                <w:sz w:val="20"/>
                <w:szCs w:val="20"/>
              </w:rPr>
              <w:t>)</w:t>
            </w:r>
            <w:r w:rsidR="00520D32" w:rsidRPr="002B208F">
              <w:rPr>
                <w:rFonts w:ascii="Verdana" w:eastAsia="Times New Roman" w:hAnsi="Verdana" w:cs="Times New Roman"/>
                <w:sz w:val="20"/>
                <w:szCs w:val="20"/>
                <w:lang w:val="bg-BG"/>
              </w:rPr>
              <w:t xml:space="preserve"> </w:t>
            </w:r>
            <w:r w:rsidR="00520D32">
              <w:rPr>
                <w:rFonts w:ascii="Verdana" w:eastAsia="Times New Roman" w:hAnsi="Verdana" w:cs="Times New Roman"/>
                <w:sz w:val="20"/>
                <w:szCs w:val="20"/>
                <w:lang w:val="bg-BG"/>
              </w:rPr>
              <w:t xml:space="preserve">и </w:t>
            </w:r>
            <w:r w:rsidR="00520D32" w:rsidRPr="002B208F">
              <w:rPr>
                <w:rFonts w:ascii="Verdana" w:eastAsia="Times New Roman" w:hAnsi="Verdana" w:cs="Times New Roman"/>
                <w:sz w:val="20"/>
                <w:szCs w:val="20"/>
                <w:lang w:val="bg-BG"/>
              </w:rPr>
              <w:t>Националния план за въвеждане на еврото в Република България</w:t>
            </w:r>
            <w:r w:rsidR="00520D32">
              <w:rPr>
                <w:rFonts w:ascii="Verdana" w:eastAsia="Times New Roman" w:hAnsi="Verdana" w:cs="Times New Roman"/>
                <w:sz w:val="20"/>
                <w:szCs w:val="20"/>
                <w:lang w:val="bg-BG"/>
              </w:rPr>
              <w:t>.</w:t>
            </w:r>
          </w:p>
          <w:p w14:paraId="7F1921DE" w14:textId="77777777" w:rsidR="00A74ADC" w:rsidRPr="002B208F" w:rsidRDefault="00A74ADC" w:rsidP="009B7765">
            <w:pPr>
              <w:spacing w:after="0" w:line="336" w:lineRule="auto"/>
              <w:ind w:firstLine="297"/>
              <w:jc w:val="both"/>
              <w:rPr>
                <w:rFonts w:ascii="Verdana" w:eastAsia="Times New Roman" w:hAnsi="Verdana" w:cs="Times New Roman"/>
                <w:i/>
                <w:sz w:val="14"/>
                <w:szCs w:val="14"/>
                <w:lang w:val="bg-BG"/>
              </w:rPr>
            </w:pPr>
            <w:r w:rsidRPr="002B208F">
              <w:rPr>
                <w:rFonts w:ascii="Verdana" w:eastAsia="Times New Roman" w:hAnsi="Verdana" w:cs="Times New Roman"/>
                <w:i/>
                <w:sz w:val="14"/>
                <w:szCs w:val="14"/>
                <w:lang w:val="bg-BG"/>
              </w:rPr>
              <w:t>1.1. Кратко опишете проблема/проблемите и причините за неговото/тяхното възникване. По възможност посочете числови стойности.</w:t>
            </w:r>
          </w:p>
          <w:p w14:paraId="6E17EF6E" w14:textId="01A10DCA" w:rsidR="00254044" w:rsidRPr="002B208F" w:rsidRDefault="00254044" w:rsidP="00F431B8">
            <w:pPr>
              <w:spacing w:before="120" w:after="0" w:line="336" w:lineRule="auto"/>
              <w:ind w:firstLine="297"/>
              <w:jc w:val="both"/>
              <w:rPr>
                <w:rFonts w:ascii="Verdana" w:hAnsi="Verdana"/>
                <w:sz w:val="20"/>
                <w:szCs w:val="20"/>
                <w:lang w:val="bg-BG"/>
              </w:rPr>
            </w:pPr>
            <w:r w:rsidRPr="002B208F">
              <w:rPr>
                <w:rFonts w:ascii="Verdana" w:hAnsi="Verdana"/>
                <w:iCs/>
                <w:spacing w:val="-4"/>
                <w:sz w:val="20"/>
                <w:szCs w:val="20"/>
                <w:lang w:val="bg-BG"/>
              </w:rPr>
              <w:t>С</w:t>
            </w:r>
            <w:r w:rsidRPr="002B208F">
              <w:rPr>
                <w:rFonts w:ascii="Verdana" w:hAnsi="Verdana"/>
                <w:sz w:val="20"/>
                <w:szCs w:val="20"/>
                <w:lang w:val="bg-BG"/>
              </w:rPr>
              <w:t>ъгласно разпоредбата на чл. 24а, ал. 1 от Закона за собствеността и ползването на земеделските земи (ЗСПЗЗ) свободните земеделски земи от държавния поземлен фонд се отдават под наем или аренда чрез търг, при условия и по ред, определени в</w:t>
            </w:r>
            <w:r w:rsidR="00C279EC" w:rsidRPr="002B208F">
              <w:rPr>
                <w:rFonts w:ascii="Verdana" w:hAnsi="Verdana"/>
                <w:sz w:val="20"/>
                <w:szCs w:val="20"/>
                <w:lang w:val="bg-BG"/>
              </w:rPr>
              <w:t xml:space="preserve"> </w:t>
            </w:r>
            <w:r w:rsidR="00617AF6" w:rsidRPr="002B208F">
              <w:rPr>
                <w:rFonts w:ascii="Verdana" w:hAnsi="Verdana"/>
                <w:sz w:val="20"/>
                <w:szCs w:val="20"/>
                <w:lang w:val="bg-BG"/>
              </w:rPr>
              <w:t>П</w:t>
            </w:r>
            <w:r w:rsidRPr="002B208F">
              <w:rPr>
                <w:rFonts w:ascii="Verdana" w:hAnsi="Verdana"/>
                <w:sz w:val="20"/>
                <w:szCs w:val="20"/>
                <w:lang w:val="bg-BG"/>
              </w:rPr>
              <w:t>ПЗСПЗЗ. Процедурата за провеждане на търговете е уредена в разпоредбите на чл. 47б</w:t>
            </w:r>
            <w:r w:rsidR="00520D32">
              <w:rPr>
                <w:rFonts w:ascii="Verdana" w:hAnsi="Verdana"/>
                <w:sz w:val="20"/>
                <w:szCs w:val="20"/>
                <w:lang w:val="bg-BG"/>
              </w:rPr>
              <w:t xml:space="preserve"> </w:t>
            </w:r>
            <w:r w:rsidRPr="002B208F">
              <w:rPr>
                <w:rFonts w:ascii="Verdana" w:hAnsi="Verdana"/>
                <w:sz w:val="20"/>
                <w:szCs w:val="20"/>
                <w:lang w:val="bg-BG"/>
              </w:rPr>
              <w:t>- 47</w:t>
            </w:r>
            <w:r w:rsidR="00520D32">
              <w:rPr>
                <w:rFonts w:ascii="Verdana" w:hAnsi="Verdana"/>
                <w:sz w:val="20"/>
                <w:szCs w:val="20"/>
                <w:lang w:val="bg-BG"/>
              </w:rPr>
              <w:t>о и чл. 47ч</w:t>
            </w:r>
            <w:r w:rsidRPr="002B208F">
              <w:rPr>
                <w:rFonts w:ascii="Verdana" w:hAnsi="Verdana"/>
                <w:sz w:val="20"/>
                <w:szCs w:val="20"/>
                <w:lang w:val="bg-BG"/>
              </w:rPr>
              <w:t xml:space="preserve"> от ППЗСПЗЗ. </w:t>
            </w:r>
          </w:p>
          <w:p w14:paraId="274937B6" w14:textId="3DA5BF93" w:rsidR="00254044" w:rsidRPr="002B208F" w:rsidRDefault="00254044" w:rsidP="009B7765">
            <w:pPr>
              <w:spacing w:after="0" w:line="336" w:lineRule="auto"/>
              <w:ind w:firstLine="297"/>
              <w:jc w:val="both"/>
              <w:rPr>
                <w:rFonts w:ascii="Verdana" w:hAnsi="Verdana"/>
                <w:sz w:val="20"/>
                <w:szCs w:val="20"/>
                <w:lang w:val="bg-BG"/>
              </w:rPr>
            </w:pPr>
            <w:r w:rsidRPr="002B208F">
              <w:rPr>
                <w:rFonts w:ascii="Verdana" w:hAnsi="Verdana"/>
                <w:sz w:val="20"/>
                <w:szCs w:val="20"/>
                <w:lang w:val="bg-BG"/>
              </w:rPr>
              <w:lastRenderedPageBreak/>
              <w:t>Съгласно разпоредбата на чл. 37и, ал. 13 от ЗСПЗЗ пасищата, мерите и ливадите от държавния и общинския поземлен фонд, останали свободни след извършеното разпределение, се отдават под наем чрез търг, като редът за провеждане на търговете е уреден в разпоредбите на чл. 104и</w:t>
            </w:r>
            <w:r w:rsidR="007153E7">
              <w:rPr>
                <w:rFonts w:ascii="Verdana" w:hAnsi="Verdana"/>
                <w:sz w:val="20"/>
                <w:szCs w:val="20"/>
                <w:lang w:val="bg-BG"/>
              </w:rPr>
              <w:t xml:space="preserve"> </w:t>
            </w:r>
            <w:r w:rsidRPr="002B208F">
              <w:rPr>
                <w:rFonts w:ascii="Verdana" w:hAnsi="Verdana"/>
                <w:sz w:val="20"/>
                <w:szCs w:val="20"/>
                <w:lang w:val="bg-BG"/>
              </w:rPr>
              <w:t xml:space="preserve">- 104у от ППЗСПЗЗ. </w:t>
            </w:r>
          </w:p>
          <w:p w14:paraId="3EEB188F" w14:textId="1AB34AA6" w:rsidR="00254044" w:rsidRPr="002B208F" w:rsidRDefault="00F431B8" w:rsidP="009B7765">
            <w:pPr>
              <w:spacing w:after="0" w:line="336" w:lineRule="auto"/>
              <w:ind w:firstLine="297"/>
              <w:jc w:val="both"/>
              <w:rPr>
                <w:rFonts w:ascii="Verdana" w:hAnsi="Verdana"/>
                <w:sz w:val="20"/>
                <w:szCs w:val="20"/>
                <w:lang w:val="bg-BG"/>
              </w:rPr>
            </w:pPr>
            <w:r w:rsidRPr="002B208F">
              <w:rPr>
                <w:rFonts w:ascii="Verdana" w:eastAsia="Times New Roman" w:hAnsi="Verdana" w:cs="Times New Roman"/>
                <w:sz w:val="20"/>
                <w:szCs w:val="20"/>
                <w:lang w:val="bg-BG"/>
              </w:rPr>
              <w:t>Правилникът за прилагане на Закона за собствеността и ползването на земеделските земи</w:t>
            </w:r>
            <w:r w:rsidR="00254044" w:rsidRPr="002B208F">
              <w:rPr>
                <w:rFonts w:ascii="Verdana" w:hAnsi="Verdana"/>
                <w:sz w:val="20"/>
                <w:szCs w:val="20"/>
                <w:lang w:val="bg-BG"/>
              </w:rPr>
              <w:t xml:space="preserve"> определя и реда за провеждане на търгове за продажба на земи от територията на организациите по § 12 от </w:t>
            </w:r>
            <w:r w:rsidR="00F10DC5">
              <w:rPr>
                <w:rFonts w:ascii="Verdana" w:hAnsi="Verdana"/>
                <w:sz w:val="20"/>
                <w:szCs w:val="20"/>
                <w:lang w:val="bg-BG"/>
              </w:rPr>
              <w:t>преходните и заключителни разпоредби</w:t>
            </w:r>
            <w:r w:rsidR="00F10DC5" w:rsidRPr="002B208F">
              <w:rPr>
                <w:rFonts w:ascii="Verdana" w:hAnsi="Verdana"/>
                <w:sz w:val="20"/>
                <w:szCs w:val="20"/>
                <w:lang w:val="bg-BG"/>
              </w:rPr>
              <w:t xml:space="preserve"> </w:t>
            </w:r>
            <w:r w:rsidR="00254044" w:rsidRPr="002B208F">
              <w:rPr>
                <w:rFonts w:ascii="Verdana" w:hAnsi="Verdana"/>
                <w:sz w:val="20"/>
                <w:szCs w:val="20"/>
                <w:lang w:val="bg-BG"/>
              </w:rPr>
              <w:t>на ЗСПЗЗ (бившите ТКЗС, АПК и др.), както следва:</w:t>
            </w:r>
          </w:p>
          <w:p w14:paraId="5C19FED0" w14:textId="6B43952C" w:rsidR="00254044" w:rsidRPr="002B208F" w:rsidRDefault="00254044" w:rsidP="009B7765">
            <w:pPr>
              <w:spacing w:after="0" w:line="336" w:lineRule="auto"/>
              <w:ind w:firstLine="297"/>
              <w:jc w:val="both"/>
              <w:rPr>
                <w:rFonts w:ascii="Verdana" w:hAnsi="Verdana"/>
                <w:sz w:val="20"/>
                <w:szCs w:val="20"/>
                <w:lang w:val="bg-BG"/>
              </w:rPr>
            </w:pPr>
            <w:r w:rsidRPr="002B208F">
              <w:rPr>
                <w:rFonts w:ascii="Verdana" w:hAnsi="Verdana"/>
                <w:sz w:val="20"/>
                <w:szCs w:val="20"/>
                <w:lang w:val="bg-BG"/>
              </w:rPr>
              <w:t>- за продажба на свободните и негодни за земеделско производство земи в стопанските дворове, които не подлежат на възстановяване  – Глава четвърта „а“ – „Разпореждане с държавните земи в бившите стопански дворове на организациите по § 12 от преходните и заключителните разпоредби  на ЗСПЗЗ“ - Раздел ІІ - „Разпореждане със земи по реда на чл. 27, ал. 8 ЗСПЗЗ“ (чл. 56е –</w:t>
            </w:r>
            <w:r w:rsidR="00F10DC5">
              <w:rPr>
                <w:rFonts w:ascii="Verdana" w:hAnsi="Verdana"/>
                <w:sz w:val="20"/>
                <w:szCs w:val="20"/>
                <w:lang w:val="bg-BG"/>
              </w:rPr>
              <w:t xml:space="preserve"> </w:t>
            </w:r>
            <w:r w:rsidRPr="002B208F">
              <w:rPr>
                <w:rFonts w:ascii="Verdana" w:hAnsi="Verdana"/>
                <w:sz w:val="20"/>
                <w:szCs w:val="20"/>
                <w:lang w:val="bg-BG"/>
              </w:rPr>
              <w:t>56р от ППЗСПЗЗ);</w:t>
            </w:r>
          </w:p>
          <w:p w14:paraId="6C515BBC" w14:textId="1ABEB525" w:rsidR="00254044" w:rsidRPr="002B208F" w:rsidRDefault="00254044" w:rsidP="009B7765">
            <w:pPr>
              <w:spacing w:after="0" w:line="336" w:lineRule="auto"/>
              <w:ind w:firstLine="297"/>
              <w:jc w:val="both"/>
              <w:rPr>
                <w:rFonts w:ascii="Verdana" w:hAnsi="Verdana"/>
                <w:sz w:val="20"/>
                <w:szCs w:val="20"/>
                <w:lang w:val="bg-BG"/>
              </w:rPr>
            </w:pPr>
            <w:r w:rsidRPr="002B208F">
              <w:rPr>
                <w:rFonts w:ascii="Verdana" w:hAnsi="Verdana"/>
                <w:sz w:val="20"/>
                <w:szCs w:val="20"/>
                <w:lang w:val="bg-BG"/>
              </w:rPr>
              <w:t>- за продажба на земеделските земи в бившите стопански дворове, намиращи се извън урбанизираните територии, останали след възстановяване правата на собствениците - Глава единадесета – „Стопанисване, управление и разпореждане със земеделските земи по § 12а от преходните и заключителните разпоредби на ЗСПЗЗ“ (чл. 105 –</w:t>
            </w:r>
            <w:r w:rsidR="00E350B4">
              <w:rPr>
                <w:rFonts w:ascii="Verdana" w:hAnsi="Verdana"/>
                <w:sz w:val="20"/>
                <w:szCs w:val="20"/>
                <w:lang w:val="bg-BG"/>
              </w:rPr>
              <w:t xml:space="preserve"> </w:t>
            </w:r>
            <w:r w:rsidRPr="002B208F">
              <w:rPr>
                <w:rFonts w:ascii="Verdana" w:hAnsi="Verdana"/>
                <w:sz w:val="20"/>
                <w:szCs w:val="20"/>
                <w:lang w:val="bg-BG"/>
              </w:rPr>
              <w:t>109 от ППЗСПЗЗ);</w:t>
            </w:r>
          </w:p>
          <w:p w14:paraId="083923E7" w14:textId="7C44ED55" w:rsidR="00254044" w:rsidRPr="002B208F" w:rsidRDefault="00254044" w:rsidP="009B7765">
            <w:pPr>
              <w:spacing w:after="0" w:line="336" w:lineRule="auto"/>
              <w:ind w:firstLine="297"/>
              <w:jc w:val="both"/>
              <w:rPr>
                <w:rFonts w:ascii="Verdana" w:hAnsi="Verdana"/>
                <w:sz w:val="20"/>
                <w:szCs w:val="20"/>
                <w:lang w:val="bg-BG"/>
              </w:rPr>
            </w:pPr>
            <w:r w:rsidRPr="002B208F">
              <w:rPr>
                <w:rFonts w:ascii="Verdana" w:hAnsi="Verdana"/>
                <w:sz w:val="20"/>
                <w:szCs w:val="20"/>
                <w:lang w:val="bg-BG"/>
              </w:rPr>
              <w:t xml:space="preserve">- за продажба на имоти, определени със съответни планове като земи по чл. 27, ал. 8 от ЗСПЗЗ или като земеделски земи по § 12а от </w:t>
            </w:r>
            <w:r w:rsidR="00E350B4" w:rsidRPr="00E350B4">
              <w:rPr>
                <w:rFonts w:ascii="Verdana" w:hAnsi="Verdana"/>
                <w:sz w:val="20"/>
                <w:szCs w:val="20"/>
                <w:lang w:val="bg-BG"/>
              </w:rPr>
              <w:t>преходните и заключителни разпоредби</w:t>
            </w:r>
            <w:r w:rsidRPr="002B208F">
              <w:rPr>
                <w:rFonts w:ascii="Verdana" w:hAnsi="Verdana"/>
                <w:sz w:val="20"/>
                <w:szCs w:val="20"/>
                <w:lang w:val="bg-BG"/>
              </w:rPr>
              <w:t xml:space="preserve"> на ЗСПЗЗ, върху които са изградени сгради и/или съоръжения след 01.03.1991 г. - </w:t>
            </w:r>
            <w:r w:rsidRPr="002B208F">
              <w:rPr>
                <w:rFonts w:ascii="Verdana" w:hAnsi="Verdana"/>
                <w:sz w:val="20"/>
                <w:szCs w:val="20"/>
                <w:shd w:val="clear" w:color="auto" w:fill="FEFEFE"/>
                <w:lang w:val="bg-BG"/>
              </w:rPr>
              <w:t>Глава тринадесета – „Разпореждане със земи по § 8 от преходните и заключителните разпоредби на Закона за изменение и допълнение на ЗСПЗЗ (ДВ, бр. 61 от 2016 г.)“ (чл. 116 –</w:t>
            </w:r>
            <w:r w:rsidR="00E350B4">
              <w:rPr>
                <w:rFonts w:ascii="Verdana" w:hAnsi="Verdana"/>
                <w:sz w:val="20"/>
                <w:szCs w:val="20"/>
                <w:shd w:val="clear" w:color="auto" w:fill="FEFEFE"/>
                <w:lang w:val="bg-BG"/>
              </w:rPr>
              <w:t xml:space="preserve"> </w:t>
            </w:r>
            <w:r w:rsidRPr="002B208F">
              <w:rPr>
                <w:rFonts w:ascii="Verdana" w:hAnsi="Verdana"/>
                <w:sz w:val="20"/>
                <w:szCs w:val="20"/>
                <w:shd w:val="clear" w:color="auto" w:fill="FEFEFE"/>
                <w:lang w:val="bg-BG"/>
              </w:rPr>
              <w:t>118 от ППЗСПЗЗ).</w:t>
            </w:r>
          </w:p>
          <w:p w14:paraId="5156D5D9" w14:textId="4E545F58" w:rsidR="004407E6" w:rsidRPr="0055558F" w:rsidRDefault="00254044" w:rsidP="009B7765">
            <w:pPr>
              <w:spacing w:after="0" w:line="336" w:lineRule="auto"/>
              <w:ind w:firstLine="297"/>
              <w:jc w:val="both"/>
              <w:rPr>
                <w:rFonts w:ascii="Verdana" w:hAnsi="Verdana"/>
                <w:sz w:val="20"/>
                <w:szCs w:val="20"/>
                <w:lang w:val="bg-BG"/>
              </w:rPr>
            </w:pPr>
            <w:r w:rsidRPr="002B208F">
              <w:rPr>
                <w:rFonts w:ascii="Verdana" w:hAnsi="Verdana"/>
                <w:sz w:val="20"/>
                <w:szCs w:val="20"/>
                <w:lang w:val="bg-BG"/>
              </w:rPr>
              <w:t xml:space="preserve">В разпоредите, регламентиращи реда за провеждане на търговете, е предвидено, че в офертите, подадени от кандидатите, </w:t>
            </w:r>
            <w:r w:rsidR="00C279EC" w:rsidRPr="002B208F">
              <w:rPr>
                <w:rFonts w:ascii="Verdana" w:hAnsi="Verdana"/>
                <w:sz w:val="20"/>
                <w:szCs w:val="20"/>
                <w:lang w:val="bg-BG"/>
              </w:rPr>
              <w:t xml:space="preserve">предлаганата цена следва да се посочва в български лев като парична единица. </w:t>
            </w:r>
            <w:r w:rsidR="004407E6" w:rsidRPr="002B208F">
              <w:rPr>
                <w:rFonts w:ascii="Verdana" w:hAnsi="Verdana"/>
                <w:sz w:val="20"/>
                <w:szCs w:val="20"/>
                <w:lang w:val="bg-BG"/>
              </w:rPr>
              <w:t xml:space="preserve">Във </w:t>
            </w:r>
            <w:r w:rsidR="00EA1FFC" w:rsidRPr="002B208F">
              <w:rPr>
                <w:rFonts w:ascii="Verdana" w:hAnsi="Verdana"/>
                <w:sz w:val="20"/>
                <w:szCs w:val="20"/>
                <w:lang w:val="bg-BG"/>
              </w:rPr>
              <w:t xml:space="preserve">връзка с въвеждането на еврото </w:t>
            </w:r>
            <w:r w:rsidR="004407E6" w:rsidRPr="002B208F">
              <w:rPr>
                <w:rFonts w:ascii="Verdana" w:hAnsi="Verdana"/>
                <w:sz w:val="20"/>
                <w:szCs w:val="20"/>
                <w:lang w:val="bg-BG"/>
              </w:rPr>
              <w:t>като парична единица в Република България,</w:t>
            </w:r>
            <w:r w:rsidR="004407E6" w:rsidRPr="002B208F">
              <w:rPr>
                <w:rFonts w:ascii="Verdana" w:eastAsia="Times New Roman" w:hAnsi="Verdana" w:cs="Times New Roman"/>
                <w:bCs/>
                <w:iCs/>
                <w:sz w:val="20"/>
                <w:szCs w:val="20"/>
                <w:lang w:val="bg-BG"/>
              </w:rPr>
              <w:t xml:space="preserve"> което ще се осъществи на основание Решение (ЕС) </w:t>
            </w:r>
            <w:r w:rsidR="00EA1FFC" w:rsidRPr="002B208F">
              <w:rPr>
                <w:rFonts w:ascii="Verdana" w:eastAsia="Times New Roman" w:hAnsi="Verdana" w:cs="Times New Roman"/>
                <w:bCs/>
                <w:iCs/>
                <w:sz w:val="20"/>
                <w:szCs w:val="20"/>
                <w:lang w:val="bg-BG"/>
              </w:rPr>
              <w:t xml:space="preserve">№ </w:t>
            </w:r>
            <w:r w:rsidR="004407E6" w:rsidRPr="002B208F">
              <w:rPr>
                <w:rFonts w:ascii="Verdana" w:eastAsia="Times New Roman" w:hAnsi="Verdana" w:cs="Times New Roman"/>
                <w:bCs/>
                <w:iCs/>
                <w:sz w:val="20"/>
                <w:szCs w:val="20"/>
                <w:lang w:val="bg-BG"/>
              </w:rPr>
              <w:t>2025/1407 на Съвета от 8 юли 2025 година относно приемането на еврото от България, считано от 1 януари 2026 г. (OВ L, 2025/1407, 14.7.2025 г.)</w:t>
            </w:r>
            <w:r w:rsidR="00EA1FFC" w:rsidRPr="002B208F">
              <w:rPr>
                <w:rFonts w:ascii="Verdana" w:eastAsia="Times New Roman" w:hAnsi="Verdana" w:cs="Times New Roman"/>
                <w:bCs/>
                <w:iCs/>
                <w:sz w:val="20"/>
                <w:szCs w:val="20"/>
                <w:lang w:val="bg-BG"/>
              </w:rPr>
              <w:t>,</w:t>
            </w:r>
            <w:r w:rsidR="004407E6" w:rsidRPr="002B208F">
              <w:rPr>
                <w:rFonts w:ascii="Verdana" w:eastAsia="Times New Roman" w:hAnsi="Verdana" w:cs="Times New Roman"/>
                <w:bCs/>
                <w:iCs/>
                <w:sz w:val="20"/>
                <w:szCs w:val="20"/>
                <w:lang w:val="bg-BG"/>
              </w:rPr>
              <w:t xml:space="preserve"> следва да се изменят действащите разпоредби, </w:t>
            </w:r>
            <w:r w:rsidR="004407E6" w:rsidRPr="002B208F">
              <w:rPr>
                <w:rFonts w:ascii="Verdana" w:hAnsi="Verdana"/>
                <w:sz w:val="20"/>
                <w:szCs w:val="20"/>
                <w:lang w:val="bg-BG"/>
              </w:rPr>
              <w:t>като се предвиди, че офертите следва да се посочват в евро като парична единица.</w:t>
            </w:r>
          </w:p>
          <w:p w14:paraId="3E9AF476" w14:textId="51410B31" w:rsidR="0055558F" w:rsidRPr="0055558F" w:rsidRDefault="0055558F" w:rsidP="0055558F">
            <w:pPr>
              <w:spacing w:after="0" w:line="360" w:lineRule="auto"/>
              <w:ind w:firstLine="709"/>
              <w:jc w:val="both"/>
              <w:rPr>
                <w:rFonts w:ascii="Verdana" w:hAnsi="Verdana"/>
                <w:sz w:val="20"/>
                <w:szCs w:val="20"/>
                <w:lang w:val="bg-BG"/>
              </w:rPr>
            </w:pPr>
            <w:r w:rsidRPr="0055558F">
              <w:rPr>
                <w:rFonts w:ascii="Verdana" w:hAnsi="Verdana"/>
                <w:sz w:val="20"/>
                <w:szCs w:val="20"/>
                <w:lang w:val="bg-BG"/>
              </w:rPr>
              <w:t xml:space="preserve">В допълнение, в случай, че няколко участници в търга са предложили една и съща цена за </w:t>
            </w:r>
            <w:r w:rsidR="009C06BF">
              <w:rPr>
                <w:rFonts w:ascii="Verdana" w:hAnsi="Verdana"/>
                <w:sz w:val="20"/>
                <w:szCs w:val="20"/>
                <w:lang w:val="bg-BG"/>
              </w:rPr>
              <w:t>даден</w:t>
            </w:r>
            <w:r w:rsidRPr="0055558F">
              <w:rPr>
                <w:rFonts w:ascii="Verdana" w:hAnsi="Verdana"/>
                <w:sz w:val="20"/>
                <w:szCs w:val="20"/>
                <w:lang w:val="bg-BG"/>
              </w:rPr>
              <w:t xml:space="preserve"> имот, между тях се провежда търг с явно наддаване. Стъпката за явното наддаване е нормативно определена, както следва:  </w:t>
            </w:r>
          </w:p>
          <w:p w14:paraId="59A134DF" w14:textId="77777777" w:rsidR="0055558F" w:rsidRPr="0055558F" w:rsidRDefault="0055558F" w:rsidP="0055558F">
            <w:pPr>
              <w:spacing w:after="0" w:line="360" w:lineRule="auto"/>
              <w:ind w:firstLine="709"/>
              <w:jc w:val="both"/>
              <w:rPr>
                <w:rFonts w:ascii="Verdana" w:hAnsi="Verdana"/>
                <w:sz w:val="20"/>
                <w:szCs w:val="20"/>
                <w:lang w:val="bg-BG"/>
              </w:rPr>
            </w:pPr>
            <w:r w:rsidRPr="0055558F">
              <w:rPr>
                <w:rFonts w:ascii="Verdana" w:hAnsi="Verdana"/>
                <w:sz w:val="20"/>
                <w:szCs w:val="20"/>
                <w:lang w:val="bg-BG"/>
              </w:rPr>
              <w:t>Съгласно разпоредбите на чл. 47ж, ал. 1, т. 10 и чл. 104к, ал. 1, т. 10 от ППЗСПЗЗ стъпката за наддаване в търговете за отдаване под наем и аренда е в размер на един лев. В съответствие с правилата за превалутиране и закръгляване, нормативно установени в ЗВЕРБ, се предлага стъпката за наддаване при явен търг да се промени от един лев на 0,51 евро.</w:t>
            </w:r>
          </w:p>
          <w:p w14:paraId="18763F55" w14:textId="77777777" w:rsidR="0055558F" w:rsidRPr="0055558F" w:rsidRDefault="0055558F" w:rsidP="0055558F">
            <w:pPr>
              <w:spacing w:after="0" w:line="360" w:lineRule="auto"/>
              <w:ind w:firstLine="709"/>
              <w:jc w:val="both"/>
              <w:rPr>
                <w:rFonts w:ascii="Verdana" w:hAnsi="Verdana"/>
                <w:sz w:val="20"/>
                <w:szCs w:val="20"/>
                <w:lang w:val="bg-BG"/>
              </w:rPr>
            </w:pPr>
            <w:r w:rsidRPr="0055558F">
              <w:rPr>
                <w:rFonts w:ascii="Verdana" w:hAnsi="Verdana"/>
                <w:sz w:val="20"/>
                <w:szCs w:val="20"/>
                <w:lang w:val="bg-BG"/>
              </w:rPr>
              <w:t xml:space="preserve">Съгласно разпоредбите на чл. 56о, ал. 1 и  чл. 108, ал. 7 от ППЗСПЗЗ стъпката за наддаване при търговете за извършване на продажби на земите от бившите стопански </w:t>
            </w:r>
            <w:r w:rsidRPr="0055558F">
              <w:rPr>
                <w:rFonts w:ascii="Verdana" w:hAnsi="Verdana"/>
                <w:sz w:val="20"/>
                <w:szCs w:val="20"/>
                <w:lang w:val="bg-BG"/>
              </w:rPr>
              <w:lastRenderedPageBreak/>
              <w:t>дворове е в размер на 100 лева. В съответствие с правилата за превалутиране и закръгляване, нормативно установени в ЗВЕРБ, се предлага стъпката за наддаване при явен търг да се промени от 100 лева на 51,13 евро.</w:t>
            </w:r>
          </w:p>
          <w:p w14:paraId="36EC4389" w14:textId="77777777" w:rsidR="002067D8" w:rsidRPr="002B208F" w:rsidRDefault="002067D8" w:rsidP="009B7765">
            <w:pPr>
              <w:tabs>
                <w:tab w:val="left" w:pos="426"/>
              </w:tabs>
              <w:spacing w:after="0" w:line="336" w:lineRule="auto"/>
              <w:ind w:firstLine="295"/>
              <w:jc w:val="both"/>
              <w:rPr>
                <w:rFonts w:ascii="Verdana" w:eastAsia="Times New Roman" w:hAnsi="Verdana" w:cs="Times New Roman"/>
                <w:i/>
                <w:sz w:val="14"/>
                <w:szCs w:val="14"/>
                <w:lang w:val="bg-BG"/>
              </w:rPr>
            </w:pPr>
            <w:r w:rsidRPr="002B208F">
              <w:rPr>
                <w:rFonts w:ascii="Verdana" w:eastAsia="Times New Roman" w:hAnsi="Verdana" w:cs="Times New Roman"/>
                <w:i/>
                <w:sz w:val="14"/>
                <w:szCs w:val="14"/>
                <w:lang w:val="bg-BG"/>
              </w:rPr>
              <w:t>1.2. Посочете възможно ли е проблемът да се реши в рамките на съществуващото законодателство чрез промяна в организацията на работа и/или чрез въвеждане на нови технологични възможности (например съвместни инспекции между няколко органа и др.).</w:t>
            </w:r>
          </w:p>
          <w:p w14:paraId="3900546D" w14:textId="20A57C27" w:rsidR="002067D8" w:rsidRPr="00F44FA7" w:rsidRDefault="002067D8" w:rsidP="00F44FA7">
            <w:pPr>
              <w:spacing w:before="120" w:after="0" w:line="336" w:lineRule="auto"/>
              <w:ind w:firstLine="297"/>
              <w:jc w:val="both"/>
              <w:rPr>
                <w:rFonts w:ascii="Verdana" w:eastAsia="Times New Roman" w:hAnsi="Verdana" w:cs="Times New Roman"/>
                <w:sz w:val="20"/>
                <w:szCs w:val="20"/>
                <w:lang w:val="bg-BG"/>
              </w:rPr>
            </w:pPr>
            <w:r w:rsidRPr="002B208F">
              <w:rPr>
                <w:rFonts w:ascii="Verdana" w:eastAsia="Times New Roman" w:hAnsi="Verdana" w:cs="Times New Roman"/>
                <w:sz w:val="20"/>
                <w:szCs w:val="20"/>
                <w:lang w:val="bg-BG"/>
              </w:rPr>
              <w:t>Проблемът не би могъл да се реши в рамките на съ</w:t>
            </w:r>
            <w:r w:rsidR="0096733E" w:rsidRPr="002B208F">
              <w:rPr>
                <w:rFonts w:ascii="Verdana" w:eastAsia="Times New Roman" w:hAnsi="Verdana" w:cs="Times New Roman"/>
                <w:sz w:val="20"/>
                <w:szCs w:val="20"/>
                <w:lang w:val="bg-BG"/>
              </w:rPr>
              <w:t>ществуващата нормативна уредба, предвид, че</w:t>
            </w:r>
            <w:r w:rsidR="00875A02" w:rsidRPr="002B208F">
              <w:rPr>
                <w:rFonts w:ascii="Verdana" w:eastAsia="Times New Roman" w:hAnsi="Verdana" w:cs="Times New Roman"/>
                <w:sz w:val="20"/>
                <w:szCs w:val="20"/>
              </w:rPr>
              <w:t xml:space="preserve"> </w:t>
            </w:r>
            <w:r w:rsidR="00CD1A32" w:rsidRPr="002B208F">
              <w:rPr>
                <w:rFonts w:ascii="Verdana" w:eastAsia="Times New Roman" w:hAnsi="Verdana" w:cs="Times New Roman"/>
                <w:sz w:val="20"/>
                <w:szCs w:val="20"/>
                <w:lang w:val="bg-BG"/>
              </w:rPr>
              <w:t xml:space="preserve">паричната единица на която кандидатите </w:t>
            </w:r>
            <w:r w:rsidR="00875A02" w:rsidRPr="002B208F">
              <w:rPr>
                <w:rFonts w:ascii="Verdana" w:eastAsia="Times New Roman" w:hAnsi="Verdana" w:cs="Times New Roman"/>
                <w:sz w:val="20"/>
                <w:szCs w:val="20"/>
                <w:lang w:val="bg-BG"/>
              </w:rPr>
              <w:t>предлагат</w:t>
            </w:r>
            <w:r w:rsidR="00CD1A32" w:rsidRPr="002B208F">
              <w:rPr>
                <w:rFonts w:ascii="Verdana" w:eastAsia="Times New Roman" w:hAnsi="Verdana" w:cs="Times New Roman"/>
                <w:sz w:val="20"/>
                <w:szCs w:val="20"/>
                <w:lang w:val="bg-BG"/>
              </w:rPr>
              <w:t xml:space="preserve"> офертите</w:t>
            </w:r>
            <w:r w:rsidR="00875A02" w:rsidRPr="002B208F">
              <w:rPr>
                <w:rFonts w:ascii="Verdana" w:eastAsia="Times New Roman" w:hAnsi="Verdana" w:cs="Times New Roman"/>
                <w:sz w:val="20"/>
                <w:szCs w:val="20"/>
                <w:lang w:val="bg-BG"/>
              </w:rPr>
              <w:t>, както и размер</w:t>
            </w:r>
            <w:r w:rsidR="00CD1A32" w:rsidRPr="002B208F">
              <w:rPr>
                <w:rFonts w:ascii="Verdana" w:eastAsia="Times New Roman" w:hAnsi="Verdana" w:cs="Times New Roman"/>
                <w:sz w:val="20"/>
                <w:szCs w:val="20"/>
                <w:lang w:val="bg-BG"/>
              </w:rPr>
              <w:t>ите</w:t>
            </w:r>
            <w:r w:rsidR="00875A02" w:rsidRPr="002B208F">
              <w:rPr>
                <w:rFonts w:ascii="Verdana" w:eastAsia="Times New Roman" w:hAnsi="Verdana" w:cs="Times New Roman"/>
                <w:sz w:val="20"/>
                <w:szCs w:val="20"/>
                <w:lang w:val="bg-BG"/>
              </w:rPr>
              <w:t xml:space="preserve"> на стъпк</w:t>
            </w:r>
            <w:r w:rsidR="00CD1A32" w:rsidRPr="002B208F">
              <w:rPr>
                <w:rFonts w:ascii="Verdana" w:eastAsia="Times New Roman" w:hAnsi="Verdana" w:cs="Times New Roman"/>
                <w:sz w:val="20"/>
                <w:szCs w:val="20"/>
                <w:lang w:val="bg-BG"/>
              </w:rPr>
              <w:t>ите</w:t>
            </w:r>
            <w:r w:rsidR="00875A02" w:rsidRPr="002B208F">
              <w:rPr>
                <w:rFonts w:ascii="Verdana" w:eastAsia="Times New Roman" w:hAnsi="Verdana" w:cs="Times New Roman"/>
                <w:sz w:val="20"/>
                <w:szCs w:val="20"/>
                <w:lang w:val="bg-BG"/>
              </w:rPr>
              <w:t xml:space="preserve"> </w:t>
            </w:r>
            <w:r w:rsidR="00CD1A32" w:rsidRPr="002B208F">
              <w:rPr>
                <w:rFonts w:ascii="Verdana" w:eastAsia="Times New Roman" w:hAnsi="Verdana" w:cs="Times New Roman"/>
                <w:sz w:val="20"/>
                <w:szCs w:val="20"/>
                <w:lang w:val="bg-BG"/>
              </w:rPr>
              <w:t>з</w:t>
            </w:r>
            <w:r w:rsidR="00875A02" w:rsidRPr="002B208F">
              <w:rPr>
                <w:rFonts w:ascii="Verdana" w:eastAsia="Times New Roman" w:hAnsi="Verdana" w:cs="Times New Roman"/>
                <w:sz w:val="20"/>
                <w:szCs w:val="20"/>
                <w:lang w:val="bg-BG"/>
              </w:rPr>
              <w:t xml:space="preserve">а наддаване при </w:t>
            </w:r>
            <w:r w:rsidR="00CD1A32" w:rsidRPr="002B208F">
              <w:rPr>
                <w:rFonts w:ascii="Verdana" w:eastAsia="Times New Roman" w:hAnsi="Verdana" w:cs="Times New Roman"/>
                <w:sz w:val="20"/>
                <w:szCs w:val="20"/>
                <w:lang w:val="bg-BG"/>
              </w:rPr>
              <w:t xml:space="preserve">търгове с явно наддаване </w:t>
            </w:r>
            <w:r w:rsidR="00875A02" w:rsidRPr="002B208F">
              <w:rPr>
                <w:rFonts w:ascii="Verdana" w:eastAsia="Times New Roman" w:hAnsi="Verdana" w:cs="Times New Roman"/>
                <w:sz w:val="20"/>
                <w:szCs w:val="20"/>
                <w:lang w:val="bg-BG"/>
              </w:rPr>
              <w:t>са нормативно определени.</w:t>
            </w:r>
          </w:p>
          <w:p w14:paraId="73AAD577" w14:textId="3DA9DFED" w:rsidR="002067D8" w:rsidRPr="002B208F" w:rsidRDefault="002067D8" w:rsidP="009B7765">
            <w:pPr>
              <w:spacing w:after="0" w:line="336" w:lineRule="auto"/>
              <w:ind w:firstLine="295"/>
              <w:jc w:val="both"/>
              <w:rPr>
                <w:rFonts w:ascii="Verdana" w:eastAsia="Times New Roman" w:hAnsi="Verdana" w:cs="Times New Roman"/>
                <w:i/>
                <w:sz w:val="14"/>
                <w:szCs w:val="14"/>
                <w:lang w:val="bg-BG"/>
              </w:rPr>
            </w:pPr>
            <w:r w:rsidRPr="002B208F">
              <w:rPr>
                <w:rFonts w:ascii="Verdana" w:eastAsia="Times New Roman" w:hAnsi="Verdana" w:cs="Times New Roman"/>
                <w:i/>
                <w:sz w:val="14"/>
                <w:szCs w:val="14"/>
                <w:lang w:val="bg-BG"/>
              </w:rPr>
              <w:t>1.3. Посочете защо действащата нормативна рамка не позволява решаване на проблема/проблемите.</w:t>
            </w:r>
          </w:p>
          <w:p w14:paraId="2C6D1436" w14:textId="7826DE34" w:rsidR="00E151E2" w:rsidRPr="002B208F" w:rsidRDefault="002067D8" w:rsidP="00F44FA7">
            <w:pPr>
              <w:spacing w:before="120" w:after="0" w:line="336" w:lineRule="auto"/>
              <w:ind w:firstLine="297"/>
              <w:jc w:val="both"/>
              <w:rPr>
                <w:rFonts w:ascii="Verdana" w:eastAsia="Times New Roman" w:hAnsi="Verdana" w:cs="Times New Roman"/>
                <w:sz w:val="20"/>
                <w:szCs w:val="20"/>
                <w:lang w:val="bg-BG"/>
              </w:rPr>
            </w:pPr>
            <w:r w:rsidRPr="002B208F">
              <w:rPr>
                <w:rFonts w:ascii="Verdana" w:eastAsia="Times New Roman" w:hAnsi="Verdana" w:cs="Times New Roman"/>
                <w:sz w:val="20"/>
                <w:szCs w:val="20"/>
                <w:lang w:val="bg-BG"/>
              </w:rPr>
              <w:t xml:space="preserve">Действащата нормативна рамка </w:t>
            </w:r>
            <w:r w:rsidR="002B213E" w:rsidRPr="002B208F">
              <w:rPr>
                <w:rFonts w:ascii="Verdana" w:eastAsia="Times New Roman" w:hAnsi="Verdana" w:cs="Times New Roman"/>
                <w:sz w:val="20"/>
                <w:szCs w:val="20"/>
                <w:lang w:val="bg-BG"/>
              </w:rPr>
              <w:t xml:space="preserve">не </w:t>
            </w:r>
            <w:r w:rsidR="00617AF6" w:rsidRPr="002B208F">
              <w:rPr>
                <w:rFonts w:ascii="Verdana" w:eastAsia="Times New Roman" w:hAnsi="Verdana" w:cs="Times New Roman"/>
                <w:sz w:val="20"/>
                <w:szCs w:val="20"/>
                <w:lang w:val="bg-BG"/>
              </w:rPr>
              <w:t xml:space="preserve">позволява разрешаване на проблема, тъй като </w:t>
            </w:r>
            <w:r w:rsidR="00875A02" w:rsidRPr="002B208F">
              <w:rPr>
                <w:rFonts w:ascii="Verdana" w:eastAsia="Times New Roman" w:hAnsi="Verdana" w:cs="Times New Roman"/>
                <w:sz w:val="20"/>
                <w:szCs w:val="20"/>
                <w:lang w:val="bg-BG"/>
              </w:rPr>
              <w:t xml:space="preserve">разпоредбите предвиждат офертите за участие в търга да се посочват в български лева, както и размерите на стъпките за наддаване при явни търгове са посочени в </w:t>
            </w:r>
            <w:r w:rsidR="00F44FA7">
              <w:rPr>
                <w:rFonts w:ascii="Verdana" w:eastAsia="Times New Roman" w:hAnsi="Verdana" w:cs="Times New Roman"/>
                <w:sz w:val="20"/>
                <w:szCs w:val="20"/>
                <w:lang w:val="bg-BG"/>
              </w:rPr>
              <w:t>лева.</w:t>
            </w:r>
          </w:p>
          <w:p w14:paraId="315CFB63" w14:textId="2FD9BEE0" w:rsidR="00E151E2" w:rsidRPr="002B208F" w:rsidRDefault="00E151E2" w:rsidP="009B7765">
            <w:pPr>
              <w:spacing w:after="0" w:line="336" w:lineRule="auto"/>
              <w:jc w:val="both"/>
              <w:textAlignment w:val="center"/>
              <w:rPr>
                <w:rFonts w:ascii="Verdana" w:eastAsia="Times New Roman" w:hAnsi="Verdana" w:cs="Times New Roman"/>
                <w:i/>
                <w:sz w:val="14"/>
                <w:szCs w:val="14"/>
                <w:lang w:val="bg-BG"/>
              </w:rPr>
            </w:pPr>
            <w:r w:rsidRPr="002B208F">
              <w:rPr>
                <w:rFonts w:ascii="Verdana" w:eastAsia="Times New Roman" w:hAnsi="Verdana" w:cs="Times New Roman"/>
                <w:i/>
                <w:sz w:val="14"/>
                <w:szCs w:val="14"/>
                <w:lang w:val="bg-BG"/>
              </w:rPr>
              <w:t>1.4.Посочете задължителните действия, произтичащи от нормативни актове от по-висока степен или актове от правото на ЕС.</w:t>
            </w:r>
          </w:p>
          <w:p w14:paraId="5647AE46" w14:textId="5F8ABD0B" w:rsidR="00617AF6" w:rsidRPr="002B208F" w:rsidRDefault="00617AF6" w:rsidP="0055558F">
            <w:pPr>
              <w:spacing w:after="0" w:line="336" w:lineRule="auto"/>
              <w:ind w:firstLine="454"/>
              <w:jc w:val="both"/>
              <w:rPr>
                <w:rFonts w:ascii="Verdana" w:eastAsia="Times New Roman" w:hAnsi="Verdana" w:cs="Times New Roman"/>
                <w:iCs/>
                <w:sz w:val="20"/>
                <w:szCs w:val="20"/>
                <w:lang w:val="bg-BG"/>
              </w:rPr>
            </w:pPr>
            <w:r w:rsidRPr="002B208F">
              <w:rPr>
                <w:rFonts w:ascii="Verdana" w:eastAsia="Times New Roman" w:hAnsi="Verdana" w:cs="Times New Roman"/>
                <w:iCs/>
                <w:sz w:val="20"/>
                <w:szCs w:val="20"/>
                <w:lang w:val="bg-BG"/>
              </w:rPr>
              <w:t>На 08.07.2025 г. Съветът на ЕС прие Решение (ЕС) 2025/1407 на Съвета от 8 юли 2025 година относно приемането на еврото от България, считано от 1 януари 2026 г., Регламент (ЕС) 2025/1408 на Съвета от 8 юли 2025 година за изменение на Регламент (ЕО) № 974/98 по отношение на въвеждането на еврото в България и Регламент (ЕС) 2025/1409 на Съвета от 8 юли 2025 година за изменение на Регламент (ЕО) № 2866/98 по отношение на валутния курс към еврото за България.</w:t>
            </w:r>
          </w:p>
          <w:p w14:paraId="6F7A32E2" w14:textId="218B6FFD" w:rsidR="00617AF6" w:rsidRDefault="00617AF6" w:rsidP="0055558F">
            <w:pPr>
              <w:spacing w:after="0" w:line="336" w:lineRule="auto"/>
              <w:ind w:firstLine="454"/>
              <w:jc w:val="both"/>
              <w:rPr>
                <w:rFonts w:ascii="Verdana" w:eastAsia="Times New Roman" w:hAnsi="Verdana" w:cs="Times New Roman"/>
                <w:iCs/>
                <w:sz w:val="20"/>
                <w:szCs w:val="20"/>
                <w:lang w:val="bg-BG"/>
              </w:rPr>
            </w:pPr>
            <w:r w:rsidRPr="002B208F">
              <w:rPr>
                <w:rFonts w:ascii="Verdana" w:eastAsia="Times New Roman" w:hAnsi="Verdana" w:cs="Times New Roman"/>
                <w:iCs/>
                <w:sz w:val="20"/>
                <w:szCs w:val="20"/>
                <w:lang w:val="bg-BG"/>
              </w:rPr>
              <w:t>Съгласно § 6, ал. 1, т. 2 от ПЗР на ЗВЕРБ държавните органи следва да приемат  изменения и допълнения в подзаконови нормативни актове, необходими за изпълнението му във връзка с въвеждане на еврото като парична единица на Република България.</w:t>
            </w:r>
          </w:p>
          <w:p w14:paraId="32DC6B99" w14:textId="3B243703" w:rsidR="00E151E2" w:rsidRPr="00F44FA7" w:rsidRDefault="009D7580" w:rsidP="0055558F">
            <w:pPr>
              <w:spacing w:after="0" w:line="336" w:lineRule="auto"/>
              <w:ind w:firstLine="454"/>
              <w:jc w:val="both"/>
              <w:rPr>
                <w:rFonts w:ascii="Verdana" w:eastAsia="Times New Roman" w:hAnsi="Verdana" w:cs="Times New Roman"/>
                <w:iCs/>
                <w:sz w:val="20"/>
                <w:szCs w:val="20"/>
                <w:lang w:val="bg-BG"/>
              </w:rPr>
            </w:pPr>
            <w:r w:rsidRPr="009D7580">
              <w:rPr>
                <w:rFonts w:ascii="Verdana" w:eastAsia="Times New Roman" w:hAnsi="Verdana" w:cs="Times New Roman"/>
                <w:iCs/>
                <w:sz w:val="20"/>
                <w:szCs w:val="20"/>
                <w:lang w:val="bg-BG"/>
              </w:rPr>
              <w:t>Не се налагат действия, произтичащи от нормативни актове от по-висока степен или актове от правото на ЕС.</w:t>
            </w:r>
          </w:p>
          <w:p w14:paraId="53302A0B" w14:textId="4044F906" w:rsidR="00E151E2" w:rsidRPr="002B208F" w:rsidRDefault="00E151E2" w:rsidP="009B7765">
            <w:pPr>
              <w:spacing w:after="0" w:line="336" w:lineRule="auto"/>
              <w:jc w:val="center"/>
              <w:textAlignment w:val="center"/>
              <w:rPr>
                <w:rFonts w:ascii="Verdana" w:eastAsia="Times New Roman" w:hAnsi="Verdana" w:cs="Times New Roman"/>
                <w:i/>
                <w:sz w:val="14"/>
                <w:szCs w:val="14"/>
                <w:lang w:val="bg-BG"/>
              </w:rPr>
            </w:pPr>
            <w:r w:rsidRPr="002B208F">
              <w:rPr>
                <w:rFonts w:ascii="Verdana" w:eastAsia="Times New Roman" w:hAnsi="Verdana" w:cs="Times New Roman"/>
                <w:i/>
                <w:sz w:val="14"/>
                <w:szCs w:val="14"/>
                <w:lang w:val="bg-BG"/>
              </w:rPr>
              <w:t>1.5. Посочете дали са извършени последващи оценки на нормативния акт или анализи за изпълнението на политиката и какви са резултатите от тях?</w:t>
            </w:r>
          </w:p>
          <w:p w14:paraId="58360480" w14:textId="7F9E40CE" w:rsidR="00034CEF" w:rsidRPr="002B208F" w:rsidRDefault="00224FCC" w:rsidP="009B7765">
            <w:pPr>
              <w:spacing w:after="0" w:line="336" w:lineRule="auto"/>
              <w:jc w:val="both"/>
              <w:textAlignment w:val="center"/>
              <w:rPr>
                <w:rFonts w:ascii="Verdana" w:eastAsia="Times New Roman" w:hAnsi="Verdana" w:cs="Times New Roman"/>
                <w:sz w:val="20"/>
                <w:szCs w:val="20"/>
                <w:lang w:val="bg-BG"/>
              </w:rPr>
            </w:pPr>
            <w:r w:rsidRPr="00224FCC">
              <w:rPr>
                <w:rFonts w:ascii="Verdana" w:eastAsia="Times New Roman" w:hAnsi="Verdana" w:cs="Times New Roman"/>
                <w:sz w:val="20"/>
                <w:szCs w:val="20"/>
                <w:lang w:val="bg-BG"/>
              </w:rPr>
              <w:t>Не са извършвани последващи оценки на нормативния акт и анализ на изпълнението на политиката.</w:t>
            </w:r>
          </w:p>
        </w:tc>
      </w:tr>
      <w:tr w:rsidR="002B208F" w:rsidRPr="002B208F" w14:paraId="63C8B22A" w14:textId="77777777" w:rsidTr="00F431B8">
        <w:trPr>
          <w:gridBefore w:val="1"/>
          <w:wBefore w:w="8" w:type="dxa"/>
        </w:trPr>
        <w:tc>
          <w:tcPr>
            <w:tcW w:w="9696" w:type="dxa"/>
            <w:gridSpan w:val="3"/>
          </w:tcPr>
          <w:p w14:paraId="5A49393C" w14:textId="77777777" w:rsidR="00076E63" w:rsidRPr="002B208F" w:rsidRDefault="00076E63" w:rsidP="009B7765">
            <w:pPr>
              <w:spacing w:before="120" w:after="120" w:line="336" w:lineRule="auto"/>
              <w:jc w:val="both"/>
              <w:rPr>
                <w:rFonts w:ascii="Verdana" w:eastAsia="Times New Roman" w:hAnsi="Verdana" w:cs="Times New Roman"/>
                <w:b/>
                <w:sz w:val="20"/>
                <w:szCs w:val="20"/>
                <w:lang w:val="bg-BG"/>
              </w:rPr>
            </w:pPr>
            <w:r w:rsidRPr="002B208F">
              <w:rPr>
                <w:rFonts w:ascii="Verdana" w:eastAsia="Times New Roman" w:hAnsi="Verdana" w:cs="Times New Roman"/>
                <w:b/>
                <w:sz w:val="20"/>
                <w:szCs w:val="20"/>
                <w:lang w:val="bg-BG"/>
              </w:rPr>
              <w:lastRenderedPageBreak/>
              <w:t>2</w:t>
            </w:r>
            <w:r w:rsidRPr="002B208F">
              <w:rPr>
                <w:rFonts w:ascii="Verdana" w:eastAsia="Times New Roman" w:hAnsi="Verdana" w:cs="Times New Roman"/>
                <w:sz w:val="20"/>
                <w:szCs w:val="20"/>
                <w:lang w:val="bg-BG"/>
              </w:rPr>
              <w:t xml:space="preserve">. </w:t>
            </w:r>
            <w:r w:rsidRPr="002B208F">
              <w:rPr>
                <w:rFonts w:ascii="Verdana" w:eastAsia="Times New Roman" w:hAnsi="Verdana" w:cs="Times New Roman"/>
                <w:b/>
                <w:sz w:val="20"/>
                <w:szCs w:val="20"/>
                <w:lang w:val="bg-BG"/>
              </w:rPr>
              <w:t>Цели:</w:t>
            </w:r>
          </w:p>
          <w:p w14:paraId="03CA8F3E" w14:textId="6BCEEC5C" w:rsidR="00617AF6" w:rsidRPr="002B208F" w:rsidRDefault="0055558F" w:rsidP="009B7765">
            <w:pPr>
              <w:overflowPunct w:val="0"/>
              <w:autoSpaceDE w:val="0"/>
              <w:autoSpaceDN w:val="0"/>
              <w:adjustRightInd w:val="0"/>
              <w:spacing w:after="0" w:line="336" w:lineRule="auto"/>
              <w:jc w:val="both"/>
              <w:textAlignment w:val="baseline"/>
              <w:rPr>
                <w:rFonts w:ascii="Verdana" w:eastAsia="Times New Roman" w:hAnsi="Verdana" w:cs="Times New Roman"/>
                <w:sz w:val="20"/>
                <w:szCs w:val="20"/>
                <w:lang w:val="bg-BG"/>
              </w:rPr>
            </w:pPr>
            <w:r>
              <w:rPr>
                <w:rFonts w:ascii="Verdana" w:eastAsia="Times New Roman" w:hAnsi="Verdana" w:cs="Times New Roman"/>
                <w:b/>
                <w:sz w:val="20"/>
                <w:szCs w:val="20"/>
                <w:lang w:val="bg-BG" w:eastAsia="bg-BG"/>
              </w:rPr>
              <w:t>Цел</w:t>
            </w:r>
            <w:r w:rsidR="00A97C8F" w:rsidRPr="002B208F">
              <w:rPr>
                <w:rFonts w:ascii="Verdana" w:eastAsia="Times New Roman" w:hAnsi="Verdana" w:cs="Times New Roman"/>
                <w:b/>
                <w:sz w:val="20"/>
                <w:szCs w:val="20"/>
                <w:lang w:val="bg-BG" w:eastAsia="bg-BG"/>
              </w:rPr>
              <w:t>:</w:t>
            </w:r>
            <w:r w:rsidR="00C56A43" w:rsidRPr="002B208F">
              <w:rPr>
                <w:rFonts w:ascii="Verdana" w:eastAsia="Times New Roman" w:hAnsi="Verdana" w:cs="Times New Roman"/>
                <w:sz w:val="20"/>
                <w:szCs w:val="20"/>
                <w:lang w:val="bg-BG" w:eastAsia="bg-BG"/>
              </w:rPr>
              <w:t xml:space="preserve"> </w:t>
            </w:r>
            <w:r w:rsidR="00617AF6" w:rsidRPr="002B208F">
              <w:rPr>
                <w:rFonts w:ascii="Verdana" w:eastAsia="Times New Roman" w:hAnsi="Verdana" w:cs="Times New Roman"/>
                <w:sz w:val="20"/>
                <w:szCs w:val="20"/>
                <w:lang w:val="bg-BG"/>
              </w:rPr>
              <w:t>Привеждане на разпоредбите на ППЗСПЗЗ в съответствие с</w:t>
            </w:r>
            <w:r w:rsidR="009D7580">
              <w:rPr>
                <w:rFonts w:ascii="Verdana" w:eastAsia="Times New Roman" w:hAnsi="Verdana" w:cs="Times New Roman"/>
                <w:sz w:val="20"/>
                <w:szCs w:val="20"/>
                <w:lang w:val="bg-BG"/>
              </w:rPr>
              <w:t xml:space="preserve"> разпоредбите от </w:t>
            </w:r>
            <w:r w:rsidR="00617AF6" w:rsidRPr="002B208F">
              <w:rPr>
                <w:rFonts w:ascii="Verdana" w:eastAsia="Times New Roman" w:hAnsi="Verdana" w:cs="Times New Roman"/>
                <w:sz w:val="20"/>
                <w:szCs w:val="20"/>
                <w:lang w:val="bg-BG"/>
              </w:rPr>
              <w:t xml:space="preserve"> </w:t>
            </w:r>
            <w:r w:rsidR="009D7580" w:rsidRPr="002B208F">
              <w:rPr>
                <w:rFonts w:ascii="Verdana" w:eastAsia="Times New Roman" w:hAnsi="Verdana" w:cs="Times New Roman"/>
                <w:sz w:val="20"/>
                <w:szCs w:val="20"/>
                <w:lang w:val="bg-BG"/>
              </w:rPr>
              <w:t xml:space="preserve">ЗВЕРБ </w:t>
            </w:r>
            <w:r w:rsidR="009D7580">
              <w:rPr>
                <w:rFonts w:ascii="Verdana" w:eastAsia="Times New Roman" w:hAnsi="Verdana" w:cs="Times New Roman"/>
                <w:sz w:val="20"/>
                <w:szCs w:val="20"/>
                <w:lang w:val="bg-BG"/>
              </w:rPr>
              <w:t xml:space="preserve">и </w:t>
            </w:r>
            <w:r w:rsidR="00617AF6" w:rsidRPr="002B208F">
              <w:rPr>
                <w:rFonts w:ascii="Verdana" w:eastAsia="Times New Roman" w:hAnsi="Verdana" w:cs="Times New Roman"/>
                <w:sz w:val="20"/>
                <w:szCs w:val="20"/>
                <w:lang w:val="bg-BG"/>
              </w:rPr>
              <w:t xml:space="preserve">Националния план за въвеждане на </w:t>
            </w:r>
            <w:r w:rsidR="00EA1FFC" w:rsidRPr="002B208F">
              <w:rPr>
                <w:rFonts w:ascii="Verdana" w:eastAsia="Times New Roman" w:hAnsi="Verdana" w:cs="Times New Roman"/>
                <w:sz w:val="20"/>
                <w:szCs w:val="20"/>
                <w:lang w:val="bg-BG"/>
              </w:rPr>
              <w:t>еврото в Република България</w:t>
            </w:r>
            <w:r w:rsidR="009D7580">
              <w:rPr>
                <w:rFonts w:ascii="Verdana" w:eastAsia="Times New Roman" w:hAnsi="Verdana" w:cs="Times New Roman"/>
                <w:sz w:val="20"/>
                <w:szCs w:val="20"/>
                <w:lang w:val="bg-BG"/>
              </w:rPr>
              <w:t>.</w:t>
            </w:r>
          </w:p>
          <w:p w14:paraId="5416E5A1" w14:textId="5E09D3C0" w:rsidR="001C0122" w:rsidRPr="002B208F" w:rsidRDefault="001C0122" w:rsidP="009B7765">
            <w:pPr>
              <w:spacing w:after="0" w:line="336" w:lineRule="auto"/>
              <w:jc w:val="both"/>
              <w:rPr>
                <w:rFonts w:ascii="Verdana" w:eastAsia="Times New Roman" w:hAnsi="Verdana" w:cs="Times New Roman"/>
                <w:sz w:val="20"/>
                <w:szCs w:val="20"/>
              </w:rPr>
            </w:pPr>
            <w:r w:rsidRPr="002B208F">
              <w:rPr>
                <w:rFonts w:ascii="Verdana" w:eastAsia="Times New Roman" w:hAnsi="Verdana" w:cs="Times New Roman"/>
                <w:b/>
                <w:sz w:val="20"/>
                <w:szCs w:val="20"/>
                <w:lang w:val="bg-BG"/>
              </w:rPr>
              <w:t>Цел 2:</w:t>
            </w:r>
            <w:r w:rsidRPr="002B208F">
              <w:rPr>
                <w:rFonts w:ascii="Verdana" w:eastAsia="Times New Roman" w:hAnsi="Verdana" w:cs="Times New Roman"/>
                <w:sz w:val="20"/>
                <w:szCs w:val="20"/>
                <w:lang w:val="bg-BG"/>
              </w:rPr>
              <w:t xml:space="preserve"> Да </w:t>
            </w:r>
            <w:r w:rsidR="002A16F9" w:rsidRPr="002B208F">
              <w:rPr>
                <w:rFonts w:ascii="Verdana" w:eastAsia="Times New Roman" w:hAnsi="Verdana" w:cs="Times New Roman"/>
                <w:sz w:val="20"/>
                <w:szCs w:val="20"/>
                <w:lang w:val="bg-BG"/>
              </w:rPr>
              <w:t xml:space="preserve">се определи размер на стъпката на наддаване, в случаите, когато се провеждат </w:t>
            </w:r>
            <w:r w:rsidR="00EA1FFC" w:rsidRPr="002B208F">
              <w:rPr>
                <w:rFonts w:ascii="Verdana" w:eastAsia="Times New Roman" w:hAnsi="Verdana" w:cs="Times New Roman"/>
                <w:sz w:val="20"/>
                <w:szCs w:val="20"/>
                <w:lang w:val="bg-BG"/>
              </w:rPr>
              <w:t>търгове с явно наддаване</w:t>
            </w:r>
            <w:r w:rsidR="009973A9">
              <w:rPr>
                <w:rFonts w:ascii="Verdana" w:eastAsia="Times New Roman" w:hAnsi="Verdana" w:cs="Times New Roman"/>
                <w:sz w:val="20"/>
                <w:szCs w:val="20"/>
                <w:lang w:val="bg-BG"/>
              </w:rPr>
              <w:t>, при спазване на разпоредбите на ЗВЕРБ за превалутиране и закръгляване</w:t>
            </w:r>
          </w:p>
          <w:p w14:paraId="127313BB" w14:textId="4922B20D" w:rsidR="009B7765" w:rsidRPr="00F44FA7" w:rsidRDefault="0092186A" w:rsidP="00F44FA7">
            <w:pPr>
              <w:overflowPunct w:val="0"/>
              <w:autoSpaceDE w:val="0"/>
              <w:autoSpaceDN w:val="0"/>
              <w:adjustRightInd w:val="0"/>
              <w:spacing w:after="0" w:line="336" w:lineRule="auto"/>
              <w:jc w:val="center"/>
              <w:textAlignment w:val="baseline"/>
              <w:rPr>
                <w:rFonts w:ascii="Verdana" w:eastAsia="Times New Roman" w:hAnsi="Verdana" w:cs="Times New Roman"/>
                <w:i/>
                <w:sz w:val="14"/>
                <w:szCs w:val="14"/>
                <w:lang w:val="bg-BG"/>
              </w:rPr>
            </w:pPr>
            <w:r w:rsidRPr="002B208F">
              <w:rPr>
                <w:rFonts w:ascii="Verdana" w:eastAsia="Times New Roman" w:hAnsi="Verdana" w:cs="Times New Roman"/>
                <w:i/>
                <w:sz w:val="14"/>
                <w:szCs w:val="14"/>
                <w:lang w:val="bg-BG"/>
              </w:rPr>
              <w:t>Посочете определените цели за решаване на проблема/проблемите, по възможно най-конкретен и измерим начин, включително индикативен график за тяхното постигане. Целите е необходимо да са насочени към решаването на проблема/проблемите и да съответстват на действащите стратегически документи.</w:t>
            </w:r>
          </w:p>
        </w:tc>
      </w:tr>
      <w:tr w:rsidR="002B208F" w:rsidRPr="002B208F" w14:paraId="75E8D3CB" w14:textId="77777777" w:rsidTr="00F431B8">
        <w:trPr>
          <w:gridBefore w:val="1"/>
          <w:wBefore w:w="8" w:type="dxa"/>
        </w:trPr>
        <w:tc>
          <w:tcPr>
            <w:tcW w:w="9696" w:type="dxa"/>
            <w:gridSpan w:val="3"/>
          </w:tcPr>
          <w:p w14:paraId="2567EF2B" w14:textId="77777777" w:rsidR="00076E63" w:rsidRPr="002B208F" w:rsidRDefault="00677658" w:rsidP="009B7765">
            <w:pPr>
              <w:spacing w:before="120" w:after="120" w:line="336" w:lineRule="auto"/>
              <w:jc w:val="both"/>
              <w:rPr>
                <w:rFonts w:ascii="Verdana" w:eastAsia="Times New Roman" w:hAnsi="Verdana" w:cs="Times New Roman"/>
                <w:b/>
                <w:sz w:val="20"/>
                <w:szCs w:val="20"/>
                <w:lang w:val="bg-BG"/>
              </w:rPr>
            </w:pPr>
            <w:r w:rsidRPr="002B208F">
              <w:rPr>
                <w:rFonts w:ascii="Verdana" w:eastAsia="Times New Roman" w:hAnsi="Verdana" w:cs="Times New Roman"/>
                <w:b/>
                <w:sz w:val="20"/>
                <w:szCs w:val="20"/>
                <w:lang w:val="bg-BG"/>
              </w:rPr>
              <w:t xml:space="preserve">3. </w:t>
            </w:r>
            <w:r w:rsidR="007108A0" w:rsidRPr="002B208F">
              <w:rPr>
                <w:rFonts w:ascii="Verdana" w:eastAsia="Times New Roman" w:hAnsi="Verdana" w:cs="Times New Roman"/>
                <w:b/>
                <w:sz w:val="20"/>
                <w:szCs w:val="20"/>
                <w:lang w:val="bg-BG"/>
              </w:rPr>
              <w:t>З</w:t>
            </w:r>
            <w:r w:rsidR="00076E63" w:rsidRPr="002B208F">
              <w:rPr>
                <w:rFonts w:ascii="Verdana" w:eastAsia="Times New Roman" w:hAnsi="Verdana" w:cs="Times New Roman"/>
                <w:b/>
                <w:sz w:val="20"/>
                <w:szCs w:val="20"/>
                <w:lang w:val="bg-BG"/>
              </w:rPr>
              <w:t>а</w:t>
            </w:r>
            <w:r w:rsidR="00E653D3" w:rsidRPr="002B208F">
              <w:rPr>
                <w:rFonts w:ascii="Verdana" w:eastAsia="Times New Roman" w:hAnsi="Verdana" w:cs="Times New Roman"/>
                <w:b/>
                <w:sz w:val="20"/>
                <w:szCs w:val="20"/>
                <w:lang w:val="bg-BG"/>
              </w:rPr>
              <w:t>интересовани</w:t>
            </w:r>
            <w:r w:rsidR="00076E63" w:rsidRPr="002B208F">
              <w:rPr>
                <w:rFonts w:ascii="Verdana" w:eastAsia="Times New Roman" w:hAnsi="Verdana" w:cs="Times New Roman"/>
                <w:b/>
                <w:sz w:val="20"/>
                <w:szCs w:val="20"/>
                <w:lang w:val="bg-BG"/>
              </w:rPr>
              <w:t xml:space="preserve"> страни: </w:t>
            </w:r>
          </w:p>
          <w:p w14:paraId="1F4F0C68" w14:textId="31C8B12A" w:rsidR="00C56A43" w:rsidRPr="002B208F" w:rsidRDefault="0092186A" w:rsidP="009B7765">
            <w:pPr>
              <w:spacing w:after="0" w:line="336" w:lineRule="auto"/>
              <w:jc w:val="both"/>
              <w:rPr>
                <w:rFonts w:ascii="Verdana" w:eastAsia="Times New Roman" w:hAnsi="Verdana" w:cs="Times New Roman"/>
                <w:sz w:val="20"/>
                <w:szCs w:val="20"/>
                <w:lang w:val="bg-BG"/>
              </w:rPr>
            </w:pPr>
            <w:r w:rsidRPr="002B208F">
              <w:rPr>
                <w:rFonts w:ascii="Verdana" w:eastAsia="Times New Roman" w:hAnsi="Verdana" w:cs="Times New Roman"/>
                <w:sz w:val="20"/>
                <w:szCs w:val="20"/>
                <w:lang w:val="bg-BG"/>
              </w:rPr>
              <w:t xml:space="preserve">1. </w:t>
            </w:r>
            <w:r w:rsidR="00C56A43" w:rsidRPr="002B208F">
              <w:rPr>
                <w:rFonts w:ascii="Verdana" w:eastAsia="Times New Roman" w:hAnsi="Verdana" w:cs="Times New Roman"/>
                <w:sz w:val="20"/>
                <w:szCs w:val="20"/>
                <w:lang w:val="bg-BG"/>
              </w:rPr>
              <w:t>Министерство на земеделието и храните</w:t>
            </w:r>
            <w:r w:rsidR="00A97C8F" w:rsidRPr="002B208F">
              <w:rPr>
                <w:rFonts w:ascii="Verdana" w:eastAsia="Times New Roman" w:hAnsi="Verdana" w:cs="Times New Roman"/>
                <w:sz w:val="20"/>
                <w:szCs w:val="20"/>
                <w:lang w:val="bg-BG"/>
              </w:rPr>
              <w:t>;</w:t>
            </w:r>
          </w:p>
          <w:p w14:paraId="7B4174F1" w14:textId="3C4AF797" w:rsidR="0092186A" w:rsidRPr="002B208F" w:rsidRDefault="0092186A" w:rsidP="009B7765">
            <w:pPr>
              <w:spacing w:after="0" w:line="336" w:lineRule="auto"/>
              <w:jc w:val="both"/>
              <w:rPr>
                <w:rFonts w:ascii="Verdana" w:eastAsia="Times New Roman" w:hAnsi="Verdana" w:cs="Times New Roman"/>
                <w:sz w:val="20"/>
                <w:szCs w:val="20"/>
                <w:lang w:val="bg-BG"/>
              </w:rPr>
            </w:pPr>
            <w:r w:rsidRPr="002B208F">
              <w:rPr>
                <w:rFonts w:ascii="Verdana" w:eastAsia="Times New Roman" w:hAnsi="Verdana" w:cs="Times New Roman"/>
                <w:sz w:val="20"/>
                <w:szCs w:val="20"/>
                <w:lang w:val="bg-BG"/>
              </w:rPr>
              <w:t xml:space="preserve">2. Областните дирекции „Земеделие“ </w:t>
            </w:r>
            <w:r w:rsidRPr="002B208F">
              <w:rPr>
                <w:rFonts w:ascii="Verdana" w:eastAsia="Times New Roman" w:hAnsi="Verdana" w:cs="Times New Roman"/>
                <w:sz w:val="20"/>
                <w:szCs w:val="20"/>
              </w:rPr>
              <w:t>(</w:t>
            </w:r>
            <w:r w:rsidRPr="002B208F">
              <w:rPr>
                <w:rFonts w:ascii="Verdana" w:eastAsia="Times New Roman" w:hAnsi="Verdana" w:cs="Times New Roman"/>
                <w:sz w:val="20"/>
                <w:szCs w:val="20"/>
                <w:lang w:val="bg-BG"/>
              </w:rPr>
              <w:t>28 бр.</w:t>
            </w:r>
            <w:r w:rsidRPr="002B208F">
              <w:rPr>
                <w:rFonts w:ascii="Verdana" w:eastAsia="Times New Roman" w:hAnsi="Verdana" w:cs="Times New Roman"/>
                <w:sz w:val="20"/>
                <w:szCs w:val="20"/>
              </w:rPr>
              <w:t>)</w:t>
            </w:r>
            <w:r w:rsidRPr="002B208F">
              <w:rPr>
                <w:rFonts w:ascii="Verdana" w:eastAsia="Times New Roman" w:hAnsi="Verdana" w:cs="Times New Roman"/>
                <w:sz w:val="20"/>
                <w:szCs w:val="20"/>
                <w:lang w:val="bg-BG"/>
              </w:rPr>
              <w:t>;</w:t>
            </w:r>
          </w:p>
          <w:p w14:paraId="23092A88" w14:textId="76337AFC" w:rsidR="0092186A" w:rsidRPr="002B208F" w:rsidRDefault="0092186A" w:rsidP="009B7765">
            <w:pPr>
              <w:spacing w:after="0" w:line="336" w:lineRule="auto"/>
              <w:jc w:val="both"/>
              <w:rPr>
                <w:rFonts w:ascii="Verdana" w:eastAsia="Times New Roman" w:hAnsi="Verdana" w:cs="Times New Roman"/>
                <w:sz w:val="20"/>
                <w:szCs w:val="20"/>
                <w:lang w:val="bg-BG"/>
              </w:rPr>
            </w:pPr>
            <w:r w:rsidRPr="002B208F">
              <w:rPr>
                <w:rFonts w:ascii="Verdana" w:eastAsia="Times New Roman" w:hAnsi="Verdana" w:cs="Times New Roman"/>
                <w:sz w:val="20"/>
                <w:szCs w:val="20"/>
                <w:lang w:val="bg-BG"/>
              </w:rPr>
              <w:t xml:space="preserve">3. Общините в Република България </w:t>
            </w:r>
            <w:r w:rsidRPr="002B208F">
              <w:rPr>
                <w:rFonts w:ascii="Verdana" w:eastAsia="Times New Roman" w:hAnsi="Verdana" w:cs="Times New Roman"/>
                <w:sz w:val="20"/>
                <w:szCs w:val="20"/>
              </w:rPr>
              <w:t>(</w:t>
            </w:r>
            <w:r w:rsidRPr="002B208F">
              <w:rPr>
                <w:rFonts w:ascii="Verdana" w:eastAsia="Times New Roman" w:hAnsi="Verdana" w:cs="Times New Roman"/>
                <w:sz w:val="20"/>
                <w:szCs w:val="20"/>
                <w:lang w:val="bg-BG"/>
              </w:rPr>
              <w:t>265 бр.</w:t>
            </w:r>
            <w:r w:rsidRPr="002B208F">
              <w:rPr>
                <w:rFonts w:ascii="Verdana" w:eastAsia="Times New Roman" w:hAnsi="Verdana" w:cs="Times New Roman"/>
                <w:sz w:val="20"/>
                <w:szCs w:val="20"/>
              </w:rPr>
              <w:t>)</w:t>
            </w:r>
            <w:r w:rsidRPr="002B208F">
              <w:rPr>
                <w:rFonts w:ascii="Verdana" w:eastAsia="Times New Roman" w:hAnsi="Verdana" w:cs="Times New Roman"/>
                <w:sz w:val="20"/>
                <w:szCs w:val="20"/>
                <w:lang w:val="bg-BG"/>
              </w:rPr>
              <w:t>;</w:t>
            </w:r>
          </w:p>
          <w:p w14:paraId="300202F2" w14:textId="4B65894C" w:rsidR="0092186A" w:rsidRPr="002B208F" w:rsidRDefault="0092186A" w:rsidP="009B7765">
            <w:pPr>
              <w:spacing w:after="0" w:line="336" w:lineRule="auto"/>
              <w:jc w:val="both"/>
              <w:rPr>
                <w:rFonts w:ascii="Verdana" w:eastAsia="Times New Roman" w:hAnsi="Verdana" w:cs="Times New Roman"/>
                <w:sz w:val="20"/>
                <w:szCs w:val="20"/>
                <w:lang w:val="bg-BG"/>
              </w:rPr>
            </w:pPr>
            <w:r w:rsidRPr="002B208F">
              <w:rPr>
                <w:rFonts w:ascii="Verdana" w:eastAsia="Times New Roman" w:hAnsi="Verdana" w:cs="Times New Roman"/>
                <w:sz w:val="20"/>
                <w:szCs w:val="20"/>
              </w:rPr>
              <w:lastRenderedPageBreak/>
              <w:t>4</w:t>
            </w:r>
            <w:r w:rsidRPr="002B208F">
              <w:rPr>
                <w:rFonts w:ascii="Verdana" w:eastAsia="Times New Roman" w:hAnsi="Verdana" w:cs="Times New Roman"/>
                <w:sz w:val="20"/>
                <w:szCs w:val="20"/>
                <w:lang w:val="bg-BG"/>
              </w:rPr>
              <w:t xml:space="preserve">. Регистрирани земеделски стопани </w:t>
            </w:r>
            <w:r w:rsidR="00BF1FD7" w:rsidRPr="002B208F">
              <w:rPr>
                <w:rFonts w:ascii="Verdana" w:eastAsia="Times New Roman" w:hAnsi="Verdana" w:cs="Times New Roman"/>
                <w:sz w:val="20"/>
                <w:szCs w:val="20"/>
              </w:rPr>
              <w:t>(</w:t>
            </w:r>
            <w:r w:rsidR="00EA2324" w:rsidRPr="002B208F">
              <w:rPr>
                <w:rFonts w:ascii="Verdana" w:eastAsia="Times New Roman" w:hAnsi="Verdana" w:cs="Times New Roman"/>
                <w:sz w:val="20"/>
                <w:szCs w:val="20"/>
                <w:lang w:val="bg-BG"/>
              </w:rPr>
              <w:t xml:space="preserve">66 </w:t>
            </w:r>
            <w:r w:rsidR="00BF1FD7" w:rsidRPr="002B208F">
              <w:rPr>
                <w:rFonts w:ascii="Verdana" w:eastAsia="Times New Roman" w:hAnsi="Verdana" w:cs="Times New Roman"/>
                <w:sz w:val="20"/>
                <w:szCs w:val="20"/>
                <w:lang w:val="bg-BG"/>
              </w:rPr>
              <w:t>579 бр.</w:t>
            </w:r>
            <w:r w:rsidR="00BF1FD7" w:rsidRPr="002B208F">
              <w:rPr>
                <w:rFonts w:ascii="Verdana" w:eastAsia="Times New Roman" w:hAnsi="Verdana" w:cs="Times New Roman"/>
                <w:sz w:val="20"/>
                <w:szCs w:val="20"/>
              </w:rPr>
              <w:t>)</w:t>
            </w:r>
            <w:r w:rsidR="00BF1FD7" w:rsidRPr="002B208F">
              <w:rPr>
                <w:rFonts w:ascii="Verdana" w:eastAsia="Times New Roman" w:hAnsi="Verdana" w:cs="Times New Roman"/>
                <w:sz w:val="20"/>
                <w:szCs w:val="20"/>
                <w:lang w:val="bg-BG"/>
              </w:rPr>
              <w:t>;</w:t>
            </w:r>
          </w:p>
          <w:p w14:paraId="7E18B987" w14:textId="15AB6ED2" w:rsidR="00BF1FD7" w:rsidRPr="002B208F" w:rsidRDefault="00EA1FFC" w:rsidP="009B7765">
            <w:pPr>
              <w:spacing w:after="0" w:line="336" w:lineRule="auto"/>
              <w:jc w:val="both"/>
              <w:rPr>
                <w:rFonts w:ascii="Verdana" w:eastAsia="Times New Roman" w:hAnsi="Verdana" w:cs="Times New Roman"/>
                <w:sz w:val="20"/>
                <w:szCs w:val="20"/>
                <w:lang w:val="bg-BG"/>
              </w:rPr>
            </w:pPr>
            <w:r w:rsidRPr="002B208F">
              <w:rPr>
                <w:rFonts w:ascii="Verdana" w:eastAsia="Times New Roman" w:hAnsi="Verdana" w:cs="Times New Roman"/>
                <w:sz w:val="20"/>
                <w:szCs w:val="20"/>
                <w:lang w:val="bg-BG"/>
              </w:rPr>
              <w:t>5</w:t>
            </w:r>
            <w:r w:rsidR="00BF1FD7" w:rsidRPr="002B208F">
              <w:rPr>
                <w:rFonts w:ascii="Verdana" w:eastAsia="Times New Roman" w:hAnsi="Verdana" w:cs="Times New Roman"/>
                <w:sz w:val="20"/>
                <w:szCs w:val="20"/>
                <w:lang w:val="bg-BG"/>
              </w:rPr>
              <w:t>. Физически и юридически лица, които са собственици на имоти, находящи се в границите на стопанския двор, които са съседни на имотите-обект на търга;</w:t>
            </w:r>
          </w:p>
          <w:p w14:paraId="622C7136" w14:textId="426BDDCD" w:rsidR="00F431B8" w:rsidRPr="002B208F" w:rsidRDefault="00EA1FFC" w:rsidP="009B7765">
            <w:pPr>
              <w:spacing w:after="0" w:line="336" w:lineRule="auto"/>
              <w:jc w:val="both"/>
              <w:rPr>
                <w:rFonts w:ascii="Verdana" w:eastAsia="Times New Roman" w:hAnsi="Verdana" w:cs="Times New Roman"/>
                <w:sz w:val="20"/>
                <w:szCs w:val="20"/>
                <w:lang w:val="bg-BG"/>
              </w:rPr>
            </w:pPr>
            <w:r w:rsidRPr="002B208F">
              <w:rPr>
                <w:rFonts w:ascii="Verdana" w:eastAsia="Times New Roman" w:hAnsi="Verdana" w:cs="Times New Roman"/>
                <w:sz w:val="20"/>
                <w:szCs w:val="20"/>
                <w:lang w:val="bg-BG"/>
              </w:rPr>
              <w:t xml:space="preserve">6. Всички заинтересовани физически и юридически лица, които участват в търговете за продажби на земи от териториите на организациите по § 12 от </w:t>
            </w:r>
            <w:r w:rsidR="00B80D6F" w:rsidRPr="00B80D6F">
              <w:rPr>
                <w:rFonts w:ascii="Verdana" w:eastAsia="Times New Roman" w:hAnsi="Verdana" w:cs="Times New Roman"/>
                <w:sz w:val="20"/>
                <w:szCs w:val="20"/>
                <w:lang w:val="bg-BG"/>
              </w:rPr>
              <w:t>преходните и заключителни разпоредби</w:t>
            </w:r>
            <w:r w:rsidRPr="002B208F">
              <w:rPr>
                <w:rFonts w:ascii="Verdana" w:eastAsia="Times New Roman" w:hAnsi="Verdana" w:cs="Times New Roman"/>
                <w:sz w:val="20"/>
                <w:szCs w:val="20"/>
                <w:lang w:val="bg-BG"/>
              </w:rPr>
              <w:t xml:space="preserve"> на ЗСПЗЗ</w:t>
            </w:r>
            <w:r w:rsidR="00F431B8" w:rsidRPr="002B208F">
              <w:rPr>
                <w:rFonts w:ascii="Verdana" w:eastAsia="Times New Roman" w:hAnsi="Verdana" w:cs="Times New Roman"/>
                <w:sz w:val="20"/>
                <w:szCs w:val="20"/>
                <w:lang w:val="bg-BG"/>
              </w:rPr>
              <w:t>.</w:t>
            </w:r>
          </w:p>
          <w:p w14:paraId="4656AE06" w14:textId="3A86E307" w:rsidR="00EA1FFC" w:rsidRPr="002B208F" w:rsidRDefault="009873ED" w:rsidP="00F431B8">
            <w:pPr>
              <w:spacing w:after="0" w:line="336" w:lineRule="auto"/>
              <w:jc w:val="both"/>
              <w:rPr>
                <w:rFonts w:ascii="Verdana" w:eastAsia="Times New Roman" w:hAnsi="Verdana" w:cs="Times New Roman"/>
                <w:sz w:val="20"/>
                <w:szCs w:val="20"/>
                <w:lang w:val="bg-BG"/>
              </w:rPr>
            </w:pPr>
            <w:r w:rsidRPr="002B208F">
              <w:rPr>
                <w:rFonts w:ascii="Verdana" w:hAnsi="Verdana" w:cs="Times New Roman"/>
                <w:sz w:val="20"/>
                <w:szCs w:val="20"/>
                <w:lang w:val="bg-BG"/>
              </w:rPr>
              <w:t xml:space="preserve">Земите от териториите на организациите по § 12 от </w:t>
            </w:r>
            <w:r w:rsidR="00B80D6F" w:rsidRPr="00B80D6F">
              <w:rPr>
                <w:rFonts w:ascii="Verdana" w:hAnsi="Verdana" w:cs="Times New Roman"/>
                <w:sz w:val="20"/>
                <w:szCs w:val="20"/>
                <w:lang w:val="bg-BG"/>
              </w:rPr>
              <w:t>преходните и заключителни разпоредби</w:t>
            </w:r>
            <w:r w:rsidRPr="002B208F">
              <w:rPr>
                <w:rFonts w:ascii="Verdana" w:hAnsi="Verdana" w:cs="Times New Roman"/>
                <w:sz w:val="20"/>
                <w:szCs w:val="20"/>
                <w:lang w:val="bg-BG"/>
              </w:rPr>
              <w:t xml:space="preserve"> на ЗСПЗЗ могат да се продават на два </w:t>
            </w:r>
            <w:r w:rsidR="00EA1FFC" w:rsidRPr="002B208F">
              <w:rPr>
                <w:rFonts w:ascii="Verdana" w:hAnsi="Verdana" w:cs="Times New Roman"/>
                <w:sz w:val="20"/>
                <w:szCs w:val="20"/>
                <w:lang w:val="bg-BG"/>
              </w:rPr>
              <w:t xml:space="preserve">вида </w:t>
            </w:r>
            <w:r w:rsidRPr="002B208F">
              <w:rPr>
                <w:rFonts w:ascii="Verdana" w:hAnsi="Verdana" w:cs="Times New Roman"/>
                <w:sz w:val="20"/>
                <w:szCs w:val="20"/>
                <w:lang w:val="bg-BG"/>
              </w:rPr>
              <w:t>търг</w:t>
            </w:r>
            <w:r w:rsidR="00EA1FFC" w:rsidRPr="002B208F">
              <w:rPr>
                <w:rFonts w:ascii="Verdana" w:hAnsi="Verdana" w:cs="Times New Roman"/>
                <w:sz w:val="20"/>
                <w:szCs w:val="20"/>
                <w:lang w:val="bg-BG"/>
              </w:rPr>
              <w:t>ове</w:t>
            </w:r>
            <w:r w:rsidRPr="002B208F">
              <w:rPr>
                <w:rFonts w:ascii="Verdana" w:hAnsi="Verdana" w:cs="Times New Roman"/>
                <w:sz w:val="20"/>
                <w:szCs w:val="20"/>
                <w:lang w:val="bg-BG"/>
              </w:rPr>
              <w:t xml:space="preserve">, </w:t>
            </w:r>
            <w:r w:rsidR="006B2D8A" w:rsidRPr="002B208F">
              <w:rPr>
                <w:rFonts w:ascii="Verdana" w:hAnsi="Verdana" w:cs="Times New Roman"/>
                <w:sz w:val="20"/>
                <w:szCs w:val="20"/>
                <w:lang w:val="bg-BG"/>
              </w:rPr>
              <w:t xml:space="preserve">на </w:t>
            </w:r>
            <w:r w:rsidRPr="002B208F">
              <w:rPr>
                <w:rFonts w:ascii="Verdana" w:hAnsi="Verdana" w:cs="Times New Roman"/>
                <w:sz w:val="20"/>
                <w:szCs w:val="20"/>
                <w:lang w:val="bg-BG"/>
              </w:rPr>
              <w:t>първи търг, на който могат да участват единствено с</w:t>
            </w:r>
            <w:r w:rsidR="006B2D8A" w:rsidRPr="002B208F">
              <w:rPr>
                <w:rFonts w:ascii="Verdana" w:hAnsi="Verdana" w:cs="Times New Roman"/>
                <w:sz w:val="20"/>
                <w:szCs w:val="20"/>
                <w:lang w:val="bg-BG"/>
              </w:rPr>
              <w:t>обствениците на съседни имоти, и на</w:t>
            </w:r>
            <w:r w:rsidRPr="002B208F">
              <w:rPr>
                <w:rFonts w:ascii="Verdana" w:hAnsi="Verdana" w:cs="Times New Roman"/>
                <w:sz w:val="20"/>
                <w:szCs w:val="20"/>
                <w:lang w:val="bg-BG"/>
              </w:rPr>
              <w:t xml:space="preserve"> общ търг, на който могат да участват всички заинтересовани лица. Потенциално в търга мога да участват и малки и средни предприятия, но на този етап не може да се определи техния брой. </w:t>
            </w:r>
            <w:r w:rsidR="00EA1FFC" w:rsidRPr="002B208F">
              <w:rPr>
                <w:rFonts w:ascii="Verdana" w:hAnsi="Verdana" w:cs="Times New Roman"/>
                <w:sz w:val="20"/>
                <w:szCs w:val="20"/>
                <w:lang w:val="bg-BG"/>
              </w:rPr>
              <w:t>Д</w:t>
            </w:r>
            <w:r w:rsidR="00EA1FFC" w:rsidRPr="002B208F">
              <w:rPr>
                <w:rFonts w:ascii="Verdana" w:eastAsia="Times New Roman" w:hAnsi="Verdana" w:cs="Times New Roman"/>
                <w:sz w:val="20"/>
                <w:szCs w:val="20"/>
                <w:lang w:val="bg-BG"/>
              </w:rPr>
              <w:t>анни за кандидатите могат да се получат след отваряне на заявленията оферти. В допълнение, в заявленията за участие в търговете не се изисква информация дали кандидатите представляват малки или средни предприятия.</w:t>
            </w:r>
          </w:p>
          <w:p w14:paraId="6182E71B" w14:textId="72EDD35B" w:rsidR="00F431B8" w:rsidRPr="002B208F" w:rsidRDefault="005B7762" w:rsidP="00F44FA7">
            <w:pPr>
              <w:autoSpaceDE w:val="0"/>
              <w:autoSpaceDN w:val="0"/>
              <w:adjustRightInd w:val="0"/>
              <w:spacing w:after="0" w:line="336" w:lineRule="auto"/>
              <w:ind w:firstLine="295"/>
              <w:jc w:val="center"/>
              <w:rPr>
                <w:rFonts w:ascii="Verdana" w:eastAsia="Times New Roman" w:hAnsi="Verdana" w:cs="Times New Roman"/>
                <w:i/>
                <w:sz w:val="14"/>
                <w:szCs w:val="14"/>
                <w:lang w:val="bg-BG"/>
              </w:rPr>
            </w:pPr>
            <w:r w:rsidRPr="002B208F">
              <w:rPr>
                <w:rFonts w:ascii="Verdana" w:eastAsia="Times New Roman" w:hAnsi="Verdana" w:cs="Times New Roman"/>
                <w:i/>
                <w:sz w:val="14"/>
                <w:szCs w:val="14"/>
                <w:lang w:val="bg-BG"/>
              </w:rPr>
              <w:t>Посочете всички потенциални заинтересовани страни</w:t>
            </w:r>
            <w:r w:rsidR="00DF7188" w:rsidRPr="002B208F">
              <w:rPr>
                <w:rFonts w:ascii="Verdana" w:eastAsia="Times New Roman" w:hAnsi="Verdana" w:cs="Times New Roman"/>
                <w:i/>
                <w:sz w:val="14"/>
                <w:szCs w:val="14"/>
                <w:lang w:val="bg-BG"/>
              </w:rPr>
              <w:t>/групи заинтересовани страни (в рамките на процеса по извършване на частичната предварителна оценка на въздействието и/или при обществените консултации по чл. 26 от Закона за нормативните актове), върху които предложенията ще окажат</w:t>
            </w:r>
            <w:r w:rsidRPr="002B208F">
              <w:rPr>
                <w:rFonts w:ascii="Verdana" w:eastAsia="Times New Roman" w:hAnsi="Verdana" w:cs="Times New Roman"/>
                <w:i/>
                <w:sz w:val="14"/>
                <w:szCs w:val="14"/>
                <w:lang w:val="bg-BG"/>
              </w:rPr>
              <w:t xml:space="preserve"> пряко или косве</w:t>
            </w:r>
            <w:r w:rsidR="00AE4E4F" w:rsidRPr="002B208F">
              <w:rPr>
                <w:rFonts w:ascii="Verdana" w:eastAsia="Times New Roman" w:hAnsi="Verdana" w:cs="Times New Roman"/>
                <w:i/>
                <w:sz w:val="14"/>
                <w:szCs w:val="14"/>
                <w:lang w:val="bg-BG"/>
              </w:rPr>
              <w:t>но въздействие (бизнес в дадена</w:t>
            </w:r>
            <w:r w:rsidRPr="002B208F">
              <w:rPr>
                <w:rFonts w:ascii="Verdana" w:eastAsia="Times New Roman" w:hAnsi="Verdana" w:cs="Times New Roman"/>
                <w:i/>
                <w:sz w:val="14"/>
                <w:szCs w:val="14"/>
                <w:lang w:val="bg-BG"/>
              </w:rPr>
              <w:t xml:space="preserve"> област/всички предприемачи, неправителствени организации, граждани/техни представители, държавни органи</w:t>
            </w:r>
            <w:r w:rsidR="00DF7188" w:rsidRPr="002B208F">
              <w:rPr>
                <w:rFonts w:ascii="Verdana" w:eastAsia="Times New Roman" w:hAnsi="Verdana" w:cs="Times New Roman"/>
                <w:i/>
                <w:sz w:val="14"/>
                <w:szCs w:val="14"/>
                <w:lang w:val="bg-BG"/>
              </w:rPr>
              <w:t>/общини и</w:t>
            </w:r>
            <w:r w:rsidRPr="002B208F">
              <w:rPr>
                <w:rFonts w:ascii="Verdana" w:eastAsia="Times New Roman" w:hAnsi="Verdana" w:cs="Times New Roman"/>
                <w:i/>
                <w:sz w:val="14"/>
                <w:szCs w:val="14"/>
                <w:lang w:val="bg-BG"/>
              </w:rPr>
              <w:t xml:space="preserve"> др.).</w:t>
            </w:r>
          </w:p>
        </w:tc>
      </w:tr>
      <w:tr w:rsidR="002B208F" w:rsidRPr="002B208F" w14:paraId="4D124C9E" w14:textId="77777777" w:rsidTr="00F431B8">
        <w:trPr>
          <w:gridBefore w:val="1"/>
          <w:wBefore w:w="8" w:type="dxa"/>
        </w:trPr>
        <w:tc>
          <w:tcPr>
            <w:tcW w:w="9696" w:type="dxa"/>
            <w:gridSpan w:val="3"/>
          </w:tcPr>
          <w:p w14:paraId="0011FC8D" w14:textId="77777777" w:rsidR="00076E63" w:rsidRPr="002B208F" w:rsidRDefault="00076E63" w:rsidP="00F431B8">
            <w:pPr>
              <w:spacing w:before="240" w:after="120" w:line="336" w:lineRule="auto"/>
              <w:jc w:val="both"/>
              <w:rPr>
                <w:rFonts w:ascii="Verdana" w:eastAsia="Times New Roman" w:hAnsi="Verdana" w:cs="Times New Roman"/>
                <w:b/>
                <w:sz w:val="20"/>
                <w:szCs w:val="20"/>
                <w:lang w:val="bg-BG"/>
              </w:rPr>
            </w:pPr>
            <w:r w:rsidRPr="002B208F">
              <w:rPr>
                <w:rFonts w:ascii="Verdana" w:eastAsia="Times New Roman" w:hAnsi="Verdana" w:cs="Times New Roman"/>
                <w:b/>
                <w:sz w:val="20"/>
                <w:szCs w:val="20"/>
                <w:lang w:val="bg-BG"/>
              </w:rPr>
              <w:lastRenderedPageBreak/>
              <w:t>4. Варианти на действие. Анализ на въздействията:</w:t>
            </w:r>
          </w:p>
        </w:tc>
      </w:tr>
      <w:tr w:rsidR="002B208F" w:rsidRPr="002B208F" w14:paraId="73DD0050" w14:textId="77777777" w:rsidTr="00F431B8">
        <w:trPr>
          <w:gridBefore w:val="1"/>
          <w:wBefore w:w="8" w:type="dxa"/>
        </w:trPr>
        <w:tc>
          <w:tcPr>
            <w:tcW w:w="9696" w:type="dxa"/>
            <w:gridSpan w:val="3"/>
          </w:tcPr>
          <w:p w14:paraId="57D12897" w14:textId="77777777" w:rsidR="002A1B9F" w:rsidRPr="002B208F" w:rsidRDefault="002A1B9F" w:rsidP="00F431B8">
            <w:pPr>
              <w:spacing w:before="240" w:after="0" w:line="336" w:lineRule="auto"/>
              <w:jc w:val="both"/>
              <w:rPr>
                <w:rFonts w:ascii="Verdana" w:eastAsia="Times New Roman" w:hAnsi="Verdana" w:cs="Times New Roman"/>
                <w:b/>
                <w:sz w:val="20"/>
                <w:szCs w:val="20"/>
                <w:lang w:val="bg-BG"/>
              </w:rPr>
            </w:pPr>
            <w:r w:rsidRPr="002B208F">
              <w:rPr>
                <w:rFonts w:ascii="Verdana" w:eastAsia="Times New Roman" w:hAnsi="Verdana" w:cs="Times New Roman"/>
                <w:b/>
                <w:sz w:val="20"/>
                <w:szCs w:val="20"/>
                <w:lang w:val="bg-BG"/>
              </w:rPr>
              <w:t>Вариант 1 „Без действие“:</w:t>
            </w:r>
          </w:p>
          <w:p w14:paraId="0E0F10A2" w14:textId="77777777" w:rsidR="002A1B9F" w:rsidRPr="002B208F" w:rsidRDefault="002A1B9F" w:rsidP="00F431B8">
            <w:pPr>
              <w:spacing w:before="120" w:after="0" w:line="336" w:lineRule="auto"/>
              <w:jc w:val="both"/>
              <w:rPr>
                <w:rFonts w:ascii="Verdana" w:eastAsia="Times New Roman" w:hAnsi="Verdana" w:cs="Times New Roman"/>
                <w:b/>
                <w:sz w:val="20"/>
                <w:szCs w:val="20"/>
                <w:lang w:val="bg-BG"/>
              </w:rPr>
            </w:pPr>
            <w:r w:rsidRPr="002B208F">
              <w:rPr>
                <w:rFonts w:ascii="Verdana" w:eastAsia="Times New Roman" w:hAnsi="Verdana" w:cs="Times New Roman"/>
                <w:b/>
                <w:sz w:val="20"/>
                <w:szCs w:val="20"/>
                <w:lang w:val="bg-BG"/>
              </w:rPr>
              <w:t>Описание:</w:t>
            </w:r>
          </w:p>
          <w:p w14:paraId="72FDE047" w14:textId="77777777" w:rsidR="002A1B9F" w:rsidRPr="002B208F" w:rsidRDefault="002A1B9F" w:rsidP="009B7765">
            <w:pPr>
              <w:spacing w:after="0" w:line="336" w:lineRule="auto"/>
              <w:jc w:val="both"/>
              <w:rPr>
                <w:rFonts w:ascii="Verdana" w:eastAsia="Times New Roman" w:hAnsi="Verdana" w:cs="Times New Roman"/>
                <w:sz w:val="20"/>
                <w:szCs w:val="20"/>
                <w:lang w:val="bg-BG"/>
              </w:rPr>
            </w:pPr>
            <w:r w:rsidRPr="002B208F">
              <w:rPr>
                <w:rFonts w:ascii="Verdana" w:eastAsia="Times New Roman" w:hAnsi="Verdana" w:cs="Times New Roman"/>
                <w:sz w:val="20"/>
                <w:szCs w:val="20"/>
                <w:lang w:val="bg-BG"/>
              </w:rPr>
              <w:t xml:space="preserve">Вариантът „Без действие“ се характеризира с </w:t>
            </w:r>
            <w:proofErr w:type="spellStart"/>
            <w:r w:rsidRPr="002B208F">
              <w:rPr>
                <w:rFonts w:ascii="Verdana" w:eastAsia="Times New Roman" w:hAnsi="Verdana" w:cs="Times New Roman"/>
                <w:sz w:val="20"/>
                <w:szCs w:val="20"/>
                <w:lang w:val="bg-BG"/>
              </w:rPr>
              <w:t>непредприемането</w:t>
            </w:r>
            <w:proofErr w:type="spellEnd"/>
            <w:r w:rsidRPr="002B208F">
              <w:rPr>
                <w:rFonts w:ascii="Verdana" w:eastAsia="Times New Roman" w:hAnsi="Verdana" w:cs="Times New Roman"/>
                <w:sz w:val="20"/>
                <w:szCs w:val="20"/>
                <w:lang w:val="bg-BG"/>
              </w:rPr>
              <w:t xml:space="preserve"> на никакви действия. </w:t>
            </w:r>
          </w:p>
          <w:p w14:paraId="4CBB9EDE" w14:textId="622AD40B" w:rsidR="002A1B9F" w:rsidRPr="002B208F" w:rsidRDefault="003F6F7B" w:rsidP="009B7765">
            <w:pPr>
              <w:spacing w:after="120" w:line="336" w:lineRule="auto"/>
              <w:jc w:val="both"/>
              <w:rPr>
                <w:rFonts w:ascii="Verdana" w:eastAsia="Times New Roman" w:hAnsi="Verdana" w:cs="Times New Roman"/>
                <w:sz w:val="20"/>
                <w:szCs w:val="20"/>
                <w:lang w:val="bg-BG"/>
              </w:rPr>
            </w:pPr>
            <w:r w:rsidRPr="002B208F">
              <w:rPr>
                <w:rFonts w:ascii="Verdana" w:eastAsia="Times New Roman" w:hAnsi="Verdana" w:cs="Times New Roman"/>
                <w:sz w:val="20"/>
                <w:szCs w:val="20"/>
                <w:lang w:val="bg-BG"/>
              </w:rPr>
              <w:t xml:space="preserve">Правилата за провеждане на търгове за отдаване под наем/аренда на земеделски земи от държавния поземлен фонд, за отдаване под наем на пасища, мери и ливади от държавния и общинския поземлен фонд, както и за продажба на земи от териториите на организациите по § 12 от </w:t>
            </w:r>
            <w:r w:rsidR="00865F46" w:rsidRPr="00865F46">
              <w:rPr>
                <w:rFonts w:ascii="Verdana" w:eastAsia="Times New Roman" w:hAnsi="Verdana" w:cs="Times New Roman"/>
                <w:sz w:val="20"/>
                <w:szCs w:val="20"/>
                <w:lang w:val="bg-BG"/>
              </w:rPr>
              <w:t>преходните и заключителни разпоредби</w:t>
            </w:r>
            <w:r w:rsidRPr="002B208F">
              <w:rPr>
                <w:rFonts w:ascii="Verdana" w:eastAsia="Times New Roman" w:hAnsi="Verdana" w:cs="Times New Roman"/>
                <w:sz w:val="20"/>
                <w:szCs w:val="20"/>
                <w:lang w:val="bg-BG"/>
              </w:rPr>
              <w:t xml:space="preserve"> на ЗСПЗЗ, няма да са адаптирани към еврото като национална валута.</w:t>
            </w:r>
            <w:r w:rsidR="00930A27" w:rsidRPr="002B208F">
              <w:rPr>
                <w:rFonts w:ascii="Verdana" w:eastAsia="Times New Roman" w:hAnsi="Verdana" w:cs="Times New Roman"/>
                <w:sz w:val="20"/>
                <w:szCs w:val="20"/>
                <w:lang w:val="bg-BG"/>
              </w:rPr>
              <w:t xml:space="preserve"> В допълнение, ще се наруши разпоредбата на § 6, </w:t>
            </w:r>
            <w:r w:rsidR="00930A27" w:rsidRPr="002B208F">
              <w:rPr>
                <w:rFonts w:ascii="Verdana" w:eastAsia="Times New Roman" w:hAnsi="Verdana" w:cs="Times New Roman"/>
                <w:iCs/>
                <w:sz w:val="20"/>
                <w:szCs w:val="20"/>
                <w:lang w:val="bg-BG"/>
              </w:rPr>
              <w:t xml:space="preserve">ал. 1, т. 2 от </w:t>
            </w:r>
            <w:r w:rsidR="00865F46" w:rsidRPr="00865F46">
              <w:rPr>
                <w:rFonts w:ascii="Verdana" w:eastAsia="Times New Roman" w:hAnsi="Verdana" w:cs="Times New Roman"/>
                <w:iCs/>
                <w:sz w:val="20"/>
                <w:szCs w:val="20"/>
                <w:lang w:val="bg-BG"/>
              </w:rPr>
              <w:t>преходните и заключителни разпоредби</w:t>
            </w:r>
            <w:r w:rsidR="00930A27" w:rsidRPr="002B208F">
              <w:rPr>
                <w:rFonts w:ascii="Verdana" w:eastAsia="Times New Roman" w:hAnsi="Verdana" w:cs="Times New Roman"/>
                <w:iCs/>
                <w:sz w:val="20"/>
                <w:szCs w:val="20"/>
                <w:lang w:val="bg-BG"/>
              </w:rPr>
              <w:t xml:space="preserve"> на ЗВЕРБ.</w:t>
            </w:r>
          </w:p>
          <w:p w14:paraId="54CA7A85" w14:textId="77777777" w:rsidR="002A1B9F" w:rsidRPr="002B208F" w:rsidRDefault="002A1B9F" w:rsidP="00F431B8">
            <w:pPr>
              <w:spacing w:before="120" w:after="0" w:line="336" w:lineRule="auto"/>
              <w:jc w:val="both"/>
              <w:rPr>
                <w:rFonts w:ascii="Verdana" w:eastAsia="Times New Roman" w:hAnsi="Verdana" w:cs="Times New Roman"/>
                <w:b/>
                <w:sz w:val="20"/>
                <w:szCs w:val="20"/>
                <w:lang w:val="bg-BG"/>
              </w:rPr>
            </w:pPr>
            <w:r w:rsidRPr="002B208F">
              <w:rPr>
                <w:rFonts w:ascii="Verdana" w:eastAsia="Times New Roman" w:hAnsi="Verdana" w:cs="Times New Roman"/>
                <w:b/>
                <w:sz w:val="20"/>
                <w:szCs w:val="20"/>
                <w:lang w:val="bg-BG"/>
              </w:rPr>
              <w:t>Положителни (икономически/социални/екологични) въздействия:</w:t>
            </w:r>
          </w:p>
          <w:p w14:paraId="76CB3248" w14:textId="77777777" w:rsidR="002A1B9F" w:rsidRPr="002B208F" w:rsidRDefault="002A1B9F" w:rsidP="009B7765">
            <w:pPr>
              <w:spacing w:after="0" w:line="336" w:lineRule="auto"/>
              <w:jc w:val="both"/>
              <w:rPr>
                <w:rFonts w:ascii="Verdana" w:eastAsia="Times New Roman" w:hAnsi="Verdana" w:cs="Times New Roman"/>
                <w:sz w:val="20"/>
                <w:szCs w:val="20"/>
                <w:lang w:val="bg-BG"/>
              </w:rPr>
            </w:pPr>
            <w:r w:rsidRPr="002B208F">
              <w:rPr>
                <w:rFonts w:ascii="Verdana" w:eastAsia="Times New Roman" w:hAnsi="Verdana" w:cs="Times New Roman"/>
                <w:sz w:val="20"/>
                <w:szCs w:val="20"/>
                <w:lang w:val="bg-BG"/>
              </w:rPr>
              <w:t>Не са идентифицирани.</w:t>
            </w:r>
          </w:p>
          <w:p w14:paraId="6C54D88F" w14:textId="77777777" w:rsidR="002A1B9F" w:rsidRPr="002B208F" w:rsidRDefault="002A1B9F" w:rsidP="00F431B8">
            <w:pPr>
              <w:spacing w:before="120" w:after="60" w:line="336" w:lineRule="auto"/>
              <w:jc w:val="both"/>
              <w:rPr>
                <w:rFonts w:ascii="Verdana" w:eastAsia="Calibri" w:hAnsi="Verdana" w:cs="Times New Roman"/>
                <w:sz w:val="20"/>
                <w:szCs w:val="20"/>
                <w:lang w:val="bg-BG"/>
              </w:rPr>
            </w:pPr>
            <w:r w:rsidRPr="002B208F">
              <w:rPr>
                <w:rFonts w:ascii="Verdana" w:eastAsia="Times New Roman" w:hAnsi="Verdana" w:cs="Times New Roman"/>
                <w:b/>
                <w:sz w:val="20"/>
                <w:szCs w:val="20"/>
                <w:lang w:val="bg-BG"/>
              </w:rPr>
              <w:t>Отрицателни (икономически/социални/екологични) въздействия:</w:t>
            </w:r>
          </w:p>
          <w:p w14:paraId="0E04CF14" w14:textId="20159E23" w:rsidR="002A1B9F" w:rsidRPr="002B208F" w:rsidRDefault="00930A27" w:rsidP="009B7765">
            <w:pPr>
              <w:spacing w:after="0" w:line="336" w:lineRule="auto"/>
              <w:jc w:val="both"/>
              <w:rPr>
                <w:rFonts w:ascii="Verdana" w:eastAsia="Times New Roman" w:hAnsi="Verdana" w:cs="Times New Roman"/>
                <w:sz w:val="20"/>
                <w:szCs w:val="20"/>
                <w:lang w:val="bg-BG"/>
              </w:rPr>
            </w:pPr>
            <w:r w:rsidRPr="002B208F">
              <w:rPr>
                <w:rFonts w:ascii="Verdana" w:eastAsia="Times New Roman" w:hAnsi="Verdana" w:cs="Times New Roman"/>
                <w:sz w:val="20"/>
                <w:szCs w:val="20"/>
                <w:lang w:val="bg-BG"/>
              </w:rPr>
              <w:t xml:space="preserve">Ще се създадат затруднения във връзка с провеждането търгове за отдаване под наем/аренда на земеделски земи от държавния поземлен фонд, за отдаване под наем на пасища, мери и ливади от държавния и общинския поземлен фонд, както и за продажба на земи от териториите на организациите по § 12 от </w:t>
            </w:r>
            <w:r w:rsidR="00865F46" w:rsidRPr="00865F46">
              <w:rPr>
                <w:rFonts w:ascii="Verdana" w:eastAsia="Times New Roman" w:hAnsi="Verdana" w:cs="Times New Roman"/>
                <w:sz w:val="20"/>
                <w:szCs w:val="20"/>
                <w:lang w:val="bg-BG"/>
              </w:rPr>
              <w:t>преходните и заключителни разпоредби</w:t>
            </w:r>
            <w:r w:rsidRPr="002B208F">
              <w:rPr>
                <w:rFonts w:ascii="Verdana" w:eastAsia="Times New Roman" w:hAnsi="Verdana" w:cs="Times New Roman"/>
                <w:sz w:val="20"/>
                <w:szCs w:val="20"/>
                <w:lang w:val="bg-BG"/>
              </w:rPr>
              <w:t xml:space="preserve"> на ЗСПЗЗ.</w:t>
            </w:r>
          </w:p>
          <w:p w14:paraId="6988DFBF" w14:textId="1C7ED814" w:rsidR="002A1B9F" w:rsidRPr="002B208F" w:rsidRDefault="002A1B9F" w:rsidP="00F431B8">
            <w:pPr>
              <w:spacing w:before="120" w:after="0" w:line="336" w:lineRule="auto"/>
              <w:jc w:val="both"/>
              <w:rPr>
                <w:rFonts w:ascii="Verdana" w:eastAsia="Times New Roman" w:hAnsi="Verdana" w:cs="Times New Roman"/>
                <w:b/>
                <w:sz w:val="20"/>
                <w:szCs w:val="20"/>
                <w:lang w:val="bg-BG"/>
              </w:rPr>
            </w:pPr>
            <w:r w:rsidRPr="002B208F">
              <w:rPr>
                <w:rFonts w:ascii="Verdana" w:eastAsia="Times New Roman" w:hAnsi="Verdana" w:cs="Times New Roman"/>
                <w:b/>
                <w:sz w:val="20"/>
                <w:szCs w:val="20"/>
                <w:lang w:val="bg-BG"/>
              </w:rPr>
              <w:t>Специфични въздействия:</w:t>
            </w:r>
          </w:p>
          <w:p w14:paraId="61026ADB" w14:textId="50239189" w:rsidR="003761A5" w:rsidRPr="002B208F" w:rsidRDefault="002A1B9F" w:rsidP="009B7765">
            <w:pPr>
              <w:spacing w:before="60" w:after="0" w:line="336" w:lineRule="auto"/>
              <w:jc w:val="both"/>
              <w:rPr>
                <w:rFonts w:ascii="Verdana" w:eastAsia="Times New Roman" w:hAnsi="Verdana" w:cs="Times New Roman"/>
                <w:b/>
                <w:sz w:val="20"/>
                <w:szCs w:val="20"/>
                <w:lang w:val="bg-BG"/>
              </w:rPr>
            </w:pPr>
            <w:r w:rsidRPr="002B208F">
              <w:rPr>
                <w:rFonts w:ascii="Verdana" w:eastAsia="Times New Roman" w:hAnsi="Verdana" w:cs="Times New Roman"/>
                <w:sz w:val="20"/>
                <w:szCs w:val="20"/>
                <w:lang w:val="bg-BG"/>
              </w:rPr>
              <w:t>Не са идентифицирани</w:t>
            </w:r>
            <w:r w:rsidRPr="002B208F">
              <w:rPr>
                <w:rFonts w:ascii="Verdana" w:eastAsia="Times New Roman" w:hAnsi="Verdana" w:cs="Times New Roman"/>
                <w:b/>
                <w:sz w:val="20"/>
                <w:szCs w:val="20"/>
                <w:lang w:val="bg-BG"/>
              </w:rPr>
              <w:t>.</w:t>
            </w:r>
          </w:p>
          <w:p w14:paraId="6CAF1DCC" w14:textId="12785FC5" w:rsidR="002A1B9F" w:rsidRPr="002B208F" w:rsidRDefault="002A1B9F" w:rsidP="00F431B8">
            <w:pPr>
              <w:spacing w:before="120" w:after="0" w:line="336" w:lineRule="auto"/>
              <w:rPr>
                <w:rFonts w:ascii="Verdana" w:eastAsia="Times New Roman" w:hAnsi="Verdana" w:cs="Times New Roman"/>
                <w:sz w:val="20"/>
                <w:szCs w:val="20"/>
                <w:lang w:val="bg-BG"/>
              </w:rPr>
            </w:pPr>
            <w:r w:rsidRPr="002B208F">
              <w:rPr>
                <w:rFonts w:ascii="Verdana" w:eastAsia="Times New Roman" w:hAnsi="Verdana" w:cs="Times New Roman"/>
                <w:b/>
                <w:sz w:val="20"/>
                <w:szCs w:val="20"/>
                <w:lang w:val="bg-BG"/>
              </w:rPr>
              <w:t>Въздействия върху малките и средните предприятия:</w:t>
            </w:r>
          </w:p>
          <w:p w14:paraId="3539531F" w14:textId="77777777" w:rsidR="00930A27" w:rsidRPr="002B208F" w:rsidRDefault="00930A27" w:rsidP="00F53C95">
            <w:pPr>
              <w:spacing w:after="0" w:line="336" w:lineRule="auto"/>
              <w:jc w:val="both"/>
              <w:rPr>
                <w:rFonts w:ascii="Verdana" w:eastAsia="Times New Roman" w:hAnsi="Verdana" w:cs="Times New Roman"/>
                <w:sz w:val="20"/>
                <w:szCs w:val="20"/>
                <w:lang w:val="bg-BG"/>
              </w:rPr>
            </w:pPr>
            <w:r w:rsidRPr="002B208F">
              <w:rPr>
                <w:rFonts w:ascii="Verdana" w:eastAsia="Times New Roman" w:hAnsi="Verdana" w:cs="Times New Roman"/>
                <w:sz w:val="20"/>
                <w:szCs w:val="20"/>
                <w:lang w:val="bg-BG"/>
              </w:rPr>
              <w:lastRenderedPageBreak/>
              <w:t>Потенциални участници в търговете биха могли да бъдат малки или средни предприятия, но данни за кандидатите могат да се получат след отваряне на заявленията оферти. В допълнение, в заявленията за участие в търговете не се изисква информация дали кандидатите представляват малки или средни предприятия.</w:t>
            </w:r>
          </w:p>
          <w:p w14:paraId="3204034C" w14:textId="77777777" w:rsidR="002A1B9F" w:rsidRPr="002B208F" w:rsidRDefault="002A1B9F" w:rsidP="00F431B8">
            <w:pPr>
              <w:spacing w:before="120" w:after="0" w:line="336" w:lineRule="auto"/>
              <w:rPr>
                <w:rFonts w:ascii="Verdana" w:eastAsia="Times New Roman" w:hAnsi="Verdana" w:cs="Times New Roman"/>
                <w:sz w:val="20"/>
                <w:szCs w:val="20"/>
                <w:lang w:val="bg-BG"/>
              </w:rPr>
            </w:pPr>
            <w:r w:rsidRPr="002B208F">
              <w:rPr>
                <w:rFonts w:ascii="Verdana" w:eastAsia="Times New Roman" w:hAnsi="Verdana" w:cs="Times New Roman"/>
                <w:b/>
                <w:sz w:val="20"/>
                <w:szCs w:val="20"/>
                <w:lang w:val="bg-BG"/>
              </w:rPr>
              <w:t>Административна тежест:</w:t>
            </w:r>
          </w:p>
          <w:p w14:paraId="4FB93902" w14:textId="35DE6E4D" w:rsidR="006B2D8A" w:rsidRPr="002B208F" w:rsidRDefault="002A1B9F" w:rsidP="009B7765">
            <w:pPr>
              <w:spacing w:after="0" w:line="336" w:lineRule="auto"/>
              <w:rPr>
                <w:rFonts w:ascii="Verdana" w:eastAsia="Times New Roman" w:hAnsi="Verdana" w:cs="Times New Roman"/>
                <w:sz w:val="20"/>
                <w:szCs w:val="20"/>
                <w:lang w:val="bg-BG"/>
              </w:rPr>
            </w:pPr>
            <w:r w:rsidRPr="002B208F">
              <w:rPr>
                <w:rFonts w:ascii="Verdana" w:eastAsia="Times New Roman" w:hAnsi="Verdana" w:cs="Times New Roman"/>
                <w:sz w:val="20"/>
                <w:szCs w:val="20"/>
                <w:lang w:val="bg-BG"/>
              </w:rPr>
              <w:t>Не се променя.</w:t>
            </w:r>
          </w:p>
          <w:p w14:paraId="313A6248" w14:textId="77777777" w:rsidR="00F431B8" w:rsidRPr="002B208F" w:rsidRDefault="00F431B8" w:rsidP="009B7765">
            <w:pPr>
              <w:spacing w:after="0" w:line="336" w:lineRule="auto"/>
              <w:rPr>
                <w:rFonts w:ascii="Verdana" w:eastAsia="Times New Roman" w:hAnsi="Verdana" w:cs="Times New Roman"/>
                <w:sz w:val="20"/>
                <w:szCs w:val="20"/>
                <w:lang w:val="bg-BG"/>
              </w:rPr>
            </w:pPr>
          </w:p>
          <w:p w14:paraId="0215CB73" w14:textId="27D5A76F" w:rsidR="002A1B9F" w:rsidRPr="002B208F" w:rsidRDefault="002A1B9F" w:rsidP="009B7765">
            <w:pPr>
              <w:spacing w:before="120" w:after="0" w:line="336" w:lineRule="auto"/>
              <w:jc w:val="both"/>
              <w:rPr>
                <w:rFonts w:ascii="Verdana" w:eastAsia="Times New Roman" w:hAnsi="Verdana" w:cs="Times New Roman"/>
                <w:b/>
                <w:sz w:val="20"/>
                <w:szCs w:val="20"/>
                <w:lang w:val="bg-BG"/>
              </w:rPr>
            </w:pPr>
            <w:r w:rsidRPr="002B208F">
              <w:rPr>
                <w:rFonts w:ascii="Verdana" w:eastAsia="Times New Roman" w:hAnsi="Verdana" w:cs="Times New Roman"/>
                <w:b/>
                <w:sz w:val="20"/>
                <w:szCs w:val="20"/>
                <w:lang w:val="bg-BG"/>
              </w:rPr>
              <w:t xml:space="preserve">Вариант 2 Приемане на Постановление на Министерския съвет за изменение на </w:t>
            </w:r>
            <w:r w:rsidR="004D6D8F" w:rsidRPr="002B208F">
              <w:rPr>
                <w:rFonts w:ascii="Verdana" w:eastAsia="Times New Roman" w:hAnsi="Verdana" w:cs="Times New Roman"/>
                <w:b/>
                <w:spacing w:val="-2"/>
                <w:sz w:val="20"/>
                <w:szCs w:val="20"/>
                <w:lang w:val="bg-BG"/>
              </w:rPr>
              <w:t>Правилника за прилагане на Закона за собствеността и ползването на земеделските земи</w:t>
            </w:r>
          </w:p>
          <w:p w14:paraId="192A9E25" w14:textId="77777777" w:rsidR="002A1B9F" w:rsidRPr="002B208F" w:rsidRDefault="002A1B9F" w:rsidP="00F431B8">
            <w:pPr>
              <w:spacing w:before="120" w:after="0" w:line="336" w:lineRule="auto"/>
              <w:jc w:val="both"/>
              <w:rPr>
                <w:rFonts w:ascii="Verdana" w:eastAsia="Times New Roman" w:hAnsi="Verdana" w:cs="Times New Roman"/>
                <w:b/>
                <w:sz w:val="20"/>
                <w:szCs w:val="20"/>
                <w:lang w:val="bg-BG"/>
              </w:rPr>
            </w:pPr>
            <w:r w:rsidRPr="002B208F">
              <w:rPr>
                <w:rFonts w:ascii="Verdana" w:eastAsia="Times New Roman" w:hAnsi="Verdana" w:cs="Times New Roman"/>
                <w:b/>
                <w:sz w:val="20"/>
                <w:szCs w:val="20"/>
                <w:lang w:val="bg-BG"/>
              </w:rPr>
              <w:t>Описание:</w:t>
            </w:r>
          </w:p>
          <w:p w14:paraId="01080E82" w14:textId="20497048" w:rsidR="00930A27" w:rsidRPr="002B208F" w:rsidRDefault="00930A27" w:rsidP="009B7765">
            <w:pPr>
              <w:spacing w:after="0" w:line="336" w:lineRule="auto"/>
              <w:jc w:val="both"/>
              <w:rPr>
                <w:rFonts w:ascii="Verdana" w:hAnsi="Verdana"/>
                <w:sz w:val="20"/>
                <w:szCs w:val="20"/>
                <w:lang w:val="bg-BG"/>
              </w:rPr>
            </w:pPr>
            <w:r w:rsidRPr="002B208F">
              <w:rPr>
                <w:rFonts w:ascii="Verdana" w:hAnsi="Verdana" w:cs="Times New Roman"/>
                <w:sz w:val="20"/>
                <w:szCs w:val="20"/>
                <w:lang w:val="bg-BG"/>
              </w:rPr>
              <w:t>С предложения проект на постановление се регулират обществените отношения във връзка с</w:t>
            </w:r>
            <w:r w:rsidR="006B2D8A" w:rsidRPr="002B208F">
              <w:rPr>
                <w:rFonts w:ascii="Verdana" w:hAnsi="Verdana" w:cs="Times New Roman"/>
                <w:sz w:val="20"/>
                <w:szCs w:val="20"/>
              </w:rPr>
              <w:t xml:space="preserve"> </w:t>
            </w:r>
            <w:r w:rsidR="006B2D8A" w:rsidRPr="002B208F">
              <w:rPr>
                <w:rFonts w:ascii="Verdana" w:hAnsi="Verdana" w:cs="Times New Roman"/>
                <w:sz w:val="20"/>
                <w:szCs w:val="20"/>
                <w:lang w:val="bg-BG"/>
              </w:rPr>
              <w:t>търговете за</w:t>
            </w:r>
            <w:r w:rsidRPr="002B208F">
              <w:rPr>
                <w:rFonts w:ascii="Verdana" w:hAnsi="Verdana" w:cs="Times New Roman"/>
                <w:sz w:val="20"/>
                <w:szCs w:val="20"/>
                <w:lang w:val="bg-BG"/>
              </w:rPr>
              <w:t xml:space="preserve"> отдаване под </w:t>
            </w:r>
            <w:r w:rsidRPr="002B208F">
              <w:rPr>
                <w:rFonts w:ascii="Verdana" w:eastAsia="Times New Roman" w:hAnsi="Verdana" w:cs="Times New Roman"/>
                <w:sz w:val="20"/>
                <w:szCs w:val="20"/>
                <w:lang w:val="bg-BG"/>
              </w:rPr>
              <w:t xml:space="preserve">наем/аренда на земеделски земи от държавния поземлен фонд, за отдаване под наем на пасища, мери и ливади от държавния и общинския поземлен фонд, както и за продажба на земи от териториите на организациите по § 12 от </w:t>
            </w:r>
            <w:r w:rsidR="005B4E9D" w:rsidRPr="005B4E9D">
              <w:rPr>
                <w:rFonts w:ascii="Verdana" w:eastAsia="Times New Roman" w:hAnsi="Verdana" w:cs="Times New Roman"/>
                <w:sz w:val="20"/>
                <w:szCs w:val="20"/>
                <w:lang w:val="bg-BG"/>
              </w:rPr>
              <w:t>преходните и заключителни разпоредби</w:t>
            </w:r>
            <w:r w:rsidRPr="002B208F">
              <w:rPr>
                <w:rFonts w:ascii="Verdana" w:eastAsia="Times New Roman" w:hAnsi="Verdana" w:cs="Times New Roman"/>
                <w:sz w:val="20"/>
                <w:szCs w:val="20"/>
                <w:lang w:val="bg-BG"/>
              </w:rPr>
              <w:t xml:space="preserve"> на ЗСПЗЗ, като се </w:t>
            </w:r>
            <w:r w:rsidRPr="002B208F">
              <w:rPr>
                <w:rFonts w:ascii="Verdana" w:hAnsi="Verdana"/>
                <w:sz w:val="20"/>
                <w:szCs w:val="20"/>
                <w:lang w:val="bg-BG"/>
              </w:rPr>
              <w:t>предвиди, че офертите следва да се посочват в евро като парична единица. В допълнение се изменя</w:t>
            </w:r>
            <w:r w:rsidR="000A514F" w:rsidRPr="002B208F">
              <w:rPr>
                <w:rFonts w:ascii="Verdana" w:hAnsi="Verdana"/>
                <w:sz w:val="20"/>
                <w:szCs w:val="20"/>
                <w:lang w:val="bg-BG"/>
              </w:rPr>
              <w:t xml:space="preserve"> размера на</w:t>
            </w:r>
            <w:r w:rsidRPr="002B208F">
              <w:rPr>
                <w:rFonts w:ascii="Verdana" w:hAnsi="Verdana"/>
                <w:sz w:val="20"/>
                <w:szCs w:val="20"/>
                <w:lang w:val="bg-BG"/>
              </w:rPr>
              <w:t xml:space="preserve"> стъпката на наддаване при провеждането на търг с явно наддаване, като се </w:t>
            </w:r>
            <w:r w:rsidR="0055558F">
              <w:rPr>
                <w:rFonts w:ascii="Verdana" w:hAnsi="Verdana"/>
                <w:sz w:val="20"/>
                <w:szCs w:val="20"/>
                <w:lang w:val="bg-BG"/>
              </w:rPr>
              <w:t>спазват правилата за превалутиране и закръгляване, нормативно установени в ЗВЕРБ</w:t>
            </w:r>
            <w:r w:rsidRPr="002B208F">
              <w:rPr>
                <w:rFonts w:ascii="Verdana" w:hAnsi="Verdana"/>
                <w:sz w:val="20"/>
                <w:szCs w:val="20"/>
                <w:lang w:val="bg-BG"/>
              </w:rPr>
              <w:t>.</w:t>
            </w:r>
          </w:p>
          <w:p w14:paraId="36CCC1AB" w14:textId="77777777" w:rsidR="002A1B9F" w:rsidRPr="002B208F" w:rsidRDefault="002A1B9F" w:rsidP="00F431B8">
            <w:pPr>
              <w:spacing w:before="120" w:after="0" w:line="336" w:lineRule="auto"/>
              <w:jc w:val="both"/>
              <w:outlineLvl w:val="0"/>
              <w:rPr>
                <w:rFonts w:ascii="Verdana" w:eastAsia="Times New Roman" w:hAnsi="Verdana" w:cs="Times New Roman"/>
                <w:b/>
                <w:sz w:val="20"/>
                <w:szCs w:val="20"/>
                <w:lang w:val="bg-BG"/>
              </w:rPr>
            </w:pPr>
            <w:r w:rsidRPr="002B208F">
              <w:rPr>
                <w:rFonts w:ascii="Verdana" w:eastAsia="Times New Roman" w:hAnsi="Verdana" w:cs="Times New Roman"/>
                <w:b/>
                <w:sz w:val="20"/>
                <w:szCs w:val="20"/>
                <w:lang w:val="bg-BG"/>
              </w:rPr>
              <w:t>Положителни (икономически/социални/екологични) въздействия:</w:t>
            </w:r>
          </w:p>
          <w:p w14:paraId="5C5FA430" w14:textId="7DF9CEA9" w:rsidR="002A1B9F" w:rsidRPr="002B208F" w:rsidRDefault="004D6D8F" w:rsidP="009B7765">
            <w:pPr>
              <w:spacing w:after="0" w:line="336" w:lineRule="auto"/>
              <w:jc w:val="both"/>
              <w:rPr>
                <w:rFonts w:ascii="Verdana" w:eastAsia="Times New Roman" w:hAnsi="Verdana" w:cs="Times New Roman"/>
                <w:sz w:val="20"/>
                <w:szCs w:val="20"/>
                <w:lang w:val="bg-BG"/>
              </w:rPr>
            </w:pPr>
            <w:r w:rsidRPr="002B208F">
              <w:rPr>
                <w:rFonts w:ascii="Verdana" w:eastAsia="Times New Roman" w:hAnsi="Verdana" w:cs="Times New Roman"/>
                <w:sz w:val="20"/>
                <w:szCs w:val="20"/>
                <w:lang w:val="bg-BG"/>
              </w:rPr>
              <w:t xml:space="preserve">Ще се спомогне за плавното преминаване към еврото като национална валута и обществените отношения, възникнали във връзка и по повод провеждането на търговете, ще бъдат регулирани в съответствие с промените, които ще настъпят след 01.01.2026 г. </w:t>
            </w:r>
          </w:p>
          <w:p w14:paraId="5C2AA798" w14:textId="77777777" w:rsidR="002A1B9F" w:rsidRPr="002B208F" w:rsidRDefault="002A1B9F" w:rsidP="00F431B8">
            <w:pPr>
              <w:spacing w:before="120" w:after="0" w:line="336" w:lineRule="auto"/>
              <w:jc w:val="both"/>
              <w:rPr>
                <w:rFonts w:ascii="Verdana" w:eastAsia="Times New Roman" w:hAnsi="Verdana" w:cs="Times New Roman"/>
                <w:sz w:val="20"/>
                <w:szCs w:val="20"/>
                <w:lang w:val="bg-BG"/>
              </w:rPr>
            </w:pPr>
            <w:r w:rsidRPr="002B208F">
              <w:rPr>
                <w:rFonts w:ascii="Verdana" w:eastAsia="Times New Roman" w:hAnsi="Verdana" w:cs="Times New Roman"/>
                <w:b/>
                <w:sz w:val="20"/>
                <w:szCs w:val="20"/>
                <w:lang w:val="bg-BG"/>
              </w:rPr>
              <w:t>Отрицателни (икономически/социални/екологични) въздействия:</w:t>
            </w:r>
          </w:p>
          <w:p w14:paraId="3463F07C" w14:textId="66B4CCC5" w:rsidR="002A1B9F" w:rsidRPr="002B208F" w:rsidRDefault="004D6D8F" w:rsidP="009B7765">
            <w:pPr>
              <w:spacing w:after="0" w:line="336" w:lineRule="auto"/>
              <w:jc w:val="both"/>
              <w:rPr>
                <w:rFonts w:ascii="Verdana" w:eastAsia="Times New Roman" w:hAnsi="Verdana" w:cs="Times New Roman"/>
                <w:sz w:val="20"/>
                <w:szCs w:val="20"/>
                <w:lang w:val="bg-BG"/>
              </w:rPr>
            </w:pPr>
            <w:r w:rsidRPr="002B208F">
              <w:rPr>
                <w:rFonts w:ascii="Verdana" w:eastAsia="Times New Roman" w:hAnsi="Verdana" w:cs="Times New Roman"/>
                <w:sz w:val="20"/>
                <w:szCs w:val="20"/>
                <w:lang w:val="bg-BG"/>
              </w:rPr>
              <w:t>Не са идентифицирани.</w:t>
            </w:r>
          </w:p>
          <w:p w14:paraId="790D967E" w14:textId="77777777" w:rsidR="002A1B9F" w:rsidRPr="002B208F" w:rsidRDefault="002A1B9F" w:rsidP="00F431B8">
            <w:pPr>
              <w:spacing w:before="120" w:after="0" w:line="336" w:lineRule="auto"/>
              <w:jc w:val="both"/>
              <w:rPr>
                <w:rFonts w:ascii="Verdana" w:eastAsia="Times New Roman" w:hAnsi="Verdana" w:cs="Times New Roman"/>
                <w:b/>
                <w:sz w:val="20"/>
                <w:szCs w:val="20"/>
                <w:lang w:val="bg-BG"/>
              </w:rPr>
            </w:pPr>
            <w:r w:rsidRPr="002B208F">
              <w:rPr>
                <w:rFonts w:ascii="Verdana" w:eastAsia="Times New Roman" w:hAnsi="Verdana" w:cs="Times New Roman"/>
                <w:b/>
                <w:sz w:val="20"/>
                <w:szCs w:val="20"/>
                <w:lang w:val="bg-BG"/>
              </w:rPr>
              <w:t>Специфични въздействия:</w:t>
            </w:r>
          </w:p>
          <w:p w14:paraId="19534AA0" w14:textId="28187E49" w:rsidR="002A1B9F" w:rsidRPr="002B208F" w:rsidRDefault="002A1B9F" w:rsidP="009B7765">
            <w:pPr>
              <w:spacing w:after="0" w:line="336" w:lineRule="auto"/>
              <w:jc w:val="both"/>
              <w:rPr>
                <w:rFonts w:ascii="Verdana" w:eastAsia="Times New Roman" w:hAnsi="Verdana" w:cs="Times New Roman"/>
                <w:sz w:val="20"/>
                <w:szCs w:val="20"/>
                <w:lang w:val="bg-BG"/>
              </w:rPr>
            </w:pPr>
            <w:r w:rsidRPr="002B208F">
              <w:rPr>
                <w:rFonts w:ascii="Verdana" w:eastAsia="Times New Roman" w:hAnsi="Verdana" w:cs="Times New Roman"/>
                <w:sz w:val="20"/>
                <w:szCs w:val="20"/>
                <w:lang w:val="bg-BG"/>
              </w:rPr>
              <w:t>Не са идентифицирани.</w:t>
            </w:r>
          </w:p>
          <w:p w14:paraId="2B629080" w14:textId="2337FA30" w:rsidR="002A1B9F" w:rsidRPr="002B208F" w:rsidRDefault="002A1B9F" w:rsidP="00F431B8">
            <w:pPr>
              <w:spacing w:before="120" w:after="0" w:line="336" w:lineRule="auto"/>
              <w:rPr>
                <w:rFonts w:ascii="Verdana" w:eastAsia="Times New Roman" w:hAnsi="Verdana" w:cs="Times New Roman"/>
                <w:b/>
                <w:sz w:val="20"/>
                <w:szCs w:val="20"/>
                <w:lang w:val="bg-BG"/>
              </w:rPr>
            </w:pPr>
            <w:r w:rsidRPr="002B208F">
              <w:rPr>
                <w:rFonts w:ascii="Verdana" w:eastAsia="Times New Roman" w:hAnsi="Verdana" w:cs="Times New Roman"/>
                <w:b/>
                <w:sz w:val="20"/>
                <w:szCs w:val="20"/>
                <w:lang w:val="bg-BG"/>
              </w:rPr>
              <w:t>Въздействия върху малките и средните предприятия:</w:t>
            </w:r>
            <w:r w:rsidR="004D6D8F" w:rsidRPr="002B208F">
              <w:rPr>
                <w:rFonts w:ascii="Verdana" w:eastAsia="Times New Roman" w:hAnsi="Verdana" w:cs="Times New Roman"/>
                <w:b/>
                <w:sz w:val="20"/>
                <w:szCs w:val="20"/>
                <w:lang w:val="bg-BG"/>
              </w:rPr>
              <w:t xml:space="preserve"> </w:t>
            </w:r>
          </w:p>
          <w:p w14:paraId="3585D0C4" w14:textId="39169B4C" w:rsidR="004D6D8F" w:rsidRPr="002B208F" w:rsidRDefault="004D6D8F" w:rsidP="009B7765">
            <w:pPr>
              <w:spacing w:after="0" w:line="336" w:lineRule="auto"/>
              <w:jc w:val="both"/>
              <w:rPr>
                <w:rFonts w:ascii="Verdana" w:eastAsia="Times New Roman" w:hAnsi="Verdana" w:cs="Times New Roman"/>
                <w:sz w:val="20"/>
                <w:szCs w:val="20"/>
                <w:lang w:val="bg-BG"/>
              </w:rPr>
            </w:pPr>
            <w:r w:rsidRPr="002B208F">
              <w:rPr>
                <w:rFonts w:ascii="Verdana" w:eastAsia="Times New Roman" w:hAnsi="Verdana" w:cs="Times New Roman"/>
                <w:sz w:val="20"/>
                <w:szCs w:val="20"/>
                <w:lang w:val="bg-BG"/>
              </w:rPr>
              <w:t>Потенциални участници в търговете биха могли да бъдат малки и</w:t>
            </w:r>
            <w:r w:rsidR="00930A27" w:rsidRPr="002B208F">
              <w:rPr>
                <w:rFonts w:ascii="Verdana" w:eastAsia="Times New Roman" w:hAnsi="Verdana" w:cs="Times New Roman"/>
                <w:sz w:val="20"/>
                <w:szCs w:val="20"/>
                <w:lang w:val="bg-BG"/>
              </w:rPr>
              <w:t>ли</w:t>
            </w:r>
            <w:r w:rsidRPr="002B208F">
              <w:rPr>
                <w:rFonts w:ascii="Verdana" w:eastAsia="Times New Roman" w:hAnsi="Verdana" w:cs="Times New Roman"/>
                <w:sz w:val="20"/>
                <w:szCs w:val="20"/>
                <w:lang w:val="bg-BG"/>
              </w:rPr>
              <w:t xml:space="preserve"> средни предприятия, но данни за кандидатите могат да се получат след отваряне на заявленията оферти. В допълнение, в заявленията за участие в търговете не се изиск</w:t>
            </w:r>
            <w:r w:rsidR="00930A27" w:rsidRPr="002B208F">
              <w:rPr>
                <w:rFonts w:ascii="Verdana" w:eastAsia="Times New Roman" w:hAnsi="Verdana" w:cs="Times New Roman"/>
                <w:sz w:val="20"/>
                <w:szCs w:val="20"/>
                <w:lang w:val="bg-BG"/>
              </w:rPr>
              <w:t xml:space="preserve">ва информация дали кандидатите представляват </w:t>
            </w:r>
            <w:r w:rsidRPr="002B208F">
              <w:rPr>
                <w:rFonts w:ascii="Verdana" w:eastAsia="Times New Roman" w:hAnsi="Verdana" w:cs="Times New Roman"/>
                <w:sz w:val="20"/>
                <w:szCs w:val="20"/>
                <w:lang w:val="bg-BG"/>
              </w:rPr>
              <w:t>малки и</w:t>
            </w:r>
            <w:r w:rsidR="00930A27" w:rsidRPr="002B208F">
              <w:rPr>
                <w:rFonts w:ascii="Verdana" w:eastAsia="Times New Roman" w:hAnsi="Verdana" w:cs="Times New Roman"/>
                <w:sz w:val="20"/>
                <w:szCs w:val="20"/>
                <w:lang w:val="bg-BG"/>
              </w:rPr>
              <w:t>ли</w:t>
            </w:r>
            <w:r w:rsidRPr="002B208F">
              <w:rPr>
                <w:rFonts w:ascii="Verdana" w:eastAsia="Times New Roman" w:hAnsi="Verdana" w:cs="Times New Roman"/>
                <w:sz w:val="20"/>
                <w:szCs w:val="20"/>
                <w:lang w:val="bg-BG"/>
              </w:rPr>
              <w:t xml:space="preserve"> средни предприятия.</w:t>
            </w:r>
          </w:p>
          <w:p w14:paraId="6ACC1C1D" w14:textId="77777777" w:rsidR="002A1B9F" w:rsidRPr="002B208F" w:rsidRDefault="002A1B9F" w:rsidP="00F431B8">
            <w:pPr>
              <w:spacing w:before="120" w:after="0" w:line="336" w:lineRule="auto"/>
              <w:rPr>
                <w:rFonts w:ascii="Verdana" w:eastAsia="Times New Roman" w:hAnsi="Verdana" w:cs="Times New Roman"/>
                <w:sz w:val="20"/>
                <w:szCs w:val="20"/>
                <w:lang w:val="bg-BG"/>
              </w:rPr>
            </w:pPr>
            <w:r w:rsidRPr="002B208F">
              <w:rPr>
                <w:rFonts w:ascii="Verdana" w:eastAsia="Times New Roman" w:hAnsi="Verdana" w:cs="Times New Roman"/>
                <w:b/>
                <w:sz w:val="20"/>
                <w:szCs w:val="20"/>
                <w:lang w:val="bg-BG"/>
              </w:rPr>
              <w:t>Административна тежест:</w:t>
            </w:r>
          </w:p>
          <w:p w14:paraId="72011384" w14:textId="77777777" w:rsidR="002A1B9F" w:rsidRPr="002B208F" w:rsidRDefault="002A1B9F" w:rsidP="009B7765">
            <w:pPr>
              <w:spacing w:before="120" w:after="120" w:line="336" w:lineRule="auto"/>
              <w:rPr>
                <w:rFonts w:ascii="Verdana" w:eastAsia="Times New Roman" w:hAnsi="Verdana" w:cs="Times New Roman"/>
                <w:sz w:val="20"/>
                <w:szCs w:val="20"/>
                <w:lang w:val="bg-BG"/>
              </w:rPr>
            </w:pPr>
            <w:r w:rsidRPr="002B208F">
              <w:rPr>
                <w:rFonts w:ascii="Verdana" w:eastAsia="Times New Roman" w:hAnsi="Verdana" w:cs="Times New Roman"/>
                <w:sz w:val="20"/>
                <w:szCs w:val="20"/>
                <w:lang w:val="bg-BG"/>
              </w:rPr>
              <w:t>Административната тежест не се променя.</w:t>
            </w:r>
          </w:p>
          <w:p w14:paraId="15D19AEC" w14:textId="77777777" w:rsidR="002A1B9F" w:rsidRDefault="002A1B9F" w:rsidP="009B7765">
            <w:pPr>
              <w:spacing w:after="0" w:line="336" w:lineRule="auto"/>
              <w:jc w:val="both"/>
              <w:rPr>
                <w:rFonts w:ascii="Verdana" w:eastAsia="Times New Roman" w:hAnsi="Verdana" w:cs="Times New Roman"/>
                <w:sz w:val="20"/>
                <w:szCs w:val="20"/>
                <w:lang w:val="bg-BG"/>
              </w:rPr>
            </w:pPr>
          </w:p>
          <w:p w14:paraId="469C43AC" w14:textId="39B953D3" w:rsidR="003761A5" w:rsidRPr="002B208F" w:rsidRDefault="003761A5" w:rsidP="009B7765">
            <w:pPr>
              <w:spacing w:after="0" w:line="336" w:lineRule="auto"/>
              <w:jc w:val="both"/>
              <w:rPr>
                <w:rFonts w:ascii="Verdana" w:eastAsia="Times New Roman" w:hAnsi="Verdana" w:cs="Times New Roman"/>
                <w:sz w:val="20"/>
                <w:szCs w:val="20"/>
                <w:lang w:val="bg-BG"/>
              </w:rPr>
            </w:pPr>
          </w:p>
        </w:tc>
      </w:tr>
      <w:tr w:rsidR="002B208F" w:rsidRPr="002B208F" w14:paraId="3B390745" w14:textId="77777777" w:rsidTr="00F431B8">
        <w:trPr>
          <w:gridBefore w:val="1"/>
          <w:wBefore w:w="8" w:type="dxa"/>
        </w:trPr>
        <w:tc>
          <w:tcPr>
            <w:tcW w:w="9696" w:type="dxa"/>
            <w:gridSpan w:val="3"/>
          </w:tcPr>
          <w:p w14:paraId="0061ED4F" w14:textId="6184D70E" w:rsidR="002A1B9F" w:rsidRPr="002B208F" w:rsidRDefault="002A1B9F" w:rsidP="009B7765">
            <w:pPr>
              <w:spacing w:before="120" w:after="0" w:line="336" w:lineRule="auto"/>
              <w:jc w:val="both"/>
              <w:rPr>
                <w:rFonts w:ascii="Verdana" w:eastAsia="Times New Roman" w:hAnsi="Verdana" w:cs="Times New Roman"/>
                <w:b/>
                <w:sz w:val="20"/>
                <w:szCs w:val="20"/>
                <w:lang w:val="bg-BG"/>
              </w:rPr>
            </w:pPr>
            <w:r w:rsidRPr="002B208F">
              <w:rPr>
                <w:rFonts w:ascii="Verdana" w:eastAsia="Times New Roman" w:hAnsi="Verdana" w:cs="Times New Roman"/>
                <w:b/>
                <w:sz w:val="20"/>
                <w:szCs w:val="20"/>
                <w:lang w:val="bg-BG"/>
              </w:rPr>
              <w:lastRenderedPageBreak/>
              <w:t>5. Сравняване на вариантите:</w:t>
            </w:r>
          </w:p>
          <w:p w14:paraId="730E74E7" w14:textId="77C3B6ED" w:rsidR="002A1B9F" w:rsidRPr="002B208F" w:rsidRDefault="002A1B9F" w:rsidP="009B7765">
            <w:pPr>
              <w:spacing w:before="120" w:after="0" w:line="336" w:lineRule="auto"/>
              <w:jc w:val="both"/>
              <w:rPr>
                <w:rFonts w:ascii="Verdana" w:eastAsia="Times New Roman" w:hAnsi="Verdana" w:cs="Times New Roman"/>
                <w:sz w:val="20"/>
                <w:szCs w:val="20"/>
                <w:lang w:val="bg-BG"/>
              </w:rPr>
            </w:pPr>
            <w:r w:rsidRPr="002B208F">
              <w:rPr>
                <w:rFonts w:ascii="Verdana" w:eastAsia="Times New Roman" w:hAnsi="Verdana" w:cs="Times New Roman"/>
                <w:b/>
                <w:sz w:val="20"/>
                <w:szCs w:val="20"/>
                <w:lang w:val="bg-BG"/>
              </w:rPr>
              <w:t>Степени на изпълнение по критерии:</w:t>
            </w:r>
            <w:r w:rsidRPr="002B208F">
              <w:rPr>
                <w:rFonts w:ascii="Verdana" w:eastAsia="Times New Roman" w:hAnsi="Verdana" w:cs="Times New Roman"/>
                <w:sz w:val="20"/>
                <w:szCs w:val="20"/>
                <w:lang w:val="bg-BG"/>
              </w:rPr>
              <w:t xml:space="preserve"> 1) висока; 2) средна; 3) ниска.</w:t>
            </w:r>
          </w:p>
          <w:p w14:paraId="61AD8897" w14:textId="2133EAA9" w:rsidR="009A1800" w:rsidRPr="002B208F" w:rsidRDefault="009A1800" w:rsidP="009B7765">
            <w:pPr>
              <w:spacing w:after="0" w:line="336" w:lineRule="auto"/>
              <w:jc w:val="both"/>
              <w:rPr>
                <w:rFonts w:ascii="Times New Roman" w:eastAsia="Times New Roman" w:hAnsi="Times New Roman" w:cs="Times New Roman"/>
                <w:sz w:val="24"/>
                <w:szCs w:val="24"/>
                <w:lang w:val="bg-BG"/>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648"/>
              <w:gridCol w:w="1892"/>
              <w:gridCol w:w="2524"/>
              <w:gridCol w:w="2683"/>
            </w:tblGrid>
            <w:tr w:rsidR="002B208F" w:rsidRPr="002B208F" w14:paraId="1357E754" w14:textId="77777777" w:rsidTr="004B07C8">
              <w:trPr>
                <w:trHeight w:val="26"/>
                <w:jc w:val="center"/>
              </w:trPr>
              <w:tc>
                <w:tcPr>
                  <w:tcW w:w="2540" w:type="dxa"/>
                  <w:gridSpan w:val="2"/>
                  <w:tcBorders>
                    <w:tl2br w:val="single" w:sz="6" w:space="0" w:color="auto"/>
                  </w:tcBorders>
                  <w:shd w:val="clear" w:color="auto" w:fill="D9D9D9"/>
                </w:tcPr>
                <w:p w14:paraId="595DF9B2" w14:textId="77777777" w:rsidR="009A1800" w:rsidRPr="002B208F" w:rsidRDefault="009A1800" w:rsidP="009B7765">
                  <w:pPr>
                    <w:spacing w:before="20" w:after="20" w:line="336" w:lineRule="auto"/>
                    <w:contextualSpacing/>
                    <w:jc w:val="center"/>
                    <w:rPr>
                      <w:rFonts w:ascii="Times New Roman" w:eastAsia="Times New Roman" w:hAnsi="Times New Roman" w:cs="Times New Roman"/>
                      <w:b/>
                      <w:sz w:val="24"/>
                      <w:szCs w:val="24"/>
                      <w:lang w:val="bg-BG"/>
                    </w:rPr>
                  </w:pPr>
                </w:p>
              </w:tc>
              <w:tc>
                <w:tcPr>
                  <w:tcW w:w="2524" w:type="dxa"/>
                  <w:shd w:val="clear" w:color="auto" w:fill="D9D9D9"/>
                  <w:vAlign w:val="center"/>
                </w:tcPr>
                <w:p w14:paraId="054110A3" w14:textId="77777777" w:rsidR="009A1800" w:rsidRPr="002B208F" w:rsidRDefault="009A1800" w:rsidP="009B7765">
                  <w:pPr>
                    <w:spacing w:before="20" w:after="20" w:line="336" w:lineRule="auto"/>
                    <w:ind w:left="-160"/>
                    <w:contextualSpacing/>
                    <w:jc w:val="center"/>
                    <w:rPr>
                      <w:rFonts w:ascii="Times New Roman" w:eastAsia="Times New Roman" w:hAnsi="Times New Roman" w:cs="Times New Roman"/>
                      <w:b/>
                      <w:sz w:val="24"/>
                      <w:szCs w:val="24"/>
                      <w:lang w:val="bg-BG"/>
                    </w:rPr>
                  </w:pPr>
                  <w:r w:rsidRPr="002B208F">
                    <w:rPr>
                      <w:rFonts w:ascii="Times New Roman" w:eastAsia="Times New Roman" w:hAnsi="Times New Roman" w:cs="Times New Roman"/>
                      <w:b/>
                      <w:sz w:val="24"/>
                      <w:szCs w:val="24"/>
                      <w:lang w:val="bg-BG"/>
                    </w:rPr>
                    <w:t>Вариант 1</w:t>
                  </w:r>
                  <w:r w:rsidRPr="002B208F">
                    <w:rPr>
                      <w:rFonts w:ascii="Times New Roman" w:eastAsia="Times New Roman" w:hAnsi="Times New Roman" w:cs="Times New Roman"/>
                      <w:b/>
                      <w:sz w:val="24"/>
                      <w:szCs w:val="24"/>
                      <w:lang w:val="bg-BG"/>
                    </w:rPr>
                    <w:br/>
                    <w:t>„Без действие“</w:t>
                  </w:r>
                </w:p>
              </w:tc>
              <w:tc>
                <w:tcPr>
                  <w:tcW w:w="2683" w:type="dxa"/>
                  <w:shd w:val="clear" w:color="auto" w:fill="D9D9D9"/>
                  <w:vAlign w:val="center"/>
                </w:tcPr>
                <w:p w14:paraId="2C27F111" w14:textId="77777777" w:rsidR="009A1800" w:rsidRPr="002B208F" w:rsidRDefault="009A1800" w:rsidP="009B7765">
                  <w:pPr>
                    <w:spacing w:before="20" w:after="20" w:line="336" w:lineRule="auto"/>
                    <w:ind w:left="-160"/>
                    <w:contextualSpacing/>
                    <w:jc w:val="center"/>
                    <w:rPr>
                      <w:rFonts w:ascii="Times New Roman" w:eastAsia="Times New Roman" w:hAnsi="Times New Roman" w:cs="Times New Roman"/>
                      <w:b/>
                      <w:sz w:val="24"/>
                      <w:szCs w:val="24"/>
                      <w:lang w:val="bg-BG"/>
                    </w:rPr>
                  </w:pPr>
                  <w:r w:rsidRPr="002B208F">
                    <w:rPr>
                      <w:rFonts w:ascii="Times New Roman" w:eastAsia="Times New Roman" w:hAnsi="Times New Roman" w:cs="Times New Roman"/>
                      <w:b/>
                      <w:sz w:val="24"/>
                      <w:szCs w:val="24"/>
                      <w:lang w:val="bg-BG"/>
                    </w:rPr>
                    <w:t>Вариант 2</w:t>
                  </w:r>
                  <w:r w:rsidRPr="002B208F">
                    <w:rPr>
                      <w:rFonts w:ascii="Times New Roman" w:eastAsia="Times New Roman" w:hAnsi="Times New Roman" w:cs="Times New Roman"/>
                      <w:b/>
                      <w:sz w:val="24"/>
                      <w:szCs w:val="24"/>
                      <w:lang w:val="bg-BG"/>
                    </w:rPr>
                    <w:br/>
                    <w:t>„Одобряване на акта“</w:t>
                  </w:r>
                </w:p>
              </w:tc>
            </w:tr>
            <w:tr w:rsidR="002B208F" w:rsidRPr="002B208F" w14:paraId="6EA61A4D" w14:textId="77777777" w:rsidTr="004B07C8">
              <w:tblPrEx>
                <w:tblBorders>
                  <w:insideV w:val="single" w:sz="4" w:space="0" w:color="auto"/>
                </w:tblBorders>
              </w:tblPrEx>
              <w:trPr>
                <w:trHeight w:val="907"/>
                <w:jc w:val="center"/>
              </w:trPr>
              <w:tc>
                <w:tcPr>
                  <w:tcW w:w="648" w:type="dxa"/>
                  <w:vMerge w:val="restart"/>
                  <w:tcBorders>
                    <w:top w:val="single" w:sz="4" w:space="0" w:color="auto"/>
                    <w:left w:val="single" w:sz="4" w:space="0" w:color="auto"/>
                    <w:bottom w:val="single" w:sz="4" w:space="0" w:color="auto"/>
                  </w:tcBorders>
                  <w:shd w:val="clear" w:color="auto" w:fill="D9D9D9" w:themeFill="background1" w:themeFillShade="D9"/>
                  <w:textDirection w:val="btLr"/>
                  <w:vAlign w:val="center"/>
                </w:tcPr>
                <w:p w14:paraId="2E52464D" w14:textId="77777777" w:rsidR="009A1800" w:rsidRPr="002B208F" w:rsidRDefault="009A1800" w:rsidP="009B7765">
                  <w:pPr>
                    <w:widowControl w:val="0"/>
                    <w:kinsoku w:val="0"/>
                    <w:overflowPunct w:val="0"/>
                    <w:autoSpaceDE w:val="0"/>
                    <w:autoSpaceDN w:val="0"/>
                    <w:adjustRightInd w:val="0"/>
                    <w:spacing w:before="20" w:after="20" w:line="336" w:lineRule="auto"/>
                    <w:ind w:left="113" w:right="113"/>
                    <w:jc w:val="center"/>
                    <w:rPr>
                      <w:rFonts w:ascii="Times New Roman" w:eastAsia="Times New Roman" w:hAnsi="Times New Roman" w:cs="Times New Roman"/>
                      <w:w w:val="105"/>
                      <w:sz w:val="24"/>
                      <w:szCs w:val="24"/>
                      <w:lang w:val="bg-BG"/>
                    </w:rPr>
                  </w:pPr>
                  <w:r w:rsidRPr="002B208F">
                    <w:rPr>
                      <w:rFonts w:ascii="Times New Roman" w:eastAsia="Times New Roman" w:hAnsi="Times New Roman" w:cs="Times New Roman"/>
                      <w:b/>
                      <w:bCs/>
                      <w:i/>
                      <w:iCs/>
                      <w:sz w:val="24"/>
                      <w:szCs w:val="24"/>
                      <w:lang w:val="bg-BG"/>
                    </w:rPr>
                    <w:t>Ефективност</w:t>
                  </w:r>
                </w:p>
              </w:tc>
              <w:tc>
                <w:tcPr>
                  <w:tcW w:w="1891" w:type="dxa"/>
                  <w:shd w:val="clear" w:color="auto" w:fill="FFFFFF"/>
                  <w:vAlign w:val="center"/>
                </w:tcPr>
                <w:p w14:paraId="255FC813" w14:textId="77777777" w:rsidR="009A1800" w:rsidRPr="002B208F" w:rsidRDefault="009A1800" w:rsidP="009B7765">
                  <w:pPr>
                    <w:widowControl w:val="0"/>
                    <w:kinsoku w:val="0"/>
                    <w:overflowPunct w:val="0"/>
                    <w:autoSpaceDE w:val="0"/>
                    <w:autoSpaceDN w:val="0"/>
                    <w:adjustRightInd w:val="0"/>
                    <w:spacing w:before="20" w:after="20" w:line="336" w:lineRule="auto"/>
                    <w:ind w:left="113"/>
                    <w:jc w:val="center"/>
                    <w:rPr>
                      <w:rFonts w:ascii="Times New Roman" w:eastAsia="Times New Roman" w:hAnsi="Times New Roman" w:cs="Times New Roman"/>
                      <w:w w:val="105"/>
                      <w:sz w:val="24"/>
                      <w:szCs w:val="24"/>
                      <w:lang w:val="bg-BG"/>
                    </w:rPr>
                  </w:pPr>
                  <w:r w:rsidRPr="002B208F">
                    <w:rPr>
                      <w:rFonts w:ascii="Times New Roman" w:eastAsia="Times New Roman" w:hAnsi="Times New Roman" w:cs="Times New Roman"/>
                      <w:w w:val="105"/>
                      <w:sz w:val="24"/>
                      <w:szCs w:val="24"/>
                      <w:lang w:val="bg-BG"/>
                    </w:rPr>
                    <w:t>Цел 1</w:t>
                  </w:r>
                </w:p>
              </w:tc>
              <w:tc>
                <w:tcPr>
                  <w:tcW w:w="2524" w:type="dxa"/>
                  <w:shd w:val="clear" w:color="auto" w:fill="FFFFFF"/>
                  <w:vAlign w:val="center"/>
                </w:tcPr>
                <w:p w14:paraId="668B3B0B" w14:textId="77777777" w:rsidR="009A1800" w:rsidRPr="002B208F" w:rsidRDefault="009A1800" w:rsidP="009B7765">
                  <w:pPr>
                    <w:widowControl w:val="0"/>
                    <w:kinsoku w:val="0"/>
                    <w:overflowPunct w:val="0"/>
                    <w:autoSpaceDE w:val="0"/>
                    <w:autoSpaceDN w:val="0"/>
                    <w:adjustRightInd w:val="0"/>
                    <w:spacing w:before="20" w:after="20" w:line="336" w:lineRule="auto"/>
                    <w:ind w:left="21" w:right="21"/>
                    <w:jc w:val="center"/>
                    <w:rPr>
                      <w:rFonts w:ascii="Times New Roman" w:eastAsia="Times New Roman" w:hAnsi="Times New Roman" w:cs="Times New Roman"/>
                      <w:w w:val="151"/>
                      <w:sz w:val="24"/>
                      <w:szCs w:val="24"/>
                      <w:lang w:val="bg-BG"/>
                    </w:rPr>
                  </w:pPr>
                  <w:r w:rsidRPr="002B208F">
                    <w:rPr>
                      <w:rFonts w:ascii="Times New Roman" w:eastAsia="Times New Roman" w:hAnsi="Times New Roman" w:cs="Times New Roman"/>
                      <w:sz w:val="24"/>
                      <w:szCs w:val="24"/>
                      <w:lang w:val="bg-BG"/>
                    </w:rPr>
                    <w:t>Ниска</w:t>
                  </w:r>
                </w:p>
              </w:tc>
              <w:tc>
                <w:tcPr>
                  <w:tcW w:w="2683" w:type="dxa"/>
                  <w:shd w:val="clear" w:color="auto" w:fill="FFFFFF"/>
                  <w:vAlign w:val="center"/>
                </w:tcPr>
                <w:p w14:paraId="06651367" w14:textId="77777777" w:rsidR="009A1800" w:rsidRPr="002B208F" w:rsidRDefault="009A1800" w:rsidP="009B7765">
                  <w:pPr>
                    <w:widowControl w:val="0"/>
                    <w:kinsoku w:val="0"/>
                    <w:overflowPunct w:val="0"/>
                    <w:autoSpaceDE w:val="0"/>
                    <w:autoSpaceDN w:val="0"/>
                    <w:adjustRightInd w:val="0"/>
                    <w:spacing w:before="20" w:after="20" w:line="336" w:lineRule="auto"/>
                    <w:ind w:left="21" w:right="21"/>
                    <w:jc w:val="center"/>
                    <w:rPr>
                      <w:rFonts w:ascii="Times New Roman" w:eastAsia="Times New Roman" w:hAnsi="Times New Roman" w:cs="Times New Roman"/>
                      <w:sz w:val="24"/>
                      <w:szCs w:val="24"/>
                      <w:lang w:val="bg-BG"/>
                    </w:rPr>
                  </w:pPr>
                  <w:r w:rsidRPr="002B208F">
                    <w:rPr>
                      <w:rFonts w:ascii="Times New Roman" w:eastAsia="Times New Roman" w:hAnsi="Times New Roman" w:cs="Times New Roman"/>
                      <w:sz w:val="24"/>
                      <w:szCs w:val="24"/>
                      <w:lang w:val="bg-BG"/>
                    </w:rPr>
                    <w:t>Висока</w:t>
                  </w:r>
                </w:p>
              </w:tc>
            </w:tr>
            <w:tr w:rsidR="002B208F" w:rsidRPr="002B208F" w14:paraId="7C0E208E" w14:textId="77777777" w:rsidTr="004B07C8">
              <w:tblPrEx>
                <w:tblBorders>
                  <w:insideV w:val="single" w:sz="4" w:space="0" w:color="auto"/>
                </w:tblBorders>
              </w:tblPrEx>
              <w:trPr>
                <w:trHeight w:val="907"/>
                <w:jc w:val="center"/>
              </w:trPr>
              <w:tc>
                <w:tcPr>
                  <w:tcW w:w="648" w:type="dxa"/>
                  <w:vMerge/>
                  <w:tcBorders>
                    <w:left w:val="single" w:sz="4" w:space="0" w:color="auto"/>
                    <w:bottom w:val="single" w:sz="4" w:space="0" w:color="auto"/>
                  </w:tcBorders>
                  <w:shd w:val="clear" w:color="auto" w:fill="D9D9D9" w:themeFill="background1" w:themeFillShade="D9"/>
                  <w:textDirection w:val="btLr"/>
                  <w:vAlign w:val="center"/>
                </w:tcPr>
                <w:p w14:paraId="754BEB8A" w14:textId="77777777" w:rsidR="009A1800" w:rsidRPr="002B208F" w:rsidRDefault="009A1800" w:rsidP="009B7765">
                  <w:pPr>
                    <w:widowControl w:val="0"/>
                    <w:kinsoku w:val="0"/>
                    <w:overflowPunct w:val="0"/>
                    <w:autoSpaceDE w:val="0"/>
                    <w:autoSpaceDN w:val="0"/>
                    <w:adjustRightInd w:val="0"/>
                    <w:spacing w:before="20" w:after="20" w:line="336" w:lineRule="auto"/>
                    <w:ind w:left="113" w:right="113"/>
                    <w:jc w:val="center"/>
                    <w:rPr>
                      <w:rFonts w:ascii="Times New Roman" w:eastAsia="Times New Roman" w:hAnsi="Times New Roman" w:cs="Times New Roman"/>
                      <w:b/>
                      <w:bCs/>
                      <w:i/>
                      <w:iCs/>
                      <w:sz w:val="24"/>
                      <w:szCs w:val="24"/>
                      <w:lang w:val="bg-BG"/>
                    </w:rPr>
                  </w:pPr>
                </w:p>
              </w:tc>
              <w:tc>
                <w:tcPr>
                  <w:tcW w:w="1891" w:type="dxa"/>
                  <w:shd w:val="clear" w:color="auto" w:fill="FFFFFF"/>
                  <w:vAlign w:val="center"/>
                </w:tcPr>
                <w:p w14:paraId="7C97F8CD" w14:textId="77777777" w:rsidR="009A1800" w:rsidRPr="002B208F" w:rsidRDefault="009A1800" w:rsidP="009B7765">
                  <w:pPr>
                    <w:widowControl w:val="0"/>
                    <w:kinsoku w:val="0"/>
                    <w:overflowPunct w:val="0"/>
                    <w:autoSpaceDE w:val="0"/>
                    <w:autoSpaceDN w:val="0"/>
                    <w:adjustRightInd w:val="0"/>
                    <w:spacing w:before="20" w:after="20" w:line="336" w:lineRule="auto"/>
                    <w:ind w:left="113"/>
                    <w:jc w:val="center"/>
                    <w:rPr>
                      <w:rFonts w:ascii="Times New Roman" w:eastAsia="Times New Roman" w:hAnsi="Times New Roman" w:cs="Times New Roman"/>
                      <w:w w:val="105"/>
                      <w:sz w:val="24"/>
                      <w:szCs w:val="24"/>
                      <w:highlight w:val="yellow"/>
                      <w:lang w:val="bg-BG"/>
                    </w:rPr>
                  </w:pPr>
                  <w:r w:rsidRPr="002B208F">
                    <w:rPr>
                      <w:rFonts w:ascii="Times New Roman" w:eastAsia="Times New Roman" w:hAnsi="Times New Roman" w:cs="Times New Roman"/>
                      <w:w w:val="105"/>
                      <w:sz w:val="24"/>
                      <w:szCs w:val="24"/>
                      <w:lang w:val="bg-BG"/>
                    </w:rPr>
                    <w:t>Цел 2</w:t>
                  </w:r>
                </w:p>
              </w:tc>
              <w:tc>
                <w:tcPr>
                  <w:tcW w:w="2524" w:type="dxa"/>
                  <w:shd w:val="clear" w:color="auto" w:fill="FFFFFF"/>
                  <w:vAlign w:val="center"/>
                </w:tcPr>
                <w:p w14:paraId="6D30D16C" w14:textId="77777777" w:rsidR="009A1800" w:rsidRPr="002B208F" w:rsidRDefault="009A1800" w:rsidP="009B7765">
                  <w:pPr>
                    <w:widowControl w:val="0"/>
                    <w:kinsoku w:val="0"/>
                    <w:overflowPunct w:val="0"/>
                    <w:autoSpaceDE w:val="0"/>
                    <w:autoSpaceDN w:val="0"/>
                    <w:adjustRightInd w:val="0"/>
                    <w:spacing w:before="20" w:after="20" w:line="336" w:lineRule="auto"/>
                    <w:ind w:left="21" w:right="21"/>
                    <w:jc w:val="center"/>
                    <w:rPr>
                      <w:rFonts w:ascii="Times New Roman" w:eastAsia="Times New Roman" w:hAnsi="Times New Roman" w:cs="Times New Roman"/>
                      <w:sz w:val="24"/>
                      <w:szCs w:val="24"/>
                      <w:highlight w:val="yellow"/>
                      <w:lang w:val="bg-BG"/>
                    </w:rPr>
                  </w:pPr>
                  <w:r w:rsidRPr="002B208F">
                    <w:rPr>
                      <w:rFonts w:ascii="Times New Roman" w:eastAsia="Times New Roman" w:hAnsi="Times New Roman" w:cs="Times New Roman"/>
                      <w:sz w:val="24"/>
                      <w:szCs w:val="24"/>
                      <w:lang w:val="bg-BG"/>
                    </w:rPr>
                    <w:t>Ниска</w:t>
                  </w:r>
                </w:p>
              </w:tc>
              <w:tc>
                <w:tcPr>
                  <w:tcW w:w="2683" w:type="dxa"/>
                  <w:shd w:val="clear" w:color="auto" w:fill="FFFFFF"/>
                  <w:vAlign w:val="center"/>
                </w:tcPr>
                <w:p w14:paraId="04DF0D4E" w14:textId="77777777" w:rsidR="009A1800" w:rsidRPr="002B208F" w:rsidRDefault="009A1800" w:rsidP="009B7765">
                  <w:pPr>
                    <w:widowControl w:val="0"/>
                    <w:kinsoku w:val="0"/>
                    <w:overflowPunct w:val="0"/>
                    <w:autoSpaceDE w:val="0"/>
                    <w:autoSpaceDN w:val="0"/>
                    <w:adjustRightInd w:val="0"/>
                    <w:spacing w:before="20" w:after="20" w:line="336" w:lineRule="auto"/>
                    <w:ind w:left="21" w:right="21"/>
                    <w:jc w:val="center"/>
                    <w:rPr>
                      <w:rFonts w:ascii="Times New Roman" w:eastAsia="Times New Roman" w:hAnsi="Times New Roman" w:cs="Times New Roman"/>
                      <w:sz w:val="24"/>
                      <w:szCs w:val="24"/>
                      <w:highlight w:val="yellow"/>
                      <w:lang w:val="bg-BG"/>
                    </w:rPr>
                  </w:pPr>
                  <w:r w:rsidRPr="002B208F">
                    <w:rPr>
                      <w:rFonts w:ascii="Times New Roman" w:eastAsia="Times New Roman" w:hAnsi="Times New Roman" w:cs="Times New Roman"/>
                      <w:sz w:val="24"/>
                      <w:szCs w:val="24"/>
                      <w:lang w:val="bg-BG"/>
                    </w:rPr>
                    <w:t>Висока</w:t>
                  </w:r>
                </w:p>
              </w:tc>
            </w:tr>
            <w:tr w:rsidR="002B208F" w:rsidRPr="002B208F" w14:paraId="1CEE72F7" w14:textId="77777777" w:rsidTr="004B07C8">
              <w:tblPrEx>
                <w:tblBorders>
                  <w:insideV w:val="single" w:sz="4" w:space="0" w:color="auto"/>
                </w:tblBorders>
              </w:tblPrEx>
              <w:trPr>
                <w:trHeight w:val="907"/>
                <w:jc w:val="center"/>
              </w:trPr>
              <w:tc>
                <w:tcPr>
                  <w:tcW w:w="648" w:type="dxa"/>
                  <w:vMerge w:val="restart"/>
                  <w:tcBorders>
                    <w:left w:val="single" w:sz="4" w:space="0" w:color="auto"/>
                    <w:bottom w:val="single" w:sz="4" w:space="0" w:color="auto"/>
                  </w:tcBorders>
                  <w:shd w:val="clear" w:color="auto" w:fill="D9D9D9"/>
                  <w:textDirection w:val="btLr"/>
                  <w:vAlign w:val="center"/>
                </w:tcPr>
                <w:p w14:paraId="4503E2C5" w14:textId="77777777" w:rsidR="009A1800" w:rsidRPr="002B208F" w:rsidRDefault="009A1800" w:rsidP="009B7765">
                  <w:pPr>
                    <w:widowControl w:val="0"/>
                    <w:kinsoku w:val="0"/>
                    <w:overflowPunct w:val="0"/>
                    <w:autoSpaceDE w:val="0"/>
                    <w:autoSpaceDN w:val="0"/>
                    <w:adjustRightInd w:val="0"/>
                    <w:spacing w:before="20" w:after="20" w:line="336" w:lineRule="auto"/>
                    <w:ind w:left="113" w:right="113"/>
                    <w:jc w:val="center"/>
                    <w:rPr>
                      <w:rFonts w:ascii="Times New Roman" w:eastAsia="Times New Roman" w:hAnsi="Times New Roman" w:cs="Times New Roman"/>
                      <w:b/>
                      <w:bCs/>
                      <w:i/>
                      <w:iCs/>
                      <w:sz w:val="24"/>
                      <w:szCs w:val="24"/>
                      <w:lang w:val="bg-BG"/>
                    </w:rPr>
                  </w:pPr>
                  <w:r w:rsidRPr="002B208F">
                    <w:rPr>
                      <w:rFonts w:ascii="Times New Roman" w:eastAsia="Times New Roman" w:hAnsi="Times New Roman" w:cs="Times New Roman"/>
                      <w:b/>
                      <w:bCs/>
                      <w:i/>
                      <w:iCs/>
                      <w:sz w:val="24"/>
                      <w:szCs w:val="24"/>
                      <w:lang w:val="bg-BG"/>
                    </w:rPr>
                    <w:t>Ефикасност</w:t>
                  </w:r>
                </w:p>
              </w:tc>
              <w:tc>
                <w:tcPr>
                  <w:tcW w:w="1891" w:type="dxa"/>
                  <w:shd w:val="clear" w:color="auto" w:fill="FFFFFF"/>
                  <w:vAlign w:val="center"/>
                </w:tcPr>
                <w:p w14:paraId="411F6AB8" w14:textId="77777777" w:rsidR="009A1800" w:rsidRPr="002B208F" w:rsidRDefault="009A1800" w:rsidP="009B7765">
                  <w:pPr>
                    <w:widowControl w:val="0"/>
                    <w:kinsoku w:val="0"/>
                    <w:overflowPunct w:val="0"/>
                    <w:autoSpaceDE w:val="0"/>
                    <w:autoSpaceDN w:val="0"/>
                    <w:adjustRightInd w:val="0"/>
                    <w:spacing w:before="20" w:after="20" w:line="336" w:lineRule="auto"/>
                    <w:ind w:left="113"/>
                    <w:jc w:val="center"/>
                    <w:rPr>
                      <w:rFonts w:ascii="Times New Roman" w:eastAsia="Times New Roman" w:hAnsi="Times New Roman" w:cs="Times New Roman"/>
                      <w:b/>
                      <w:bCs/>
                      <w:i/>
                      <w:iCs/>
                      <w:sz w:val="24"/>
                      <w:szCs w:val="24"/>
                      <w:lang w:val="bg-BG"/>
                    </w:rPr>
                  </w:pPr>
                  <w:r w:rsidRPr="002B208F">
                    <w:rPr>
                      <w:rFonts w:ascii="Times New Roman" w:eastAsia="Times New Roman" w:hAnsi="Times New Roman" w:cs="Times New Roman"/>
                      <w:w w:val="105"/>
                      <w:sz w:val="24"/>
                      <w:szCs w:val="24"/>
                      <w:lang w:val="bg-BG"/>
                    </w:rPr>
                    <w:t>Цел 1</w:t>
                  </w:r>
                </w:p>
              </w:tc>
              <w:tc>
                <w:tcPr>
                  <w:tcW w:w="2524" w:type="dxa"/>
                  <w:shd w:val="clear" w:color="auto" w:fill="FFFFFF"/>
                  <w:vAlign w:val="center"/>
                </w:tcPr>
                <w:p w14:paraId="6D4DF5CC" w14:textId="77777777" w:rsidR="009A1800" w:rsidRPr="002B208F" w:rsidRDefault="009A1800" w:rsidP="009B7765">
                  <w:pPr>
                    <w:widowControl w:val="0"/>
                    <w:kinsoku w:val="0"/>
                    <w:overflowPunct w:val="0"/>
                    <w:autoSpaceDE w:val="0"/>
                    <w:autoSpaceDN w:val="0"/>
                    <w:adjustRightInd w:val="0"/>
                    <w:spacing w:before="20" w:after="20" w:line="336" w:lineRule="auto"/>
                    <w:ind w:left="21" w:right="21"/>
                    <w:jc w:val="center"/>
                    <w:rPr>
                      <w:rFonts w:ascii="Times New Roman" w:eastAsia="Times New Roman" w:hAnsi="Times New Roman" w:cs="Times New Roman"/>
                      <w:w w:val="151"/>
                      <w:sz w:val="24"/>
                      <w:szCs w:val="24"/>
                      <w:lang w:val="bg-BG"/>
                    </w:rPr>
                  </w:pPr>
                  <w:r w:rsidRPr="002B208F">
                    <w:rPr>
                      <w:rFonts w:ascii="Times New Roman" w:eastAsia="Times New Roman" w:hAnsi="Times New Roman" w:cs="Times New Roman"/>
                      <w:sz w:val="24"/>
                      <w:szCs w:val="24"/>
                      <w:lang w:val="bg-BG"/>
                    </w:rPr>
                    <w:t>Ниска</w:t>
                  </w:r>
                </w:p>
              </w:tc>
              <w:tc>
                <w:tcPr>
                  <w:tcW w:w="2683" w:type="dxa"/>
                  <w:shd w:val="clear" w:color="auto" w:fill="FFFFFF"/>
                  <w:vAlign w:val="center"/>
                </w:tcPr>
                <w:p w14:paraId="62DB94F5" w14:textId="77777777" w:rsidR="009A1800" w:rsidRPr="002B208F" w:rsidRDefault="009A1800" w:rsidP="009B7765">
                  <w:pPr>
                    <w:widowControl w:val="0"/>
                    <w:kinsoku w:val="0"/>
                    <w:overflowPunct w:val="0"/>
                    <w:autoSpaceDE w:val="0"/>
                    <w:autoSpaceDN w:val="0"/>
                    <w:adjustRightInd w:val="0"/>
                    <w:spacing w:before="20" w:after="20" w:line="336" w:lineRule="auto"/>
                    <w:ind w:left="21" w:right="21"/>
                    <w:jc w:val="center"/>
                    <w:rPr>
                      <w:rFonts w:ascii="Times New Roman" w:eastAsia="Times New Roman" w:hAnsi="Times New Roman" w:cs="Times New Roman"/>
                      <w:sz w:val="24"/>
                      <w:szCs w:val="24"/>
                      <w:lang w:val="bg-BG"/>
                    </w:rPr>
                  </w:pPr>
                  <w:r w:rsidRPr="002B208F">
                    <w:rPr>
                      <w:rFonts w:ascii="Times New Roman" w:eastAsia="Times New Roman" w:hAnsi="Times New Roman" w:cs="Times New Roman"/>
                      <w:sz w:val="24"/>
                      <w:szCs w:val="24"/>
                      <w:lang w:val="bg-BG"/>
                    </w:rPr>
                    <w:t>Висока</w:t>
                  </w:r>
                </w:p>
              </w:tc>
            </w:tr>
            <w:tr w:rsidR="002B208F" w:rsidRPr="002B208F" w14:paraId="6326A9A8" w14:textId="77777777" w:rsidTr="004B07C8">
              <w:tblPrEx>
                <w:tblBorders>
                  <w:insideV w:val="single" w:sz="4" w:space="0" w:color="auto"/>
                </w:tblBorders>
              </w:tblPrEx>
              <w:trPr>
                <w:trHeight w:val="907"/>
                <w:jc w:val="center"/>
              </w:trPr>
              <w:tc>
                <w:tcPr>
                  <w:tcW w:w="648" w:type="dxa"/>
                  <w:vMerge/>
                  <w:tcBorders>
                    <w:left w:val="single" w:sz="4" w:space="0" w:color="auto"/>
                    <w:bottom w:val="single" w:sz="4" w:space="0" w:color="auto"/>
                  </w:tcBorders>
                  <w:shd w:val="clear" w:color="auto" w:fill="D9D9D9"/>
                  <w:textDirection w:val="btLr"/>
                  <w:vAlign w:val="center"/>
                </w:tcPr>
                <w:p w14:paraId="02BD4028" w14:textId="77777777" w:rsidR="009A1800" w:rsidRPr="002B208F" w:rsidRDefault="009A1800" w:rsidP="009B7765">
                  <w:pPr>
                    <w:widowControl w:val="0"/>
                    <w:kinsoku w:val="0"/>
                    <w:overflowPunct w:val="0"/>
                    <w:autoSpaceDE w:val="0"/>
                    <w:autoSpaceDN w:val="0"/>
                    <w:adjustRightInd w:val="0"/>
                    <w:spacing w:before="20" w:after="20" w:line="336" w:lineRule="auto"/>
                    <w:ind w:left="113" w:right="113"/>
                    <w:jc w:val="center"/>
                    <w:rPr>
                      <w:rFonts w:ascii="Times New Roman" w:eastAsia="Times New Roman" w:hAnsi="Times New Roman" w:cs="Times New Roman"/>
                      <w:b/>
                      <w:bCs/>
                      <w:i/>
                      <w:iCs/>
                      <w:sz w:val="24"/>
                      <w:szCs w:val="24"/>
                      <w:lang w:val="bg-BG"/>
                    </w:rPr>
                  </w:pPr>
                </w:p>
              </w:tc>
              <w:tc>
                <w:tcPr>
                  <w:tcW w:w="1891" w:type="dxa"/>
                  <w:shd w:val="clear" w:color="auto" w:fill="FFFFFF"/>
                  <w:vAlign w:val="center"/>
                </w:tcPr>
                <w:p w14:paraId="3152EA84" w14:textId="77777777" w:rsidR="009A1800" w:rsidRPr="002B208F" w:rsidRDefault="009A1800" w:rsidP="009B7765">
                  <w:pPr>
                    <w:widowControl w:val="0"/>
                    <w:kinsoku w:val="0"/>
                    <w:overflowPunct w:val="0"/>
                    <w:autoSpaceDE w:val="0"/>
                    <w:autoSpaceDN w:val="0"/>
                    <w:adjustRightInd w:val="0"/>
                    <w:spacing w:before="20" w:after="20" w:line="336" w:lineRule="auto"/>
                    <w:ind w:left="113"/>
                    <w:jc w:val="center"/>
                    <w:rPr>
                      <w:rFonts w:ascii="Times New Roman" w:eastAsia="Times New Roman" w:hAnsi="Times New Roman" w:cs="Times New Roman"/>
                      <w:w w:val="105"/>
                      <w:sz w:val="24"/>
                      <w:szCs w:val="24"/>
                      <w:lang w:val="bg-BG"/>
                    </w:rPr>
                  </w:pPr>
                  <w:r w:rsidRPr="002B208F">
                    <w:rPr>
                      <w:rFonts w:ascii="Times New Roman" w:eastAsia="Times New Roman" w:hAnsi="Times New Roman" w:cs="Times New Roman"/>
                      <w:w w:val="105"/>
                      <w:sz w:val="24"/>
                      <w:szCs w:val="24"/>
                      <w:lang w:val="bg-BG"/>
                    </w:rPr>
                    <w:t>Цел 2</w:t>
                  </w:r>
                </w:p>
              </w:tc>
              <w:tc>
                <w:tcPr>
                  <w:tcW w:w="2524" w:type="dxa"/>
                  <w:shd w:val="clear" w:color="auto" w:fill="FFFFFF"/>
                  <w:vAlign w:val="center"/>
                </w:tcPr>
                <w:p w14:paraId="54FB9555" w14:textId="77777777" w:rsidR="009A1800" w:rsidRPr="002B208F" w:rsidRDefault="009A1800" w:rsidP="009B7765">
                  <w:pPr>
                    <w:widowControl w:val="0"/>
                    <w:kinsoku w:val="0"/>
                    <w:overflowPunct w:val="0"/>
                    <w:autoSpaceDE w:val="0"/>
                    <w:autoSpaceDN w:val="0"/>
                    <w:adjustRightInd w:val="0"/>
                    <w:spacing w:before="20" w:after="20" w:line="336" w:lineRule="auto"/>
                    <w:ind w:left="21" w:right="21"/>
                    <w:jc w:val="center"/>
                    <w:rPr>
                      <w:rFonts w:ascii="Times New Roman" w:eastAsia="Times New Roman" w:hAnsi="Times New Roman" w:cs="Times New Roman"/>
                      <w:sz w:val="24"/>
                      <w:szCs w:val="24"/>
                      <w:lang w:val="bg-BG"/>
                    </w:rPr>
                  </w:pPr>
                  <w:r w:rsidRPr="002B208F">
                    <w:rPr>
                      <w:rFonts w:ascii="Times New Roman" w:eastAsia="Times New Roman" w:hAnsi="Times New Roman" w:cs="Times New Roman"/>
                      <w:sz w:val="24"/>
                      <w:szCs w:val="24"/>
                      <w:lang w:val="bg-BG"/>
                    </w:rPr>
                    <w:t>Ниска</w:t>
                  </w:r>
                </w:p>
              </w:tc>
              <w:tc>
                <w:tcPr>
                  <w:tcW w:w="2683" w:type="dxa"/>
                  <w:shd w:val="clear" w:color="auto" w:fill="FFFFFF"/>
                  <w:vAlign w:val="center"/>
                </w:tcPr>
                <w:p w14:paraId="529CC461" w14:textId="77777777" w:rsidR="009A1800" w:rsidRPr="002B208F" w:rsidRDefault="009A1800" w:rsidP="009B7765">
                  <w:pPr>
                    <w:widowControl w:val="0"/>
                    <w:kinsoku w:val="0"/>
                    <w:overflowPunct w:val="0"/>
                    <w:autoSpaceDE w:val="0"/>
                    <w:autoSpaceDN w:val="0"/>
                    <w:adjustRightInd w:val="0"/>
                    <w:spacing w:before="20" w:after="20" w:line="336" w:lineRule="auto"/>
                    <w:ind w:left="21" w:right="21"/>
                    <w:jc w:val="center"/>
                    <w:rPr>
                      <w:rFonts w:ascii="Times New Roman" w:eastAsia="Times New Roman" w:hAnsi="Times New Roman" w:cs="Times New Roman"/>
                      <w:sz w:val="24"/>
                      <w:szCs w:val="24"/>
                      <w:lang w:val="bg-BG"/>
                    </w:rPr>
                  </w:pPr>
                  <w:r w:rsidRPr="002B208F">
                    <w:rPr>
                      <w:rFonts w:ascii="Times New Roman" w:eastAsia="Times New Roman" w:hAnsi="Times New Roman" w:cs="Times New Roman"/>
                      <w:sz w:val="24"/>
                      <w:szCs w:val="24"/>
                      <w:lang w:val="bg-BG"/>
                    </w:rPr>
                    <w:t>Висока</w:t>
                  </w:r>
                </w:p>
              </w:tc>
            </w:tr>
            <w:tr w:rsidR="002B208F" w:rsidRPr="002B208F" w14:paraId="65B15351" w14:textId="77777777" w:rsidTr="004B07C8">
              <w:tblPrEx>
                <w:tblBorders>
                  <w:insideV w:val="single" w:sz="4" w:space="0" w:color="auto"/>
                </w:tblBorders>
              </w:tblPrEx>
              <w:trPr>
                <w:trHeight w:val="964"/>
                <w:jc w:val="center"/>
              </w:trPr>
              <w:tc>
                <w:tcPr>
                  <w:tcW w:w="648" w:type="dxa"/>
                  <w:vMerge w:val="restart"/>
                  <w:tcBorders>
                    <w:left w:val="single" w:sz="4" w:space="0" w:color="auto"/>
                    <w:bottom w:val="single" w:sz="4" w:space="0" w:color="auto"/>
                  </w:tcBorders>
                  <w:shd w:val="clear" w:color="auto" w:fill="D9D9D9"/>
                  <w:textDirection w:val="btLr"/>
                  <w:vAlign w:val="center"/>
                </w:tcPr>
                <w:p w14:paraId="5D478BDD" w14:textId="77777777" w:rsidR="009A1800" w:rsidRPr="002B208F" w:rsidRDefault="009A1800" w:rsidP="009B7765">
                  <w:pPr>
                    <w:widowControl w:val="0"/>
                    <w:kinsoku w:val="0"/>
                    <w:overflowPunct w:val="0"/>
                    <w:autoSpaceDE w:val="0"/>
                    <w:autoSpaceDN w:val="0"/>
                    <w:adjustRightInd w:val="0"/>
                    <w:spacing w:before="20" w:after="20" w:line="336" w:lineRule="auto"/>
                    <w:ind w:left="113" w:right="113"/>
                    <w:jc w:val="center"/>
                    <w:rPr>
                      <w:rFonts w:ascii="Times New Roman" w:eastAsia="Times New Roman" w:hAnsi="Times New Roman" w:cs="Times New Roman"/>
                      <w:b/>
                      <w:bCs/>
                      <w:i/>
                      <w:iCs/>
                      <w:sz w:val="24"/>
                      <w:szCs w:val="24"/>
                      <w:lang w:val="bg-BG"/>
                    </w:rPr>
                  </w:pPr>
                  <w:r w:rsidRPr="002B208F">
                    <w:rPr>
                      <w:rFonts w:ascii="Times New Roman" w:eastAsia="Times New Roman" w:hAnsi="Times New Roman" w:cs="Times New Roman"/>
                      <w:b/>
                      <w:bCs/>
                      <w:i/>
                      <w:iCs/>
                      <w:sz w:val="24"/>
                      <w:szCs w:val="24"/>
                      <w:lang w:val="bg-BG"/>
                    </w:rPr>
                    <w:t>Съгласуваност</w:t>
                  </w:r>
                </w:p>
              </w:tc>
              <w:tc>
                <w:tcPr>
                  <w:tcW w:w="1891" w:type="dxa"/>
                  <w:shd w:val="clear" w:color="auto" w:fill="FFFFFF"/>
                  <w:vAlign w:val="center"/>
                </w:tcPr>
                <w:p w14:paraId="1CCD8477" w14:textId="77777777" w:rsidR="009A1800" w:rsidRPr="002B208F" w:rsidRDefault="009A1800" w:rsidP="009B7765">
                  <w:pPr>
                    <w:widowControl w:val="0"/>
                    <w:kinsoku w:val="0"/>
                    <w:overflowPunct w:val="0"/>
                    <w:autoSpaceDE w:val="0"/>
                    <w:autoSpaceDN w:val="0"/>
                    <w:adjustRightInd w:val="0"/>
                    <w:spacing w:before="20" w:after="20" w:line="336" w:lineRule="auto"/>
                    <w:ind w:left="113"/>
                    <w:jc w:val="center"/>
                    <w:rPr>
                      <w:rFonts w:ascii="Times New Roman" w:eastAsia="Times New Roman" w:hAnsi="Times New Roman" w:cs="Times New Roman"/>
                      <w:b/>
                      <w:bCs/>
                      <w:i/>
                      <w:iCs/>
                      <w:sz w:val="24"/>
                      <w:szCs w:val="24"/>
                      <w:lang w:val="bg-BG"/>
                    </w:rPr>
                  </w:pPr>
                  <w:r w:rsidRPr="002B208F">
                    <w:rPr>
                      <w:rFonts w:ascii="Times New Roman" w:eastAsia="Times New Roman" w:hAnsi="Times New Roman" w:cs="Times New Roman"/>
                      <w:w w:val="105"/>
                      <w:sz w:val="24"/>
                      <w:szCs w:val="24"/>
                      <w:lang w:val="bg-BG"/>
                    </w:rPr>
                    <w:t>Цел 1</w:t>
                  </w:r>
                </w:p>
              </w:tc>
              <w:tc>
                <w:tcPr>
                  <w:tcW w:w="2524" w:type="dxa"/>
                  <w:shd w:val="clear" w:color="auto" w:fill="FFFFFF"/>
                  <w:vAlign w:val="center"/>
                </w:tcPr>
                <w:p w14:paraId="135F8148" w14:textId="77777777" w:rsidR="009A1800" w:rsidRPr="002B208F" w:rsidRDefault="009A1800" w:rsidP="009B7765">
                  <w:pPr>
                    <w:widowControl w:val="0"/>
                    <w:kinsoku w:val="0"/>
                    <w:overflowPunct w:val="0"/>
                    <w:autoSpaceDE w:val="0"/>
                    <w:autoSpaceDN w:val="0"/>
                    <w:adjustRightInd w:val="0"/>
                    <w:spacing w:before="20" w:after="20" w:line="336" w:lineRule="auto"/>
                    <w:ind w:left="21" w:right="21"/>
                    <w:jc w:val="center"/>
                    <w:rPr>
                      <w:rFonts w:ascii="Times New Roman" w:eastAsia="Times New Roman" w:hAnsi="Times New Roman" w:cs="Times New Roman"/>
                      <w:sz w:val="24"/>
                      <w:szCs w:val="24"/>
                      <w:lang w:val="bg-BG"/>
                    </w:rPr>
                  </w:pPr>
                  <w:r w:rsidRPr="002B208F">
                    <w:rPr>
                      <w:rFonts w:ascii="Times New Roman" w:eastAsia="Times New Roman" w:hAnsi="Times New Roman" w:cs="Times New Roman"/>
                      <w:sz w:val="24"/>
                      <w:szCs w:val="24"/>
                      <w:lang w:val="bg-BG"/>
                    </w:rPr>
                    <w:t>Ниска</w:t>
                  </w:r>
                </w:p>
              </w:tc>
              <w:tc>
                <w:tcPr>
                  <w:tcW w:w="2683" w:type="dxa"/>
                  <w:shd w:val="clear" w:color="auto" w:fill="FFFFFF"/>
                  <w:vAlign w:val="center"/>
                </w:tcPr>
                <w:p w14:paraId="51EF5589" w14:textId="77777777" w:rsidR="009A1800" w:rsidRPr="002B208F" w:rsidRDefault="009A1800" w:rsidP="009B7765">
                  <w:pPr>
                    <w:widowControl w:val="0"/>
                    <w:kinsoku w:val="0"/>
                    <w:overflowPunct w:val="0"/>
                    <w:autoSpaceDE w:val="0"/>
                    <w:autoSpaceDN w:val="0"/>
                    <w:adjustRightInd w:val="0"/>
                    <w:spacing w:before="20" w:after="20" w:line="336" w:lineRule="auto"/>
                    <w:ind w:left="21" w:right="16"/>
                    <w:jc w:val="center"/>
                    <w:rPr>
                      <w:rFonts w:ascii="Times New Roman" w:eastAsia="Times New Roman" w:hAnsi="Times New Roman" w:cs="Times New Roman"/>
                      <w:sz w:val="24"/>
                      <w:szCs w:val="24"/>
                      <w:lang w:val="bg-BG"/>
                    </w:rPr>
                  </w:pPr>
                  <w:r w:rsidRPr="002B208F">
                    <w:rPr>
                      <w:rFonts w:ascii="Times New Roman" w:eastAsia="Times New Roman" w:hAnsi="Times New Roman" w:cs="Times New Roman"/>
                      <w:sz w:val="24"/>
                      <w:szCs w:val="24"/>
                      <w:lang w:val="bg-BG"/>
                    </w:rPr>
                    <w:t>Висока</w:t>
                  </w:r>
                </w:p>
              </w:tc>
            </w:tr>
            <w:tr w:rsidR="002B208F" w:rsidRPr="002B208F" w14:paraId="227D7791" w14:textId="77777777" w:rsidTr="004B07C8">
              <w:tblPrEx>
                <w:tblBorders>
                  <w:insideV w:val="single" w:sz="4" w:space="0" w:color="auto"/>
                </w:tblBorders>
              </w:tblPrEx>
              <w:trPr>
                <w:trHeight w:val="964"/>
                <w:jc w:val="center"/>
              </w:trPr>
              <w:tc>
                <w:tcPr>
                  <w:tcW w:w="648" w:type="dxa"/>
                  <w:vMerge/>
                  <w:tcBorders>
                    <w:left w:val="single" w:sz="4" w:space="0" w:color="auto"/>
                    <w:bottom w:val="single" w:sz="4" w:space="0" w:color="auto"/>
                  </w:tcBorders>
                  <w:shd w:val="clear" w:color="auto" w:fill="D9D9D9"/>
                  <w:textDirection w:val="btLr"/>
                  <w:vAlign w:val="center"/>
                </w:tcPr>
                <w:p w14:paraId="5ED62F81" w14:textId="77777777" w:rsidR="009A1800" w:rsidRPr="002B208F" w:rsidRDefault="009A1800" w:rsidP="009B7765">
                  <w:pPr>
                    <w:widowControl w:val="0"/>
                    <w:kinsoku w:val="0"/>
                    <w:overflowPunct w:val="0"/>
                    <w:autoSpaceDE w:val="0"/>
                    <w:autoSpaceDN w:val="0"/>
                    <w:adjustRightInd w:val="0"/>
                    <w:spacing w:before="20" w:after="20" w:line="336" w:lineRule="auto"/>
                    <w:ind w:left="113" w:right="113"/>
                    <w:jc w:val="center"/>
                    <w:rPr>
                      <w:rFonts w:ascii="Times New Roman" w:eastAsia="Times New Roman" w:hAnsi="Times New Roman" w:cs="Times New Roman"/>
                      <w:b/>
                      <w:bCs/>
                      <w:i/>
                      <w:iCs/>
                      <w:sz w:val="24"/>
                      <w:szCs w:val="24"/>
                      <w:lang w:val="bg-BG"/>
                    </w:rPr>
                  </w:pPr>
                </w:p>
              </w:tc>
              <w:tc>
                <w:tcPr>
                  <w:tcW w:w="1891" w:type="dxa"/>
                  <w:shd w:val="clear" w:color="auto" w:fill="auto"/>
                  <w:vAlign w:val="center"/>
                </w:tcPr>
                <w:p w14:paraId="59E942FA" w14:textId="77777777" w:rsidR="009A1800" w:rsidRPr="002B208F" w:rsidRDefault="009A1800" w:rsidP="009B7765">
                  <w:pPr>
                    <w:widowControl w:val="0"/>
                    <w:kinsoku w:val="0"/>
                    <w:overflowPunct w:val="0"/>
                    <w:autoSpaceDE w:val="0"/>
                    <w:autoSpaceDN w:val="0"/>
                    <w:adjustRightInd w:val="0"/>
                    <w:spacing w:before="20" w:after="20" w:line="336" w:lineRule="auto"/>
                    <w:ind w:left="113"/>
                    <w:jc w:val="center"/>
                    <w:rPr>
                      <w:rFonts w:ascii="Times New Roman" w:eastAsia="Times New Roman" w:hAnsi="Times New Roman" w:cs="Times New Roman"/>
                      <w:w w:val="105"/>
                      <w:sz w:val="24"/>
                      <w:szCs w:val="24"/>
                      <w:lang w:val="bg-BG"/>
                    </w:rPr>
                  </w:pPr>
                  <w:r w:rsidRPr="002B208F">
                    <w:rPr>
                      <w:rFonts w:ascii="Times New Roman" w:eastAsia="Times New Roman" w:hAnsi="Times New Roman" w:cs="Times New Roman"/>
                      <w:w w:val="105"/>
                      <w:sz w:val="24"/>
                      <w:szCs w:val="24"/>
                      <w:lang w:val="bg-BG"/>
                    </w:rPr>
                    <w:t>Цел 2</w:t>
                  </w:r>
                </w:p>
              </w:tc>
              <w:tc>
                <w:tcPr>
                  <w:tcW w:w="2524" w:type="dxa"/>
                  <w:shd w:val="clear" w:color="auto" w:fill="FFFFFF"/>
                  <w:vAlign w:val="center"/>
                </w:tcPr>
                <w:p w14:paraId="64BB45DD" w14:textId="77777777" w:rsidR="009A1800" w:rsidRPr="002B208F" w:rsidRDefault="009A1800" w:rsidP="009B7765">
                  <w:pPr>
                    <w:widowControl w:val="0"/>
                    <w:kinsoku w:val="0"/>
                    <w:overflowPunct w:val="0"/>
                    <w:autoSpaceDE w:val="0"/>
                    <w:autoSpaceDN w:val="0"/>
                    <w:adjustRightInd w:val="0"/>
                    <w:spacing w:before="20" w:after="20" w:line="336" w:lineRule="auto"/>
                    <w:ind w:left="21" w:right="21"/>
                    <w:jc w:val="center"/>
                    <w:rPr>
                      <w:rFonts w:ascii="Times New Roman" w:eastAsia="Times New Roman" w:hAnsi="Times New Roman" w:cs="Times New Roman"/>
                      <w:sz w:val="24"/>
                      <w:szCs w:val="24"/>
                      <w:lang w:val="bg-BG"/>
                    </w:rPr>
                  </w:pPr>
                  <w:r w:rsidRPr="002B208F">
                    <w:rPr>
                      <w:rFonts w:ascii="Times New Roman" w:eastAsia="Times New Roman" w:hAnsi="Times New Roman" w:cs="Times New Roman"/>
                      <w:sz w:val="24"/>
                      <w:szCs w:val="24"/>
                      <w:lang w:val="bg-BG"/>
                    </w:rPr>
                    <w:t>Ниска</w:t>
                  </w:r>
                </w:p>
              </w:tc>
              <w:tc>
                <w:tcPr>
                  <w:tcW w:w="2683" w:type="dxa"/>
                  <w:shd w:val="clear" w:color="auto" w:fill="FFFFFF"/>
                  <w:vAlign w:val="center"/>
                </w:tcPr>
                <w:p w14:paraId="7F740F57" w14:textId="77777777" w:rsidR="009A1800" w:rsidRPr="002B208F" w:rsidRDefault="009A1800" w:rsidP="009B7765">
                  <w:pPr>
                    <w:widowControl w:val="0"/>
                    <w:kinsoku w:val="0"/>
                    <w:overflowPunct w:val="0"/>
                    <w:autoSpaceDE w:val="0"/>
                    <w:autoSpaceDN w:val="0"/>
                    <w:adjustRightInd w:val="0"/>
                    <w:spacing w:before="20" w:after="20" w:line="336" w:lineRule="auto"/>
                    <w:ind w:left="21" w:right="16"/>
                    <w:jc w:val="center"/>
                    <w:rPr>
                      <w:rFonts w:ascii="Times New Roman" w:eastAsia="Times New Roman" w:hAnsi="Times New Roman" w:cs="Times New Roman"/>
                      <w:sz w:val="24"/>
                      <w:szCs w:val="24"/>
                      <w:lang w:val="bg-BG"/>
                    </w:rPr>
                  </w:pPr>
                  <w:r w:rsidRPr="002B208F">
                    <w:rPr>
                      <w:rFonts w:ascii="Times New Roman" w:eastAsia="Times New Roman" w:hAnsi="Times New Roman" w:cs="Times New Roman"/>
                      <w:sz w:val="24"/>
                      <w:szCs w:val="24"/>
                      <w:lang w:val="bg-BG"/>
                    </w:rPr>
                    <w:t>Висока</w:t>
                  </w:r>
                </w:p>
              </w:tc>
            </w:tr>
          </w:tbl>
          <w:p w14:paraId="553E71BE" w14:textId="77777777" w:rsidR="002A1B9F" w:rsidRPr="002B208F" w:rsidRDefault="002A1B9F" w:rsidP="009B7765">
            <w:pPr>
              <w:spacing w:after="0" w:line="336" w:lineRule="auto"/>
              <w:rPr>
                <w:rFonts w:ascii="Verdana" w:eastAsia="Times New Roman" w:hAnsi="Verdana" w:cs="Times New Roman"/>
                <w:sz w:val="20"/>
                <w:szCs w:val="20"/>
                <w:lang w:val="bg-BG"/>
              </w:rPr>
            </w:pPr>
          </w:p>
          <w:p w14:paraId="2886174F" w14:textId="35E96117" w:rsidR="00CB05BE" w:rsidRPr="002B208F" w:rsidRDefault="00CB05BE" w:rsidP="009B7765">
            <w:pPr>
              <w:spacing w:after="0" w:line="336" w:lineRule="auto"/>
              <w:rPr>
                <w:rFonts w:ascii="Verdana" w:eastAsia="Times New Roman" w:hAnsi="Verdana" w:cs="Times New Roman"/>
                <w:b/>
                <w:i/>
                <w:sz w:val="20"/>
                <w:szCs w:val="20"/>
                <w:lang w:val="bg-BG"/>
              </w:rPr>
            </w:pPr>
          </w:p>
        </w:tc>
      </w:tr>
      <w:tr w:rsidR="002B208F" w:rsidRPr="002B208F" w14:paraId="58AC1618" w14:textId="77777777" w:rsidTr="00F431B8">
        <w:trPr>
          <w:gridBefore w:val="1"/>
          <w:wBefore w:w="8" w:type="dxa"/>
        </w:trPr>
        <w:tc>
          <w:tcPr>
            <w:tcW w:w="9696" w:type="dxa"/>
            <w:gridSpan w:val="3"/>
          </w:tcPr>
          <w:p w14:paraId="15D8A62E" w14:textId="77777777" w:rsidR="002A1B9F" w:rsidRPr="002B208F" w:rsidRDefault="002A1B9F" w:rsidP="009B7765">
            <w:pPr>
              <w:spacing w:before="120" w:after="0" w:line="336" w:lineRule="auto"/>
              <w:jc w:val="both"/>
              <w:rPr>
                <w:rFonts w:ascii="Verdana" w:eastAsia="Times New Roman" w:hAnsi="Verdana" w:cs="Times New Roman"/>
                <w:b/>
                <w:sz w:val="20"/>
                <w:szCs w:val="20"/>
                <w:lang w:val="bg-BG"/>
              </w:rPr>
            </w:pPr>
            <w:r w:rsidRPr="002B208F">
              <w:rPr>
                <w:rFonts w:ascii="Verdana" w:eastAsia="Times New Roman" w:hAnsi="Verdana" w:cs="Times New Roman"/>
                <w:b/>
                <w:sz w:val="20"/>
                <w:szCs w:val="20"/>
                <w:lang w:val="bg-BG"/>
              </w:rPr>
              <w:lastRenderedPageBreak/>
              <w:t>6. Избор на препоръчителен вариант:</w:t>
            </w:r>
          </w:p>
          <w:p w14:paraId="19FB4C55" w14:textId="063444DA" w:rsidR="002A1B9F" w:rsidRPr="002B208F" w:rsidRDefault="002A1B9F" w:rsidP="009B7765">
            <w:pPr>
              <w:spacing w:after="0" w:line="336" w:lineRule="auto"/>
              <w:jc w:val="both"/>
              <w:rPr>
                <w:rFonts w:ascii="Verdana" w:eastAsia="Times New Roman" w:hAnsi="Verdana" w:cs="Times New Roman"/>
                <w:sz w:val="20"/>
                <w:szCs w:val="20"/>
                <w:lang w:val="bg-BG"/>
              </w:rPr>
            </w:pPr>
            <w:r w:rsidRPr="002B208F">
              <w:rPr>
                <w:rFonts w:ascii="Verdana" w:eastAsia="Times New Roman" w:hAnsi="Verdana" w:cs="Times New Roman"/>
                <w:b/>
                <w:sz w:val="20"/>
                <w:szCs w:val="20"/>
                <w:lang w:val="bg-BG"/>
              </w:rPr>
              <w:t xml:space="preserve">Вариант 2 </w:t>
            </w:r>
            <w:r w:rsidRPr="002B208F">
              <w:rPr>
                <w:rFonts w:ascii="Verdana" w:eastAsia="Times New Roman" w:hAnsi="Verdana" w:cs="Times New Roman"/>
                <w:sz w:val="20"/>
                <w:szCs w:val="20"/>
                <w:lang w:val="bg-BG"/>
              </w:rPr>
              <w:t>„Приемане на Постановление за изменение на Правилника за прилагане на Закона за собствеността и ползването на земеделските земи“</w:t>
            </w:r>
          </w:p>
        </w:tc>
      </w:tr>
      <w:tr w:rsidR="002B208F" w:rsidRPr="002B208F" w14:paraId="1283F2D5" w14:textId="77777777" w:rsidTr="00F431B8">
        <w:trPr>
          <w:gridBefore w:val="1"/>
          <w:wBefore w:w="8" w:type="dxa"/>
        </w:trPr>
        <w:tc>
          <w:tcPr>
            <w:tcW w:w="9696" w:type="dxa"/>
            <w:gridSpan w:val="3"/>
          </w:tcPr>
          <w:p w14:paraId="5CD87FEB" w14:textId="77777777" w:rsidR="002A1B9F" w:rsidRPr="002B208F" w:rsidRDefault="002A1B9F" w:rsidP="009B7765">
            <w:pPr>
              <w:spacing w:before="120" w:after="0" w:line="336" w:lineRule="auto"/>
              <w:jc w:val="both"/>
              <w:rPr>
                <w:rFonts w:ascii="Verdana" w:eastAsia="Times New Roman" w:hAnsi="Verdana" w:cs="Times New Roman"/>
                <w:b/>
                <w:sz w:val="20"/>
                <w:szCs w:val="20"/>
                <w:lang w:val="bg-BG"/>
              </w:rPr>
            </w:pPr>
            <w:r w:rsidRPr="002B208F">
              <w:rPr>
                <w:rFonts w:ascii="Verdana" w:eastAsia="Times New Roman" w:hAnsi="Verdana" w:cs="Times New Roman"/>
                <w:b/>
                <w:sz w:val="20"/>
                <w:szCs w:val="20"/>
                <w:lang w:val="bg-BG"/>
              </w:rPr>
              <w:t>6.1. Промяна в административната тежест за физическите и юридическите лица от прилагането на препоръчителния вариант (включително по отделните проблеми):</w:t>
            </w:r>
          </w:p>
          <w:p w14:paraId="78B0351B" w14:textId="5D21DDCD" w:rsidR="002A1B9F" w:rsidRPr="002B208F" w:rsidRDefault="002A1B9F" w:rsidP="009B7765">
            <w:pPr>
              <w:spacing w:after="0" w:line="336" w:lineRule="auto"/>
              <w:jc w:val="both"/>
              <w:rPr>
                <w:rFonts w:ascii="Verdana" w:eastAsia="Times New Roman" w:hAnsi="Verdana" w:cs="Times New Roman"/>
                <w:sz w:val="20"/>
                <w:szCs w:val="20"/>
                <w:lang w:val="bg-BG"/>
              </w:rPr>
            </w:pPr>
            <w:r w:rsidRPr="002B208F">
              <w:rPr>
                <w:rFonts w:ascii="Verdana" w:eastAsia="Times New Roman" w:hAnsi="Verdana" w:cs="Times New Roman"/>
                <w:sz w:val="20"/>
                <w:szCs w:val="20"/>
              </w:rPr>
              <w:object w:dxaOrig="225" w:dyaOrig="225" w14:anchorId="111B0450">
                <v:shape id="_x0000_i1064" type="#_x0000_t75" style="width:108pt;height:18.35pt" o:ole="">
                  <v:imagedata r:id="rId15" o:title=""/>
                </v:shape>
                <w:control r:id="rId16" w:name="OptionButton3" w:shapeid="_x0000_i1064"/>
              </w:object>
            </w:r>
          </w:p>
          <w:p w14:paraId="1AF24BBD" w14:textId="3219B85B" w:rsidR="002A1B9F" w:rsidRPr="002B208F" w:rsidRDefault="002A1B9F" w:rsidP="009B7765">
            <w:pPr>
              <w:spacing w:after="0" w:line="336" w:lineRule="auto"/>
              <w:jc w:val="both"/>
              <w:rPr>
                <w:rFonts w:ascii="Verdana" w:eastAsia="Times New Roman" w:hAnsi="Verdana" w:cs="Times New Roman"/>
                <w:sz w:val="20"/>
                <w:szCs w:val="20"/>
                <w:lang w:val="bg-BG"/>
              </w:rPr>
            </w:pPr>
            <w:r w:rsidRPr="002B208F">
              <w:rPr>
                <w:rFonts w:ascii="Verdana" w:eastAsia="Times New Roman" w:hAnsi="Verdana" w:cs="Times New Roman"/>
                <w:sz w:val="20"/>
                <w:szCs w:val="20"/>
              </w:rPr>
              <w:object w:dxaOrig="225" w:dyaOrig="225" w14:anchorId="5481231D">
                <v:shape id="_x0000_i1066" type="#_x0000_t75" style="width:108pt;height:18.35pt" o:ole="">
                  <v:imagedata r:id="rId17" o:title=""/>
                </v:shape>
                <w:control r:id="rId18" w:name="OptionButton4" w:shapeid="_x0000_i1066"/>
              </w:object>
            </w:r>
          </w:p>
          <w:p w14:paraId="5C50601C" w14:textId="70FB622A" w:rsidR="002A1B9F" w:rsidRPr="002B208F" w:rsidRDefault="002A1B9F" w:rsidP="009B7765">
            <w:pPr>
              <w:spacing w:after="0" w:line="336" w:lineRule="auto"/>
              <w:jc w:val="both"/>
              <w:rPr>
                <w:rFonts w:ascii="Verdana" w:eastAsia="Times New Roman" w:hAnsi="Verdana" w:cs="Times New Roman"/>
                <w:sz w:val="20"/>
                <w:szCs w:val="20"/>
              </w:rPr>
            </w:pPr>
            <w:r w:rsidRPr="002B208F">
              <w:rPr>
                <w:rFonts w:ascii="Verdana" w:eastAsia="Times New Roman" w:hAnsi="Verdana" w:cs="Times New Roman"/>
                <w:sz w:val="20"/>
                <w:szCs w:val="20"/>
              </w:rPr>
              <w:object w:dxaOrig="225" w:dyaOrig="225" w14:anchorId="792CF642">
                <v:shape id="_x0000_i1068" type="#_x0000_t75" style="width:108pt;height:18.35pt" o:ole="">
                  <v:imagedata r:id="rId19" o:title=""/>
                </v:shape>
                <w:control r:id="rId20" w:name="OptionButton5" w:shapeid="_x0000_i1068"/>
              </w:object>
            </w:r>
          </w:p>
        </w:tc>
      </w:tr>
      <w:tr w:rsidR="002B208F" w:rsidRPr="002B208F" w14:paraId="6425E10C" w14:textId="77777777" w:rsidTr="00F431B8">
        <w:trPr>
          <w:gridBefore w:val="1"/>
          <w:wBefore w:w="8" w:type="dxa"/>
        </w:trPr>
        <w:tc>
          <w:tcPr>
            <w:tcW w:w="9696" w:type="dxa"/>
            <w:gridSpan w:val="3"/>
          </w:tcPr>
          <w:p w14:paraId="6B0794FE" w14:textId="77777777" w:rsidR="002A1B9F" w:rsidRPr="002B208F" w:rsidRDefault="002A1B9F" w:rsidP="009B7765">
            <w:pPr>
              <w:spacing w:before="120" w:after="0" w:line="336" w:lineRule="auto"/>
              <w:jc w:val="both"/>
              <w:rPr>
                <w:rFonts w:ascii="Verdana" w:eastAsia="Times New Roman" w:hAnsi="Verdana" w:cs="Times New Roman"/>
                <w:b/>
                <w:sz w:val="20"/>
                <w:szCs w:val="20"/>
                <w:lang w:val="bg-BG"/>
              </w:rPr>
            </w:pPr>
            <w:r w:rsidRPr="002B208F">
              <w:rPr>
                <w:rFonts w:ascii="Verdana" w:eastAsia="Times New Roman" w:hAnsi="Verdana" w:cs="Times New Roman"/>
                <w:b/>
                <w:sz w:val="20"/>
                <w:szCs w:val="20"/>
                <w:lang w:val="bg-BG"/>
              </w:rPr>
              <w:t>6.2. Създават ли се нови/засягат ли се съществуващи регулаторни режими и услуги от прилагането на препоръчителния вариант (включително по отделните проблеми)?</w:t>
            </w:r>
          </w:p>
          <w:p w14:paraId="1CEBB648" w14:textId="1A39CBBE" w:rsidR="002A1B9F" w:rsidRPr="002B208F" w:rsidRDefault="002A1B9F" w:rsidP="009B7765">
            <w:pPr>
              <w:spacing w:after="0" w:line="336" w:lineRule="auto"/>
              <w:jc w:val="both"/>
              <w:rPr>
                <w:rFonts w:ascii="Verdana" w:eastAsia="Times New Roman" w:hAnsi="Verdana" w:cs="Times New Roman"/>
                <w:sz w:val="20"/>
                <w:szCs w:val="20"/>
                <w:lang w:val="bg-BG"/>
              </w:rPr>
            </w:pPr>
            <w:r w:rsidRPr="002B208F">
              <w:rPr>
                <w:rFonts w:ascii="Verdana" w:eastAsia="Times New Roman" w:hAnsi="Verdana" w:cs="Times New Roman"/>
                <w:sz w:val="20"/>
                <w:szCs w:val="20"/>
              </w:rPr>
              <w:object w:dxaOrig="225" w:dyaOrig="225" w14:anchorId="4CF0434D">
                <v:shape id="_x0000_i1070" type="#_x0000_t75" style="width:108pt;height:18.35pt" o:ole="">
                  <v:imagedata r:id="rId21" o:title=""/>
                </v:shape>
                <w:control r:id="rId22" w:name="OptionButton16" w:shapeid="_x0000_i1070"/>
              </w:object>
            </w:r>
          </w:p>
          <w:p w14:paraId="19BCB21D" w14:textId="29C81EBC" w:rsidR="002A1B9F" w:rsidRPr="002B208F" w:rsidRDefault="002A1B9F" w:rsidP="009B7765">
            <w:pPr>
              <w:spacing w:after="0" w:line="336" w:lineRule="auto"/>
              <w:jc w:val="both"/>
              <w:rPr>
                <w:rFonts w:ascii="Verdana" w:eastAsia="Times New Roman" w:hAnsi="Verdana" w:cs="Times New Roman"/>
                <w:sz w:val="20"/>
                <w:szCs w:val="20"/>
                <w:lang w:val="bg-BG"/>
              </w:rPr>
            </w:pPr>
            <w:r w:rsidRPr="002B208F">
              <w:rPr>
                <w:rFonts w:ascii="Verdana" w:eastAsia="Times New Roman" w:hAnsi="Verdana" w:cs="Times New Roman"/>
                <w:sz w:val="20"/>
                <w:szCs w:val="20"/>
              </w:rPr>
              <w:object w:dxaOrig="225" w:dyaOrig="225" w14:anchorId="3852CE98">
                <v:shape id="_x0000_i1072" type="#_x0000_t75" style="width:108pt;height:18.35pt" o:ole="">
                  <v:imagedata r:id="rId23" o:title=""/>
                </v:shape>
                <w:control r:id="rId24" w:name="OptionButton17" w:shapeid="_x0000_i1072"/>
              </w:object>
            </w:r>
          </w:p>
          <w:p w14:paraId="7709C0B9" w14:textId="77777777" w:rsidR="002A1B9F" w:rsidRPr="002B208F" w:rsidRDefault="002A1B9F" w:rsidP="009B7765">
            <w:pPr>
              <w:spacing w:after="0" w:line="336" w:lineRule="auto"/>
              <w:jc w:val="both"/>
              <w:rPr>
                <w:rFonts w:ascii="Verdana" w:eastAsia="Times New Roman" w:hAnsi="Verdana" w:cs="Times New Roman"/>
                <w:i/>
                <w:sz w:val="16"/>
                <w:szCs w:val="16"/>
                <w:lang w:val="bg-BG"/>
              </w:rPr>
            </w:pPr>
            <w:r w:rsidRPr="002B208F">
              <w:rPr>
                <w:rFonts w:ascii="Verdana" w:eastAsia="Times New Roman" w:hAnsi="Verdana" w:cs="Times New Roman"/>
                <w:i/>
                <w:sz w:val="16"/>
                <w:szCs w:val="16"/>
                <w:lang w:val="bg-BG"/>
              </w:rPr>
              <w:t xml:space="preserve">1.1. Изборът следва да е </w:t>
            </w:r>
            <w:proofErr w:type="spellStart"/>
            <w:r w:rsidRPr="002B208F">
              <w:rPr>
                <w:rFonts w:ascii="Verdana" w:eastAsia="Times New Roman" w:hAnsi="Verdana" w:cs="Times New Roman"/>
                <w:i/>
                <w:sz w:val="16"/>
                <w:szCs w:val="16"/>
                <w:lang w:val="bg-BG"/>
              </w:rPr>
              <w:t>съотносим</w:t>
            </w:r>
            <w:proofErr w:type="spellEnd"/>
            <w:r w:rsidRPr="002B208F">
              <w:rPr>
                <w:rFonts w:ascii="Verdana" w:eastAsia="Times New Roman" w:hAnsi="Verdana" w:cs="Times New Roman"/>
                <w:i/>
                <w:sz w:val="16"/>
                <w:szCs w:val="16"/>
                <w:lang w:val="bg-BG"/>
              </w:rPr>
              <w:t xml:space="preserve"> с посочените специфични въздействия на избрания вариант.</w:t>
            </w:r>
          </w:p>
          <w:p w14:paraId="4C337045" w14:textId="5A463F1B" w:rsidR="002A1B9F" w:rsidRPr="002B208F" w:rsidRDefault="002A1B9F" w:rsidP="009B7765">
            <w:pPr>
              <w:spacing w:after="0" w:line="336" w:lineRule="auto"/>
              <w:jc w:val="both"/>
              <w:rPr>
                <w:rFonts w:ascii="Verdana" w:eastAsia="Times New Roman" w:hAnsi="Verdana" w:cs="Times New Roman"/>
                <w:i/>
                <w:sz w:val="16"/>
                <w:szCs w:val="16"/>
                <w:lang w:val="bg-BG"/>
              </w:rPr>
            </w:pPr>
            <w:r w:rsidRPr="002B208F">
              <w:rPr>
                <w:rFonts w:ascii="Verdana" w:eastAsia="Times New Roman" w:hAnsi="Verdana" w:cs="Times New Roman"/>
                <w:i/>
                <w:sz w:val="16"/>
                <w:szCs w:val="16"/>
                <w:lang w:val="bg-BG"/>
              </w:rPr>
              <w:t xml:space="preserve">1.2. В случай че се предвижда създаване нов регулаторен режим, посочете неговия вид (за стопанска дейност: лицензионен, </w:t>
            </w:r>
            <w:r w:rsidRPr="002B208F">
              <w:rPr>
                <w:rFonts w:ascii="Verdana" w:eastAsia="Times New Roman" w:hAnsi="Verdana" w:cs="Times New Roman"/>
                <w:sz w:val="16"/>
                <w:szCs w:val="16"/>
                <w:lang w:val="bg-BG"/>
              </w:rPr>
              <w:t>регистрационен</w:t>
            </w:r>
            <w:r w:rsidRPr="002B208F">
              <w:rPr>
                <w:rFonts w:ascii="Verdana" w:eastAsia="Times New Roman" w:hAnsi="Verdana" w:cs="Times New Roman"/>
                <w:i/>
                <w:sz w:val="16"/>
                <w:szCs w:val="16"/>
                <w:lang w:val="bg-BG"/>
              </w:rPr>
              <w:t>; за отделна стелка или действие: разрешителен, уведомителен; удостоверителен и по какъв начин това съответства с постигането на целите).</w:t>
            </w:r>
          </w:p>
          <w:p w14:paraId="71798C57" w14:textId="35A0C281" w:rsidR="00D1501B" w:rsidRPr="002B208F" w:rsidRDefault="002A1B9F" w:rsidP="009B7765">
            <w:pPr>
              <w:spacing w:after="0" w:line="336" w:lineRule="auto"/>
              <w:jc w:val="both"/>
              <w:rPr>
                <w:rFonts w:ascii="Verdana" w:eastAsia="Times New Roman" w:hAnsi="Verdana" w:cs="Times New Roman"/>
                <w:sz w:val="20"/>
                <w:szCs w:val="20"/>
                <w:lang w:val="bg-BG"/>
              </w:rPr>
            </w:pPr>
            <w:r w:rsidRPr="002B208F">
              <w:rPr>
                <w:rFonts w:ascii="Verdana" w:eastAsia="Times New Roman" w:hAnsi="Verdana" w:cs="Times New Roman"/>
                <w:sz w:val="20"/>
                <w:szCs w:val="20"/>
                <w:lang w:val="bg-BG"/>
              </w:rPr>
              <w:lastRenderedPageBreak/>
              <w:t>Не се създава нов регулаторен режим.</w:t>
            </w:r>
          </w:p>
          <w:p w14:paraId="3FACCE86" w14:textId="5BA4E30C" w:rsidR="002A1B9F" w:rsidRPr="002B208F" w:rsidRDefault="002A1B9F" w:rsidP="009B7765">
            <w:pPr>
              <w:spacing w:after="0" w:line="336" w:lineRule="auto"/>
              <w:jc w:val="both"/>
              <w:rPr>
                <w:rFonts w:ascii="Verdana" w:eastAsia="Times New Roman" w:hAnsi="Verdana" w:cs="Times New Roman"/>
                <w:i/>
                <w:sz w:val="16"/>
                <w:szCs w:val="16"/>
                <w:lang w:val="bg-BG"/>
              </w:rPr>
            </w:pPr>
            <w:r w:rsidRPr="002B208F">
              <w:rPr>
                <w:rFonts w:ascii="Verdana" w:eastAsia="Times New Roman" w:hAnsi="Verdana" w:cs="Times New Roman"/>
                <w:i/>
                <w:sz w:val="16"/>
                <w:szCs w:val="16"/>
                <w:lang w:val="bg-BG"/>
              </w:rPr>
              <w:t>1.3. Мотивирайте създаването на новия регулаторен режим съгласно изискванията на чл. 3, ал. 4  от Закона за ограничаване на административното регулиране и административния контрол върху стопанската дейност.</w:t>
            </w:r>
          </w:p>
          <w:p w14:paraId="5FA72DC2" w14:textId="77777777" w:rsidR="00D1501B" w:rsidRPr="002B208F" w:rsidRDefault="00D1501B" w:rsidP="009B7765">
            <w:pPr>
              <w:spacing w:after="0" w:line="336" w:lineRule="auto"/>
              <w:jc w:val="both"/>
              <w:rPr>
                <w:rFonts w:ascii="Verdana" w:eastAsia="Times New Roman" w:hAnsi="Verdana" w:cs="Times New Roman"/>
                <w:i/>
                <w:sz w:val="16"/>
                <w:szCs w:val="16"/>
                <w:lang w:val="bg-BG"/>
              </w:rPr>
            </w:pPr>
          </w:p>
          <w:p w14:paraId="637BD3CD" w14:textId="283A5620" w:rsidR="002A1B9F" w:rsidRPr="002B208F" w:rsidRDefault="002A1B9F" w:rsidP="009B7765">
            <w:pPr>
              <w:spacing w:after="0" w:line="336" w:lineRule="auto"/>
              <w:jc w:val="both"/>
              <w:rPr>
                <w:rFonts w:ascii="Verdana" w:eastAsia="Times New Roman" w:hAnsi="Verdana" w:cs="Times New Roman"/>
                <w:i/>
                <w:sz w:val="16"/>
                <w:szCs w:val="16"/>
                <w:lang w:val="bg-BG"/>
              </w:rPr>
            </w:pPr>
            <w:r w:rsidRPr="002B208F">
              <w:rPr>
                <w:rFonts w:ascii="Verdana" w:eastAsia="Times New Roman" w:hAnsi="Verdana" w:cs="Times New Roman"/>
                <w:i/>
                <w:sz w:val="16"/>
                <w:szCs w:val="16"/>
                <w:lang w:val="bg-BG"/>
              </w:rPr>
              <w:t>1.4. Посочете предложените нови регулаторни режими отговарят ли на изискванията на чл. 10 – 12 от Закона за дейностите по предоставяне на услуги.</w:t>
            </w:r>
          </w:p>
          <w:p w14:paraId="6106C830" w14:textId="77777777" w:rsidR="00D1501B" w:rsidRPr="002B208F" w:rsidRDefault="00D1501B" w:rsidP="009B7765">
            <w:pPr>
              <w:spacing w:after="0" w:line="336" w:lineRule="auto"/>
              <w:jc w:val="both"/>
              <w:rPr>
                <w:rFonts w:ascii="Verdana" w:eastAsia="Times New Roman" w:hAnsi="Verdana" w:cs="Times New Roman"/>
                <w:i/>
                <w:sz w:val="16"/>
                <w:szCs w:val="16"/>
                <w:lang w:val="bg-BG"/>
              </w:rPr>
            </w:pPr>
          </w:p>
          <w:p w14:paraId="2079599C" w14:textId="77777777" w:rsidR="002A1B9F" w:rsidRPr="002B208F" w:rsidRDefault="002A1B9F" w:rsidP="009B7765">
            <w:pPr>
              <w:spacing w:after="0" w:line="336" w:lineRule="auto"/>
              <w:jc w:val="both"/>
              <w:rPr>
                <w:rFonts w:ascii="Verdana" w:eastAsia="Times New Roman" w:hAnsi="Verdana" w:cs="Times New Roman"/>
                <w:i/>
                <w:sz w:val="16"/>
                <w:szCs w:val="16"/>
                <w:lang w:val="bg-BG"/>
              </w:rPr>
            </w:pPr>
            <w:r w:rsidRPr="002B208F">
              <w:rPr>
                <w:rFonts w:ascii="Verdana" w:eastAsia="Times New Roman" w:hAnsi="Verdana" w:cs="Times New Roman"/>
                <w:i/>
                <w:sz w:val="16"/>
                <w:szCs w:val="16"/>
                <w:lang w:val="bg-BG"/>
              </w:rPr>
              <w:t>1.5. Посочете изпълнено ли е изискването на § 2 от Допълнителните разпоредби на Закона за дейностите по предоставяне на услуги.</w:t>
            </w:r>
          </w:p>
          <w:p w14:paraId="6A6F6BFE" w14:textId="545F307D" w:rsidR="002A1B9F" w:rsidRPr="002B208F" w:rsidRDefault="002A1B9F" w:rsidP="009B7765">
            <w:pPr>
              <w:spacing w:after="120" w:line="336" w:lineRule="auto"/>
              <w:jc w:val="both"/>
              <w:rPr>
                <w:rFonts w:ascii="Verdana" w:eastAsia="Times New Roman" w:hAnsi="Verdana" w:cs="Times New Roman"/>
                <w:sz w:val="20"/>
                <w:szCs w:val="20"/>
                <w:lang w:val="bg-BG"/>
              </w:rPr>
            </w:pPr>
            <w:r w:rsidRPr="002B208F">
              <w:rPr>
                <w:rFonts w:ascii="Verdana" w:eastAsia="Times New Roman" w:hAnsi="Verdana" w:cs="Times New Roman"/>
                <w:sz w:val="20"/>
                <w:szCs w:val="20"/>
                <w:lang w:val="bg-BG"/>
              </w:rPr>
              <w:t xml:space="preserve">Проектът не се налага да бъде </w:t>
            </w:r>
            <w:proofErr w:type="spellStart"/>
            <w:r w:rsidRPr="002B208F">
              <w:rPr>
                <w:rFonts w:ascii="Verdana" w:eastAsia="Times New Roman" w:hAnsi="Verdana" w:cs="Times New Roman"/>
                <w:sz w:val="20"/>
                <w:szCs w:val="20"/>
                <w:lang w:val="bg-BG"/>
              </w:rPr>
              <w:t>нотифициран</w:t>
            </w:r>
            <w:proofErr w:type="spellEnd"/>
            <w:r w:rsidRPr="002B208F">
              <w:rPr>
                <w:rFonts w:ascii="Verdana" w:eastAsia="Times New Roman" w:hAnsi="Verdana" w:cs="Times New Roman"/>
                <w:sz w:val="20"/>
                <w:szCs w:val="20"/>
                <w:lang w:val="bg-BG"/>
              </w:rPr>
              <w:t xml:space="preserve"> по реда на Директива (ЕС) 2015/1535 на Европейския парламент и на Съвета от 9 септември 2015 година установяваща процедура за предоставянето на информация в сферата на техническите регламенти и правила относно услугите на информационното общество.</w:t>
            </w:r>
          </w:p>
          <w:p w14:paraId="4F8EE390" w14:textId="77777777" w:rsidR="002A1B9F" w:rsidRPr="002B208F" w:rsidRDefault="002A1B9F" w:rsidP="009B7765">
            <w:pPr>
              <w:spacing w:after="0" w:line="336" w:lineRule="auto"/>
              <w:jc w:val="both"/>
              <w:rPr>
                <w:rFonts w:ascii="Verdana" w:eastAsia="Times New Roman" w:hAnsi="Verdana" w:cs="Times New Roman"/>
                <w:i/>
                <w:sz w:val="16"/>
                <w:szCs w:val="16"/>
                <w:lang w:val="bg-BG"/>
              </w:rPr>
            </w:pPr>
            <w:r w:rsidRPr="002B208F">
              <w:rPr>
                <w:rFonts w:ascii="Verdana" w:eastAsia="Times New Roman" w:hAnsi="Verdana" w:cs="Times New Roman"/>
                <w:i/>
                <w:sz w:val="16"/>
                <w:szCs w:val="16"/>
                <w:lang w:val="bg-BG"/>
              </w:rPr>
              <w:t>1.6. В случай че се изменят регулаторни режими или административни услуги, посочете промяната.</w:t>
            </w:r>
          </w:p>
          <w:p w14:paraId="37BCE18E" w14:textId="767C8ABA" w:rsidR="00B17934" w:rsidRPr="002B208F" w:rsidRDefault="002A1B9F" w:rsidP="009B7765">
            <w:pPr>
              <w:spacing w:after="0" w:line="336" w:lineRule="auto"/>
              <w:jc w:val="both"/>
              <w:rPr>
                <w:rFonts w:ascii="Verdana" w:eastAsia="Times New Roman" w:hAnsi="Verdana" w:cs="Times New Roman"/>
                <w:sz w:val="20"/>
                <w:szCs w:val="20"/>
                <w:lang w:val="bg-BG"/>
              </w:rPr>
            </w:pPr>
            <w:r w:rsidRPr="002B208F">
              <w:rPr>
                <w:rFonts w:ascii="Verdana" w:eastAsia="Times New Roman" w:hAnsi="Verdana" w:cs="Times New Roman"/>
                <w:sz w:val="20"/>
                <w:szCs w:val="20"/>
                <w:lang w:val="bg-BG"/>
              </w:rPr>
              <w:t>Не се изменят регулаторни режими или административни услуги.</w:t>
            </w:r>
          </w:p>
        </w:tc>
      </w:tr>
      <w:tr w:rsidR="002B208F" w:rsidRPr="002B208F" w14:paraId="43DA329A" w14:textId="77777777" w:rsidTr="00F431B8">
        <w:trPr>
          <w:gridBefore w:val="1"/>
          <w:wBefore w:w="8" w:type="dxa"/>
        </w:trPr>
        <w:tc>
          <w:tcPr>
            <w:tcW w:w="9696" w:type="dxa"/>
            <w:gridSpan w:val="3"/>
          </w:tcPr>
          <w:p w14:paraId="1C3768BF" w14:textId="77777777" w:rsidR="002A1B9F" w:rsidRPr="002B208F" w:rsidRDefault="002A1B9F" w:rsidP="009B7765">
            <w:pPr>
              <w:spacing w:before="120" w:after="0" w:line="336" w:lineRule="auto"/>
              <w:jc w:val="both"/>
              <w:rPr>
                <w:rFonts w:ascii="Verdana" w:eastAsia="Times New Roman" w:hAnsi="Verdana" w:cs="Times New Roman"/>
                <w:b/>
                <w:sz w:val="20"/>
                <w:szCs w:val="20"/>
                <w:lang w:val="bg-BG"/>
              </w:rPr>
            </w:pPr>
            <w:r w:rsidRPr="002B208F">
              <w:rPr>
                <w:rFonts w:ascii="Verdana" w:eastAsia="Times New Roman" w:hAnsi="Verdana" w:cs="Times New Roman"/>
                <w:b/>
                <w:sz w:val="20"/>
                <w:szCs w:val="20"/>
                <w:lang w:val="bg-BG"/>
              </w:rPr>
              <w:lastRenderedPageBreak/>
              <w:t>6.3. Създават ли се нови регистри от прилагането на препоръчителния вариант (включително по отделните проблеми)?</w:t>
            </w:r>
          </w:p>
          <w:p w14:paraId="14BA23A2" w14:textId="3377FBA6" w:rsidR="002A1B9F" w:rsidRPr="002B208F" w:rsidRDefault="002A1B9F" w:rsidP="009B7765">
            <w:pPr>
              <w:spacing w:after="0" w:line="336" w:lineRule="auto"/>
              <w:jc w:val="both"/>
              <w:rPr>
                <w:rFonts w:ascii="Verdana" w:eastAsia="Times New Roman" w:hAnsi="Verdana" w:cs="Times New Roman"/>
                <w:i/>
                <w:sz w:val="20"/>
                <w:szCs w:val="20"/>
                <w:lang w:val="bg-BG"/>
              </w:rPr>
            </w:pPr>
            <w:r w:rsidRPr="002B208F">
              <w:rPr>
                <w:rFonts w:ascii="Verdana" w:eastAsia="Times New Roman" w:hAnsi="Verdana" w:cs="Times New Roman"/>
                <w:i/>
                <w:sz w:val="20"/>
                <w:szCs w:val="20"/>
              </w:rPr>
              <w:object w:dxaOrig="225" w:dyaOrig="225" w14:anchorId="5BCC6D17">
                <v:shape id="_x0000_i1074" type="#_x0000_t75" style="width:108pt;height:18.35pt" o:ole="">
                  <v:imagedata r:id="rId21" o:title=""/>
                </v:shape>
                <w:control r:id="rId25" w:name="OptionButton18" w:shapeid="_x0000_i1074"/>
              </w:object>
            </w:r>
          </w:p>
          <w:p w14:paraId="43F5B2D3" w14:textId="68A3985E" w:rsidR="002A1B9F" w:rsidRPr="002B208F" w:rsidRDefault="002A1B9F" w:rsidP="009B7765">
            <w:pPr>
              <w:spacing w:after="0" w:line="336" w:lineRule="auto"/>
              <w:jc w:val="both"/>
              <w:rPr>
                <w:rFonts w:ascii="Verdana" w:eastAsia="Times New Roman" w:hAnsi="Verdana" w:cs="Times New Roman"/>
                <w:sz w:val="20"/>
                <w:szCs w:val="20"/>
              </w:rPr>
            </w:pPr>
            <w:r w:rsidRPr="002B208F">
              <w:rPr>
                <w:rFonts w:ascii="Verdana" w:eastAsia="Times New Roman" w:hAnsi="Verdana" w:cs="Times New Roman"/>
                <w:sz w:val="20"/>
                <w:szCs w:val="20"/>
              </w:rPr>
              <w:object w:dxaOrig="225" w:dyaOrig="225" w14:anchorId="4C81FD52">
                <v:shape id="_x0000_i1076" type="#_x0000_t75" style="width:108pt;height:18.35pt" o:ole="">
                  <v:imagedata r:id="rId23" o:title=""/>
                </v:shape>
                <w:control r:id="rId26" w:name="OptionButton19" w:shapeid="_x0000_i1076"/>
              </w:object>
            </w:r>
          </w:p>
        </w:tc>
      </w:tr>
      <w:tr w:rsidR="002B208F" w:rsidRPr="002B208F" w14:paraId="1D2B7C69" w14:textId="77777777" w:rsidTr="00F431B8">
        <w:trPr>
          <w:gridBefore w:val="1"/>
          <w:wBefore w:w="8" w:type="dxa"/>
        </w:trPr>
        <w:tc>
          <w:tcPr>
            <w:tcW w:w="9696" w:type="dxa"/>
            <w:gridSpan w:val="3"/>
          </w:tcPr>
          <w:p w14:paraId="24D411A4" w14:textId="77777777" w:rsidR="002A1B9F" w:rsidRPr="002B208F" w:rsidRDefault="002A1B9F" w:rsidP="009B7765">
            <w:pPr>
              <w:spacing w:before="120" w:after="0" w:line="336" w:lineRule="auto"/>
              <w:rPr>
                <w:rFonts w:ascii="Verdana" w:eastAsia="Times New Roman" w:hAnsi="Verdana" w:cs="Times New Roman"/>
                <w:b/>
                <w:sz w:val="20"/>
                <w:szCs w:val="20"/>
                <w:lang w:val="bg-BG"/>
              </w:rPr>
            </w:pPr>
            <w:r w:rsidRPr="002B208F">
              <w:rPr>
                <w:rFonts w:ascii="Verdana" w:eastAsia="Times New Roman" w:hAnsi="Verdana" w:cs="Times New Roman"/>
                <w:b/>
                <w:sz w:val="20"/>
                <w:szCs w:val="20"/>
                <w:lang w:val="bg-BG"/>
              </w:rPr>
              <w:t xml:space="preserve">6.4. По какъв начин препоръчителният вариант въздейства върху </w:t>
            </w:r>
            <w:proofErr w:type="spellStart"/>
            <w:r w:rsidRPr="002B208F">
              <w:rPr>
                <w:rFonts w:ascii="Verdana" w:eastAsia="Times New Roman" w:hAnsi="Verdana" w:cs="Times New Roman"/>
                <w:b/>
                <w:sz w:val="20"/>
                <w:szCs w:val="20"/>
                <w:lang w:val="bg-BG"/>
              </w:rPr>
              <w:t>микро</w:t>
            </w:r>
            <w:proofErr w:type="spellEnd"/>
            <w:r w:rsidRPr="002B208F">
              <w:rPr>
                <w:rFonts w:ascii="Verdana" w:eastAsia="Times New Roman" w:hAnsi="Verdana" w:cs="Times New Roman"/>
                <w:b/>
                <w:sz w:val="20"/>
                <w:szCs w:val="20"/>
                <w:lang w:val="bg-BG"/>
              </w:rPr>
              <w:t>-, малките и средните предприятия (МСП) (включително по отделните проблеми)?</w:t>
            </w:r>
          </w:p>
          <w:p w14:paraId="76B5964B" w14:textId="6A6ECBB5" w:rsidR="002A1B9F" w:rsidRPr="002B208F" w:rsidRDefault="002A1B9F" w:rsidP="009B7765">
            <w:pPr>
              <w:spacing w:after="0" w:line="336" w:lineRule="auto"/>
              <w:rPr>
                <w:rFonts w:ascii="Verdana" w:eastAsia="MS Mincho" w:hAnsi="Verdana" w:cs="MS Mincho"/>
                <w:sz w:val="20"/>
                <w:szCs w:val="20"/>
                <w:lang w:val="bg-BG"/>
              </w:rPr>
            </w:pPr>
            <w:r w:rsidRPr="002B208F">
              <w:rPr>
                <w:rFonts w:ascii="Verdana" w:eastAsia="MS Mincho" w:hAnsi="Verdana" w:cs="MS Mincho"/>
                <w:sz w:val="20"/>
                <w:szCs w:val="20"/>
              </w:rPr>
              <w:object w:dxaOrig="225" w:dyaOrig="225" w14:anchorId="31E01732">
                <v:shape id="_x0000_i1078" type="#_x0000_t75" style="width:259.45pt;height:18.35pt" o:ole="">
                  <v:imagedata r:id="rId27" o:title=""/>
                </v:shape>
                <w:control r:id="rId28" w:name="OptionButton6" w:shapeid="_x0000_i1078"/>
              </w:object>
            </w:r>
          </w:p>
          <w:p w14:paraId="392009FA" w14:textId="2A023004" w:rsidR="002A1B9F" w:rsidRPr="002B208F" w:rsidRDefault="002A1B9F" w:rsidP="009B7765">
            <w:pPr>
              <w:spacing w:after="0" w:line="336" w:lineRule="auto"/>
              <w:rPr>
                <w:rFonts w:ascii="Verdana" w:eastAsia="MS Mincho" w:hAnsi="Verdana" w:cs="Times New Roman"/>
                <w:sz w:val="20"/>
                <w:szCs w:val="20"/>
                <w:lang w:val="bg-BG"/>
              </w:rPr>
            </w:pPr>
            <w:r w:rsidRPr="002B208F">
              <w:rPr>
                <w:rFonts w:ascii="Verdana" w:eastAsia="MS Mincho" w:hAnsi="Verdana" w:cs="MS Mincho"/>
                <w:sz w:val="20"/>
                <w:szCs w:val="20"/>
              </w:rPr>
              <w:object w:dxaOrig="225" w:dyaOrig="225" w14:anchorId="7CE69BEC">
                <v:shape id="_x0000_i1080" type="#_x0000_t75" style="width:161pt;height:18.35pt" o:ole="">
                  <v:imagedata r:id="rId29" o:title=""/>
                </v:shape>
                <w:control r:id="rId30" w:name="OptionButton7" w:shapeid="_x0000_i1080"/>
              </w:object>
            </w:r>
          </w:p>
        </w:tc>
      </w:tr>
      <w:tr w:rsidR="002B208F" w:rsidRPr="002B208F" w14:paraId="2204F952" w14:textId="77777777" w:rsidTr="00F431B8">
        <w:trPr>
          <w:gridBefore w:val="1"/>
          <w:wBefore w:w="8" w:type="dxa"/>
        </w:trPr>
        <w:tc>
          <w:tcPr>
            <w:tcW w:w="9696" w:type="dxa"/>
            <w:gridSpan w:val="3"/>
          </w:tcPr>
          <w:p w14:paraId="285091A7" w14:textId="77777777" w:rsidR="002A1B9F" w:rsidRPr="002B208F" w:rsidRDefault="002A1B9F" w:rsidP="009B7765">
            <w:pPr>
              <w:spacing w:before="120" w:after="0" w:line="336" w:lineRule="auto"/>
              <w:jc w:val="both"/>
              <w:rPr>
                <w:rFonts w:ascii="Verdana" w:eastAsia="Times New Roman" w:hAnsi="Verdana" w:cs="Times New Roman"/>
                <w:b/>
                <w:sz w:val="20"/>
                <w:szCs w:val="20"/>
                <w:lang w:val="bg-BG"/>
              </w:rPr>
            </w:pPr>
            <w:r w:rsidRPr="002B208F">
              <w:rPr>
                <w:rFonts w:ascii="Verdana" w:eastAsia="Times New Roman" w:hAnsi="Verdana" w:cs="Times New Roman"/>
                <w:b/>
                <w:sz w:val="20"/>
                <w:szCs w:val="20"/>
                <w:lang w:val="bg-BG"/>
              </w:rPr>
              <w:t>6.5. Потенциални рискове от прилагането на препоръчителния вариант (включително по отделните проблеми):</w:t>
            </w:r>
          </w:p>
          <w:p w14:paraId="63C89B91" w14:textId="01CCE86B" w:rsidR="002A1B9F" w:rsidRPr="002B208F" w:rsidRDefault="002A1B9F" w:rsidP="009B7765">
            <w:pPr>
              <w:spacing w:after="0" w:line="336" w:lineRule="auto"/>
              <w:jc w:val="both"/>
              <w:rPr>
                <w:rFonts w:ascii="Verdana" w:eastAsia="Times New Roman" w:hAnsi="Verdana" w:cs="Times New Roman"/>
                <w:sz w:val="20"/>
                <w:szCs w:val="20"/>
                <w:lang w:val="bg-BG"/>
              </w:rPr>
            </w:pPr>
            <w:r w:rsidRPr="002B208F">
              <w:rPr>
                <w:rFonts w:ascii="Verdana" w:eastAsia="Times New Roman" w:hAnsi="Verdana" w:cs="Times New Roman"/>
                <w:sz w:val="20"/>
                <w:szCs w:val="20"/>
                <w:lang w:val="bg-BG"/>
              </w:rPr>
              <w:t>Не са идентифицирани.</w:t>
            </w:r>
          </w:p>
        </w:tc>
      </w:tr>
      <w:tr w:rsidR="002B208F" w:rsidRPr="002B208F" w14:paraId="25CF2C4B" w14:textId="77777777" w:rsidTr="00F431B8">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8" w:type="dxa"/>
        </w:trPr>
        <w:tc>
          <w:tcPr>
            <w:tcW w:w="9696" w:type="dxa"/>
            <w:gridSpan w:val="3"/>
            <w:tcBorders>
              <w:top w:val="single" w:sz="18" w:space="0" w:color="auto"/>
              <w:left w:val="single" w:sz="18" w:space="0" w:color="auto"/>
              <w:bottom w:val="single" w:sz="18" w:space="0" w:color="auto"/>
              <w:right w:val="single" w:sz="18" w:space="0" w:color="auto"/>
            </w:tcBorders>
          </w:tcPr>
          <w:p w14:paraId="613B12E4" w14:textId="77777777" w:rsidR="002A1B9F" w:rsidRPr="002B208F" w:rsidRDefault="002A1B9F" w:rsidP="009B7765">
            <w:pPr>
              <w:spacing w:before="120" w:after="0" w:line="336" w:lineRule="auto"/>
              <w:rPr>
                <w:rFonts w:ascii="Verdana" w:eastAsia="Times New Roman" w:hAnsi="Verdana" w:cs="Times New Roman"/>
                <w:b/>
                <w:sz w:val="20"/>
                <w:szCs w:val="20"/>
                <w:lang w:val="bg-BG"/>
              </w:rPr>
            </w:pPr>
            <w:r w:rsidRPr="002B208F">
              <w:rPr>
                <w:rFonts w:ascii="Verdana" w:eastAsia="Times New Roman" w:hAnsi="Verdana" w:cs="Times New Roman"/>
                <w:b/>
                <w:sz w:val="20"/>
                <w:szCs w:val="20"/>
                <w:lang w:val="bg-BG"/>
              </w:rPr>
              <w:t>7. Консултации:</w:t>
            </w:r>
          </w:p>
          <w:p w14:paraId="3250B03C" w14:textId="40A4239E" w:rsidR="002A1B9F" w:rsidRPr="002B208F" w:rsidRDefault="002A1B9F" w:rsidP="009B7765">
            <w:pPr>
              <w:spacing w:after="0" w:line="336" w:lineRule="auto"/>
              <w:rPr>
                <w:rFonts w:ascii="Verdana" w:eastAsia="Times New Roman" w:hAnsi="Verdana" w:cs="Times New Roman"/>
                <w:sz w:val="20"/>
                <w:szCs w:val="20"/>
                <w:lang w:val="bg-BG"/>
              </w:rPr>
            </w:pPr>
            <w:r w:rsidRPr="002B208F">
              <w:rPr>
                <w:rFonts w:ascii="Verdana" w:eastAsia="Times New Roman" w:hAnsi="Verdana" w:cs="Times New Roman"/>
                <w:sz w:val="20"/>
                <w:szCs w:val="20"/>
                <w:lang w:val="en-GB"/>
              </w:rPr>
              <w:object w:dxaOrig="225" w:dyaOrig="225" w14:anchorId="104DC0B9">
                <v:shape id="_x0000_i1082" type="#_x0000_t75" style="width:498.55pt;height:18.35pt" o:ole="">
                  <v:imagedata r:id="rId31" o:title=""/>
                </v:shape>
                <w:control r:id="rId32" w:name="OptionButton131" w:shapeid="_x0000_i1082"/>
              </w:object>
            </w:r>
          </w:p>
          <w:p w14:paraId="30E4B366" w14:textId="77777777" w:rsidR="002A1B9F" w:rsidRPr="002B208F" w:rsidRDefault="002A1B9F" w:rsidP="009B7765">
            <w:pPr>
              <w:spacing w:after="0" w:line="336" w:lineRule="auto"/>
              <w:jc w:val="center"/>
              <w:rPr>
                <w:rFonts w:ascii="Verdana" w:eastAsia="Times New Roman" w:hAnsi="Verdana" w:cs="Times New Roman"/>
                <w:i/>
                <w:sz w:val="14"/>
                <w:szCs w:val="14"/>
                <w:lang w:val="bg-BG"/>
              </w:rPr>
            </w:pPr>
            <w:r w:rsidRPr="002B208F">
              <w:rPr>
                <w:rFonts w:ascii="Verdana" w:eastAsia="Times New Roman" w:hAnsi="Verdana" w:cs="Times New Roman"/>
                <w:i/>
                <w:sz w:val="14"/>
                <w:szCs w:val="14"/>
                <w:lang w:val="bg-BG"/>
              </w:rPr>
              <w:t>Посочете основните заинтересовани страни, с които са проведени консултации. Посочете резултатите от консултациите, включително на ниво ЕС: спорни въпроси, многократно поставяни въпроси и др.</w:t>
            </w:r>
          </w:p>
          <w:p w14:paraId="50C32C24" w14:textId="77777777" w:rsidR="002A1B9F" w:rsidRPr="002B208F" w:rsidRDefault="002A1B9F" w:rsidP="009B7765">
            <w:pPr>
              <w:spacing w:after="0" w:line="336" w:lineRule="auto"/>
              <w:jc w:val="center"/>
              <w:rPr>
                <w:rFonts w:ascii="Verdana" w:eastAsia="Times New Roman" w:hAnsi="Verdana" w:cs="Times New Roman"/>
                <w:i/>
                <w:sz w:val="20"/>
                <w:szCs w:val="20"/>
                <w:lang w:val="bg-BG"/>
              </w:rPr>
            </w:pPr>
          </w:p>
          <w:p w14:paraId="6A8143FB" w14:textId="031D5819" w:rsidR="002A1B9F" w:rsidRPr="002B208F" w:rsidRDefault="002A1B9F" w:rsidP="009B7765">
            <w:pPr>
              <w:spacing w:after="0" w:line="336" w:lineRule="auto"/>
              <w:rPr>
                <w:rFonts w:ascii="Verdana" w:eastAsia="Times New Roman" w:hAnsi="Verdana" w:cs="Times New Roman"/>
                <w:i/>
                <w:sz w:val="20"/>
                <w:szCs w:val="20"/>
                <w:lang w:val="bg-BG"/>
              </w:rPr>
            </w:pPr>
            <w:r w:rsidRPr="002B208F">
              <w:rPr>
                <w:rFonts w:ascii="Verdana" w:eastAsia="Times New Roman" w:hAnsi="Verdana" w:cs="Times New Roman"/>
                <w:i/>
                <w:sz w:val="20"/>
                <w:szCs w:val="20"/>
                <w:lang w:val="en-GB"/>
              </w:rPr>
              <w:object w:dxaOrig="225" w:dyaOrig="225" w14:anchorId="11E73D65">
                <v:shape id="_x0000_i1084" type="#_x0000_t75" style="width:502.65pt;height:18.35pt" o:ole="">
                  <v:imagedata r:id="rId33" o:title=""/>
                </v:shape>
                <w:control r:id="rId34" w:name="OptionButton151" w:shapeid="_x0000_i1084"/>
              </w:object>
            </w:r>
          </w:p>
          <w:p w14:paraId="0F7580F2" w14:textId="48583862" w:rsidR="002A1B9F" w:rsidRPr="00F53C95" w:rsidRDefault="002A1B9F" w:rsidP="009B7765">
            <w:pPr>
              <w:spacing w:after="0" w:line="336" w:lineRule="auto"/>
              <w:jc w:val="both"/>
              <w:rPr>
                <w:rFonts w:ascii="Verdana" w:eastAsia="Times New Roman" w:hAnsi="Verdana" w:cs="Times New Roman"/>
                <w:spacing w:val="-4"/>
                <w:sz w:val="20"/>
                <w:szCs w:val="20"/>
                <w:lang w:val="bg-BG"/>
              </w:rPr>
            </w:pPr>
            <w:r w:rsidRPr="00F53C95">
              <w:rPr>
                <w:rFonts w:ascii="Verdana" w:eastAsia="Times New Roman" w:hAnsi="Verdana" w:cs="Times New Roman"/>
                <w:spacing w:val="-4"/>
                <w:sz w:val="20"/>
                <w:szCs w:val="20"/>
                <w:lang w:val="bg-BG"/>
              </w:rPr>
              <w:t xml:space="preserve">Проектът на Постановление на Министерския съвет за изменение на Правилника за прилагане на Закона за собствеността и ползването на земеделските земи ще бъде публикуван на интернет страницата на Министерството на земеделието и храните и на Портала за обществени консултации със срок за предложения и становища </w:t>
            </w:r>
            <w:r w:rsidR="0055558F" w:rsidRPr="00F53C95">
              <w:rPr>
                <w:rFonts w:ascii="Verdana" w:eastAsia="Times New Roman" w:hAnsi="Verdana" w:cs="Times New Roman"/>
                <w:spacing w:val="-4"/>
                <w:sz w:val="20"/>
                <w:szCs w:val="20"/>
                <w:lang w:val="bg-BG"/>
              </w:rPr>
              <w:t>14 дни.</w:t>
            </w:r>
          </w:p>
          <w:p w14:paraId="4042EDFF" w14:textId="77777777" w:rsidR="00B272F8" w:rsidRPr="00F53C95" w:rsidRDefault="00B272F8" w:rsidP="00B272F8">
            <w:pPr>
              <w:spacing w:line="360" w:lineRule="auto"/>
              <w:jc w:val="both"/>
              <w:rPr>
                <w:rFonts w:ascii="Verdana" w:hAnsi="Verdana"/>
                <w:spacing w:val="-4"/>
                <w:sz w:val="20"/>
                <w:szCs w:val="20"/>
                <w:lang w:val="bg-BG"/>
              </w:rPr>
            </w:pPr>
            <w:r w:rsidRPr="00F53C95">
              <w:rPr>
                <w:rFonts w:ascii="Verdana" w:hAnsi="Verdana"/>
                <w:spacing w:val="-4"/>
                <w:sz w:val="20"/>
                <w:szCs w:val="20"/>
                <w:lang w:val="bg-BG"/>
              </w:rPr>
              <w:t xml:space="preserve">Търговете за извършване на продажба на земите от бившите стопански дворове се провеждат целогодишно, като се откриват със заповед на директора на областната дирекция „Земеделие“. Заповедта за откриване на търга се обявява най-късно 30 дни преди крайния срок за подаване на заявленията за участие в търга. Предвид, че търговете се провеждат </w:t>
            </w:r>
            <w:r w:rsidRPr="00F53C95">
              <w:rPr>
                <w:rFonts w:ascii="Verdana" w:hAnsi="Verdana"/>
                <w:spacing w:val="-4"/>
                <w:sz w:val="20"/>
                <w:szCs w:val="20"/>
                <w:lang w:val="bg-BG"/>
              </w:rPr>
              <w:lastRenderedPageBreak/>
              <w:t>целогодишно, следва да се обезпечи непрекъсваемостта на административното производство по отношение на търговете, които са открити през 2025 г., за които срокът за подаване на документи приключва през 2026 г. Съкратената процедура по обществено обсъждане от 14 дни се обосновава от необходимостта от обезпечаване на процесите за провеждане на търгове, като при спазване на принципите за информираност и прозрачност ще се гарантира непрекъсваемост на започнатите административни производства</w:t>
            </w:r>
            <w:r w:rsidRPr="00F53C95">
              <w:rPr>
                <w:rFonts w:ascii="Verdana" w:hAnsi="Verdana"/>
                <w:color w:val="1F497D"/>
                <w:spacing w:val="-4"/>
                <w:sz w:val="20"/>
                <w:szCs w:val="20"/>
                <w:lang w:val="bg-BG"/>
              </w:rPr>
              <w:t xml:space="preserve"> </w:t>
            </w:r>
            <w:r w:rsidRPr="00F53C95">
              <w:rPr>
                <w:rFonts w:ascii="Verdana" w:hAnsi="Verdana"/>
                <w:spacing w:val="-4"/>
                <w:sz w:val="20"/>
                <w:szCs w:val="20"/>
                <w:lang w:val="bg-BG"/>
              </w:rPr>
              <w:t>през 2025 г., които ще продължат и приключат през 2026 г., като стъпката за наддаване на предложената първоначална тръжна цена бъде приведена в съответствие с изискванията на Закона за въвеждане на еврото в Република България и е в изпълнение на Националния план за въвеждане на еврото в Република България.</w:t>
            </w:r>
          </w:p>
          <w:p w14:paraId="29E08807" w14:textId="349706EC" w:rsidR="00B17934" w:rsidRPr="002B208F" w:rsidRDefault="002A1B9F" w:rsidP="00F44FA7">
            <w:pPr>
              <w:spacing w:after="0" w:line="336" w:lineRule="auto"/>
              <w:jc w:val="center"/>
              <w:rPr>
                <w:rFonts w:ascii="Verdana" w:eastAsia="Times New Roman" w:hAnsi="Verdana" w:cs="Times New Roman"/>
                <w:i/>
                <w:sz w:val="14"/>
                <w:szCs w:val="14"/>
                <w:lang w:val="bg-BG"/>
              </w:rPr>
            </w:pPr>
            <w:r w:rsidRPr="002B208F">
              <w:rPr>
                <w:rFonts w:ascii="Verdana" w:eastAsia="Times New Roman" w:hAnsi="Verdana" w:cs="Times New Roman"/>
                <w:i/>
                <w:sz w:val="14"/>
                <w:szCs w:val="14"/>
                <w:lang w:val="bg-BG"/>
              </w:rPr>
              <w:t>Обобщете най-важните въпроси за обществени консултации. Посочете индикативен график за тяхното провеждане и видовете консултационни процедури.</w:t>
            </w:r>
          </w:p>
        </w:tc>
      </w:tr>
      <w:tr w:rsidR="002B208F" w:rsidRPr="002B208F" w14:paraId="5F6103BA" w14:textId="77777777" w:rsidTr="00F431B8">
        <w:trPr>
          <w:gridBefore w:val="1"/>
          <w:wBefore w:w="8" w:type="dxa"/>
        </w:trPr>
        <w:tc>
          <w:tcPr>
            <w:tcW w:w="9696" w:type="dxa"/>
            <w:gridSpan w:val="3"/>
          </w:tcPr>
          <w:p w14:paraId="7930F9D7" w14:textId="77777777" w:rsidR="002A1B9F" w:rsidRPr="002B208F" w:rsidRDefault="002A1B9F" w:rsidP="009B7765">
            <w:pPr>
              <w:spacing w:before="120" w:after="0" w:line="336" w:lineRule="auto"/>
              <w:jc w:val="both"/>
              <w:rPr>
                <w:rFonts w:ascii="Verdana" w:eastAsia="Times New Roman" w:hAnsi="Verdana" w:cs="Times New Roman"/>
                <w:b/>
                <w:sz w:val="20"/>
                <w:szCs w:val="20"/>
                <w:lang w:val="bg-BG"/>
              </w:rPr>
            </w:pPr>
            <w:r w:rsidRPr="002B208F">
              <w:rPr>
                <w:rFonts w:ascii="Verdana" w:eastAsia="Times New Roman" w:hAnsi="Verdana" w:cs="Times New Roman"/>
                <w:b/>
                <w:sz w:val="20"/>
                <w:szCs w:val="20"/>
                <w:lang w:val="bg-BG"/>
              </w:rPr>
              <w:lastRenderedPageBreak/>
              <w:t>8. Приемането на нормативния акт произтича ли от правото на Европейския съюз?</w:t>
            </w:r>
          </w:p>
          <w:p w14:paraId="66ED93FB" w14:textId="0FEDF804" w:rsidR="002A1B9F" w:rsidRPr="002B208F" w:rsidRDefault="002A1B9F" w:rsidP="009B7765">
            <w:pPr>
              <w:spacing w:after="0" w:line="336" w:lineRule="auto"/>
              <w:rPr>
                <w:rFonts w:ascii="Verdana" w:eastAsia="MS Mincho" w:hAnsi="Verdana" w:cs="MS Mincho"/>
                <w:sz w:val="20"/>
                <w:szCs w:val="20"/>
                <w:lang w:val="bg-BG"/>
              </w:rPr>
            </w:pPr>
            <w:r w:rsidRPr="002B208F">
              <w:rPr>
                <w:rFonts w:ascii="Verdana" w:eastAsia="MS Mincho" w:hAnsi="Verdana" w:cs="MS Mincho"/>
                <w:sz w:val="20"/>
                <w:szCs w:val="20"/>
              </w:rPr>
              <w:object w:dxaOrig="225" w:dyaOrig="225" w14:anchorId="208FC3E9">
                <v:shape id="_x0000_i1086" type="#_x0000_t75" style="width:108pt;height:18.35pt" o:ole="">
                  <v:imagedata r:id="rId21" o:title=""/>
                </v:shape>
                <w:control r:id="rId35" w:name="OptionButton9" w:shapeid="_x0000_i1086"/>
              </w:object>
            </w:r>
          </w:p>
          <w:p w14:paraId="4352ED29" w14:textId="6890A85A" w:rsidR="002A1B9F" w:rsidRPr="002B208F" w:rsidRDefault="002A1B9F" w:rsidP="009B7765">
            <w:pPr>
              <w:spacing w:after="0" w:line="336" w:lineRule="auto"/>
              <w:rPr>
                <w:rFonts w:ascii="Verdana" w:eastAsia="MS Mincho" w:hAnsi="Verdana" w:cs="MS Mincho"/>
                <w:sz w:val="20"/>
                <w:szCs w:val="20"/>
              </w:rPr>
            </w:pPr>
            <w:r w:rsidRPr="002B208F">
              <w:rPr>
                <w:rFonts w:ascii="Verdana" w:eastAsia="MS Mincho" w:hAnsi="Verdana" w:cs="MS Mincho"/>
                <w:sz w:val="20"/>
                <w:szCs w:val="20"/>
              </w:rPr>
              <w:object w:dxaOrig="225" w:dyaOrig="225" w14:anchorId="465B8FA5">
                <v:shape id="_x0000_i1088" type="#_x0000_t75" style="width:108pt;height:18.35pt" o:ole="">
                  <v:imagedata r:id="rId23" o:title=""/>
                </v:shape>
                <w:control r:id="rId36" w:name="OptionButton10" w:shapeid="_x0000_i1088"/>
              </w:object>
            </w:r>
          </w:p>
        </w:tc>
      </w:tr>
      <w:tr w:rsidR="002B208F" w:rsidRPr="002B208F" w14:paraId="1AE4B3AA" w14:textId="77777777" w:rsidTr="00F431B8">
        <w:trPr>
          <w:gridBefore w:val="1"/>
          <w:wBefore w:w="8" w:type="dxa"/>
        </w:trPr>
        <w:tc>
          <w:tcPr>
            <w:tcW w:w="9696" w:type="dxa"/>
            <w:gridSpan w:val="3"/>
          </w:tcPr>
          <w:p w14:paraId="27D8DB80" w14:textId="77777777" w:rsidR="002A1B9F" w:rsidRPr="002B208F" w:rsidRDefault="002A1B9F" w:rsidP="009B7765">
            <w:pPr>
              <w:spacing w:before="120" w:after="0" w:line="336" w:lineRule="auto"/>
              <w:jc w:val="both"/>
              <w:rPr>
                <w:rFonts w:ascii="Verdana" w:eastAsia="Times New Roman" w:hAnsi="Verdana" w:cs="Times New Roman"/>
                <w:b/>
                <w:sz w:val="20"/>
                <w:szCs w:val="20"/>
                <w:lang w:val="bg-BG"/>
              </w:rPr>
            </w:pPr>
            <w:r w:rsidRPr="002B208F">
              <w:rPr>
                <w:rFonts w:ascii="Verdana" w:eastAsia="Times New Roman" w:hAnsi="Verdana" w:cs="Times New Roman"/>
                <w:b/>
                <w:sz w:val="20"/>
                <w:szCs w:val="20"/>
                <w:lang w:val="bg-BG"/>
              </w:rPr>
              <w:t>9. Изисква ли се извършване на цялостна предварителна оценка на въздействието поради очаквани значителни последици?</w:t>
            </w:r>
          </w:p>
          <w:p w14:paraId="45698AAD" w14:textId="6E6CAB38" w:rsidR="002A1B9F" w:rsidRPr="002B208F" w:rsidRDefault="002A1B9F" w:rsidP="009B7765">
            <w:pPr>
              <w:spacing w:after="0" w:line="336" w:lineRule="auto"/>
              <w:jc w:val="both"/>
              <w:rPr>
                <w:rFonts w:ascii="Verdana" w:eastAsia="Times New Roman" w:hAnsi="Verdana" w:cs="Segoe UI Symbol"/>
                <w:b/>
                <w:sz w:val="20"/>
                <w:szCs w:val="20"/>
                <w:lang w:val="bg-BG"/>
              </w:rPr>
            </w:pPr>
            <w:r w:rsidRPr="002B208F">
              <w:rPr>
                <w:rFonts w:ascii="Verdana" w:eastAsia="Times New Roman" w:hAnsi="Verdana" w:cs="Segoe UI Symbol"/>
                <w:b/>
                <w:sz w:val="20"/>
                <w:szCs w:val="20"/>
              </w:rPr>
              <w:object w:dxaOrig="225" w:dyaOrig="225" w14:anchorId="41A28A27">
                <v:shape id="_x0000_i1090" type="#_x0000_t75" style="width:108pt;height:18.35pt" o:ole="">
                  <v:imagedata r:id="rId21" o:title=""/>
                </v:shape>
                <w:control r:id="rId37" w:name="OptionButton20" w:shapeid="_x0000_i1090"/>
              </w:object>
            </w:r>
          </w:p>
          <w:p w14:paraId="7CF9EC21" w14:textId="5E15BA3A" w:rsidR="002A1B9F" w:rsidRPr="002B208F" w:rsidRDefault="002A1B9F" w:rsidP="009B7765">
            <w:pPr>
              <w:spacing w:after="0" w:line="336" w:lineRule="auto"/>
              <w:jc w:val="both"/>
              <w:rPr>
                <w:rFonts w:ascii="Verdana" w:eastAsia="Times New Roman" w:hAnsi="Verdana" w:cs="Segoe UI Symbol"/>
                <w:b/>
                <w:sz w:val="20"/>
                <w:szCs w:val="20"/>
                <w:lang w:val="bg-BG"/>
              </w:rPr>
            </w:pPr>
            <w:r w:rsidRPr="002B208F">
              <w:rPr>
                <w:rFonts w:ascii="Verdana" w:eastAsia="Times New Roman" w:hAnsi="Verdana" w:cs="Segoe UI Symbol"/>
                <w:b/>
                <w:sz w:val="20"/>
                <w:szCs w:val="20"/>
              </w:rPr>
              <w:object w:dxaOrig="225" w:dyaOrig="225" w14:anchorId="139AD283">
                <v:shape id="_x0000_i1092" type="#_x0000_t75" style="width:108pt;height:18.35pt" o:ole="">
                  <v:imagedata r:id="rId23" o:title=""/>
                </v:shape>
                <w:control r:id="rId38" w:name="OptionButton21" w:shapeid="_x0000_i1092"/>
              </w:object>
            </w:r>
          </w:p>
        </w:tc>
      </w:tr>
      <w:tr w:rsidR="002B208F" w:rsidRPr="002B208F" w14:paraId="53E0C95C" w14:textId="77777777" w:rsidTr="00F431B8">
        <w:trPr>
          <w:gridBefore w:val="1"/>
          <w:wBefore w:w="8" w:type="dxa"/>
        </w:trPr>
        <w:tc>
          <w:tcPr>
            <w:tcW w:w="9696" w:type="dxa"/>
            <w:gridSpan w:val="3"/>
          </w:tcPr>
          <w:p w14:paraId="52CD3608" w14:textId="77777777" w:rsidR="002A1B9F" w:rsidRPr="002B208F" w:rsidRDefault="002A1B9F" w:rsidP="009B7765">
            <w:pPr>
              <w:spacing w:before="120" w:after="0" w:line="336" w:lineRule="auto"/>
              <w:jc w:val="both"/>
              <w:rPr>
                <w:rFonts w:ascii="Verdana" w:eastAsia="Times New Roman" w:hAnsi="Verdana" w:cs="Times New Roman"/>
                <w:b/>
                <w:sz w:val="20"/>
                <w:szCs w:val="20"/>
                <w:lang w:val="bg-BG"/>
              </w:rPr>
            </w:pPr>
            <w:r w:rsidRPr="002B208F">
              <w:rPr>
                <w:rFonts w:ascii="Verdana" w:eastAsia="Times New Roman" w:hAnsi="Verdana" w:cs="Times New Roman"/>
                <w:b/>
                <w:sz w:val="20"/>
                <w:szCs w:val="20"/>
                <w:lang w:val="bg-BG"/>
              </w:rPr>
              <w:t>10. Приложения:</w:t>
            </w:r>
          </w:p>
          <w:p w14:paraId="259EB05E" w14:textId="5EEA5207" w:rsidR="002A1B9F" w:rsidRPr="002B208F" w:rsidRDefault="009B7765" w:rsidP="009B7765">
            <w:pPr>
              <w:spacing w:after="0" w:line="336" w:lineRule="auto"/>
              <w:rPr>
                <w:rFonts w:ascii="Verdana" w:eastAsia="Times New Roman" w:hAnsi="Verdana" w:cs="Times New Roman"/>
                <w:sz w:val="20"/>
                <w:szCs w:val="20"/>
                <w:lang w:val="bg-BG"/>
              </w:rPr>
            </w:pPr>
            <w:r w:rsidRPr="002B208F">
              <w:rPr>
                <w:rFonts w:ascii="Verdana" w:eastAsia="Times New Roman" w:hAnsi="Verdana" w:cs="Times New Roman"/>
                <w:sz w:val="20"/>
                <w:szCs w:val="20"/>
                <w:lang w:val="bg-BG"/>
              </w:rPr>
              <w:t>Няма</w:t>
            </w:r>
          </w:p>
        </w:tc>
      </w:tr>
      <w:tr w:rsidR="002B208F" w:rsidRPr="002B208F" w14:paraId="078175E4" w14:textId="77777777" w:rsidTr="00F431B8">
        <w:trPr>
          <w:gridBefore w:val="1"/>
          <w:wBefore w:w="8" w:type="dxa"/>
        </w:trPr>
        <w:tc>
          <w:tcPr>
            <w:tcW w:w="9696" w:type="dxa"/>
            <w:gridSpan w:val="3"/>
          </w:tcPr>
          <w:p w14:paraId="08BC87BD" w14:textId="70AA7617" w:rsidR="002A1B9F" w:rsidRPr="002B208F" w:rsidRDefault="002A1B9F" w:rsidP="009B7765">
            <w:pPr>
              <w:spacing w:before="120" w:after="0" w:line="336" w:lineRule="auto"/>
              <w:jc w:val="both"/>
              <w:rPr>
                <w:rFonts w:ascii="Verdana" w:eastAsia="Times New Roman" w:hAnsi="Verdana" w:cs="Times New Roman"/>
                <w:b/>
                <w:sz w:val="20"/>
                <w:szCs w:val="20"/>
                <w:lang w:val="bg-BG"/>
              </w:rPr>
            </w:pPr>
            <w:r w:rsidRPr="002B208F">
              <w:rPr>
                <w:rFonts w:ascii="Verdana" w:eastAsia="Times New Roman" w:hAnsi="Verdana" w:cs="Times New Roman"/>
                <w:b/>
                <w:sz w:val="20"/>
                <w:szCs w:val="20"/>
                <w:lang w:val="bg-BG"/>
              </w:rPr>
              <w:t>11. Информационни източници:</w:t>
            </w:r>
          </w:p>
          <w:p w14:paraId="7C6B163F" w14:textId="7D809F25" w:rsidR="005B4E9D" w:rsidRPr="005B4E9D" w:rsidRDefault="005B4E9D" w:rsidP="005B4E9D">
            <w:pPr>
              <w:spacing w:after="0" w:line="336" w:lineRule="auto"/>
              <w:rPr>
                <w:rFonts w:ascii="Verdana" w:eastAsia="Times New Roman" w:hAnsi="Verdana" w:cs="Times New Roman"/>
                <w:sz w:val="20"/>
                <w:szCs w:val="20"/>
                <w:lang w:val="bg-BG"/>
              </w:rPr>
            </w:pPr>
            <w:r w:rsidRPr="005B4E9D">
              <w:rPr>
                <w:rFonts w:ascii="Verdana" w:eastAsia="Times New Roman" w:hAnsi="Verdana" w:cs="Times New Roman"/>
                <w:sz w:val="20"/>
                <w:szCs w:val="20"/>
                <w:lang w:val="bg-BG"/>
              </w:rPr>
              <w:t>Закон за въвеждане на еврото в Република България;</w:t>
            </w:r>
          </w:p>
          <w:p w14:paraId="4B86A554" w14:textId="7946425D" w:rsidR="002A1B9F" w:rsidRPr="002B208F" w:rsidRDefault="005B4E9D" w:rsidP="009B7765">
            <w:pPr>
              <w:spacing w:after="0" w:line="336" w:lineRule="auto"/>
              <w:jc w:val="both"/>
              <w:rPr>
                <w:rFonts w:ascii="Verdana" w:eastAsia="Times New Roman" w:hAnsi="Verdana" w:cs="Times New Roman"/>
                <w:sz w:val="14"/>
                <w:szCs w:val="14"/>
                <w:lang w:val="bg-BG"/>
              </w:rPr>
            </w:pPr>
            <w:r w:rsidRPr="005B4E9D">
              <w:rPr>
                <w:rFonts w:ascii="Verdana" w:eastAsia="Times New Roman" w:hAnsi="Verdana" w:cs="Times New Roman"/>
                <w:sz w:val="20"/>
                <w:szCs w:val="20"/>
                <w:lang w:val="bg-BG"/>
              </w:rPr>
              <w:t>Национален план за въвеждане на еврото в Република България;</w:t>
            </w:r>
            <w:r w:rsidR="0055558F">
              <w:rPr>
                <w:rFonts w:ascii="Verdana" w:eastAsia="Times New Roman" w:hAnsi="Verdana" w:cs="Times New Roman"/>
                <w:sz w:val="20"/>
                <w:szCs w:val="20"/>
                <w:lang w:val="bg-BG"/>
              </w:rPr>
              <w:t xml:space="preserve"> </w:t>
            </w:r>
            <w:r w:rsidR="002A1B9F" w:rsidRPr="002B208F">
              <w:rPr>
                <w:rFonts w:ascii="Verdana" w:eastAsia="Times New Roman" w:hAnsi="Verdana" w:cs="Times New Roman"/>
                <w:i/>
                <w:sz w:val="14"/>
                <w:szCs w:val="14"/>
                <w:lang w:val="bg-BG"/>
              </w:rPr>
              <w:t>Посочете изчерпателен списък на информационните източници, които са послужили за оценка на въздействията на отделните варианти и при избора на вариант за действие: регистри, бази данни, аналитични материали и др.</w:t>
            </w:r>
          </w:p>
        </w:tc>
      </w:tr>
      <w:tr w:rsidR="002B208F" w:rsidRPr="002B208F" w14:paraId="7BDF53CC" w14:textId="77777777" w:rsidTr="00F431B8">
        <w:trPr>
          <w:gridBefore w:val="1"/>
          <w:wBefore w:w="8" w:type="dxa"/>
        </w:trPr>
        <w:tc>
          <w:tcPr>
            <w:tcW w:w="9696" w:type="dxa"/>
            <w:gridSpan w:val="3"/>
          </w:tcPr>
          <w:p w14:paraId="5379DD2B" w14:textId="79F8198E" w:rsidR="002A1B9F" w:rsidRPr="0091562E" w:rsidRDefault="002A1B9F" w:rsidP="0091562E">
            <w:pPr>
              <w:spacing w:before="120" w:after="0" w:line="336" w:lineRule="auto"/>
              <w:jc w:val="both"/>
              <w:rPr>
                <w:rFonts w:ascii="Verdana" w:eastAsia="Times New Roman" w:hAnsi="Verdana" w:cs="Times New Roman"/>
                <w:b/>
                <w:sz w:val="20"/>
                <w:szCs w:val="20"/>
                <w:lang w:val="bg-BG"/>
              </w:rPr>
            </w:pPr>
            <w:r w:rsidRPr="002B208F">
              <w:rPr>
                <w:rFonts w:ascii="Verdana" w:eastAsia="Times New Roman" w:hAnsi="Verdana" w:cs="Times New Roman"/>
                <w:b/>
                <w:sz w:val="20"/>
                <w:szCs w:val="20"/>
                <w:lang w:val="bg-BG"/>
              </w:rPr>
              <w:t>12. Име, длъжност, дата и подпис на директора на дирекцията, отговорна за извършването на частичната предварителна оценка на въздействието:</w:t>
            </w:r>
          </w:p>
          <w:p w14:paraId="1C57F05E" w14:textId="1F4A6D45" w:rsidR="0071148A" w:rsidRPr="002B208F" w:rsidRDefault="00F53C95" w:rsidP="009B7765">
            <w:pPr>
              <w:spacing w:after="0" w:line="336" w:lineRule="auto"/>
              <w:jc w:val="both"/>
              <w:rPr>
                <w:rFonts w:ascii="Verdana" w:eastAsia="Times New Roman" w:hAnsi="Verdana" w:cs="Times New Roman"/>
                <w:b/>
                <w:sz w:val="20"/>
                <w:szCs w:val="20"/>
                <w:lang w:val="bg-BG"/>
              </w:rPr>
            </w:pPr>
            <w:bookmarkStart w:id="0" w:name="_GoBack"/>
            <w:r>
              <w:rPr>
                <w:rFonts w:ascii="Verdana" w:eastAsia="Times New Roman" w:hAnsi="Verdana" w:cs="Times New Roman"/>
                <w:b/>
                <w:sz w:val="20"/>
                <w:szCs w:val="20"/>
                <w:lang w:val="bg-BG"/>
              </w:rPr>
              <w:pict w14:anchorId="054EAFD6">
                <v:shape id="_x0000_i1059" type="#_x0000_t75" alt="Microsoft Office Signature Line..." style="width:192.25pt;height:95.75pt">
                  <v:imagedata r:id="rId39" o:title=""/>
                  <o:lock v:ext="edit" ungrouping="t" rotation="t" cropping="t" verticies="t" text="t" grouping="t"/>
                  <o:signatureline v:ext="edit" id="{5CFF862E-AAA1-4B70-A760-09D29D2B3A34}" provid="{00000000-0000-0000-0000-000000000000}" o:suggestedsigner="ЛИЛИЯ СТОЯНОВА" issignatureline="t"/>
                </v:shape>
              </w:pict>
            </w:r>
            <w:bookmarkEnd w:id="0"/>
          </w:p>
          <w:p w14:paraId="501DE087" w14:textId="23A2B235" w:rsidR="0071148A" w:rsidRDefault="0071148A" w:rsidP="009B7765">
            <w:pPr>
              <w:spacing w:after="0" w:line="336" w:lineRule="auto"/>
              <w:jc w:val="both"/>
              <w:rPr>
                <w:rFonts w:ascii="Verdana" w:eastAsia="Times New Roman" w:hAnsi="Verdana" w:cs="Times New Roman"/>
                <w:sz w:val="20"/>
                <w:szCs w:val="20"/>
                <w:lang w:val="bg-BG"/>
              </w:rPr>
            </w:pPr>
            <w:r w:rsidRPr="002B208F">
              <w:rPr>
                <w:rFonts w:ascii="Verdana" w:eastAsia="Times New Roman" w:hAnsi="Verdana" w:cs="Times New Roman"/>
                <w:sz w:val="20"/>
                <w:szCs w:val="20"/>
                <w:lang w:val="bg-BG"/>
              </w:rPr>
              <w:t xml:space="preserve">Директор на дирекция „Поземлени отношения и </w:t>
            </w:r>
            <w:proofErr w:type="spellStart"/>
            <w:r w:rsidRPr="002B208F">
              <w:rPr>
                <w:rFonts w:ascii="Verdana" w:eastAsia="Times New Roman" w:hAnsi="Verdana" w:cs="Times New Roman"/>
                <w:sz w:val="20"/>
                <w:szCs w:val="20"/>
                <w:lang w:val="bg-BG"/>
              </w:rPr>
              <w:t>комасация</w:t>
            </w:r>
            <w:proofErr w:type="spellEnd"/>
            <w:r w:rsidRPr="002B208F">
              <w:rPr>
                <w:rFonts w:ascii="Verdana" w:eastAsia="Times New Roman" w:hAnsi="Verdana" w:cs="Times New Roman"/>
                <w:sz w:val="20"/>
                <w:szCs w:val="20"/>
                <w:lang w:val="bg-BG"/>
              </w:rPr>
              <w:t>“, МЗХ</w:t>
            </w:r>
          </w:p>
          <w:p w14:paraId="339B4F1B" w14:textId="77777777" w:rsidR="0091562E" w:rsidRPr="002B208F" w:rsidRDefault="0091562E" w:rsidP="009B7765">
            <w:pPr>
              <w:spacing w:after="0" w:line="336" w:lineRule="auto"/>
              <w:jc w:val="both"/>
              <w:rPr>
                <w:rFonts w:ascii="Verdana" w:eastAsia="Times New Roman" w:hAnsi="Verdana" w:cs="Times New Roman"/>
                <w:sz w:val="20"/>
                <w:szCs w:val="20"/>
                <w:lang w:val="bg-BG"/>
              </w:rPr>
            </w:pPr>
          </w:p>
          <w:p w14:paraId="5B0C2474" w14:textId="16C4A100" w:rsidR="0071148A" w:rsidRPr="002B208F" w:rsidRDefault="0071148A" w:rsidP="009B7765">
            <w:pPr>
              <w:spacing w:after="0" w:line="336" w:lineRule="auto"/>
              <w:jc w:val="both"/>
              <w:rPr>
                <w:rFonts w:ascii="Verdana" w:eastAsia="Times New Roman" w:hAnsi="Verdana" w:cs="Times New Roman"/>
                <w:sz w:val="20"/>
                <w:szCs w:val="20"/>
                <w:lang w:val="bg-BG"/>
              </w:rPr>
            </w:pPr>
          </w:p>
        </w:tc>
      </w:tr>
    </w:tbl>
    <w:p w14:paraId="419EBB43" w14:textId="77777777" w:rsidR="00E16D01" w:rsidRPr="002B208F" w:rsidRDefault="00E16D01" w:rsidP="00F53C95">
      <w:pPr>
        <w:spacing w:after="0" w:line="360" w:lineRule="auto"/>
        <w:rPr>
          <w:rFonts w:ascii="Verdana" w:eastAsia="Times New Roman" w:hAnsi="Verdana" w:cs="Times New Roman"/>
          <w:sz w:val="20"/>
          <w:szCs w:val="20"/>
          <w:shd w:val="clear" w:color="auto" w:fill="FEFEFE"/>
          <w:lang w:val="bg-BG"/>
        </w:rPr>
      </w:pPr>
    </w:p>
    <w:sectPr w:rsidR="00E16D01" w:rsidRPr="002B208F" w:rsidSect="00404462">
      <w:headerReference w:type="even" r:id="rId40"/>
      <w:footerReference w:type="default" r:id="rId41"/>
      <w:headerReference w:type="first" r:id="rId42"/>
      <w:pgSz w:w="11906" w:h="16838" w:code="9"/>
      <w:pgMar w:top="1134" w:right="1134" w:bottom="567"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A61186" w14:textId="77777777" w:rsidR="002A1B9F" w:rsidRDefault="002A1B9F">
      <w:pPr>
        <w:spacing w:after="0" w:line="240" w:lineRule="auto"/>
      </w:pPr>
      <w:r>
        <w:separator/>
      </w:r>
    </w:p>
  </w:endnote>
  <w:endnote w:type="continuationSeparator" w:id="0">
    <w:p w14:paraId="1A679101" w14:textId="77777777" w:rsidR="002A1B9F" w:rsidRDefault="002A1B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0"/>
    <w:family w:val="roman"/>
    <w:pitch w:val="variable"/>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Futura Bk">
    <w:altName w:val="Arial"/>
    <w:charset w:val="00"/>
    <w:family w:val="auto"/>
    <w:pitch w:val="default"/>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7C5F9C" w14:textId="4FE1CC57" w:rsidR="002A1B9F" w:rsidRPr="0014689E" w:rsidRDefault="002A1B9F" w:rsidP="0014689E">
    <w:pPr>
      <w:pStyle w:val="Footer"/>
      <w:jc w:val="right"/>
      <w:rPr>
        <w:rFonts w:ascii="Times New Roman" w:hAnsi="Times New Roman"/>
        <w:sz w:val="20"/>
        <w:szCs w:val="20"/>
      </w:rPr>
    </w:pPr>
    <w:r w:rsidRPr="0014689E">
      <w:rPr>
        <w:rFonts w:ascii="Times New Roman" w:hAnsi="Times New Roman"/>
        <w:sz w:val="20"/>
        <w:szCs w:val="20"/>
      </w:rPr>
      <w:fldChar w:fldCharType="begin"/>
    </w:r>
    <w:r w:rsidRPr="0014689E">
      <w:rPr>
        <w:rFonts w:ascii="Times New Roman" w:hAnsi="Times New Roman"/>
        <w:sz w:val="20"/>
        <w:szCs w:val="20"/>
      </w:rPr>
      <w:instrText xml:space="preserve"> PAGE   \* MERGEFORMAT </w:instrText>
    </w:r>
    <w:r w:rsidRPr="0014689E">
      <w:rPr>
        <w:rFonts w:ascii="Times New Roman" w:hAnsi="Times New Roman"/>
        <w:sz w:val="20"/>
        <w:szCs w:val="20"/>
      </w:rPr>
      <w:fldChar w:fldCharType="separate"/>
    </w:r>
    <w:r w:rsidR="0091562E">
      <w:rPr>
        <w:rFonts w:ascii="Times New Roman" w:hAnsi="Times New Roman"/>
        <w:noProof/>
        <w:sz w:val="20"/>
        <w:szCs w:val="20"/>
      </w:rPr>
      <w:t>8</w:t>
    </w:r>
    <w:r w:rsidRPr="0014689E">
      <w:rPr>
        <w:rFonts w:ascii="Times New Roman" w:hAnsi="Times New Roman"/>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D6AD1C" w14:textId="77777777" w:rsidR="002A1B9F" w:rsidRDefault="002A1B9F">
      <w:pPr>
        <w:spacing w:after="0" w:line="240" w:lineRule="auto"/>
      </w:pPr>
      <w:r>
        <w:separator/>
      </w:r>
    </w:p>
  </w:footnote>
  <w:footnote w:type="continuationSeparator" w:id="0">
    <w:p w14:paraId="71031BA5" w14:textId="77777777" w:rsidR="002A1B9F" w:rsidRDefault="002A1B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CD47DF" w14:textId="77777777" w:rsidR="002A1B9F" w:rsidRDefault="002A1B9F" w:rsidP="00076E6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364B073C" w14:textId="77777777" w:rsidR="002A1B9F" w:rsidRDefault="002A1B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84FD3F" w14:textId="77777777" w:rsidR="00EA2324" w:rsidRPr="00EA2324" w:rsidRDefault="00EA2324" w:rsidP="00EA2324">
    <w:pPr>
      <w:tabs>
        <w:tab w:val="center" w:pos="4153"/>
        <w:tab w:val="right" w:pos="8306"/>
      </w:tabs>
      <w:overflowPunct w:val="0"/>
      <w:autoSpaceDE w:val="0"/>
      <w:autoSpaceDN w:val="0"/>
      <w:adjustRightInd w:val="0"/>
      <w:spacing w:after="0" w:line="240" w:lineRule="auto"/>
      <w:jc w:val="right"/>
      <w:textAlignment w:val="baseline"/>
      <w:rPr>
        <w:rFonts w:ascii="Verdana" w:eastAsia="Times New Roman" w:hAnsi="Verdana" w:cs="Times New Roman"/>
        <w:sz w:val="16"/>
        <w:szCs w:val="16"/>
        <w:lang w:val="bg-BG" w:eastAsia="bg-BG"/>
      </w:rPr>
    </w:pPr>
    <w:r w:rsidRPr="00EA2324">
      <w:rPr>
        <w:rFonts w:ascii="Verdana" w:eastAsia="Times New Roman" w:hAnsi="Verdana" w:cs="Times New Roman"/>
        <w:sz w:val="16"/>
        <w:szCs w:val="16"/>
        <w:lang w:val="bg-BG" w:eastAsia="bg-BG"/>
      </w:rPr>
      <w:t>Класификация на информацията:</w:t>
    </w:r>
  </w:p>
  <w:p w14:paraId="09E85EE8" w14:textId="56D353F5" w:rsidR="00EA2324" w:rsidRPr="00F44FA7" w:rsidRDefault="00EA2324" w:rsidP="00F44FA7">
    <w:pPr>
      <w:tabs>
        <w:tab w:val="center" w:pos="4153"/>
        <w:tab w:val="right" w:pos="8306"/>
      </w:tabs>
      <w:overflowPunct w:val="0"/>
      <w:autoSpaceDE w:val="0"/>
      <w:autoSpaceDN w:val="0"/>
      <w:adjustRightInd w:val="0"/>
      <w:spacing w:after="0" w:line="240" w:lineRule="auto"/>
      <w:jc w:val="right"/>
      <w:textAlignment w:val="baseline"/>
      <w:rPr>
        <w:rFonts w:ascii="Verdana" w:eastAsia="Times New Roman" w:hAnsi="Verdana" w:cs="Times New Roman"/>
        <w:sz w:val="16"/>
        <w:szCs w:val="16"/>
        <w:lang w:eastAsia="bg-BG"/>
      </w:rPr>
    </w:pPr>
    <w:r w:rsidRPr="00EA2324">
      <w:rPr>
        <w:rFonts w:ascii="Verdana" w:eastAsia="Times New Roman" w:hAnsi="Verdana" w:cs="Times New Roman"/>
        <w:bCs/>
        <w:sz w:val="16"/>
        <w:szCs w:val="16"/>
        <w:lang w:val="bg-BG" w:eastAsia="bg-BG"/>
      </w:rPr>
      <w:t>Ниво 0, TLP-</w:t>
    </w:r>
    <w:r w:rsidRPr="00EA2324">
      <w:rPr>
        <w:rFonts w:ascii="Verdana" w:eastAsia="Times New Roman" w:hAnsi="Verdana" w:cs="Times New Roman"/>
        <w:bCs/>
        <w:sz w:val="16"/>
        <w:szCs w:val="16"/>
        <w:lang w:eastAsia="bg-BG"/>
      </w:rPr>
      <w:t>WHITE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E4DCA"/>
    <w:multiLevelType w:val="hybridMultilevel"/>
    <w:tmpl w:val="D8361F30"/>
    <w:lvl w:ilvl="0" w:tplc="8212536C">
      <w:start w:val="3"/>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15:restartNumberingAfterBreak="0">
    <w:nsid w:val="07B43170"/>
    <w:multiLevelType w:val="multilevel"/>
    <w:tmpl w:val="89DE7CA4"/>
    <w:lvl w:ilvl="0">
      <w:start w:val="1"/>
      <w:numFmt w:val="decimal"/>
      <w:lvlText w:val="%1"/>
      <w:lvlJc w:val="left"/>
      <w:pPr>
        <w:ind w:left="360" w:hanging="360"/>
      </w:pPr>
      <w:rPr>
        <w:rFonts w:hint="default"/>
      </w:rPr>
    </w:lvl>
    <w:lvl w:ilvl="1">
      <w:start w:val="1"/>
      <w:numFmt w:val="decimal"/>
      <w:lvlText w:val="%1.%2"/>
      <w:lvlJc w:val="left"/>
      <w:pPr>
        <w:ind w:left="8015"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FC4AC1"/>
    <w:multiLevelType w:val="hybridMultilevel"/>
    <w:tmpl w:val="36C2FBE6"/>
    <w:lvl w:ilvl="0" w:tplc="3842B9E0">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C70218C"/>
    <w:multiLevelType w:val="hybridMultilevel"/>
    <w:tmpl w:val="459E2BDA"/>
    <w:lvl w:ilvl="0" w:tplc="04020001">
      <w:start w:val="1"/>
      <w:numFmt w:val="bullet"/>
      <w:lvlText w:val=""/>
      <w:lvlJc w:val="left"/>
      <w:pPr>
        <w:ind w:left="360" w:hanging="360"/>
      </w:pPr>
      <w:rPr>
        <w:rFonts w:ascii="Symbol" w:hAnsi="Symbol" w:hint="default"/>
      </w:rPr>
    </w:lvl>
    <w:lvl w:ilvl="1" w:tplc="04020003">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4" w15:restartNumberingAfterBreak="0">
    <w:nsid w:val="264F55B6"/>
    <w:multiLevelType w:val="multilevel"/>
    <w:tmpl w:val="FDF0A2CC"/>
    <w:lvl w:ilvl="0">
      <w:start w:val="1"/>
      <w:numFmt w:val="decimal"/>
      <w:lvlText w:val="%1."/>
      <w:lvlJc w:val="left"/>
      <w:pPr>
        <w:ind w:left="360" w:hanging="360"/>
      </w:pPr>
      <w:rPr>
        <w:rFonts w:hint="default"/>
        <w:sz w:val="16"/>
      </w:rPr>
    </w:lvl>
    <w:lvl w:ilvl="1">
      <w:start w:val="1"/>
      <w:numFmt w:val="decimal"/>
      <w:lvlText w:val="%1.%2."/>
      <w:lvlJc w:val="left"/>
      <w:pPr>
        <w:ind w:left="360" w:hanging="360"/>
      </w:pPr>
      <w:rPr>
        <w:rFonts w:hint="default"/>
        <w:sz w:val="16"/>
      </w:rPr>
    </w:lvl>
    <w:lvl w:ilvl="2">
      <w:start w:val="1"/>
      <w:numFmt w:val="decimal"/>
      <w:lvlText w:val="%1.%2.%3."/>
      <w:lvlJc w:val="left"/>
      <w:pPr>
        <w:ind w:left="720" w:hanging="720"/>
      </w:pPr>
      <w:rPr>
        <w:rFonts w:hint="default"/>
        <w:sz w:val="16"/>
      </w:rPr>
    </w:lvl>
    <w:lvl w:ilvl="3">
      <w:start w:val="1"/>
      <w:numFmt w:val="decimal"/>
      <w:lvlText w:val="%1.%2.%3.%4."/>
      <w:lvlJc w:val="left"/>
      <w:pPr>
        <w:ind w:left="720" w:hanging="720"/>
      </w:pPr>
      <w:rPr>
        <w:rFonts w:hint="default"/>
        <w:sz w:val="16"/>
      </w:rPr>
    </w:lvl>
    <w:lvl w:ilvl="4">
      <w:start w:val="1"/>
      <w:numFmt w:val="decimal"/>
      <w:lvlText w:val="%1.%2.%3.%4.%5."/>
      <w:lvlJc w:val="left"/>
      <w:pPr>
        <w:ind w:left="1080" w:hanging="1080"/>
      </w:pPr>
      <w:rPr>
        <w:rFonts w:hint="default"/>
        <w:sz w:val="16"/>
      </w:rPr>
    </w:lvl>
    <w:lvl w:ilvl="5">
      <w:start w:val="1"/>
      <w:numFmt w:val="decimal"/>
      <w:lvlText w:val="%1.%2.%3.%4.%5.%6."/>
      <w:lvlJc w:val="left"/>
      <w:pPr>
        <w:ind w:left="1080" w:hanging="1080"/>
      </w:pPr>
      <w:rPr>
        <w:rFonts w:hint="default"/>
        <w:sz w:val="16"/>
      </w:rPr>
    </w:lvl>
    <w:lvl w:ilvl="6">
      <w:start w:val="1"/>
      <w:numFmt w:val="decimal"/>
      <w:lvlText w:val="%1.%2.%3.%4.%5.%6.%7."/>
      <w:lvlJc w:val="left"/>
      <w:pPr>
        <w:ind w:left="1080" w:hanging="1080"/>
      </w:pPr>
      <w:rPr>
        <w:rFonts w:hint="default"/>
        <w:sz w:val="16"/>
      </w:rPr>
    </w:lvl>
    <w:lvl w:ilvl="7">
      <w:start w:val="1"/>
      <w:numFmt w:val="decimal"/>
      <w:lvlText w:val="%1.%2.%3.%4.%5.%6.%7.%8."/>
      <w:lvlJc w:val="left"/>
      <w:pPr>
        <w:ind w:left="1440" w:hanging="1440"/>
      </w:pPr>
      <w:rPr>
        <w:rFonts w:hint="default"/>
        <w:sz w:val="16"/>
      </w:rPr>
    </w:lvl>
    <w:lvl w:ilvl="8">
      <w:start w:val="1"/>
      <w:numFmt w:val="decimal"/>
      <w:lvlText w:val="%1.%2.%3.%4.%5.%6.%7.%8.%9."/>
      <w:lvlJc w:val="left"/>
      <w:pPr>
        <w:ind w:left="1440" w:hanging="1440"/>
      </w:pPr>
      <w:rPr>
        <w:rFonts w:hint="default"/>
        <w:sz w:val="16"/>
      </w:rPr>
    </w:lvl>
  </w:abstractNum>
  <w:abstractNum w:abstractNumId="5" w15:restartNumberingAfterBreak="0">
    <w:nsid w:val="26CC1230"/>
    <w:multiLevelType w:val="multilevel"/>
    <w:tmpl w:val="FDF0A2CC"/>
    <w:lvl w:ilvl="0">
      <w:start w:val="1"/>
      <w:numFmt w:val="decimal"/>
      <w:lvlText w:val="%1."/>
      <w:lvlJc w:val="left"/>
      <w:pPr>
        <w:ind w:left="360" w:hanging="360"/>
      </w:pPr>
      <w:rPr>
        <w:rFonts w:hint="default"/>
        <w:sz w:val="16"/>
      </w:rPr>
    </w:lvl>
    <w:lvl w:ilvl="1">
      <w:start w:val="1"/>
      <w:numFmt w:val="decimal"/>
      <w:lvlText w:val="%1.%2."/>
      <w:lvlJc w:val="left"/>
      <w:pPr>
        <w:ind w:left="360" w:hanging="360"/>
      </w:pPr>
      <w:rPr>
        <w:rFonts w:hint="default"/>
        <w:sz w:val="16"/>
      </w:rPr>
    </w:lvl>
    <w:lvl w:ilvl="2">
      <w:start w:val="1"/>
      <w:numFmt w:val="decimal"/>
      <w:lvlText w:val="%1.%2.%3."/>
      <w:lvlJc w:val="left"/>
      <w:pPr>
        <w:ind w:left="720" w:hanging="720"/>
      </w:pPr>
      <w:rPr>
        <w:rFonts w:hint="default"/>
        <w:sz w:val="16"/>
      </w:rPr>
    </w:lvl>
    <w:lvl w:ilvl="3">
      <w:start w:val="1"/>
      <w:numFmt w:val="decimal"/>
      <w:lvlText w:val="%1.%2.%3.%4."/>
      <w:lvlJc w:val="left"/>
      <w:pPr>
        <w:ind w:left="720" w:hanging="720"/>
      </w:pPr>
      <w:rPr>
        <w:rFonts w:hint="default"/>
        <w:sz w:val="16"/>
      </w:rPr>
    </w:lvl>
    <w:lvl w:ilvl="4">
      <w:start w:val="1"/>
      <w:numFmt w:val="decimal"/>
      <w:lvlText w:val="%1.%2.%3.%4.%5."/>
      <w:lvlJc w:val="left"/>
      <w:pPr>
        <w:ind w:left="1080" w:hanging="1080"/>
      </w:pPr>
      <w:rPr>
        <w:rFonts w:hint="default"/>
        <w:sz w:val="16"/>
      </w:rPr>
    </w:lvl>
    <w:lvl w:ilvl="5">
      <w:start w:val="1"/>
      <w:numFmt w:val="decimal"/>
      <w:lvlText w:val="%1.%2.%3.%4.%5.%6."/>
      <w:lvlJc w:val="left"/>
      <w:pPr>
        <w:ind w:left="1080" w:hanging="1080"/>
      </w:pPr>
      <w:rPr>
        <w:rFonts w:hint="default"/>
        <w:sz w:val="16"/>
      </w:rPr>
    </w:lvl>
    <w:lvl w:ilvl="6">
      <w:start w:val="1"/>
      <w:numFmt w:val="decimal"/>
      <w:lvlText w:val="%1.%2.%3.%4.%5.%6.%7."/>
      <w:lvlJc w:val="left"/>
      <w:pPr>
        <w:ind w:left="1080" w:hanging="1080"/>
      </w:pPr>
      <w:rPr>
        <w:rFonts w:hint="default"/>
        <w:sz w:val="16"/>
      </w:rPr>
    </w:lvl>
    <w:lvl w:ilvl="7">
      <w:start w:val="1"/>
      <w:numFmt w:val="decimal"/>
      <w:lvlText w:val="%1.%2.%3.%4.%5.%6.%7.%8."/>
      <w:lvlJc w:val="left"/>
      <w:pPr>
        <w:ind w:left="1440" w:hanging="1440"/>
      </w:pPr>
      <w:rPr>
        <w:rFonts w:hint="default"/>
        <w:sz w:val="16"/>
      </w:rPr>
    </w:lvl>
    <w:lvl w:ilvl="8">
      <w:start w:val="1"/>
      <w:numFmt w:val="decimal"/>
      <w:lvlText w:val="%1.%2.%3.%4.%5.%6.%7.%8.%9."/>
      <w:lvlJc w:val="left"/>
      <w:pPr>
        <w:ind w:left="1440" w:hanging="1440"/>
      </w:pPr>
      <w:rPr>
        <w:rFonts w:hint="default"/>
        <w:sz w:val="16"/>
      </w:rPr>
    </w:lvl>
  </w:abstractNum>
  <w:abstractNum w:abstractNumId="6" w15:restartNumberingAfterBreak="0">
    <w:nsid w:val="35E133F2"/>
    <w:multiLevelType w:val="hybridMultilevel"/>
    <w:tmpl w:val="B7D6389C"/>
    <w:lvl w:ilvl="0" w:tplc="AA4E18FA">
      <w:start w:val="2"/>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15:restartNumberingAfterBreak="0">
    <w:nsid w:val="3E2141E5"/>
    <w:multiLevelType w:val="hybridMultilevel"/>
    <w:tmpl w:val="5BB253BC"/>
    <w:lvl w:ilvl="0" w:tplc="CB2035F2">
      <w:numFmt w:val="bullet"/>
      <w:lvlText w:val="-"/>
      <w:lvlJc w:val="left"/>
      <w:pPr>
        <w:ind w:left="124" w:hanging="140"/>
      </w:pPr>
      <w:rPr>
        <w:rFonts w:ascii="Liberation Serif" w:eastAsia="Liberation Serif" w:hAnsi="Liberation Serif" w:cs="Liberation Serif" w:hint="default"/>
        <w:spacing w:val="-7"/>
        <w:w w:val="100"/>
        <w:sz w:val="24"/>
        <w:szCs w:val="24"/>
        <w:lang w:val="bg-BG" w:eastAsia="en-US" w:bidi="ar-SA"/>
      </w:rPr>
    </w:lvl>
    <w:lvl w:ilvl="1" w:tplc="EEF85B52">
      <w:numFmt w:val="bullet"/>
      <w:lvlText w:val="•"/>
      <w:lvlJc w:val="left"/>
      <w:pPr>
        <w:ind w:left="1030" w:hanging="140"/>
      </w:pPr>
      <w:rPr>
        <w:rFonts w:hint="default"/>
        <w:lang w:val="bg-BG" w:eastAsia="en-US" w:bidi="ar-SA"/>
      </w:rPr>
    </w:lvl>
    <w:lvl w:ilvl="2" w:tplc="DB8AFD92">
      <w:numFmt w:val="bullet"/>
      <w:lvlText w:val="•"/>
      <w:lvlJc w:val="left"/>
      <w:pPr>
        <w:ind w:left="1941" w:hanging="140"/>
      </w:pPr>
      <w:rPr>
        <w:rFonts w:hint="default"/>
        <w:lang w:val="bg-BG" w:eastAsia="en-US" w:bidi="ar-SA"/>
      </w:rPr>
    </w:lvl>
    <w:lvl w:ilvl="3" w:tplc="8738F234">
      <w:numFmt w:val="bullet"/>
      <w:lvlText w:val="•"/>
      <w:lvlJc w:val="left"/>
      <w:pPr>
        <w:ind w:left="2851" w:hanging="140"/>
      </w:pPr>
      <w:rPr>
        <w:rFonts w:hint="default"/>
        <w:lang w:val="bg-BG" w:eastAsia="en-US" w:bidi="ar-SA"/>
      </w:rPr>
    </w:lvl>
    <w:lvl w:ilvl="4" w:tplc="7ED8C4A6">
      <w:numFmt w:val="bullet"/>
      <w:lvlText w:val="•"/>
      <w:lvlJc w:val="left"/>
      <w:pPr>
        <w:ind w:left="3762" w:hanging="140"/>
      </w:pPr>
      <w:rPr>
        <w:rFonts w:hint="default"/>
        <w:lang w:val="bg-BG" w:eastAsia="en-US" w:bidi="ar-SA"/>
      </w:rPr>
    </w:lvl>
    <w:lvl w:ilvl="5" w:tplc="B518E7EA">
      <w:numFmt w:val="bullet"/>
      <w:lvlText w:val="•"/>
      <w:lvlJc w:val="left"/>
      <w:pPr>
        <w:ind w:left="4673" w:hanging="140"/>
      </w:pPr>
      <w:rPr>
        <w:rFonts w:hint="default"/>
        <w:lang w:val="bg-BG" w:eastAsia="en-US" w:bidi="ar-SA"/>
      </w:rPr>
    </w:lvl>
    <w:lvl w:ilvl="6" w:tplc="AA18D14C">
      <w:numFmt w:val="bullet"/>
      <w:lvlText w:val="•"/>
      <w:lvlJc w:val="left"/>
      <w:pPr>
        <w:ind w:left="5583" w:hanging="140"/>
      </w:pPr>
      <w:rPr>
        <w:rFonts w:hint="default"/>
        <w:lang w:val="bg-BG" w:eastAsia="en-US" w:bidi="ar-SA"/>
      </w:rPr>
    </w:lvl>
    <w:lvl w:ilvl="7" w:tplc="E2DED9D0">
      <w:numFmt w:val="bullet"/>
      <w:lvlText w:val="•"/>
      <w:lvlJc w:val="left"/>
      <w:pPr>
        <w:ind w:left="6494" w:hanging="140"/>
      </w:pPr>
      <w:rPr>
        <w:rFonts w:hint="default"/>
        <w:lang w:val="bg-BG" w:eastAsia="en-US" w:bidi="ar-SA"/>
      </w:rPr>
    </w:lvl>
    <w:lvl w:ilvl="8" w:tplc="C414D37C">
      <w:numFmt w:val="bullet"/>
      <w:lvlText w:val="•"/>
      <w:lvlJc w:val="left"/>
      <w:pPr>
        <w:ind w:left="7404" w:hanging="140"/>
      </w:pPr>
      <w:rPr>
        <w:rFonts w:hint="default"/>
        <w:lang w:val="bg-BG" w:eastAsia="en-US" w:bidi="ar-SA"/>
      </w:rPr>
    </w:lvl>
  </w:abstractNum>
  <w:abstractNum w:abstractNumId="8" w15:restartNumberingAfterBreak="0">
    <w:nsid w:val="3EEB0BB6"/>
    <w:multiLevelType w:val="multilevel"/>
    <w:tmpl w:val="E0383F32"/>
    <w:lvl w:ilvl="0">
      <w:start w:val="1"/>
      <w:numFmt w:val="decimal"/>
      <w:lvlText w:val="%1."/>
      <w:lvlJc w:val="left"/>
      <w:pPr>
        <w:ind w:left="1930" w:hanging="360"/>
      </w:pPr>
      <w:rPr>
        <w:rFonts w:cs="Times New Roman" w:hint="default"/>
      </w:rPr>
    </w:lvl>
    <w:lvl w:ilvl="1">
      <w:start w:val="1"/>
      <w:numFmt w:val="decimal"/>
      <w:isLgl/>
      <w:lvlText w:val="%1.%2."/>
      <w:lvlJc w:val="left"/>
      <w:pPr>
        <w:ind w:left="1930" w:hanging="360"/>
      </w:pPr>
      <w:rPr>
        <w:rFonts w:hint="default"/>
      </w:rPr>
    </w:lvl>
    <w:lvl w:ilvl="2">
      <w:start w:val="1"/>
      <w:numFmt w:val="decimal"/>
      <w:isLgl/>
      <w:lvlText w:val="%1.%2.%3."/>
      <w:lvlJc w:val="left"/>
      <w:pPr>
        <w:ind w:left="2290" w:hanging="720"/>
      </w:pPr>
      <w:rPr>
        <w:rFonts w:hint="default"/>
      </w:rPr>
    </w:lvl>
    <w:lvl w:ilvl="3">
      <w:start w:val="1"/>
      <w:numFmt w:val="decimal"/>
      <w:isLgl/>
      <w:lvlText w:val="%1.%2.%3.%4."/>
      <w:lvlJc w:val="left"/>
      <w:pPr>
        <w:ind w:left="2290" w:hanging="720"/>
      </w:pPr>
      <w:rPr>
        <w:rFonts w:hint="default"/>
      </w:rPr>
    </w:lvl>
    <w:lvl w:ilvl="4">
      <w:start w:val="1"/>
      <w:numFmt w:val="decimal"/>
      <w:isLgl/>
      <w:lvlText w:val="%1.%2.%3.%4.%5."/>
      <w:lvlJc w:val="left"/>
      <w:pPr>
        <w:ind w:left="2650" w:hanging="1080"/>
      </w:pPr>
      <w:rPr>
        <w:rFonts w:hint="default"/>
      </w:rPr>
    </w:lvl>
    <w:lvl w:ilvl="5">
      <w:start w:val="1"/>
      <w:numFmt w:val="decimal"/>
      <w:isLgl/>
      <w:lvlText w:val="%1.%2.%3.%4.%5.%6."/>
      <w:lvlJc w:val="left"/>
      <w:pPr>
        <w:ind w:left="2650" w:hanging="1080"/>
      </w:pPr>
      <w:rPr>
        <w:rFonts w:hint="default"/>
      </w:rPr>
    </w:lvl>
    <w:lvl w:ilvl="6">
      <w:start w:val="1"/>
      <w:numFmt w:val="decimal"/>
      <w:isLgl/>
      <w:lvlText w:val="%1.%2.%3.%4.%5.%6.%7."/>
      <w:lvlJc w:val="left"/>
      <w:pPr>
        <w:ind w:left="3010" w:hanging="1440"/>
      </w:pPr>
      <w:rPr>
        <w:rFonts w:hint="default"/>
      </w:rPr>
    </w:lvl>
    <w:lvl w:ilvl="7">
      <w:start w:val="1"/>
      <w:numFmt w:val="decimal"/>
      <w:isLgl/>
      <w:lvlText w:val="%1.%2.%3.%4.%5.%6.%7.%8."/>
      <w:lvlJc w:val="left"/>
      <w:pPr>
        <w:ind w:left="3010" w:hanging="1440"/>
      </w:pPr>
      <w:rPr>
        <w:rFonts w:hint="default"/>
      </w:rPr>
    </w:lvl>
    <w:lvl w:ilvl="8">
      <w:start w:val="1"/>
      <w:numFmt w:val="decimal"/>
      <w:isLgl/>
      <w:lvlText w:val="%1.%2.%3.%4.%5.%6.%7.%8.%9."/>
      <w:lvlJc w:val="left"/>
      <w:pPr>
        <w:ind w:left="3370" w:hanging="1800"/>
      </w:pPr>
      <w:rPr>
        <w:rFonts w:hint="default"/>
      </w:rPr>
    </w:lvl>
  </w:abstractNum>
  <w:abstractNum w:abstractNumId="9" w15:restartNumberingAfterBreak="0">
    <w:nsid w:val="3FAD20F1"/>
    <w:multiLevelType w:val="hybridMultilevel"/>
    <w:tmpl w:val="1062CCA2"/>
    <w:lvl w:ilvl="0" w:tplc="DDCA4F78">
      <w:start w:val="1"/>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15:restartNumberingAfterBreak="0">
    <w:nsid w:val="40E67F67"/>
    <w:multiLevelType w:val="multilevel"/>
    <w:tmpl w:val="A87E786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22B33A2"/>
    <w:multiLevelType w:val="hybridMultilevel"/>
    <w:tmpl w:val="185A7584"/>
    <w:lvl w:ilvl="0" w:tplc="1FBCF55A">
      <w:start w:val="1"/>
      <w:numFmt w:val="decimal"/>
      <w:lvlText w:val="%1."/>
      <w:lvlJc w:val="left"/>
      <w:pPr>
        <w:ind w:left="1930" w:hanging="360"/>
      </w:pPr>
      <w:rPr>
        <w:rFonts w:cs="Times New Roman" w:hint="default"/>
      </w:rPr>
    </w:lvl>
    <w:lvl w:ilvl="1" w:tplc="04020019">
      <w:start w:val="1"/>
      <w:numFmt w:val="lowerLetter"/>
      <w:lvlText w:val="%2."/>
      <w:lvlJc w:val="left"/>
      <w:pPr>
        <w:ind w:left="2650" w:hanging="360"/>
      </w:pPr>
      <w:rPr>
        <w:rFonts w:cs="Times New Roman"/>
      </w:rPr>
    </w:lvl>
    <w:lvl w:ilvl="2" w:tplc="0402001B" w:tentative="1">
      <w:start w:val="1"/>
      <w:numFmt w:val="lowerRoman"/>
      <w:lvlText w:val="%3."/>
      <w:lvlJc w:val="right"/>
      <w:pPr>
        <w:ind w:left="3370" w:hanging="180"/>
      </w:pPr>
      <w:rPr>
        <w:rFonts w:cs="Times New Roman"/>
      </w:rPr>
    </w:lvl>
    <w:lvl w:ilvl="3" w:tplc="0402000F" w:tentative="1">
      <w:start w:val="1"/>
      <w:numFmt w:val="decimal"/>
      <w:lvlText w:val="%4."/>
      <w:lvlJc w:val="left"/>
      <w:pPr>
        <w:ind w:left="4090" w:hanging="360"/>
      </w:pPr>
      <w:rPr>
        <w:rFonts w:cs="Times New Roman"/>
      </w:rPr>
    </w:lvl>
    <w:lvl w:ilvl="4" w:tplc="04020019" w:tentative="1">
      <w:start w:val="1"/>
      <w:numFmt w:val="lowerLetter"/>
      <w:lvlText w:val="%5."/>
      <w:lvlJc w:val="left"/>
      <w:pPr>
        <w:ind w:left="4810" w:hanging="360"/>
      </w:pPr>
      <w:rPr>
        <w:rFonts w:cs="Times New Roman"/>
      </w:rPr>
    </w:lvl>
    <w:lvl w:ilvl="5" w:tplc="0402001B" w:tentative="1">
      <w:start w:val="1"/>
      <w:numFmt w:val="lowerRoman"/>
      <w:lvlText w:val="%6."/>
      <w:lvlJc w:val="right"/>
      <w:pPr>
        <w:ind w:left="5530" w:hanging="180"/>
      </w:pPr>
      <w:rPr>
        <w:rFonts w:cs="Times New Roman"/>
      </w:rPr>
    </w:lvl>
    <w:lvl w:ilvl="6" w:tplc="0402000F" w:tentative="1">
      <w:start w:val="1"/>
      <w:numFmt w:val="decimal"/>
      <w:lvlText w:val="%7."/>
      <w:lvlJc w:val="left"/>
      <w:pPr>
        <w:ind w:left="6250" w:hanging="360"/>
      </w:pPr>
      <w:rPr>
        <w:rFonts w:cs="Times New Roman"/>
      </w:rPr>
    </w:lvl>
    <w:lvl w:ilvl="7" w:tplc="04020019" w:tentative="1">
      <w:start w:val="1"/>
      <w:numFmt w:val="lowerLetter"/>
      <w:lvlText w:val="%8."/>
      <w:lvlJc w:val="left"/>
      <w:pPr>
        <w:ind w:left="6970" w:hanging="360"/>
      </w:pPr>
      <w:rPr>
        <w:rFonts w:cs="Times New Roman"/>
      </w:rPr>
    </w:lvl>
    <w:lvl w:ilvl="8" w:tplc="0402001B" w:tentative="1">
      <w:start w:val="1"/>
      <w:numFmt w:val="lowerRoman"/>
      <w:lvlText w:val="%9."/>
      <w:lvlJc w:val="right"/>
      <w:pPr>
        <w:ind w:left="7690" w:hanging="180"/>
      </w:pPr>
      <w:rPr>
        <w:rFonts w:cs="Times New Roman"/>
      </w:rPr>
    </w:lvl>
  </w:abstractNum>
  <w:abstractNum w:abstractNumId="12" w15:restartNumberingAfterBreak="0">
    <w:nsid w:val="46E33A28"/>
    <w:multiLevelType w:val="hybridMultilevel"/>
    <w:tmpl w:val="185A7584"/>
    <w:lvl w:ilvl="0" w:tplc="1FBCF55A">
      <w:start w:val="1"/>
      <w:numFmt w:val="decimal"/>
      <w:lvlText w:val="%1."/>
      <w:lvlJc w:val="left"/>
      <w:pPr>
        <w:ind w:left="1930" w:hanging="360"/>
      </w:pPr>
      <w:rPr>
        <w:rFonts w:cs="Times New Roman" w:hint="default"/>
      </w:rPr>
    </w:lvl>
    <w:lvl w:ilvl="1" w:tplc="04020019">
      <w:start w:val="1"/>
      <w:numFmt w:val="lowerLetter"/>
      <w:lvlText w:val="%2."/>
      <w:lvlJc w:val="left"/>
      <w:pPr>
        <w:ind w:left="2650" w:hanging="360"/>
      </w:pPr>
      <w:rPr>
        <w:rFonts w:cs="Times New Roman"/>
      </w:rPr>
    </w:lvl>
    <w:lvl w:ilvl="2" w:tplc="0402001B" w:tentative="1">
      <w:start w:val="1"/>
      <w:numFmt w:val="lowerRoman"/>
      <w:lvlText w:val="%3."/>
      <w:lvlJc w:val="right"/>
      <w:pPr>
        <w:ind w:left="3370" w:hanging="180"/>
      </w:pPr>
      <w:rPr>
        <w:rFonts w:cs="Times New Roman"/>
      </w:rPr>
    </w:lvl>
    <w:lvl w:ilvl="3" w:tplc="0402000F" w:tentative="1">
      <w:start w:val="1"/>
      <w:numFmt w:val="decimal"/>
      <w:lvlText w:val="%4."/>
      <w:lvlJc w:val="left"/>
      <w:pPr>
        <w:ind w:left="4090" w:hanging="360"/>
      </w:pPr>
      <w:rPr>
        <w:rFonts w:cs="Times New Roman"/>
      </w:rPr>
    </w:lvl>
    <w:lvl w:ilvl="4" w:tplc="04020019" w:tentative="1">
      <w:start w:val="1"/>
      <w:numFmt w:val="lowerLetter"/>
      <w:lvlText w:val="%5."/>
      <w:lvlJc w:val="left"/>
      <w:pPr>
        <w:ind w:left="4810" w:hanging="360"/>
      </w:pPr>
      <w:rPr>
        <w:rFonts w:cs="Times New Roman"/>
      </w:rPr>
    </w:lvl>
    <w:lvl w:ilvl="5" w:tplc="0402001B" w:tentative="1">
      <w:start w:val="1"/>
      <w:numFmt w:val="lowerRoman"/>
      <w:lvlText w:val="%6."/>
      <w:lvlJc w:val="right"/>
      <w:pPr>
        <w:ind w:left="5530" w:hanging="180"/>
      </w:pPr>
      <w:rPr>
        <w:rFonts w:cs="Times New Roman"/>
      </w:rPr>
    </w:lvl>
    <w:lvl w:ilvl="6" w:tplc="0402000F" w:tentative="1">
      <w:start w:val="1"/>
      <w:numFmt w:val="decimal"/>
      <w:lvlText w:val="%7."/>
      <w:lvlJc w:val="left"/>
      <w:pPr>
        <w:ind w:left="6250" w:hanging="360"/>
      </w:pPr>
      <w:rPr>
        <w:rFonts w:cs="Times New Roman"/>
      </w:rPr>
    </w:lvl>
    <w:lvl w:ilvl="7" w:tplc="04020019" w:tentative="1">
      <w:start w:val="1"/>
      <w:numFmt w:val="lowerLetter"/>
      <w:lvlText w:val="%8."/>
      <w:lvlJc w:val="left"/>
      <w:pPr>
        <w:ind w:left="6970" w:hanging="360"/>
      </w:pPr>
      <w:rPr>
        <w:rFonts w:cs="Times New Roman"/>
      </w:rPr>
    </w:lvl>
    <w:lvl w:ilvl="8" w:tplc="0402001B" w:tentative="1">
      <w:start w:val="1"/>
      <w:numFmt w:val="lowerRoman"/>
      <w:lvlText w:val="%9."/>
      <w:lvlJc w:val="right"/>
      <w:pPr>
        <w:ind w:left="7690" w:hanging="180"/>
      </w:pPr>
      <w:rPr>
        <w:rFonts w:cs="Times New Roman"/>
      </w:rPr>
    </w:lvl>
  </w:abstractNum>
  <w:abstractNum w:abstractNumId="13" w15:restartNumberingAfterBreak="0">
    <w:nsid w:val="4E0E470D"/>
    <w:multiLevelType w:val="multilevel"/>
    <w:tmpl w:val="0C78AC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94C7BE9"/>
    <w:multiLevelType w:val="hybridMultilevel"/>
    <w:tmpl w:val="6900B366"/>
    <w:lvl w:ilvl="0" w:tplc="F1D0448E">
      <w:start w:val="1"/>
      <w:numFmt w:val="bullet"/>
      <w:lvlText w:val=""/>
      <w:lvlJc w:val="left"/>
      <w:pPr>
        <w:ind w:left="720" w:hanging="360"/>
      </w:pPr>
      <w:rPr>
        <w:rFonts w:ascii="Symbol" w:eastAsia="Times New Roman" w:hAnsi="Symbol" w:cs="Times New Roman" w:hint="default"/>
        <w:b w:val="0"/>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7F13D6"/>
    <w:multiLevelType w:val="hybridMultilevel"/>
    <w:tmpl w:val="45ECC81A"/>
    <w:lvl w:ilvl="0" w:tplc="0D42E484">
      <w:start w:val="20"/>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6" w15:restartNumberingAfterBreak="0">
    <w:nsid w:val="62AB0CBB"/>
    <w:multiLevelType w:val="hybridMultilevel"/>
    <w:tmpl w:val="09C06B26"/>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7" w15:restartNumberingAfterBreak="0">
    <w:nsid w:val="62D01D89"/>
    <w:multiLevelType w:val="hybridMultilevel"/>
    <w:tmpl w:val="6C08FC38"/>
    <w:lvl w:ilvl="0" w:tplc="B9EAC5B0">
      <w:start w:val="5"/>
      <w:numFmt w:val="bullet"/>
      <w:lvlText w:val="-"/>
      <w:lvlJc w:val="left"/>
      <w:pPr>
        <w:ind w:left="420" w:hanging="360"/>
      </w:pPr>
      <w:rPr>
        <w:rFonts w:ascii="Times New Roman" w:eastAsia="Times New Roman" w:hAnsi="Times New Roman" w:cs="Times New Roman" w:hint="default"/>
      </w:rPr>
    </w:lvl>
    <w:lvl w:ilvl="1" w:tplc="04020003" w:tentative="1">
      <w:start w:val="1"/>
      <w:numFmt w:val="bullet"/>
      <w:lvlText w:val="o"/>
      <w:lvlJc w:val="left"/>
      <w:pPr>
        <w:ind w:left="1140" w:hanging="360"/>
      </w:pPr>
      <w:rPr>
        <w:rFonts w:ascii="Courier New" w:hAnsi="Courier New" w:cs="Courier New" w:hint="default"/>
      </w:rPr>
    </w:lvl>
    <w:lvl w:ilvl="2" w:tplc="04020005" w:tentative="1">
      <w:start w:val="1"/>
      <w:numFmt w:val="bullet"/>
      <w:lvlText w:val=""/>
      <w:lvlJc w:val="left"/>
      <w:pPr>
        <w:ind w:left="1860" w:hanging="360"/>
      </w:pPr>
      <w:rPr>
        <w:rFonts w:ascii="Wingdings" w:hAnsi="Wingdings" w:hint="default"/>
      </w:rPr>
    </w:lvl>
    <w:lvl w:ilvl="3" w:tplc="04020001" w:tentative="1">
      <w:start w:val="1"/>
      <w:numFmt w:val="bullet"/>
      <w:lvlText w:val=""/>
      <w:lvlJc w:val="left"/>
      <w:pPr>
        <w:ind w:left="2580" w:hanging="360"/>
      </w:pPr>
      <w:rPr>
        <w:rFonts w:ascii="Symbol" w:hAnsi="Symbol" w:hint="default"/>
      </w:rPr>
    </w:lvl>
    <w:lvl w:ilvl="4" w:tplc="04020003" w:tentative="1">
      <w:start w:val="1"/>
      <w:numFmt w:val="bullet"/>
      <w:lvlText w:val="o"/>
      <w:lvlJc w:val="left"/>
      <w:pPr>
        <w:ind w:left="3300" w:hanging="360"/>
      </w:pPr>
      <w:rPr>
        <w:rFonts w:ascii="Courier New" w:hAnsi="Courier New" w:cs="Courier New" w:hint="default"/>
      </w:rPr>
    </w:lvl>
    <w:lvl w:ilvl="5" w:tplc="04020005" w:tentative="1">
      <w:start w:val="1"/>
      <w:numFmt w:val="bullet"/>
      <w:lvlText w:val=""/>
      <w:lvlJc w:val="left"/>
      <w:pPr>
        <w:ind w:left="4020" w:hanging="360"/>
      </w:pPr>
      <w:rPr>
        <w:rFonts w:ascii="Wingdings" w:hAnsi="Wingdings" w:hint="default"/>
      </w:rPr>
    </w:lvl>
    <w:lvl w:ilvl="6" w:tplc="04020001" w:tentative="1">
      <w:start w:val="1"/>
      <w:numFmt w:val="bullet"/>
      <w:lvlText w:val=""/>
      <w:lvlJc w:val="left"/>
      <w:pPr>
        <w:ind w:left="4740" w:hanging="360"/>
      </w:pPr>
      <w:rPr>
        <w:rFonts w:ascii="Symbol" w:hAnsi="Symbol" w:hint="default"/>
      </w:rPr>
    </w:lvl>
    <w:lvl w:ilvl="7" w:tplc="04020003" w:tentative="1">
      <w:start w:val="1"/>
      <w:numFmt w:val="bullet"/>
      <w:lvlText w:val="o"/>
      <w:lvlJc w:val="left"/>
      <w:pPr>
        <w:ind w:left="5460" w:hanging="360"/>
      </w:pPr>
      <w:rPr>
        <w:rFonts w:ascii="Courier New" w:hAnsi="Courier New" w:cs="Courier New" w:hint="default"/>
      </w:rPr>
    </w:lvl>
    <w:lvl w:ilvl="8" w:tplc="04020005" w:tentative="1">
      <w:start w:val="1"/>
      <w:numFmt w:val="bullet"/>
      <w:lvlText w:val=""/>
      <w:lvlJc w:val="left"/>
      <w:pPr>
        <w:ind w:left="6180" w:hanging="360"/>
      </w:pPr>
      <w:rPr>
        <w:rFonts w:ascii="Wingdings" w:hAnsi="Wingdings" w:hint="default"/>
      </w:rPr>
    </w:lvl>
  </w:abstractNum>
  <w:abstractNum w:abstractNumId="18" w15:restartNumberingAfterBreak="0">
    <w:nsid w:val="73677769"/>
    <w:multiLevelType w:val="hybridMultilevel"/>
    <w:tmpl w:val="185A7584"/>
    <w:lvl w:ilvl="0" w:tplc="1FBCF55A">
      <w:start w:val="1"/>
      <w:numFmt w:val="decimal"/>
      <w:lvlText w:val="%1."/>
      <w:lvlJc w:val="left"/>
      <w:pPr>
        <w:ind w:left="1930" w:hanging="360"/>
      </w:pPr>
      <w:rPr>
        <w:rFonts w:cs="Times New Roman" w:hint="default"/>
      </w:rPr>
    </w:lvl>
    <w:lvl w:ilvl="1" w:tplc="04020019" w:tentative="1">
      <w:start w:val="1"/>
      <w:numFmt w:val="lowerLetter"/>
      <w:lvlText w:val="%2."/>
      <w:lvlJc w:val="left"/>
      <w:pPr>
        <w:ind w:left="2650" w:hanging="360"/>
      </w:pPr>
      <w:rPr>
        <w:rFonts w:cs="Times New Roman"/>
      </w:rPr>
    </w:lvl>
    <w:lvl w:ilvl="2" w:tplc="0402001B" w:tentative="1">
      <w:start w:val="1"/>
      <w:numFmt w:val="lowerRoman"/>
      <w:lvlText w:val="%3."/>
      <w:lvlJc w:val="right"/>
      <w:pPr>
        <w:ind w:left="3370" w:hanging="180"/>
      </w:pPr>
      <w:rPr>
        <w:rFonts w:cs="Times New Roman"/>
      </w:rPr>
    </w:lvl>
    <w:lvl w:ilvl="3" w:tplc="0402000F" w:tentative="1">
      <w:start w:val="1"/>
      <w:numFmt w:val="decimal"/>
      <w:lvlText w:val="%4."/>
      <w:lvlJc w:val="left"/>
      <w:pPr>
        <w:ind w:left="4090" w:hanging="360"/>
      </w:pPr>
      <w:rPr>
        <w:rFonts w:cs="Times New Roman"/>
      </w:rPr>
    </w:lvl>
    <w:lvl w:ilvl="4" w:tplc="04020019" w:tentative="1">
      <w:start w:val="1"/>
      <w:numFmt w:val="lowerLetter"/>
      <w:lvlText w:val="%5."/>
      <w:lvlJc w:val="left"/>
      <w:pPr>
        <w:ind w:left="4810" w:hanging="360"/>
      </w:pPr>
      <w:rPr>
        <w:rFonts w:cs="Times New Roman"/>
      </w:rPr>
    </w:lvl>
    <w:lvl w:ilvl="5" w:tplc="0402001B" w:tentative="1">
      <w:start w:val="1"/>
      <w:numFmt w:val="lowerRoman"/>
      <w:lvlText w:val="%6."/>
      <w:lvlJc w:val="right"/>
      <w:pPr>
        <w:ind w:left="5530" w:hanging="180"/>
      </w:pPr>
      <w:rPr>
        <w:rFonts w:cs="Times New Roman"/>
      </w:rPr>
    </w:lvl>
    <w:lvl w:ilvl="6" w:tplc="0402000F" w:tentative="1">
      <w:start w:val="1"/>
      <w:numFmt w:val="decimal"/>
      <w:lvlText w:val="%7."/>
      <w:lvlJc w:val="left"/>
      <w:pPr>
        <w:ind w:left="6250" w:hanging="360"/>
      </w:pPr>
      <w:rPr>
        <w:rFonts w:cs="Times New Roman"/>
      </w:rPr>
    </w:lvl>
    <w:lvl w:ilvl="7" w:tplc="04020019" w:tentative="1">
      <w:start w:val="1"/>
      <w:numFmt w:val="lowerLetter"/>
      <w:lvlText w:val="%8."/>
      <w:lvlJc w:val="left"/>
      <w:pPr>
        <w:ind w:left="6970" w:hanging="360"/>
      </w:pPr>
      <w:rPr>
        <w:rFonts w:cs="Times New Roman"/>
      </w:rPr>
    </w:lvl>
    <w:lvl w:ilvl="8" w:tplc="0402001B" w:tentative="1">
      <w:start w:val="1"/>
      <w:numFmt w:val="lowerRoman"/>
      <w:lvlText w:val="%9."/>
      <w:lvlJc w:val="right"/>
      <w:pPr>
        <w:ind w:left="7690" w:hanging="180"/>
      </w:pPr>
      <w:rPr>
        <w:rFonts w:cs="Times New Roman"/>
      </w:rPr>
    </w:lvl>
  </w:abstractNum>
  <w:abstractNum w:abstractNumId="19" w15:restartNumberingAfterBreak="0">
    <w:nsid w:val="750C1F63"/>
    <w:multiLevelType w:val="hybridMultilevel"/>
    <w:tmpl w:val="BB1A4AB4"/>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0" w15:restartNumberingAfterBreak="0">
    <w:nsid w:val="795624ED"/>
    <w:multiLevelType w:val="hybridMultilevel"/>
    <w:tmpl w:val="185A7584"/>
    <w:lvl w:ilvl="0" w:tplc="1FBCF55A">
      <w:start w:val="1"/>
      <w:numFmt w:val="decimal"/>
      <w:lvlText w:val="%1."/>
      <w:lvlJc w:val="left"/>
      <w:pPr>
        <w:ind w:left="1930" w:hanging="360"/>
      </w:pPr>
      <w:rPr>
        <w:rFonts w:cs="Times New Roman" w:hint="default"/>
      </w:rPr>
    </w:lvl>
    <w:lvl w:ilvl="1" w:tplc="04020019">
      <w:start w:val="1"/>
      <w:numFmt w:val="lowerLetter"/>
      <w:lvlText w:val="%2."/>
      <w:lvlJc w:val="left"/>
      <w:pPr>
        <w:ind w:left="2650" w:hanging="360"/>
      </w:pPr>
      <w:rPr>
        <w:rFonts w:cs="Times New Roman"/>
      </w:rPr>
    </w:lvl>
    <w:lvl w:ilvl="2" w:tplc="0402001B" w:tentative="1">
      <w:start w:val="1"/>
      <w:numFmt w:val="lowerRoman"/>
      <w:lvlText w:val="%3."/>
      <w:lvlJc w:val="right"/>
      <w:pPr>
        <w:ind w:left="3370" w:hanging="180"/>
      </w:pPr>
      <w:rPr>
        <w:rFonts w:cs="Times New Roman"/>
      </w:rPr>
    </w:lvl>
    <w:lvl w:ilvl="3" w:tplc="0402000F" w:tentative="1">
      <w:start w:val="1"/>
      <w:numFmt w:val="decimal"/>
      <w:lvlText w:val="%4."/>
      <w:lvlJc w:val="left"/>
      <w:pPr>
        <w:ind w:left="4090" w:hanging="360"/>
      </w:pPr>
      <w:rPr>
        <w:rFonts w:cs="Times New Roman"/>
      </w:rPr>
    </w:lvl>
    <w:lvl w:ilvl="4" w:tplc="04020019" w:tentative="1">
      <w:start w:val="1"/>
      <w:numFmt w:val="lowerLetter"/>
      <w:lvlText w:val="%5."/>
      <w:lvlJc w:val="left"/>
      <w:pPr>
        <w:ind w:left="4810" w:hanging="360"/>
      </w:pPr>
      <w:rPr>
        <w:rFonts w:cs="Times New Roman"/>
      </w:rPr>
    </w:lvl>
    <w:lvl w:ilvl="5" w:tplc="0402001B" w:tentative="1">
      <w:start w:val="1"/>
      <w:numFmt w:val="lowerRoman"/>
      <w:lvlText w:val="%6."/>
      <w:lvlJc w:val="right"/>
      <w:pPr>
        <w:ind w:left="5530" w:hanging="180"/>
      </w:pPr>
      <w:rPr>
        <w:rFonts w:cs="Times New Roman"/>
      </w:rPr>
    </w:lvl>
    <w:lvl w:ilvl="6" w:tplc="0402000F" w:tentative="1">
      <w:start w:val="1"/>
      <w:numFmt w:val="decimal"/>
      <w:lvlText w:val="%7."/>
      <w:lvlJc w:val="left"/>
      <w:pPr>
        <w:ind w:left="6250" w:hanging="360"/>
      </w:pPr>
      <w:rPr>
        <w:rFonts w:cs="Times New Roman"/>
      </w:rPr>
    </w:lvl>
    <w:lvl w:ilvl="7" w:tplc="04020019" w:tentative="1">
      <w:start w:val="1"/>
      <w:numFmt w:val="lowerLetter"/>
      <w:lvlText w:val="%8."/>
      <w:lvlJc w:val="left"/>
      <w:pPr>
        <w:ind w:left="6970" w:hanging="360"/>
      </w:pPr>
      <w:rPr>
        <w:rFonts w:cs="Times New Roman"/>
      </w:rPr>
    </w:lvl>
    <w:lvl w:ilvl="8" w:tplc="0402001B" w:tentative="1">
      <w:start w:val="1"/>
      <w:numFmt w:val="lowerRoman"/>
      <w:lvlText w:val="%9."/>
      <w:lvlJc w:val="right"/>
      <w:pPr>
        <w:ind w:left="7690" w:hanging="180"/>
      </w:pPr>
      <w:rPr>
        <w:rFonts w:cs="Times New Roman"/>
      </w:rPr>
    </w:lvl>
  </w:abstractNum>
  <w:num w:numId="1">
    <w:abstractNumId w:val="18"/>
  </w:num>
  <w:num w:numId="2">
    <w:abstractNumId w:val="20"/>
  </w:num>
  <w:num w:numId="3">
    <w:abstractNumId w:val="8"/>
  </w:num>
  <w:num w:numId="4">
    <w:abstractNumId w:val="12"/>
  </w:num>
  <w:num w:numId="5">
    <w:abstractNumId w:val="11"/>
  </w:num>
  <w:num w:numId="6">
    <w:abstractNumId w:val="4"/>
  </w:num>
  <w:num w:numId="7">
    <w:abstractNumId w:val="5"/>
  </w:num>
  <w:num w:numId="8">
    <w:abstractNumId w:val="14"/>
  </w:num>
  <w:num w:numId="9">
    <w:abstractNumId w:val="6"/>
  </w:num>
  <w:num w:numId="10">
    <w:abstractNumId w:val="19"/>
  </w:num>
  <w:num w:numId="11">
    <w:abstractNumId w:val="16"/>
  </w:num>
  <w:num w:numId="12">
    <w:abstractNumId w:val="3"/>
  </w:num>
  <w:num w:numId="13">
    <w:abstractNumId w:val="17"/>
  </w:num>
  <w:num w:numId="14">
    <w:abstractNumId w:val="2"/>
  </w:num>
  <w:num w:numId="15">
    <w:abstractNumId w:val="7"/>
  </w:num>
  <w:num w:numId="16">
    <w:abstractNumId w:val="9"/>
  </w:num>
  <w:num w:numId="17">
    <w:abstractNumId w:val="1"/>
  </w:num>
  <w:num w:numId="18">
    <w:abstractNumId w:val="0"/>
  </w:num>
  <w:num w:numId="19">
    <w:abstractNumId w:val="15"/>
  </w:num>
  <w:num w:numId="20">
    <w:abstractNumId w:val="13"/>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hyphenationZone w:val="425"/>
  <w:characterSpacingControl w:val="doNotCompress"/>
  <w:hdrShapeDefaults>
    <o:shapedefaults v:ext="edit" spidmax="2088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984"/>
    <w:rsid w:val="0000218C"/>
    <w:rsid w:val="00002C2B"/>
    <w:rsid w:val="00004B97"/>
    <w:rsid w:val="00006308"/>
    <w:rsid w:val="00006986"/>
    <w:rsid w:val="0001448B"/>
    <w:rsid w:val="00015CD1"/>
    <w:rsid w:val="000160BC"/>
    <w:rsid w:val="000200F4"/>
    <w:rsid w:val="0002067B"/>
    <w:rsid w:val="00022F9C"/>
    <w:rsid w:val="00023790"/>
    <w:rsid w:val="00023C31"/>
    <w:rsid w:val="00024B5C"/>
    <w:rsid w:val="00024C1A"/>
    <w:rsid w:val="00026C12"/>
    <w:rsid w:val="00030090"/>
    <w:rsid w:val="000327A0"/>
    <w:rsid w:val="00034CEF"/>
    <w:rsid w:val="00036D6F"/>
    <w:rsid w:val="00041149"/>
    <w:rsid w:val="000413D2"/>
    <w:rsid w:val="00041B2D"/>
    <w:rsid w:val="000421D9"/>
    <w:rsid w:val="00042D08"/>
    <w:rsid w:val="00042D0E"/>
    <w:rsid w:val="00043537"/>
    <w:rsid w:val="000459A4"/>
    <w:rsid w:val="00045EB0"/>
    <w:rsid w:val="0004787D"/>
    <w:rsid w:val="00052119"/>
    <w:rsid w:val="00052209"/>
    <w:rsid w:val="00052395"/>
    <w:rsid w:val="00054358"/>
    <w:rsid w:val="0006247F"/>
    <w:rsid w:val="00064387"/>
    <w:rsid w:val="00064CC7"/>
    <w:rsid w:val="000669C7"/>
    <w:rsid w:val="000673AC"/>
    <w:rsid w:val="00070655"/>
    <w:rsid w:val="00072989"/>
    <w:rsid w:val="00072E96"/>
    <w:rsid w:val="000766EF"/>
    <w:rsid w:val="00076869"/>
    <w:rsid w:val="00076E63"/>
    <w:rsid w:val="00092A3B"/>
    <w:rsid w:val="00093AF5"/>
    <w:rsid w:val="000951A9"/>
    <w:rsid w:val="000951D1"/>
    <w:rsid w:val="00097917"/>
    <w:rsid w:val="000A040C"/>
    <w:rsid w:val="000A1BC7"/>
    <w:rsid w:val="000A2E06"/>
    <w:rsid w:val="000A514F"/>
    <w:rsid w:val="000A7A41"/>
    <w:rsid w:val="000B1A54"/>
    <w:rsid w:val="000B5B79"/>
    <w:rsid w:val="000B70EA"/>
    <w:rsid w:val="000C6A9B"/>
    <w:rsid w:val="000C782D"/>
    <w:rsid w:val="000D232E"/>
    <w:rsid w:val="000D3E35"/>
    <w:rsid w:val="000D4EFA"/>
    <w:rsid w:val="000D6E20"/>
    <w:rsid w:val="000E0182"/>
    <w:rsid w:val="000E24F7"/>
    <w:rsid w:val="000E6183"/>
    <w:rsid w:val="000F0E1A"/>
    <w:rsid w:val="000F1C77"/>
    <w:rsid w:val="000F3382"/>
    <w:rsid w:val="000F5BDA"/>
    <w:rsid w:val="000F5DB5"/>
    <w:rsid w:val="001006F8"/>
    <w:rsid w:val="00100ADD"/>
    <w:rsid w:val="0010233C"/>
    <w:rsid w:val="001045A3"/>
    <w:rsid w:val="001138D1"/>
    <w:rsid w:val="00117E3B"/>
    <w:rsid w:val="001217A2"/>
    <w:rsid w:val="00122904"/>
    <w:rsid w:val="00124020"/>
    <w:rsid w:val="001244A3"/>
    <w:rsid w:val="00125E95"/>
    <w:rsid w:val="0012768E"/>
    <w:rsid w:val="00135827"/>
    <w:rsid w:val="00137040"/>
    <w:rsid w:val="00137518"/>
    <w:rsid w:val="00140381"/>
    <w:rsid w:val="00141232"/>
    <w:rsid w:val="00145412"/>
    <w:rsid w:val="0014668B"/>
    <w:rsid w:val="0014689E"/>
    <w:rsid w:val="00146D45"/>
    <w:rsid w:val="00146D74"/>
    <w:rsid w:val="00151507"/>
    <w:rsid w:val="001526CF"/>
    <w:rsid w:val="00152E12"/>
    <w:rsid w:val="00153946"/>
    <w:rsid w:val="001573BE"/>
    <w:rsid w:val="0015791B"/>
    <w:rsid w:val="00157C07"/>
    <w:rsid w:val="001606C7"/>
    <w:rsid w:val="001612A5"/>
    <w:rsid w:val="001636EF"/>
    <w:rsid w:val="00163727"/>
    <w:rsid w:val="00167C42"/>
    <w:rsid w:val="00170F1F"/>
    <w:rsid w:val="00180B39"/>
    <w:rsid w:val="001816CC"/>
    <w:rsid w:val="00182641"/>
    <w:rsid w:val="00187562"/>
    <w:rsid w:val="001877A2"/>
    <w:rsid w:val="00187838"/>
    <w:rsid w:val="00194D2B"/>
    <w:rsid w:val="001A22EA"/>
    <w:rsid w:val="001A34B2"/>
    <w:rsid w:val="001A3FAC"/>
    <w:rsid w:val="001A445A"/>
    <w:rsid w:val="001A6414"/>
    <w:rsid w:val="001B7038"/>
    <w:rsid w:val="001B79CA"/>
    <w:rsid w:val="001C0122"/>
    <w:rsid w:val="001C2E6C"/>
    <w:rsid w:val="001C51AE"/>
    <w:rsid w:val="001C5D5F"/>
    <w:rsid w:val="001C6BB8"/>
    <w:rsid w:val="001D5357"/>
    <w:rsid w:val="001D7365"/>
    <w:rsid w:val="001D7CEC"/>
    <w:rsid w:val="001E0D0D"/>
    <w:rsid w:val="001E24F6"/>
    <w:rsid w:val="001E2C26"/>
    <w:rsid w:val="001E3F62"/>
    <w:rsid w:val="001E44FB"/>
    <w:rsid w:val="001E61E5"/>
    <w:rsid w:val="001E62F4"/>
    <w:rsid w:val="001E7153"/>
    <w:rsid w:val="001F3D4C"/>
    <w:rsid w:val="001F4343"/>
    <w:rsid w:val="001F43DC"/>
    <w:rsid w:val="001F66C1"/>
    <w:rsid w:val="001F6E7A"/>
    <w:rsid w:val="00203088"/>
    <w:rsid w:val="00205C1C"/>
    <w:rsid w:val="002067D8"/>
    <w:rsid w:val="00207AB9"/>
    <w:rsid w:val="00211792"/>
    <w:rsid w:val="00213D88"/>
    <w:rsid w:val="00214E99"/>
    <w:rsid w:val="00214F9A"/>
    <w:rsid w:val="00220C0B"/>
    <w:rsid w:val="00221F2C"/>
    <w:rsid w:val="00224FCC"/>
    <w:rsid w:val="00231609"/>
    <w:rsid w:val="00232610"/>
    <w:rsid w:val="00235A81"/>
    <w:rsid w:val="00236E5D"/>
    <w:rsid w:val="00240285"/>
    <w:rsid w:val="0024193F"/>
    <w:rsid w:val="00241981"/>
    <w:rsid w:val="00254044"/>
    <w:rsid w:val="00254731"/>
    <w:rsid w:val="00254800"/>
    <w:rsid w:val="00261602"/>
    <w:rsid w:val="0027249E"/>
    <w:rsid w:val="002740F7"/>
    <w:rsid w:val="00274635"/>
    <w:rsid w:val="002763A3"/>
    <w:rsid w:val="002774ED"/>
    <w:rsid w:val="00280600"/>
    <w:rsid w:val="002818B8"/>
    <w:rsid w:val="00291E82"/>
    <w:rsid w:val="00292D5E"/>
    <w:rsid w:val="00293C65"/>
    <w:rsid w:val="00296F7A"/>
    <w:rsid w:val="002A16F9"/>
    <w:rsid w:val="002A1A99"/>
    <w:rsid w:val="002A1B9F"/>
    <w:rsid w:val="002A52B2"/>
    <w:rsid w:val="002A5895"/>
    <w:rsid w:val="002A7CED"/>
    <w:rsid w:val="002B07AD"/>
    <w:rsid w:val="002B1265"/>
    <w:rsid w:val="002B208F"/>
    <w:rsid w:val="002B213E"/>
    <w:rsid w:val="002B2E98"/>
    <w:rsid w:val="002B2FFC"/>
    <w:rsid w:val="002B4DFF"/>
    <w:rsid w:val="002B5064"/>
    <w:rsid w:val="002B6135"/>
    <w:rsid w:val="002B742C"/>
    <w:rsid w:val="002C1AEC"/>
    <w:rsid w:val="002C7124"/>
    <w:rsid w:val="002C7540"/>
    <w:rsid w:val="002D0176"/>
    <w:rsid w:val="002D1E2B"/>
    <w:rsid w:val="002D2A5A"/>
    <w:rsid w:val="002D2E98"/>
    <w:rsid w:val="002D4B84"/>
    <w:rsid w:val="002D4CA8"/>
    <w:rsid w:val="002D6238"/>
    <w:rsid w:val="002E3434"/>
    <w:rsid w:val="002E39B8"/>
    <w:rsid w:val="002F2188"/>
    <w:rsid w:val="002F22E4"/>
    <w:rsid w:val="002F2797"/>
    <w:rsid w:val="002F3313"/>
    <w:rsid w:val="002F55A4"/>
    <w:rsid w:val="002F619F"/>
    <w:rsid w:val="002F72BB"/>
    <w:rsid w:val="00300E5F"/>
    <w:rsid w:val="00301C02"/>
    <w:rsid w:val="003112A0"/>
    <w:rsid w:val="00313C40"/>
    <w:rsid w:val="003172E4"/>
    <w:rsid w:val="00317E55"/>
    <w:rsid w:val="00317FB2"/>
    <w:rsid w:val="0032070B"/>
    <w:rsid w:val="00320C65"/>
    <w:rsid w:val="00332542"/>
    <w:rsid w:val="003341D7"/>
    <w:rsid w:val="0033452F"/>
    <w:rsid w:val="00334727"/>
    <w:rsid w:val="00334E72"/>
    <w:rsid w:val="00337636"/>
    <w:rsid w:val="00337B12"/>
    <w:rsid w:val="00342883"/>
    <w:rsid w:val="0034293D"/>
    <w:rsid w:val="00344C97"/>
    <w:rsid w:val="003450DB"/>
    <w:rsid w:val="00345531"/>
    <w:rsid w:val="0034619C"/>
    <w:rsid w:val="00346754"/>
    <w:rsid w:val="00347FA3"/>
    <w:rsid w:val="00350058"/>
    <w:rsid w:val="00354E95"/>
    <w:rsid w:val="00360451"/>
    <w:rsid w:val="0036219A"/>
    <w:rsid w:val="0036263D"/>
    <w:rsid w:val="00362EB2"/>
    <w:rsid w:val="00364E7E"/>
    <w:rsid w:val="00364FFC"/>
    <w:rsid w:val="003652EA"/>
    <w:rsid w:val="003669F8"/>
    <w:rsid w:val="00366A15"/>
    <w:rsid w:val="0036713B"/>
    <w:rsid w:val="00370625"/>
    <w:rsid w:val="003761A5"/>
    <w:rsid w:val="00376668"/>
    <w:rsid w:val="003821B0"/>
    <w:rsid w:val="003852B8"/>
    <w:rsid w:val="00387431"/>
    <w:rsid w:val="00390AB2"/>
    <w:rsid w:val="003948DA"/>
    <w:rsid w:val="00394BAC"/>
    <w:rsid w:val="00395ED2"/>
    <w:rsid w:val="003A2655"/>
    <w:rsid w:val="003A4AD9"/>
    <w:rsid w:val="003B0407"/>
    <w:rsid w:val="003B05D4"/>
    <w:rsid w:val="003B0958"/>
    <w:rsid w:val="003B0AC4"/>
    <w:rsid w:val="003B1556"/>
    <w:rsid w:val="003B1E81"/>
    <w:rsid w:val="003B32B7"/>
    <w:rsid w:val="003B4AD0"/>
    <w:rsid w:val="003B7EA3"/>
    <w:rsid w:val="003C071D"/>
    <w:rsid w:val="003C113F"/>
    <w:rsid w:val="003C124D"/>
    <w:rsid w:val="003C34C6"/>
    <w:rsid w:val="003C5FAD"/>
    <w:rsid w:val="003C7763"/>
    <w:rsid w:val="003D19D5"/>
    <w:rsid w:val="003D2111"/>
    <w:rsid w:val="003D2E16"/>
    <w:rsid w:val="003E0A07"/>
    <w:rsid w:val="003E1D9D"/>
    <w:rsid w:val="003F09F7"/>
    <w:rsid w:val="003F37CD"/>
    <w:rsid w:val="003F41B5"/>
    <w:rsid w:val="003F60B4"/>
    <w:rsid w:val="003F643C"/>
    <w:rsid w:val="003F6F7B"/>
    <w:rsid w:val="003F7BAD"/>
    <w:rsid w:val="004009C6"/>
    <w:rsid w:val="004018B2"/>
    <w:rsid w:val="00404462"/>
    <w:rsid w:val="004076B8"/>
    <w:rsid w:val="00407FEF"/>
    <w:rsid w:val="004112D9"/>
    <w:rsid w:val="00415BE4"/>
    <w:rsid w:val="00416A64"/>
    <w:rsid w:val="00421640"/>
    <w:rsid w:val="00425749"/>
    <w:rsid w:val="00430318"/>
    <w:rsid w:val="00430C91"/>
    <w:rsid w:val="00431608"/>
    <w:rsid w:val="004332C3"/>
    <w:rsid w:val="00434A36"/>
    <w:rsid w:val="00434D88"/>
    <w:rsid w:val="00434D92"/>
    <w:rsid w:val="004370BA"/>
    <w:rsid w:val="004407E6"/>
    <w:rsid w:val="004411CB"/>
    <w:rsid w:val="00443739"/>
    <w:rsid w:val="00444229"/>
    <w:rsid w:val="00446845"/>
    <w:rsid w:val="00446E6A"/>
    <w:rsid w:val="00446EFA"/>
    <w:rsid w:val="00446FC8"/>
    <w:rsid w:val="0044787F"/>
    <w:rsid w:val="004518FE"/>
    <w:rsid w:val="004519E6"/>
    <w:rsid w:val="00451AF0"/>
    <w:rsid w:val="00451FD9"/>
    <w:rsid w:val="00455464"/>
    <w:rsid w:val="00455C43"/>
    <w:rsid w:val="00461870"/>
    <w:rsid w:val="004627BA"/>
    <w:rsid w:val="00463AEE"/>
    <w:rsid w:val="00463B60"/>
    <w:rsid w:val="00466CEF"/>
    <w:rsid w:val="004679E8"/>
    <w:rsid w:val="00473162"/>
    <w:rsid w:val="00473586"/>
    <w:rsid w:val="00473FA5"/>
    <w:rsid w:val="004741C0"/>
    <w:rsid w:val="00474FE9"/>
    <w:rsid w:val="00476670"/>
    <w:rsid w:val="004768AF"/>
    <w:rsid w:val="00477D06"/>
    <w:rsid w:val="00482165"/>
    <w:rsid w:val="004822A3"/>
    <w:rsid w:val="0048283A"/>
    <w:rsid w:val="00482957"/>
    <w:rsid w:val="0048577E"/>
    <w:rsid w:val="00487F98"/>
    <w:rsid w:val="004910F7"/>
    <w:rsid w:val="004942BD"/>
    <w:rsid w:val="00494DD3"/>
    <w:rsid w:val="004A0C68"/>
    <w:rsid w:val="004A3BDF"/>
    <w:rsid w:val="004A5578"/>
    <w:rsid w:val="004A6C0B"/>
    <w:rsid w:val="004B02EE"/>
    <w:rsid w:val="004B08E6"/>
    <w:rsid w:val="004B11A5"/>
    <w:rsid w:val="004B6147"/>
    <w:rsid w:val="004B6886"/>
    <w:rsid w:val="004B7167"/>
    <w:rsid w:val="004C0E2B"/>
    <w:rsid w:val="004C2853"/>
    <w:rsid w:val="004C394F"/>
    <w:rsid w:val="004C5691"/>
    <w:rsid w:val="004C587B"/>
    <w:rsid w:val="004C7124"/>
    <w:rsid w:val="004C761A"/>
    <w:rsid w:val="004D21E5"/>
    <w:rsid w:val="004D22D2"/>
    <w:rsid w:val="004D4B75"/>
    <w:rsid w:val="004D53B5"/>
    <w:rsid w:val="004D6D8F"/>
    <w:rsid w:val="004E2841"/>
    <w:rsid w:val="004E348E"/>
    <w:rsid w:val="004E3C53"/>
    <w:rsid w:val="004E3D1A"/>
    <w:rsid w:val="004E4FD6"/>
    <w:rsid w:val="004F0876"/>
    <w:rsid w:val="004F0CB0"/>
    <w:rsid w:val="004F1553"/>
    <w:rsid w:val="004F155A"/>
    <w:rsid w:val="004F1C8E"/>
    <w:rsid w:val="004F2C2E"/>
    <w:rsid w:val="004F3804"/>
    <w:rsid w:val="004F3BF2"/>
    <w:rsid w:val="004F4C4F"/>
    <w:rsid w:val="004F5CB7"/>
    <w:rsid w:val="00502774"/>
    <w:rsid w:val="00503482"/>
    <w:rsid w:val="00510931"/>
    <w:rsid w:val="00511850"/>
    <w:rsid w:val="00512211"/>
    <w:rsid w:val="00512BAB"/>
    <w:rsid w:val="00512BE8"/>
    <w:rsid w:val="0051369A"/>
    <w:rsid w:val="00513AA8"/>
    <w:rsid w:val="0051714C"/>
    <w:rsid w:val="005208C1"/>
    <w:rsid w:val="00520D32"/>
    <w:rsid w:val="00521166"/>
    <w:rsid w:val="00521E24"/>
    <w:rsid w:val="00522C62"/>
    <w:rsid w:val="005255E1"/>
    <w:rsid w:val="005305F7"/>
    <w:rsid w:val="005307D5"/>
    <w:rsid w:val="00532516"/>
    <w:rsid w:val="005331FC"/>
    <w:rsid w:val="005345A1"/>
    <w:rsid w:val="00535458"/>
    <w:rsid w:val="0054012E"/>
    <w:rsid w:val="00542AB3"/>
    <w:rsid w:val="00542BAC"/>
    <w:rsid w:val="00542E5E"/>
    <w:rsid w:val="00543CAA"/>
    <w:rsid w:val="00545A0F"/>
    <w:rsid w:val="00546109"/>
    <w:rsid w:val="00551638"/>
    <w:rsid w:val="0055247D"/>
    <w:rsid w:val="00553228"/>
    <w:rsid w:val="00553E67"/>
    <w:rsid w:val="00554637"/>
    <w:rsid w:val="005550FA"/>
    <w:rsid w:val="0055558F"/>
    <w:rsid w:val="005569E7"/>
    <w:rsid w:val="005577BC"/>
    <w:rsid w:val="00557D41"/>
    <w:rsid w:val="00561689"/>
    <w:rsid w:val="00561B77"/>
    <w:rsid w:val="005650C3"/>
    <w:rsid w:val="00565A4D"/>
    <w:rsid w:val="0056797A"/>
    <w:rsid w:val="00571EB2"/>
    <w:rsid w:val="0057304E"/>
    <w:rsid w:val="00573C38"/>
    <w:rsid w:val="00576B19"/>
    <w:rsid w:val="005806ED"/>
    <w:rsid w:val="0058089E"/>
    <w:rsid w:val="00583163"/>
    <w:rsid w:val="00584683"/>
    <w:rsid w:val="0058482B"/>
    <w:rsid w:val="00584BFF"/>
    <w:rsid w:val="00587DA0"/>
    <w:rsid w:val="00590DBC"/>
    <w:rsid w:val="005954B3"/>
    <w:rsid w:val="00596A27"/>
    <w:rsid w:val="005A21CE"/>
    <w:rsid w:val="005A654B"/>
    <w:rsid w:val="005B089E"/>
    <w:rsid w:val="005B1295"/>
    <w:rsid w:val="005B4E9D"/>
    <w:rsid w:val="005B7762"/>
    <w:rsid w:val="005B7EC4"/>
    <w:rsid w:val="005C167B"/>
    <w:rsid w:val="005C68B4"/>
    <w:rsid w:val="005C7650"/>
    <w:rsid w:val="005D0211"/>
    <w:rsid w:val="005D5384"/>
    <w:rsid w:val="005E3A44"/>
    <w:rsid w:val="005F0C18"/>
    <w:rsid w:val="005F184D"/>
    <w:rsid w:val="005F30CE"/>
    <w:rsid w:val="005F34B4"/>
    <w:rsid w:val="005F3B14"/>
    <w:rsid w:val="005F3D46"/>
    <w:rsid w:val="005F4B6D"/>
    <w:rsid w:val="005F5068"/>
    <w:rsid w:val="005F59CB"/>
    <w:rsid w:val="005F5AD9"/>
    <w:rsid w:val="005F6DB2"/>
    <w:rsid w:val="0060089B"/>
    <w:rsid w:val="00600E07"/>
    <w:rsid w:val="00604A22"/>
    <w:rsid w:val="00606179"/>
    <w:rsid w:val="00606607"/>
    <w:rsid w:val="00607240"/>
    <w:rsid w:val="00612129"/>
    <w:rsid w:val="00617AF6"/>
    <w:rsid w:val="00622936"/>
    <w:rsid w:val="00622E33"/>
    <w:rsid w:val="0062427C"/>
    <w:rsid w:val="00624724"/>
    <w:rsid w:val="00626FEF"/>
    <w:rsid w:val="006301CC"/>
    <w:rsid w:val="0063274D"/>
    <w:rsid w:val="00635A1F"/>
    <w:rsid w:val="006402F3"/>
    <w:rsid w:val="00641CF9"/>
    <w:rsid w:val="00643B02"/>
    <w:rsid w:val="00646B47"/>
    <w:rsid w:val="00650356"/>
    <w:rsid w:val="00657DC1"/>
    <w:rsid w:val="00660EF9"/>
    <w:rsid w:val="00663E1A"/>
    <w:rsid w:val="00663E62"/>
    <w:rsid w:val="00664F4F"/>
    <w:rsid w:val="0066611C"/>
    <w:rsid w:val="00667EB9"/>
    <w:rsid w:val="0067051C"/>
    <w:rsid w:val="00670CBF"/>
    <w:rsid w:val="00673A6D"/>
    <w:rsid w:val="00676472"/>
    <w:rsid w:val="00677658"/>
    <w:rsid w:val="00680037"/>
    <w:rsid w:val="00681F34"/>
    <w:rsid w:val="00685A6E"/>
    <w:rsid w:val="00686666"/>
    <w:rsid w:val="00691DD5"/>
    <w:rsid w:val="00693147"/>
    <w:rsid w:val="00693CE4"/>
    <w:rsid w:val="0069471E"/>
    <w:rsid w:val="00696117"/>
    <w:rsid w:val="006A3B31"/>
    <w:rsid w:val="006A46B1"/>
    <w:rsid w:val="006A5B27"/>
    <w:rsid w:val="006A5C0F"/>
    <w:rsid w:val="006B062A"/>
    <w:rsid w:val="006B25A4"/>
    <w:rsid w:val="006B2D8A"/>
    <w:rsid w:val="006B2FC6"/>
    <w:rsid w:val="006C2203"/>
    <w:rsid w:val="006C22D8"/>
    <w:rsid w:val="006C27D6"/>
    <w:rsid w:val="006C5776"/>
    <w:rsid w:val="006C5F59"/>
    <w:rsid w:val="006C60E2"/>
    <w:rsid w:val="006D0F64"/>
    <w:rsid w:val="006D7984"/>
    <w:rsid w:val="006D7B46"/>
    <w:rsid w:val="006E5DDA"/>
    <w:rsid w:val="006E630F"/>
    <w:rsid w:val="006F2565"/>
    <w:rsid w:val="006F2F81"/>
    <w:rsid w:val="006F4099"/>
    <w:rsid w:val="006F46D9"/>
    <w:rsid w:val="006F5E82"/>
    <w:rsid w:val="006F637C"/>
    <w:rsid w:val="006F66EB"/>
    <w:rsid w:val="007001C0"/>
    <w:rsid w:val="007007CA"/>
    <w:rsid w:val="007026A1"/>
    <w:rsid w:val="007049F4"/>
    <w:rsid w:val="0070576B"/>
    <w:rsid w:val="007067B9"/>
    <w:rsid w:val="007074DC"/>
    <w:rsid w:val="007108A0"/>
    <w:rsid w:val="00710976"/>
    <w:rsid w:val="0071148A"/>
    <w:rsid w:val="00714211"/>
    <w:rsid w:val="007153E7"/>
    <w:rsid w:val="00715D5D"/>
    <w:rsid w:val="00716395"/>
    <w:rsid w:val="00720729"/>
    <w:rsid w:val="00723C64"/>
    <w:rsid w:val="007260DE"/>
    <w:rsid w:val="00727FF3"/>
    <w:rsid w:val="00730315"/>
    <w:rsid w:val="00730732"/>
    <w:rsid w:val="00731E8D"/>
    <w:rsid w:val="00732585"/>
    <w:rsid w:val="007344C4"/>
    <w:rsid w:val="0073596A"/>
    <w:rsid w:val="007419CB"/>
    <w:rsid w:val="007426DE"/>
    <w:rsid w:val="007430CA"/>
    <w:rsid w:val="00743E50"/>
    <w:rsid w:val="00744E16"/>
    <w:rsid w:val="0074571C"/>
    <w:rsid w:val="00747443"/>
    <w:rsid w:val="00750B33"/>
    <w:rsid w:val="00751733"/>
    <w:rsid w:val="00752F63"/>
    <w:rsid w:val="007540D1"/>
    <w:rsid w:val="0075438D"/>
    <w:rsid w:val="00754CE4"/>
    <w:rsid w:val="0076177A"/>
    <w:rsid w:val="00761975"/>
    <w:rsid w:val="00764703"/>
    <w:rsid w:val="007650E4"/>
    <w:rsid w:val="00765197"/>
    <w:rsid w:val="00765C4A"/>
    <w:rsid w:val="00766A4E"/>
    <w:rsid w:val="00770C06"/>
    <w:rsid w:val="00771589"/>
    <w:rsid w:val="00775074"/>
    <w:rsid w:val="00781CA0"/>
    <w:rsid w:val="00783055"/>
    <w:rsid w:val="0078311F"/>
    <w:rsid w:val="0078672B"/>
    <w:rsid w:val="007868A1"/>
    <w:rsid w:val="00786A45"/>
    <w:rsid w:val="0079128E"/>
    <w:rsid w:val="007912E0"/>
    <w:rsid w:val="00793908"/>
    <w:rsid w:val="0079405A"/>
    <w:rsid w:val="00795EAE"/>
    <w:rsid w:val="007978CF"/>
    <w:rsid w:val="007A31F2"/>
    <w:rsid w:val="007A32FA"/>
    <w:rsid w:val="007A3D63"/>
    <w:rsid w:val="007A3F1E"/>
    <w:rsid w:val="007A5209"/>
    <w:rsid w:val="007A530D"/>
    <w:rsid w:val="007A67C3"/>
    <w:rsid w:val="007B3599"/>
    <w:rsid w:val="007B3A57"/>
    <w:rsid w:val="007B5735"/>
    <w:rsid w:val="007C737E"/>
    <w:rsid w:val="007C7E69"/>
    <w:rsid w:val="007D0CD8"/>
    <w:rsid w:val="007D36D0"/>
    <w:rsid w:val="007D398C"/>
    <w:rsid w:val="007D4339"/>
    <w:rsid w:val="007D6F6C"/>
    <w:rsid w:val="007D7302"/>
    <w:rsid w:val="007D7AF3"/>
    <w:rsid w:val="007E07E3"/>
    <w:rsid w:val="007E20BE"/>
    <w:rsid w:val="007E2574"/>
    <w:rsid w:val="007E3E5B"/>
    <w:rsid w:val="007E613B"/>
    <w:rsid w:val="007F238F"/>
    <w:rsid w:val="007F42E8"/>
    <w:rsid w:val="007F650A"/>
    <w:rsid w:val="007F7AE4"/>
    <w:rsid w:val="008048DA"/>
    <w:rsid w:val="008051E9"/>
    <w:rsid w:val="00805E39"/>
    <w:rsid w:val="0081048A"/>
    <w:rsid w:val="0081072E"/>
    <w:rsid w:val="00810D53"/>
    <w:rsid w:val="008110C7"/>
    <w:rsid w:val="00825B73"/>
    <w:rsid w:val="00830A29"/>
    <w:rsid w:val="00831C29"/>
    <w:rsid w:val="00836BFE"/>
    <w:rsid w:val="00836C4B"/>
    <w:rsid w:val="008408BF"/>
    <w:rsid w:val="00840FDC"/>
    <w:rsid w:val="00843258"/>
    <w:rsid w:val="00847864"/>
    <w:rsid w:val="00850FE9"/>
    <w:rsid w:val="008531D6"/>
    <w:rsid w:val="00855B8C"/>
    <w:rsid w:val="00860E40"/>
    <w:rsid w:val="00860E7A"/>
    <w:rsid w:val="00861DAC"/>
    <w:rsid w:val="00865F46"/>
    <w:rsid w:val="00867D1D"/>
    <w:rsid w:val="00870858"/>
    <w:rsid w:val="00871DE7"/>
    <w:rsid w:val="008727E0"/>
    <w:rsid w:val="00872AEE"/>
    <w:rsid w:val="0087387B"/>
    <w:rsid w:val="0087419F"/>
    <w:rsid w:val="008743C1"/>
    <w:rsid w:val="00875A02"/>
    <w:rsid w:val="00876966"/>
    <w:rsid w:val="00881BBC"/>
    <w:rsid w:val="00884B0F"/>
    <w:rsid w:val="00885E68"/>
    <w:rsid w:val="00886267"/>
    <w:rsid w:val="0088790A"/>
    <w:rsid w:val="00887E70"/>
    <w:rsid w:val="0089220E"/>
    <w:rsid w:val="008924FA"/>
    <w:rsid w:val="0089324B"/>
    <w:rsid w:val="00895A38"/>
    <w:rsid w:val="00896341"/>
    <w:rsid w:val="008971E6"/>
    <w:rsid w:val="008977FA"/>
    <w:rsid w:val="008A4AE3"/>
    <w:rsid w:val="008A58C4"/>
    <w:rsid w:val="008A7E4F"/>
    <w:rsid w:val="008B4961"/>
    <w:rsid w:val="008B750A"/>
    <w:rsid w:val="008C3DB6"/>
    <w:rsid w:val="008C473B"/>
    <w:rsid w:val="008D03A4"/>
    <w:rsid w:val="008D1CF6"/>
    <w:rsid w:val="008D20FE"/>
    <w:rsid w:val="008D374B"/>
    <w:rsid w:val="008D58FA"/>
    <w:rsid w:val="008D5B3F"/>
    <w:rsid w:val="008E0DF3"/>
    <w:rsid w:val="008E1106"/>
    <w:rsid w:val="008E1854"/>
    <w:rsid w:val="008E4813"/>
    <w:rsid w:val="008E4CE7"/>
    <w:rsid w:val="008E60A6"/>
    <w:rsid w:val="008F17A4"/>
    <w:rsid w:val="008F1EBF"/>
    <w:rsid w:val="008F3CB1"/>
    <w:rsid w:val="008F5980"/>
    <w:rsid w:val="008F7292"/>
    <w:rsid w:val="009003F6"/>
    <w:rsid w:val="009034F4"/>
    <w:rsid w:val="00903CA8"/>
    <w:rsid w:val="0090677E"/>
    <w:rsid w:val="00907397"/>
    <w:rsid w:val="009105E7"/>
    <w:rsid w:val="0091149B"/>
    <w:rsid w:val="00913563"/>
    <w:rsid w:val="009150E0"/>
    <w:rsid w:val="00915419"/>
    <w:rsid w:val="0091562E"/>
    <w:rsid w:val="0092186A"/>
    <w:rsid w:val="00924CBE"/>
    <w:rsid w:val="00924E5C"/>
    <w:rsid w:val="009309E7"/>
    <w:rsid w:val="00930A27"/>
    <w:rsid w:val="009333C4"/>
    <w:rsid w:val="009360BA"/>
    <w:rsid w:val="0093684A"/>
    <w:rsid w:val="00937028"/>
    <w:rsid w:val="00940851"/>
    <w:rsid w:val="00942303"/>
    <w:rsid w:val="0094317C"/>
    <w:rsid w:val="009441A2"/>
    <w:rsid w:val="00944CB8"/>
    <w:rsid w:val="00950854"/>
    <w:rsid w:val="0095104C"/>
    <w:rsid w:val="0095427C"/>
    <w:rsid w:val="009546F1"/>
    <w:rsid w:val="0095668D"/>
    <w:rsid w:val="00961037"/>
    <w:rsid w:val="00963FD0"/>
    <w:rsid w:val="0096733E"/>
    <w:rsid w:val="00973466"/>
    <w:rsid w:val="0097396C"/>
    <w:rsid w:val="009742C7"/>
    <w:rsid w:val="00974FBC"/>
    <w:rsid w:val="00976606"/>
    <w:rsid w:val="00982CED"/>
    <w:rsid w:val="009832E3"/>
    <w:rsid w:val="009873ED"/>
    <w:rsid w:val="00987BDD"/>
    <w:rsid w:val="0099076A"/>
    <w:rsid w:val="00993793"/>
    <w:rsid w:val="00993FFC"/>
    <w:rsid w:val="00995361"/>
    <w:rsid w:val="00996179"/>
    <w:rsid w:val="009973A9"/>
    <w:rsid w:val="009A0746"/>
    <w:rsid w:val="009A1800"/>
    <w:rsid w:val="009A30EB"/>
    <w:rsid w:val="009A549E"/>
    <w:rsid w:val="009B13A5"/>
    <w:rsid w:val="009B22E7"/>
    <w:rsid w:val="009B44A8"/>
    <w:rsid w:val="009B7765"/>
    <w:rsid w:val="009C06BF"/>
    <w:rsid w:val="009C2D32"/>
    <w:rsid w:val="009C40A9"/>
    <w:rsid w:val="009C4AEF"/>
    <w:rsid w:val="009C6CE0"/>
    <w:rsid w:val="009D0BB8"/>
    <w:rsid w:val="009D12A9"/>
    <w:rsid w:val="009D460F"/>
    <w:rsid w:val="009D4DA5"/>
    <w:rsid w:val="009D51DC"/>
    <w:rsid w:val="009D7580"/>
    <w:rsid w:val="009D7E2C"/>
    <w:rsid w:val="009E20F7"/>
    <w:rsid w:val="009E231C"/>
    <w:rsid w:val="009E29E8"/>
    <w:rsid w:val="009E2CF3"/>
    <w:rsid w:val="009E425F"/>
    <w:rsid w:val="009E62CA"/>
    <w:rsid w:val="009F455F"/>
    <w:rsid w:val="009F4855"/>
    <w:rsid w:val="009F5EFD"/>
    <w:rsid w:val="00A045D8"/>
    <w:rsid w:val="00A053EF"/>
    <w:rsid w:val="00A066E6"/>
    <w:rsid w:val="00A073F4"/>
    <w:rsid w:val="00A1028A"/>
    <w:rsid w:val="00A111D9"/>
    <w:rsid w:val="00A121D3"/>
    <w:rsid w:val="00A13FB6"/>
    <w:rsid w:val="00A15CEA"/>
    <w:rsid w:val="00A203FB"/>
    <w:rsid w:val="00A235A4"/>
    <w:rsid w:val="00A26824"/>
    <w:rsid w:val="00A26885"/>
    <w:rsid w:val="00A2759E"/>
    <w:rsid w:val="00A312D1"/>
    <w:rsid w:val="00A31BAF"/>
    <w:rsid w:val="00A3383D"/>
    <w:rsid w:val="00A339BA"/>
    <w:rsid w:val="00A35CCC"/>
    <w:rsid w:val="00A365D5"/>
    <w:rsid w:val="00A37D36"/>
    <w:rsid w:val="00A4093C"/>
    <w:rsid w:val="00A412AD"/>
    <w:rsid w:val="00A4251A"/>
    <w:rsid w:val="00A46A11"/>
    <w:rsid w:val="00A5013C"/>
    <w:rsid w:val="00A50323"/>
    <w:rsid w:val="00A51B88"/>
    <w:rsid w:val="00A537CE"/>
    <w:rsid w:val="00A54B18"/>
    <w:rsid w:val="00A54C1C"/>
    <w:rsid w:val="00A6053E"/>
    <w:rsid w:val="00A606DF"/>
    <w:rsid w:val="00A6520C"/>
    <w:rsid w:val="00A65BB4"/>
    <w:rsid w:val="00A6647A"/>
    <w:rsid w:val="00A67892"/>
    <w:rsid w:val="00A70079"/>
    <w:rsid w:val="00A70B3D"/>
    <w:rsid w:val="00A7228C"/>
    <w:rsid w:val="00A73398"/>
    <w:rsid w:val="00A7352B"/>
    <w:rsid w:val="00A73A18"/>
    <w:rsid w:val="00A74ADC"/>
    <w:rsid w:val="00A760B9"/>
    <w:rsid w:val="00A82981"/>
    <w:rsid w:val="00A84E10"/>
    <w:rsid w:val="00A87DE2"/>
    <w:rsid w:val="00A91552"/>
    <w:rsid w:val="00A9265D"/>
    <w:rsid w:val="00A9337B"/>
    <w:rsid w:val="00A93EEB"/>
    <w:rsid w:val="00A95597"/>
    <w:rsid w:val="00A96DD7"/>
    <w:rsid w:val="00A97B51"/>
    <w:rsid w:val="00A97C8F"/>
    <w:rsid w:val="00AA004B"/>
    <w:rsid w:val="00AA30A6"/>
    <w:rsid w:val="00AA4B02"/>
    <w:rsid w:val="00AA6606"/>
    <w:rsid w:val="00AB1166"/>
    <w:rsid w:val="00AB429E"/>
    <w:rsid w:val="00AB499A"/>
    <w:rsid w:val="00AC0FEC"/>
    <w:rsid w:val="00AC1A15"/>
    <w:rsid w:val="00AC1ADF"/>
    <w:rsid w:val="00AC20A2"/>
    <w:rsid w:val="00AC6596"/>
    <w:rsid w:val="00AC743F"/>
    <w:rsid w:val="00AD1BB9"/>
    <w:rsid w:val="00AD2682"/>
    <w:rsid w:val="00AD346E"/>
    <w:rsid w:val="00AD4743"/>
    <w:rsid w:val="00AD5B8A"/>
    <w:rsid w:val="00AD5F40"/>
    <w:rsid w:val="00AD78F8"/>
    <w:rsid w:val="00AE1005"/>
    <w:rsid w:val="00AE35A7"/>
    <w:rsid w:val="00AE4E4F"/>
    <w:rsid w:val="00AE6C57"/>
    <w:rsid w:val="00AE7F89"/>
    <w:rsid w:val="00AF03EC"/>
    <w:rsid w:val="00AF0845"/>
    <w:rsid w:val="00AF1D8D"/>
    <w:rsid w:val="00AF29AC"/>
    <w:rsid w:val="00AF48F6"/>
    <w:rsid w:val="00AF642F"/>
    <w:rsid w:val="00B02B73"/>
    <w:rsid w:val="00B12742"/>
    <w:rsid w:val="00B12A54"/>
    <w:rsid w:val="00B132C1"/>
    <w:rsid w:val="00B1728F"/>
    <w:rsid w:val="00B17647"/>
    <w:rsid w:val="00B17934"/>
    <w:rsid w:val="00B20122"/>
    <w:rsid w:val="00B2082D"/>
    <w:rsid w:val="00B244D1"/>
    <w:rsid w:val="00B25263"/>
    <w:rsid w:val="00B25608"/>
    <w:rsid w:val="00B26DEE"/>
    <w:rsid w:val="00B272F8"/>
    <w:rsid w:val="00B27B14"/>
    <w:rsid w:val="00B3030B"/>
    <w:rsid w:val="00B33BED"/>
    <w:rsid w:val="00B35970"/>
    <w:rsid w:val="00B43465"/>
    <w:rsid w:val="00B435FD"/>
    <w:rsid w:val="00B44518"/>
    <w:rsid w:val="00B50417"/>
    <w:rsid w:val="00B50F30"/>
    <w:rsid w:val="00B53257"/>
    <w:rsid w:val="00B53A69"/>
    <w:rsid w:val="00B54295"/>
    <w:rsid w:val="00B54F42"/>
    <w:rsid w:val="00B550C8"/>
    <w:rsid w:val="00B56702"/>
    <w:rsid w:val="00B572AA"/>
    <w:rsid w:val="00B615CF"/>
    <w:rsid w:val="00B62B22"/>
    <w:rsid w:val="00B63EBA"/>
    <w:rsid w:val="00B64779"/>
    <w:rsid w:val="00B64E8C"/>
    <w:rsid w:val="00B669AC"/>
    <w:rsid w:val="00B66FC9"/>
    <w:rsid w:val="00B67070"/>
    <w:rsid w:val="00B70689"/>
    <w:rsid w:val="00B71267"/>
    <w:rsid w:val="00B71888"/>
    <w:rsid w:val="00B71D50"/>
    <w:rsid w:val="00B71DE4"/>
    <w:rsid w:val="00B722F7"/>
    <w:rsid w:val="00B740DF"/>
    <w:rsid w:val="00B75F75"/>
    <w:rsid w:val="00B76453"/>
    <w:rsid w:val="00B80D6F"/>
    <w:rsid w:val="00B83497"/>
    <w:rsid w:val="00B83512"/>
    <w:rsid w:val="00B83E1E"/>
    <w:rsid w:val="00B91283"/>
    <w:rsid w:val="00B9379D"/>
    <w:rsid w:val="00B94BF3"/>
    <w:rsid w:val="00B96FD7"/>
    <w:rsid w:val="00B977C1"/>
    <w:rsid w:val="00BA3B13"/>
    <w:rsid w:val="00BA4D02"/>
    <w:rsid w:val="00BA5D30"/>
    <w:rsid w:val="00BA6318"/>
    <w:rsid w:val="00BA63C8"/>
    <w:rsid w:val="00BA7269"/>
    <w:rsid w:val="00BB1E97"/>
    <w:rsid w:val="00BB4C3A"/>
    <w:rsid w:val="00BB6E98"/>
    <w:rsid w:val="00BC2235"/>
    <w:rsid w:val="00BC5FFF"/>
    <w:rsid w:val="00BC6B19"/>
    <w:rsid w:val="00BC7446"/>
    <w:rsid w:val="00BD20DC"/>
    <w:rsid w:val="00BD4018"/>
    <w:rsid w:val="00BD588F"/>
    <w:rsid w:val="00BD7AF8"/>
    <w:rsid w:val="00BE070A"/>
    <w:rsid w:val="00BE18DD"/>
    <w:rsid w:val="00BE29B0"/>
    <w:rsid w:val="00BE347F"/>
    <w:rsid w:val="00BE35C5"/>
    <w:rsid w:val="00BE5CA2"/>
    <w:rsid w:val="00BE718E"/>
    <w:rsid w:val="00BE7F8F"/>
    <w:rsid w:val="00BF0916"/>
    <w:rsid w:val="00BF1FD7"/>
    <w:rsid w:val="00BF3EED"/>
    <w:rsid w:val="00BF3FED"/>
    <w:rsid w:val="00BF7E19"/>
    <w:rsid w:val="00C004A1"/>
    <w:rsid w:val="00C017A9"/>
    <w:rsid w:val="00C02F30"/>
    <w:rsid w:val="00C064B3"/>
    <w:rsid w:val="00C103FB"/>
    <w:rsid w:val="00C1621B"/>
    <w:rsid w:val="00C16BF4"/>
    <w:rsid w:val="00C20E30"/>
    <w:rsid w:val="00C23687"/>
    <w:rsid w:val="00C26CB2"/>
    <w:rsid w:val="00C279EC"/>
    <w:rsid w:val="00C31465"/>
    <w:rsid w:val="00C33798"/>
    <w:rsid w:val="00C34CAE"/>
    <w:rsid w:val="00C35A64"/>
    <w:rsid w:val="00C3707E"/>
    <w:rsid w:val="00C374F7"/>
    <w:rsid w:val="00C37935"/>
    <w:rsid w:val="00C40BCF"/>
    <w:rsid w:val="00C41CC5"/>
    <w:rsid w:val="00C435D9"/>
    <w:rsid w:val="00C440EA"/>
    <w:rsid w:val="00C46954"/>
    <w:rsid w:val="00C504A2"/>
    <w:rsid w:val="00C50EAB"/>
    <w:rsid w:val="00C51AE7"/>
    <w:rsid w:val="00C54D43"/>
    <w:rsid w:val="00C5506E"/>
    <w:rsid w:val="00C552E9"/>
    <w:rsid w:val="00C56A43"/>
    <w:rsid w:val="00C56C9D"/>
    <w:rsid w:val="00C607BC"/>
    <w:rsid w:val="00C615FC"/>
    <w:rsid w:val="00C6248A"/>
    <w:rsid w:val="00C6271A"/>
    <w:rsid w:val="00C6680B"/>
    <w:rsid w:val="00C67C9B"/>
    <w:rsid w:val="00C7152E"/>
    <w:rsid w:val="00C7728C"/>
    <w:rsid w:val="00C80F09"/>
    <w:rsid w:val="00C83DE8"/>
    <w:rsid w:val="00C84E98"/>
    <w:rsid w:val="00C87012"/>
    <w:rsid w:val="00C876DA"/>
    <w:rsid w:val="00C92494"/>
    <w:rsid w:val="00C93DF1"/>
    <w:rsid w:val="00C9605A"/>
    <w:rsid w:val="00C97159"/>
    <w:rsid w:val="00CA0369"/>
    <w:rsid w:val="00CA56EE"/>
    <w:rsid w:val="00CA5DFA"/>
    <w:rsid w:val="00CB00F0"/>
    <w:rsid w:val="00CB05BE"/>
    <w:rsid w:val="00CB3896"/>
    <w:rsid w:val="00CB38B6"/>
    <w:rsid w:val="00CC3CEC"/>
    <w:rsid w:val="00CC3E88"/>
    <w:rsid w:val="00CC652C"/>
    <w:rsid w:val="00CC6C60"/>
    <w:rsid w:val="00CC71E4"/>
    <w:rsid w:val="00CD0D2C"/>
    <w:rsid w:val="00CD0E60"/>
    <w:rsid w:val="00CD1A32"/>
    <w:rsid w:val="00CD2065"/>
    <w:rsid w:val="00CD3FEB"/>
    <w:rsid w:val="00CD5976"/>
    <w:rsid w:val="00CD7D87"/>
    <w:rsid w:val="00CE01A5"/>
    <w:rsid w:val="00CE52CD"/>
    <w:rsid w:val="00CF3310"/>
    <w:rsid w:val="00CF6735"/>
    <w:rsid w:val="00D030B0"/>
    <w:rsid w:val="00D03B49"/>
    <w:rsid w:val="00D03E46"/>
    <w:rsid w:val="00D03F4F"/>
    <w:rsid w:val="00D04E01"/>
    <w:rsid w:val="00D0691F"/>
    <w:rsid w:val="00D1230F"/>
    <w:rsid w:val="00D1501B"/>
    <w:rsid w:val="00D17073"/>
    <w:rsid w:val="00D211FD"/>
    <w:rsid w:val="00D21640"/>
    <w:rsid w:val="00D21D68"/>
    <w:rsid w:val="00D26A9C"/>
    <w:rsid w:val="00D31703"/>
    <w:rsid w:val="00D32747"/>
    <w:rsid w:val="00D33362"/>
    <w:rsid w:val="00D355B0"/>
    <w:rsid w:val="00D410EE"/>
    <w:rsid w:val="00D4277D"/>
    <w:rsid w:val="00D4332C"/>
    <w:rsid w:val="00D43AA2"/>
    <w:rsid w:val="00D44CEF"/>
    <w:rsid w:val="00D467B4"/>
    <w:rsid w:val="00D50005"/>
    <w:rsid w:val="00D51226"/>
    <w:rsid w:val="00D51341"/>
    <w:rsid w:val="00D51464"/>
    <w:rsid w:val="00D51C2B"/>
    <w:rsid w:val="00D52B91"/>
    <w:rsid w:val="00D53DFC"/>
    <w:rsid w:val="00D60CBC"/>
    <w:rsid w:val="00D63CC9"/>
    <w:rsid w:val="00D6614C"/>
    <w:rsid w:val="00D67643"/>
    <w:rsid w:val="00D7039E"/>
    <w:rsid w:val="00D752E2"/>
    <w:rsid w:val="00D75B0B"/>
    <w:rsid w:val="00D80821"/>
    <w:rsid w:val="00D80B81"/>
    <w:rsid w:val="00D80BFF"/>
    <w:rsid w:val="00D81920"/>
    <w:rsid w:val="00D82CFB"/>
    <w:rsid w:val="00D82CFD"/>
    <w:rsid w:val="00D86570"/>
    <w:rsid w:val="00D86C05"/>
    <w:rsid w:val="00D874BE"/>
    <w:rsid w:val="00D906E5"/>
    <w:rsid w:val="00D9143A"/>
    <w:rsid w:val="00D9211B"/>
    <w:rsid w:val="00D925CD"/>
    <w:rsid w:val="00D956B1"/>
    <w:rsid w:val="00D967E6"/>
    <w:rsid w:val="00DA16C9"/>
    <w:rsid w:val="00DA1807"/>
    <w:rsid w:val="00DA3091"/>
    <w:rsid w:val="00DA4075"/>
    <w:rsid w:val="00DA461D"/>
    <w:rsid w:val="00DA66FB"/>
    <w:rsid w:val="00DB459B"/>
    <w:rsid w:val="00DB50F6"/>
    <w:rsid w:val="00DB5149"/>
    <w:rsid w:val="00DB5619"/>
    <w:rsid w:val="00DB6E73"/>
    <w:rsid w:val="00DC007B"/>
    <w:rsid w:val="00DC009B"/>
    <w:rsid w:val="00DC2E29"/>
    <w:rsid w:val="00DC3D68"/>
    <w:rsid w:val="00DC60E6"/>
    <w:rsid w:val="00DC62D1"/>
    <w:rsid w:val="00DC79EC"/>
    <w:rsid w:val="00DD0FDC"/>
    <w:rsid w:val="00DD146C"/>
    <w:rsid w:val="00DD1846"/>
    <w:rsid w:val="00DD2237"/>
    <w:rsid w:val="00DD358B"/>
    <w:rsid w:val="00DD3A75"/>
    <w:rsid w:val="00DD5DF0"/>
    <w:rsid w:val="00DD6604"/>
    <w:rsid w:val="00DD67F0"/>
    <w:rsid w:val="00DE162E"/>
    <w:rsid w:val="00DE4B6A"/>
    <w:rsid w:val="00DE6B19"/>
    <w:rsid w:val="00DE6B81"/>
    <w:rsid w:val="00DE795C"/>
    <w:rsid w:val="00DE7CD6"/>
    <w:rsid w:val="00DF05BA"/>
    <w:rsid w:val="00DF160B"/>
    <w:rsid w:val="00DF1B47"/>
    <w:rsid w:val="00DF2D10"/>
    <w:rsid w:val="00DF3265"/>
    <w:rsid w:val="00DF3328"/>
    <w:rsid w:val="00DF3915"/>
    <w:rsid w:val="00DF4C01"/>
    <w:rsid w:val="00DF4CF1"/>
    <w:rsid w:val="00DF52FA"/>
    <w:rsid w:val="00DF5AE4"/>
    <w:rsid w:val="00DF6F6A"/>
    <w:rsid w:val="00DF7188"/>
    <w:rsid w:val="00E019E7"/>
    <w:rsid w:val="00E020BA"/>
    <w:rsid w:val="00E04835"/>
    <w:rsid w:val="00E06510"/>
    <w:rsid w:val="00E07566"/>
    <w:rsid w:val="00E11C81"/>
    <w:rsid w:val="00E126C0"/>
    <w:rsid w:val="00E130DD"/>
    <w:rsid w:val="00E151E2"/>
    <w:rsid w:val="00E16D01"/>
    <w:rsid w:val="00E203A0"/>
    <w:rsid w:val="00E214FE"/>
    <w:rsid w:val="00E27E07"/>
    <w:rsid w:val="00E350B4"/>
    <w:rsid w:val="00E352D8"/>
    <w:rsid w:val="00E35599"/>
    <w:rsid w:val="00E372F0"/>
    <w:rsid w:val="00E4074C"/>
    <w:rsid w:val="00E439AF"/>
    <w:rsid w:val="00E44DE0"/>
    <w:rsid w:val="00E45E9A"/>
    <w:rsid w:val="00E46AC4"/>
    <w:rsid w:val="00E477B3"/>
    <w:rsid w:val="00E507FA"/>
    <w:rsid w:val="00E50918"/>
    <w:rsid w:val="00E51957"/>
    <w:rsid w:val="00E521F2"/>
    <w:rsid w:val="00E5266F"/>
    <w:rsid w:val="00E53D21"/>
    <w:rsid w:val="00E57E9E"/>
    <w:rsid w:val="00E60A0D"/>
    <w:rsid w:val="00E60A89"/>
    <w:rsid w:val="00E60DF4"/>
    <w:rsid w:val="00E615E8"/>
    <w:rsid w:val="00E653D3"/>
    <w:rsid w:val="00E65509"/>
    <w:rsid w:val="00E65A33"/>
    <w:rsid w:val="00E700C7"/>
    <w:rsid w:val="00E70312"/>
    <w:rsid w:val="00E73029"/>
    <w:rsid w:val="00E81AE2"/>
    <w:rsid w:val="00E84393"/>
    <w:rsid w:val="00E87A41"/>
    <w:rsid w:val="00E93016"/>
    <w:rsid w:val="00E948B2"/>
    <w:rsid w:val="00E9613D"/>
    <w:rsid w:val="00E96319"/>
    <w:rsid w:val="00EA1FFC"/>
    <w:rsid w:val="00EA2324"/>
    <w:rsid w:val="00EA2985"/>
    <w:rsid w:val="00EB5442"/>
    <w:rsid w:val="00EB5464"/>
    <w:rsid w:val="00EB7DBD"/>
    <w:rsid w:val="00EC1167"/>
    <w:rsid w:val="00EC24AD"/>
    <w:rsid w:val="00EC30E9"/>
    <w:rsid w:val="00EC3B78"/>
    <w:rsid w:val="00EC57E3"/>
    <w:rsid w:val="00EC6010"/>
    <w:rsid w:val="00EC7498"/>
    <w:rsid w:val="00ED04D8"/>
    <w:rsid w:val="00ED075D"/>
    <w:rsid w:val="00ED246B"/>
    <w:rsid w:val="00ED3AC6"/>
    <w:rsid w:val="00ED6158"/>
    <w:rsid w:val="00ED6408"/>
    <w:rsid w:val="00EE419E"/>
    <w:rsid w:val="00EE6CA3"/>
    <w:rsid w:val="00F01CBD"/>
    <w:rsid w:val="00F023B1"/>
    <w:rsid w:val="00F03446"/>
    <w:rsid w:val="00F038BC"/>
    <w:rsid w:val="00F04343"/>
    <w:rsid w:val="00F04B4E"/>
    <w:rsid w:val="00F06513"/>
    <w:rsid w:val="00F07476"/>
    <w:rsid w:val="00F10DC5"/>
    <w:rsid w:val="00F11B0E"/>
    <w:rsid w:val="00F124F9"/>
    <w:rsid w:val="00F12DDC"/>
    <w:rsid w:val="00F16598"/>
    <w:rsid w:val="00F16E3F"/>
    <w:rsid w:val="00F2150B"/>
    <w:rsid w:val="00F235C6"/>
    <w:rsid w:val="00F30277"/>
    <w:rsid w:val="00F312D8"/>
    <w:rsid w:val="00F32E22"/>
    <w:rsid w:val="00F34D13"/>
    <w:rsid w:val="00F3600D"/>
    <w:rsid w:val="00F37BC8"/>
    <w:rsid w:val="00F42E2D"/>
    <w:rsid w:val="00F431B8"/>
    <w:rsid w:val="00F44FA7"/>
    <w:rsid w:val="00F458B3"/>
    <w:rsid w:val="00F4727D"/>
    <w:rsid w:val="00F47F6F"/>
    <w:rsid w:val="00F51681"/>
    <w:rsid w:val="00F51A4A"/>
    <w:rsid w:val="00F51F3E"/>
    <w:rsid w:val="00F523AB"/>
    <w:rsid w:val="00F53411"/>
    <w:rsid w:val="00F53C95"/>
    <w:rsid w:val="00F54C96"/>
    <w:rsid w:val="00F6082A"/>
    <w:rsid w:val="00F60B87"/>
    <w:rsid w:val="00F6117C"/>
    <w:rsid w:val="00F62601"/>
    <w:rsid w:val="00F64B24"/>
    <w:rsid w:val="00F6621A"/>
    <w:rsid w:val="00F71D05"/>
    <w:rsid w:val="00F80D81"/>
    <w:rsid w:val="00F8508C"/>
    <w:rsid w:val="00F85A02"/>
    <w:rsid w:val="00F86E71"/>
    <w:rsid w:val="00F87765"/>
    <w:rsid w:val="00F87F7B"/>
    <w:rsid w:val="00F913FE"/>
    <w:rsid w:val="00F93858"/>
    <w:rsid w:val="00F95CFE"/>
    <w:rsid w:val="00F97AFA"/>
    <w:rsid w:val="00F97F9C"/>
    <w:rsid w:val="00FA0453"/>
    <w:rsid w:val="00FA1927"/>
    <w:rsid w:val="00FA4175"/>
    <w:rsid w:val="00FA5820"/>
    <w:rsid w:val="00FB31DD"/>
    <w:rsid w:val="00FB344E"/>
    <w:rsid w:val="00FB3E14"/>
    <w:rsid w:val="00FB5094"/>
    <w:rsid w:val="00FB5DF3"/>
    <w:rsid w:val="00FB5ED6"/>
    <w:rsid w:val="00FC00DE"/>
    <w:rsid w:val="00FC1F49"/>
    <w:rsid w:val="00FC37CF"/>
    <w:rsid w:val="00FC4097"/>
    <w:rsid w:val="00FC442C"/>
    <w:rsid w:val="00FD2173"/>
    <w:rsid w:val="00FE0702"/>
    <w:rsid w:val="00FE3D8C"/>
    <w:rsid w:val="00FE55C5"/>
    <w:rsid w:val="00FE5D72"/>
    <w:rsid w:val="00FE67F5"/>
    <w:rsid w:val="00FE6DED"/>
    <w:rsid w:val="00FE75A2"/>
    <w:rsid w:val="00FF066E"/>
    <w:rsid w:val="00FF0D55"/>
    <w:rsid w:val="00FF1228"/>
    <w:rsid w:val="00FF31A9"/>
    <w:rsid w:val="00FF3FB0"/>
    <w:rsid w:val="00FF424B"/>
    <w:rsid w:val="00FF4DAF"/>
    <w:rsid w:val="00FF515A"/>
    <w:rsid w:val="00FF56FD"/>
    <w:rsid w:val="00FF6E0B"/>
    <w:rsid w:val="00FF707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8897"/>
    <o:shapelayout v:ext="edit">
      <o:idmap v:ext="edit" data="1"/>
    </o:shapelayout>
  </w:shapeDefaults>
  <w:decimalSymbol w:val=","/>
  <w:listSeparator w:val=";"/>
  <w14:docId w14:val="14D76D12"/>
  <w15:docId w15:val="{A1A37C4C-579E-4EB8-B426-F144B85A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6B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6E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6E63"/>
  </w:style>
  <w:style w:type="paragraph" w:styleId="Footer">
    <w:name w:val="footer"/>
    <w:basedOn w:val="Normal"/>
    <w:link w:val="FooterChar"/>
    <w:uiPriority w:val="99"/>
    <w:unhideWhenUsed/>
    <w:rsid w:val="00076E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6E63"/>
  </w:style>
  <w:style w:type="character" w:styleId="PageNumber">
    <w:name w:val="page number"/>
    <w:basedOn w:val="DefaultParagraphFont"/>
    <w:rsid w:val="00076E63"/>
  </w:style>
  <w:style w:type="paragraph" w:styleId="z-TopofForm">
    <w:name w:val="HTML Top of Form"/>
    <w:basedOn w:val="Normal"/>
    <w:next w:val="Normal"/>
    <w:link w:val="z-TopofFormChar"/>
    <w:hidden/>
    <w:uiPriority w:val="99"/>
    <w:semiHidden/>
    <w:unhideWhenUsed/>
    <w:rsid w:val="00076E63"/>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076E63"/>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076E63"/>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076E63"/>
    <w:rPr>
      <w:rFonts w:ascii="Arial" w:hAnsi="Arial" w:cs="Arial"/>
      <w:vanish/>
      <w:sz w:val="16"/>
      <w:szCs w:val="16"/>
    </w:rPr>
  </w:style>
  <w:style w:type="paragraph" w:styleId="BalloonText">
    <w:name w:val="Balloon Text"/>
    <w:basedOn w:val="Normal"/>
    <w:link w:val="BalloonTextChar"/>
    <w:uiPriority w:val="99"/>
    <w:semiHidden/>
    <w:unhideWhenUsed/>
    <w:rsid w:val="00B722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22F7"/>
    <w:rPr>
      <w:rFonts w:ascii="Segoe UI" w:hAnsi="Segoe UI" w:cs="Segoe UI"/>
      <w:sz w:val="18"/>
      <w:szCs w:val="18"/>
    </w:rPr>
  </w:style>
  <w:style w:type="paragraph" w:styleId="ListParagraph">
    <w:name w:val="List Paragraph"/>
    <w:basedOn w:val="Normal"/>
    <w:uiPriority w:val="34"/>
    <w:qFormat/>
    <w:rsid w:val="00F04B4E"/>
    <w:pPr>
      <w:ind w:left="720"/>
      <w:contextualSpacing/>
    </w:pPr>
  </w:style>
  <w:style w:type="character" w:styleId="CommentReference">
    <w:name w:val="annotation reference"/>
    <w:basedOn w:val="DefaultParagraphFont"/>
    <w:uiPriority w:val="99"/>
    <w:semiHidden/>
    <w:unhideWhenUsed/>
    <w:rsid w:val="009546F1"/>
    <w:rPr>
      <w:sz w:val="16"/>
      <w:szCs w:val="16"/>
    </w:rPr>
  </w:style>
  <w:style w:type="paragraph" w:styleId="CommentText">
    <w:name w:val="annotation text"/>
    <w:basedOn w:val="Normal"/>
    <w:link w:val="CommentTextChar"/>
    <w:uiPriority w:val="99"/>
    <w:semiHidden/>
    <w:unhideWhenUsed/>
    <w:rsid w:val="009546F1"/>
    <w:pPr>
      <w:spacing w:line="240" w:lineRule="auto"/>
    </w:pPr>
    <w:rPr>
      <w:sz w:val="20"/>
      <w:szCs w:val="20"/>
    </w:rPr>
  </w:style>
  <w:style w:type="character" w:customStyle="1" w:styleId="CommentTextChar">
    <w:name w:val="Comment Text Char"/>
    <w:basedOn w:val="DefaultParagraphFont"/>
    <w:link w:val="CommentText"/>
    <w:uiPriority w:val="99"/>
    <w:semiHidden/>
    <w:rsid w:val="009546F1"/>
    <w:rPr>
      <w:sz w:val="20"/>
      <w:szCs w:val="20"/>
    </w:rPr>
  </w:style>
  <w:style w:type="paragraph" w:styleId="CommentSubject">
    <w:name w:val="annotation subject"/>
    <w:basedOn w:val="CommentText"/>
    <w:next w:val="CommentText"/>
    <w:link w:val="CommentSubjectChar"/>
    <w:uiPriority w:val="99"/>
    <w:semiHidden/>
    <w:unhideWhenUsed/>
    <w:rsid w:val="009546F1"/>
    <w:rPr>
      <w:b/>
      <w:bCs/>
    </w:rPr>
  </w:style>
  <w:style w:type="character" w:customStyle="1" w:styleId="CommentSubjectChar">
    <w:name w:val="Comment Subject Char"/>
    <w:basedOn w:val="CommentTextChar"/>
    <w:link w:val="CommentSubject"/>
    <w:uiPriority w:val="99"/>
    <w:semiHidden/>
    <w:rsid w:val="009546F1"/>
    <w:rPr>
      <w:b/>
      <w:bCs/>
      <w:sz w:val="20"/>
      <w:szCs w:val="20"/>
    </w:rPr>
  </w:style>
  <w:style w:type="table" w:styleId="TableGrid">
    <w:name w:val="Table Grid"/>
    <w:basedOn w:val="TableNormal"/>
    <w:uiPriority w:val="39"/>
    <w:rsid w:val="009D4DA5"/>
    <w:pPr>
      <w:spacing w:after="0" w:line="240" w:lineRule="auto"/>
    </w:pPr>
    <w:rPr>
      <w:lang w:val="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66FC9"/>
    <w:rPr>
      <w:color w:val="0563C1" w:themeColor="hyperlink"/>
      <w:u w:val="single"/>
    </w:rPr>
  </w:style>
  <w:style w:type="character" w:customStyle="1" w:styleId="search23">
    <w:name w:val="search23"/>
    <w:basedOn w:val="DefaultParagraphFont"/>
    <w:rsid w:val="00425749"/>
    <w:rPr>
      <w:shd w:val="clear" w:color="auto" w:fill="FF9999"/>
    </w:rPr>
  </w:style>
  <w:style w:type="character" w:customStyle="1" w:styleId="search33">
    <w:name w:val="search33"/>
    <w:basedOn w:val="DefaultParagraphFont"/>
    <w:rsid w:val="00425749"/>
    <w:rPr>
      <w:shd w:val="clear" w:color="auto" w:fill="EBBE51"/>
    </w:rPr>
  </w:style>
  <w:style w:type="character" w:customStyle="1" w:styleId="search43">
    <w:name w:val="search43"/>
    <w:basedOn w:val="DefaultParagraphFont"/>
    <w:rsid w:val="00425749"/>
    <w:rPr>
      <w:shd w:val="clear" w:color="auto" w:fill="A0FFFF"/>
    </w:rPr>
  </w:style>
  <w:style w:type="character" w:customStyle="1" w:styleId="search53">
    <w:name w:val="search53"/>
    <w:basedOn w:val="DefaultParagraphFont"/>
    <w:rsid w:val="00425749"/>
    <w:rPr>
      <w:shd w:val="clear" w:color="auto" w:fill="CCFF99"/>
    </w:rPr>
  </w:style>
  <w:style w:type="character" w:customStyle="1" w:styleId="search63">
    <w:name w:val="search63"/>
    <w:basedOn w:val="DefaultParagraphFont"/>
    <w:rsid w:val="00425749"/>
    <w:rPr>
      <w:shd w:val="clear" w:color="auto" w:fill="FFCCCC"/>
    </w:rPr>
  </w:style>
  <w:style w:type="character" w:customStyle="1" w:styleId="search73">
    <w:name w:val="search73"/>
    <w:basedOn w:val="DefaultParagraphFont"/>
    <w:rsid w:val="00425749"/>
    <w:rPr>
      <w:shd w:val="clear" w:color="auto" w:fill="99CCFF"/>
    </w:rPr>
  </w:style>
  <w:style w:type="character" w:customStyle="1" w:styleId="search83">
    <w:name w:val="search83"/>
    <w:basedOn w:val="DefaultParagraphFont"/>
    <w:rsid w:val="00425749"/>
    <w:rPr>
      <w:shd w:val="clear" w:color="auto" w:fill="AA99AA"/>
    </w:rPr>
  </w:style>
  <w:style w:type="character" w:customStyle="1" w:styleId="search93">
    <w:name w:val="search93"/>
    <w:basedOn w:val="DefaultParagraphFont"/>
    <w:rsid w:val="00425749"/>
    <w:rPr>
      <w:shd w:val="clear" w:color="auto" w:fill="FFBBFF"/>
    </w:rPr>
  </w:style>
  <w:style w:type="character" w:customStyle="1" w:styleId="search103">
    <w:name w:val="search103"/>
    <w:basedOn w:val="DefaultParagraphFont"/>
    <w:rsid w:val="00425749"/>
    <w:rPr>
      <w:shd w:val="clear" w:color="auto" w:fill="FFFF66"/>
    </w:rPr>
  </w:style>
  <w:style w:type="character" w:customStyle="1" w:styleId="search113">
    <w:name w:val="search113"/>
    <w:basedOn w:val="DefaultParagraphFont"/>
    <w:rsid w:val="00425749"/>
    <w:rPr>
      <w:shd w:val="clear" w:color="auto" w:fill="99FF99"/>
    </w:rPr>
  </w:style>
  <w:style w:type="paragraph" w:customStyle="1" w:styleId="TableParagraph">
    <w:name w:val="Table Paragraph"/>
    <w:basedOn w:val="Normal"/>
    <w:uiPriority w:val="1"/>
    <w:qFormat/>
    <w:rsid w:val="00D17073"/>
    <w:pPr>
      <w:widowControl w:val="0"/>
      <w:autoSpaceDE w:val="0"/>
      <w:autoSpaceDN w:val="0"/>
      <w:spacing w:after="0" w:line="240" w:lineRule="auto"/>
      <w:ind w:left="124"/>
    </w:pPr>
    <w:rPr>
      <w:rFonts w:ascii="Liberation Serif" w:eastAsia="Liberation Serif" w:hAnsi="Liberation Serif" w:cs="Liberation Serif"/>
      <w:lang w:val="bg-BG"/>
    </w:rPr>
  </w:style>
  <w:style w:type="paragraph" w:customStyle="1" w:styleId="Char">
    <w:name w:val="Char"/>
    <w:basedOn w:val="Normal"/>
    <w:autoRedefine/>
    <w:rsid w:val="003A4AD9"/>
    <w:pPr>
      <w:spacing w:after="120" w:line="240" w:lineRule="auto"/>
    </w:pPr>
    <w:rPr>
      <w:rFonts w:ascii="Futura Bk" w:eastAsia="Times New Roman" w:hAnsi="Futura Bk" w:cs="Times New Roman"/>
      <w:sz w:val="20"/>
      <w:szCs w:val="24"/>
      <w:lang w:eastAsia="pl-PL"/>
    </w:rPr>
  </w:style>
  <w:style w:type="paragraph" w:customStyle="1" w:styleId="Default">
    <w:name w:val="Default"/>
    <w:rsid w:val="00B3030B"/>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F44FA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557320">
      <w:bodyDiv w:val="1"/>
      <w:marLeft w:val="0"/>
      <w:marRight w:val="0"/>
      <w:marTop w:val="0"/>
      <w:marBottom w:val="0"/>
      <w:divBdr>
        <w:top w:val="none" w:sz="0" w:space="0" w:color="auto"/>
        <w:left w:val="none" w:sz="0" w:space="0" w:color="auto"/>
        <w:bottom w:val="none" w:sz="0" w:space="0" w:color="auto"/>
        <w:right w:val="none" w:sz="0" w:space="0" w:color="auto"/>
      </w:divBdr>
    </w:div>
    <w:div w:id="306252947">
      <w:bodyDiv w:val="1"/>
      <w:marLeft w:val="0"/>
      <w:marRight w:val="0"/>
      <w:marTop w:val="0"/>
      <w:marBottom w:val="0"/>
      <w:divBdr>
        <w:top w:val="none" w:sz="0" w:space="0" w:color="auto"/>
        <w:left w:val="none" w:sz="0" w:space="0" w:color="auto"/>
        <w:bottom w:val="none" w:sz="0" w:space="0" w:color="auto"/>
        <w:right w:val="none" w:sz="0" w:space="0" w:color="auto"/>
      </w:divBdr>
    </w:div>
    <w:div w:id="1052578122">
      <w:bodyDiv w:val="1"/>
      <w:marLeft w:val="390"/>
      <w:marRight w:val="390"/>
      <w:marTop w:val="0"/>
      <w:marBottom w:val="0"/>
      <w:divBdr>
        <w:top w:val="none" w:sz="0" w:space="0" w:color="auto"/>
        <w:left w:val="none" w:sz="0" w:space="0" w:color="auto"/>
        <w:bottom w:val="none" w:sz="0" w:space="0" w:color="auto"/>
        <w:right w:val="none" w:sz="0" w:space="0" w:color="auto"/>
      </w:divBdr>
      <w:divsChild>
        <w:div w:id="853569509">
          <w:marLeft w:val="0"/>
          <w:marRight w:val="0"/>
          <w:marTop w:val="0"/>
          <w:marBottom w:val="120"/>
          <w:divBdr>
            <w:top w:val="none" w:sz="0" w:space="0" w:color="auto"/>
            <w:left w:val="none" w:sz="0" w:space="0" w:color="auto"/>
            <w:bottom w:val="none" w:sz="0" w:space="0" w:color="auto"/>
            <w:right w:val="none" w:sz="0" w:space="0" w:color="auto"/>
          </w:divBdr>
          <w:divsChild>
            <w:div w:id="1972900814">
              <w:marLeft w:val="0"/>
              <w:marRight w:val="0"/>
              <w:marTop w:val="0"/>
              <w:marBottom w:val="0"/>
              <w:divBdr>
                <w:top w:val="none" w:sz="0" w:space="0" w:color="auto"/>
                <w:left w:val="none" w:sz="0" w:space="0" w:color="auto"/>
                <w:bottom w:val="none" w:sz="0" w:space="0" w:color="auto"/>
                <w:right w:val="none" w:sz="0" w:space="0" w:color="auto"/>
              </w:divBdr>
            </w:div>
            <w:div w:id="154902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991987">
      <w:bodyDiv w:val="1"/>
      <w:marLeft w:val="0"/>
      <w:marRight w:val="0"/>
      <w:marTop w:val="0"/>
      <w:marBottom w:val="0"/>
      <w:divBdr>
        <w:top w:val="none" w:sz="0" w:space="0" w:color="auto"/>
        <w:left w:val="none" w:sz="0" w:space="0" w:color="auto"/>
        <w:bottom w:val="none" w:sz="0" w:space="0" w:color="auto"/>
        <w:right w:val="none" w:sz="0" w:space="0" w:color="auto"/>
      </w:divBdr>
    </w:div>
    <w:div w:id="1465998688">
      <w:bodyDiv w:val="1"/>
      <w:marLeft w:val="0"/>
      <w:marRight w:val="0"/>
      <w:marTop w:val="0"/>
      <w:marBottom w:val="0"/>
      <w:divBdr>
        <w:top w:val="none" w:sz="0" w:space="0" w:color="auto"/>
        <w:left w:val="none" w:sz="0" w:space="0" w:color="auto"/>
        <w:bottom w:val="none" w:sz="0" w:space="0" w:color="auto"/>
        <w:right w:val="none" w:sz="0" w:space="0" w:color="auto"/>
      </w:divBdr>
      <w:divsChild>
        <w:div w:id="462313333">
          <w:marLeft w:val="0"/>
          <w:marRight w:val="0"/>
          <w:marTop w:val="0"/>
          <w:marBottom w:val="0"/>
          <w:divBdr>
            <w:top w:val="none" w:sz="0" w:space="0" w:color="auto"/>
            <w:left w:val="none" w:sz="0" w:space="0" w:color="auto"/>
            <w:bottom w:val="none" w:sz="0" w:space="0" w:color="auto"/>
            <w:right w:val="none" w:sz="0" w:space="0" w:color="auto"/>
          </w:divBdr>
        </w:div>
      </w:divsChild>
    </w:div>
    <w:div w:id="1546525291">
      <w:bodyDiv w:val="1"/>
      <w:marLeft w:val="0"/>
      <w:marRight w:val="0"/>
      <w:marTop w:val="0"/>
      <w:marBottom w:val="0"/>
      <w:divBdr>
        <w:top w:val="none" w:sz="0" w:space="0" w:color="auto"/>
        <w:left w:val="none" w:sz="0" w:space="0" w:color="auto"/>
        <w:bottom w:val="none" w:sz="0" w:space="0" w:color="auto"/>
        <w:right w:val="none" w:sz="0" w:space="0" w:color="auto"/>
      </w:divBdr>
      <w:divsChild>
        <w:div w:id="1058473420">
          <w:marLeft w:val="0"/>
          <w:marRight w:val="0"/>
          <w:marTop w:val="0"/>
          <w:marBottom w:val="0"/>
          <w:divBdr>
            <w:top w:val="none" w:sz="0" w:space="0" w:color="auto"/>
            <w:left w:val="none" w:sz="0" w:space="0" w:color="auto"/>
            <w:bottom w:val="none" w:sz="0" w:space="0" w:color="auto"/>
            <w:right w:val="none" w:sz="0" w:space="0" w:color="auto"/>
          </w:divBdr>
        </w:div>
      </w:divsChild>
    </w:div>
    <w:div w:id="1616983431">
      <w:bodyDiv w:val="1"/>
      <w:marLeft w:val="0"/>
      <w:marRight w:val="0"/>
      <w:marTop w:val="0"/>
      <w:marBottom w:val="0"/>
      <w:divBdr>
        <w:top w:val="none" w:sz="0" w:space="0" w:color="auto"/>
        <w:left w:val="none" w:sz="0" w:space="0" w:color="auto"/>
        <w:bottom w:val="none" w:sz="0" w:space="0" w:color="auto"/>
        <w:right w:val="none" w:sz="0" w:space="0" w:color="auto"/>
      </w:divBdr>
    </w:div>
    <w:div w:id="1645695638">
      <w:bodyDiv w:val="1"/>
      <w:marLeft w:val="390"/>
      <w:marRight w:val="390"/>
      <w:marTop w:val="0"/>
      <w:marBottom w:val="0"/>
      <w:divBdr>
        <w:top w:val="none" w:sz="0" w:space="0" w:color="auto"/>
        <w:left w:val="none" w:sz="0" w:space="0" w:color="auto"/>
        <w:bottom w:val="none" w:sz="0" w:space="0" w:color="auto"/>
        <w:right w:val="none" w:sz="0" w:space="0" w:color="auto"/>
      </w:divBdr>
      <w:divsChild>
        <w:div w:id="115028734">
          <w:marLeft w:val="0"/>
          <w:marRight w:val="0"/>
          <w:marTop w:val="0"/>
          <w:marBottom w:val="120"/>
          <w:divBdr>
            <w:top w:val="none" w:sz="0" w:space="0" w:color="auto"/>
            <w:left w:val="none" w:sz="0" w:space="0" w:color="auto"/>
            <w:bottom w:val="none" w:sz="0" w:space="0" w:color="auto"/>
            <w:right w:val="none" w:sz="0" w:space="0" w:color="auto"/>
          </w:divBdr>
          <w:divsChild>
            <w:div w:id="1006444349">
              <w:marLeft w:val="0"/>
              <w:marRight w:val="0"/>
              <w:marTop w:val="0"/>
              <w:marBottom w:val="0"/>
              <w:divBdr>
                <w:top w:val="none" w:sz="0" w:space="0" w:color="auto"/>
                <w:left w:val="none" w:sz="0" w:space="0" w:color="auto"/>
                <w:bottom w:val="none" w:sz="0" w:space="0" w:color="auto"/>
                <w:right w:val="none" w:sz="0" w:space="0" w:color="auto"/>
              </w:divBdr>
            </w:div>
            <w:div w:id="1076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82794">
      <w:bodyDiv w:val="1"/>
      <w:marLeft w:val="0"/>
      <w:marRight w:val="0"/>
      <w:marTop w:val="0"/>
      <w:marBottom w:val="0"/>
      <w:divBdr>
        <w:top w:val="none" w:sz="0" w:space="0" w:color="auto"/>
        <w:left w:val="none" w:sz="0" w:space="0" w:color="auto"/>
        <w:bottom w:val="none" w:sz="0" w:space="0" w:color="auto"/>
        <w:right w:val="none" w:sz="0" w:space="0" w:color="auto"/>
      </w:divBdr>
    </w:div>
    <w:div w:id="1748575525">
      <w:bodyDiv w:val="1"/>
      <w:marLeft w:val="0"/>
      <w:marRight w:val="0"/>
      <w:marTop w:val="0"/>
      <w:marBottom w:val="0"/>
      <w:divBdr>
        <w:top w:val="none" w:sz="0" w:space="0" w:color="auto"/>
        <w:left w:val="none" w:sz="0" w:space="0" w:color="auto"/>
        <w:bottom w:val="none" w:sz="0" w:space="0" w:color="auto"/>
        <w:right w:val="none" w:sz="0" w:space="0" w:color="auto"/>
      </w:divBdr>
    </w:div>
    <w:div w:id="1753968488">
      <w:bodyDiv w:val="1"/>
      <w:marLeft w:val="0"/>
      <w:marRight w:val="0"/>
      <w:marTop w:val="0"/>
      <w:marBottom w:val="0"/>
      <w:divBdr>
        <w:top w:val="none" w:sz="0" w:space="0" w:color="auto"/>
        <w:left w:val="none" w:sz="0" w:space="0" w:color="auto"/>
        <w:bottom w:val="none" w:sz="0" w:space="0" w:color="auto"/>
        <w:right w:val="none" w:sz="0" w:space="0" w:color="auto"/>
      </w:divBdr>
      <w:divsChild>
        <w:div w:id="34042370">
          <w:marLeft w:val="0"/>
          <w:marRight w:val="0"/>
          <w:marTop w:val="0"/>
          <w:marBottom w:val="0"/>
          <w:divBdr>
            <w:top w:val="none" w:sz="0" w:space="0" w:color="auto"/>
            <w:left w:val="none" w:sz="0" w:space="0" w:color="auto"/>
            <w:bottom w:val="none" w:sz="0" w:space="0" w:color="auto"/>
            <w:right w:val="none" w:sz="0" w:space="0" w:color="auto"/>
          </w:divBdr>
        </w:div>
      </w:divsChild>
    </w:div>
    <w:div w:id="1840652142">
      <w:bodyDiv w:val="1"/>
      <w:marLeft w:val="0"/>
      <w:marRight w:val="0"/>
      <w:marTop w:val="0"/>
      <w:marBottom w:val="0"/>
      <w:divBdr>
        <w:top w:val="none" w:sz="0" w:space="0" w:color="auto"/>
        <w:left w:val="none" w:sz="0" w:space="0" w:color="auto"/>
        <w:bottom w:val="none" w:sz="0" w:space="0" w:color="auto"/>
        <w:right w:val="none" w:sz="0" w:space="0" w:color="auto"/>
      </w:divBdr>
    </w:div>
    <w:div w:id="2019578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Deleva@mzh.government.bg" TargetMode="External"/><Relationship Id="rId18" Type="http://schemas.openxmlformats.org/officeDocument/2006/relationships/control" Target="activeX/activeX4.xml"/><Relationship Id="rId26" Type="http://schemas.openxmlformats.org/officeDocument/2006/relationships/control" Target="activeX/activeX9.xml"/><Relationship Id="rId39" Type="http://schemas.openxmlformats.org/officeDocument/2006/relationships/image" Target="media/image12.emf"/><Relationship Id="rId21" Type="http://schemas.openxmlformats.org/officeDocument/2006/relationships/image" Target="media/image6.wmf"/><Relationship Id="rId34" Type="http://schemas.openxmlformats.org/officeDocument/2006/relationships/control" Target="activeX/activeX13.xml"/><Relationship Id="rId42" Type="http://schemas.openxmlformats.org/officeDocument/2006/relationships/header" Target="head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ontrol" Target="activeX/activeX3.xml"/><Relationship Id="rId20" Type="http://schemas.openxmlformats.org/officeDocument/2006/relationships/control" Target="activeX/activeX5.xml"/><Relationship Id="rId29" Type="http://schemas.openxmlformats.org/officeDocument/2006/relationships/image" Target="media/image9.wmf"/><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24" Type="http://schemas.openxmlformats.org/officeDocument/2006/relationships/control" Target="activeX/activeX7.xml"/><Relationship Id="rId32" Type="http://schemas.openxmlformats.org/officeDocument/2006/relationships/control" Target="activeX/activeX12.xml"/><Relationship Id="rId37" Type="http://schemas.openxmlformats.org/officeDocument/2006/relationships/control" Target="activeX/activeX16.xml"/><Relationship Id="rId40"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3.wmf"/><Relationship Id="rId23" Type="http://schemas.openxmlformats.org/officeDocument/2006/relationships/image" Target="media/image7.wmf"/><Relationship Id="rId28" Type="http://schemas.openxmlformats.org/officeDocument/2006/relationships/control" Target="activeX/activeX10.xml"/><Relationship Id="rId36" Type="http://schemas.openxmlformats.org/officeDocument/2006/relationships/control" Target="activeX/activeX15.xml"/><Relationship Id="rId10" Type="http://schemas.openxmlformats.org/officeDocument/2006/relationships/image" Target="media/image2.wmf"/><Relationship Id="rId19" Type="http://schemas.openxmlformats.org/officeDocument/2006/relationships/image" Target="media/image5.wmf"/><Relationship Id="rId31" Type="http://schemas.openxmlformats.org/officeDocument/2006/relationships/image" Target="media/image10.wmf"/><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hyperlink" Target="mailto:K.Popova@mzh.government.bg" TargetMode="External"/><Relationship Id="rId22" Type="http://schemas.openxmlformats.org/officeDocument/2006/relationships/control" Target="activeX/activeX6.xml"/><Relationship Id="rId27" Type="http://schemas.openxmlformats.org/officeDocument/2006/relationships/image" Target="media/image8.wmf"/><Relationship Id="rId30" Type="http://schemas.openxmlformats.org/officeDocument/2006/relationships/control" Target="activeX/activeX11.xml"/><Relationship Id="rId35" Type="http://schemas.openxmlformats.org/officeDocument/2006/relationships/control" Target="activeX/activeX14.xml"/><Relationship Id="rId43" Type="http://schemas.openxmlformats.org/officeDocument/2006/relationships/fontTable" Target="fontTable.xml"/><Relationship Id="rId8" Type="http://schemas.openxmlformats.org/officeDocument/2006/relationships/image" Target="media/image1.wmf"/><Relationship Id="rId3" Type="http://schemas.openxmlformats.org/officeDocument/2006/relationships/styles" Target="styles.xml"/><Relationship Id="rId12" Type="http://schemas.openxmlformats.org/officeDocument/2006/relationships/hyperlink" Target="mailto:LStoyanova@mzh.government.bg" TargetMode="External"/><Relationship Id="rId17" Type="http://schemas.openxmlformats.org/officeDocument/2006/relationships/image" Target="media/image4.wmf"/><Relationship Id="rId25" Type="http://schemas.openxmlformats.org/officeDocument/2006/relationships/control" Target="activeX/activeX8.xml"/><Relationship Id="rId33" Type="http://schemas.openxmlformats.org/officeDocument/2006/relationships/image" Target="media/image11.wmf"/><Relationship Id="rId38" Type="http://schemas.openxmlformats.org/officeDocument/2006/relationships/control" Target="activeX/activeX17.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10.xml><?xml version="1.0" encoding="utf-8"?>
<ax:ocx xmlns:ax="http://schemas.microsoft.com/office/2006/activeX" xmlns:r="http://schemas.openxmlformats.org/officeDocument/2006/relationships" ax:classid="{8BD21D50-EC42-11CE-9E0D-00AA006002F3}" ax:persistence="persistStorage" r:id="rId1"/>
</file>

<file path=word/activeX/activeX11.xml><?xml version="1.0" encoding="utf-8"?>
<ax:ocx xmlns:ax="http://schemas.microsoft.com/office/2006/activeX" xmlns:r="http://schemas.openxmlformats.org/officeDocument/2006/relationships" ax:classid="{8BD21D50-EC42-11CE-9E0D-00AA006002F3}" ax:persistence="persistStorage" r:id="rId1"/>
</file>

<file path=word/activeX/activeX12.xml><?xml version="1.0" encoding="utf-8"?>
<ax:ocx xmlns:ax="http://schemas.microsoft.com/office/2006/activeX" xmlns:r="http://schemas.openxmlformats.org/officeDocument/2006/relationships" ax:classid="{8BD21D50-EC42-11CE-9E0D-00AA006002F3}" ax:persistence="persistStorage" r:id="rId1"/>
</file>

<file path=word/activeX/activeX13.xml><?xml version="1.0" encoding="utf-8"?>
<ax:ocx xmlns:ax="http://schemas.microsoft.com/office/2006/activeX" xmlns:r="http://schemas.openxmlformats.org/officeDocument/2006/relationships" ax:classid="{8BD21D50-EC42-11CE-9E0D-00AA006002F3}" ax:persistence="persistStorage" r:id="rId1"/>
</file>

<file path=word/activeX/activeX14.xml><?xml version="1.0" encoding="utf-8"?>
<ax:ocx xmlns:ax="http://schemas.microsoft.com/office/2006/activeX" xmlns:r="http://schemas.openxmlformats.org/officeDocument/2006/relationships" ax:classid="{8BD21D50-EC42-11CE-9E0D-00AA006002F3}" ax:persistence="persistStorage" r:id="rId1"/>
</file>

<file path=word/activeX/activeX15.xml><?xml version="1.0" encoding="utf-8"?>
<ax:ocx xmlns:ax="http://schemas.microsoft.com/office/2006/activeX" xmlns:r="http://schemas.openxmlformats.org/officeDocument/2006/relationships" ax:classid="{8BD21D50-EC42-11CE-9E0D-00AA006002F3}" ax:persistence="persistStorage" r:id="rId1"/>
</file>

<file path=word/activeX/activeX16.xml><?xml version="1.0" encoding="utf-8"?>
<ax:ocx xmlns:ax="http://schemas.microsoft.com/office/2006/activeX" xmlns:r="http://schemas.openxmlformats.org/officeDocument/2006/relationships" ax:classid="{8BD21D50-EC42-11CE-9E0D-00AA006002F3}" ax:persistence="persistStorage" r:id="rId1"/>
</file>

<file path=word/activeX/activeX17.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activeX/activeX7.xml><?xml version="1.0" encoding="utf-8"?>
<ax:ocx xmlns:ax="http://schemas.microsoft.com/office/2006/activeX" xmlns:r="http://schemas.openxmlformats.org/officeDocument/2006/relationships" ax:classid="{8BD21D50-EC42-11CE-9E0D-00AA006002F3}" ax:persistence="persistStorage" r:id="rId1"/>
</file>

<file path=word/activeX/activeX8.xml><?xml version="1.0" encoding="utf-8"?>
<ax:ocx xmlns:ax="http://schemas.microsoft.com/office/2006/activeX" xmlns:r="http://schemas.openxmlformats.org/officeDocument/2006/relationships" ax:classid="{8BD21D50-EC42-11CE-9E0D-00AA006002F3}" ax:persistence="persistStorage" r:id="rId1"/>
</file>

<file path=word/activeX/activeX9.xml><?xml version="1.0" encoding="utf-8"?>
<ax:ocx xmlns:ax="http://schemas.microsoft.com/office/2006/activeX" xmlns:r="http://schemas.openxmlformats.org/officeDocument/2006/relationships" ax:classid="{8BD21D5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E17D6B-B181-472B-A467-ED545DE500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8</Pages>
  <Words>2743</Words>
  <Characters>15636</Characters>
  <Application>Microsoft Office Word</Application>
  <DocSecurity>0</DocSecurity>
  <Lines>130</Lines>
  <Paragraphs>36</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Grizli777</Company>
  <LinksUpToDate>false</LinksUpToDate>
  <CharactersWithSpaces>18343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IsIv</dc:creator>
  <cp:lastModifiedBy>Evstatiy Evstatiev</cp:lastModifiedBy>
  <cp:revision>13</cp:revision>
  <cp:lastPrinted>2025-07-29T09:49:00Z</cp:lastPrinted>
  <dcterms:created xsi:type="dcterms:W3CDTF">2025-10-29T14:36:00Z</dcterms:created>
  <dcterms:modified xsi:type="dcterms:W3CDTF">2025-11-25T11:29:00Z</dcterms:modified>
</cp:coreProperties>
</file>