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47F" w:rsidRPr="00C35FC2" w:rsidRDefault="00E9347F" w:rsidP="00E9347F">
      <w:pPr>
        <w:rPr>
          <w:rFonts w:ascii="Verdana" w:hAnsi="Verdana"/>
          <w:sz w:val="20"/>
          <w:szCs w:val="20"/>
        </w:rPr>
      </w:pPr>
    </w:p>
    <w:p w:rsidR="00BA0F4C" w:rsidRPr="00C35FC2" w:rsidRDefault="00BA0F4C" w:rsidP="00E9347F">
      <w:pPr>
        <w:rPr>
          <w:rFonts w:ascii="Verdana" w:hAnsi="Verdana"/>
          <w:sz w:val="20"/>
          <w:szCs w:val="20"/>
        </w:rPr>
      </w:pPr>
    </w:p>
    <w:tbl>
      <w:tblPr>
        <w:tblW w:w="0" w:type="dxa"/>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4A0" w:firstRow="1" w:lastRow="0" w:firstColumn="1" w:lastColumn="0" w:noHBand="0" w:noVBand="1"/>
      </w:tblPr>
      <w:tblGrid>
        <w:gridCol w:w="15650"/>
      </w:tblGrid>
      <w:tr w:rsidR="00E9347F" w:rsidRPr="00C35FC2" w:rsidTr="00E9347F">
        <w:trPr>
          <w:trHeight w:val="958"/>
        </w:trPr>
        <w:tc>
          <w:tcPr>
            <w:tcW w:w="15650" w:type="dxa"/>
            <w:tcBorders>
              <w:top w:val="single" w:sz="24" w:space="0" w:color="2E74B5"/>
              <w:left w:val="single" w:sz="24" w:space="0" w:color="2E74B5"/>
              <w:bottom w:val="single" w:sz="24" w:space="0" w:color="2E74B5"/>
              <w:right w:val="single" w:sz="24" w:space="0" w:color="2E74B5"/>
            </w:tcBorders>
            <w:shd w:val="clear" w:color="auto" w:fill="BDD6EE"/>
            <w:hideMark/>
          </w:tcPr>
          <w:p w:rsidR="00E9347F" w:rsidRPr="00C35FC2" w:rsidRDefault="00E9347F">
            <w:pPr>
              <w:tabs>
                <w:tab w:val="left" w:pos="2190"/>
              </w:tabs>
              <w:spacing w:before="120" w:after="120" w:line="360" w:lineRule="auto"/>
              <w:ind w:left="283" w:right="283"/>
              <w:jc w:val="center"/>
              <w:rPr>
                <w:rFonts w:ascii="Verdana" w:hAnsi="Verdana"/>
                <w:b/>
                <w:sz w:val="20"/>
                <w:szCs w:val="20"/>
                <w:lang w:eastAsia="en-US"/>
              </w:rPr>
            </w:pPr>
            <w:r w:rsidRPr="00C35FC2">
              <w:rPr>
                <w:rFonts w:ascii="Verdana" w:hAnsi="Verdana"/>
                <w:b/>
                <w:spacing w:val="70"/>
                <w:lang w:eastAsia="en-US"/>
              </w:rPr>
              <w:t>СПРАВКА</w:t>
            </w:r>
            <w:r w:rsidRPr="00C35FC2">
              <w:rPr>
                <w:rFonts w:ascii="Verdana" w:hAnsi="Verdana"/>
                <w:b/>
                <w:spacing w:val="70"/>
                <w:lang w:eastAsia="en-US"/>
              </w:rPr>
              <w:br/>
            </w:r>
            <w:r w:rsidRPr="00C35FC2">
              <w:rPr>
                <w:rFonts w:ascii="Verdana" w:hAnsi="Verdana"/>
                <w:b/>
                <w:sz w:val="20"/>
                <w:szCs w:val="20"/>
                <w:lang w:eastAsia="en-US"/>
              </w:rPr>
              <w:t xml:space="preserve">ЗА ОТРАЗЯВАНЕ НА ПОСТЪПИЛИТЕ ПРЕДЛОЖЕНИЯ И СТАНОВИЩА ОТ ОБЩЕСТВЕНИТЕ КОНСУЛТАЦИИ ПО </w:t>
            </w:r>
            <w:r w:rsidRPr="00C35FC2">
              <w:rPr>
                <w:rFonts w:ascii="Verdana" w:hAnsi="Verdana"/>
                <w:b/>
                <w:sz w:val="20"/>
                <w:szCs w:val="20"/>
              </w:rPr>
              <w:t>ПРОЕКТ</w:t>
            </w:r>
            <w:r w:rsidR="00C35FC2" w:rsidRPr="00C35FC2">
              <w:rPr>
                <w:rFonts w:ascii="Verdana" w:hAnsi="Verdana"/>
                <w:b/>
                <w:sz w:val="20"/>
                <w:szCs w:val="20"/>
              </w:rPr>
              <w:t>А</w:t>
            </w:r>
            <w:r w:rsidRPr="00C35FC2">
              <w:rPr>
                <w:rFonts w:ascii="Verdana" w:hAnsi="Verdana"/>
                <w:b/>
                <w:sz w:val="20"/>
                <w:szCs w:val="20"/>
              </w:rPr>
              <w:t xml:space="preserve"> НА </w:t>
            </w:r>
            <w:r w:rsidR="003B082E" w:rsidRPr="00C35FC2">
              <w:rPr>
                <w:rFonts w:ascii="Verdana" w:hAnsi="Verdana"/>
                <w:b/>
                <w:sz w:val="20"/>
                <w:szCs w:val="20"/>
              </w:rPr>
              <w:t>ПОСТАНОВЛЕНИЕ НА МИНИСТЕРСКИЯ СЪВЕТ ЗА ИЗМЕНЕНИЕ И ДОПЪЛНЕНИЕ НА ТАРИФА ЗА ТАКСИТЕ, СЪБИРАНИ ОТ ОРГАНИТЕ ПО ПОЗЕМЛЕНА СОБСТВЕНОСТ, ПРИЕТА С ПОСТАНОВЛЕНИЕ № 286 НА МИНИСТЕРСКИЯ СЪВЕТ ОТ 1997 Г.</w:t>
            </w:r>
          </w:p>
        </w:tc>
      </w:tr>
    </w:tbl>
    <w:p w:rsidR="00E9347F" w:rsidRPr="00C35FC2" w:rsidRDefault="00E9347F" w:rsidP="00E9347F">
      <w:pPr>
        <w:ind w:left="283" w:right="283"/>
        <w:rPr>
          <w:rFonts w:ascii="Verdana" w:hAnsi="Verdana"/>
          <w:sz w:val="20"/>
          <w:szCs w:val="20"/>
        </w:rPr>
      </w:pPr>
    </w:p>
    <w:tbl>
      <w:tblPr>
        <w:tblW w:w="15650" w:type="dxa"/>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4A0" w:firstRow="1" w:lastRow="0" w:firstColumn="1" w:lastColumn="0" w:noHBand="0" w:noVBand="1"/>
      </w:tblPr>
      <w:tblGrid>
        <w:gridCol w:w="622"/>
        <w:gridCol w:w="3030"/>
        <w:gridCol w:w="5475"/>
        <w:gridCol w:w="1559"/>
        <w:gridCol w:w="4964"/>
      </w:tblGrid>
      <w:tr w:rsidR="00E9347F" w:rsidRPr="00C35FC2" w:rsidTr="00870515">
        <w:trPr>
          <w:tblHeader/>
        </w:trPr>
        <w:tc>
          <w:tcPr>
            <w:tcW w:w="622" w:type="dxa"/>
            <w:tcBorders>
              <w:top w:val="single" w:sz="24" w:space="0" w:color="2E74B5"/>
              <w:left w:val="single" w:sz="24" w:space="0" w:color="2E74B5"/>
              <w:bottom w:val="single" w:sz="24" w:space="0" w:color="2E74B5"/>
              <w:right w:val="single" w:sz="12" w:space="0" w:color="2E74B5"/>
            </w:tcBorders>
            <w:shd w:val="clear" w:color="auto" w:fill="DEEAF6"/>
            <w:vAlign w:val="center"/>
            <w:hideMark/>
          </w:tcPr>
          <w:p w:rsidR="00E9347F" w:rsidRPr="00C35FC2" w:rsidRDefault="00E9347F">
            <w:pPr>
              <w:tabs>
                <w:tab w:val="left" w:pos="192"/>
              </w:tabs>
              <w:jc w:val="center"/>
              <w:rPr>
                <w:rFonts w:ascii="Verdana" w:hAnsi="Verdana"/>
                <w:b/>
                <w:sz w:val="18"/>
                <w:szCs w:val="18"/>
                <w:lang w:eastAsia="en-US"/>
              </w:rPr>
            </w:pPr>
            <w:r w:rsidRPr="00C35FC2">
              <w:rPr>
                <w:rFonts w:ascii="Verdana" w:hAnsi="Verdana"/>
                <w:b/>
                <w:sz w:val="18"/>
                <w:szCs w:val="18"/>
                <w:lang w:eastAsia="en-US"/>
              </w:rPr>
              <w:t>№</w:t>
            </w:r>
          </w:p>
        </w:tc>
        <w:tc>
          <w:tcPr>
            <w:tcW w:w="3030" w:type="dxa"/>
            <w:tcBorders>
              <w:top w:val="single" w:sz="24" w:space="0" w:color="2E74B5"/>
              <w:left w:val="single" w:sz="12" w:space="0" w:color="2E74B5"/>
              <w:bottom w:val="single" w:sz="24" w:space="0" w:color="2E74B5"/>
              <w:right w:val="single" w:sz="12" w:space="0" w:color="2E74B5"/>
            </w:tcBorders>
            <w:shd w:val="clear" w:color="auto" w:fill="DEEAF6"/>
            <w:vAlign w:val="center"/>
            <w:hideMark/>
          </w:tcPr>
          <w:p w:rsidR="00E9347F" w:rsidRPr="00C35FC2" w:rsidRDefault="00E9347F">
            <w:pPr>
              <w:spacing w:before="60"/>
              <w:jc w:val="center"/>
              <w:rPr>
                <w:rFonts w:ascii="Verdana" w:hAnsi="Verdana"/>
                <w:b/>
                <w:sz w:val="18"/>
                <w:szCs w:val="18"/>
                <w:lang w:eastAsia="en-US"/>
              </w:rPr>
            </w:pPr>
            <w:r w:rsidRPr="00C35FC2">
              <w:rPr>
                <w:rFonts w:ascii="Verdana" w:hAnsi="Verdana"/>
                <w:b/>
                <w:sz w:val="18"/>
                <w:szCs w:val="18"/>
                <w:lang w:eastAsia="en-US"/>
              </w:rPr>
              <w:t>Организация/потребител</w:t>
            </w:r>
          </w:p>
          <w:p w:rsidR="00E9347F" w:rsidRPr="00C35FC2" w:rsidRDefault="00E9347F">
            <w:pPr>
              <w:spacing w:after="40"/>
              <w:jc w:val="center"/>
              <w:rPr>
                <w:rFonts w:ascii="Verdana" w:hAnsi="Verdana"/>
                <w:b/>
                <w:sz w:val="13"/>
                <w:szCs w:val="13"/>
                <w:lang w:eastAsia="en-US"/>
              </w:rPr>
            </w:pPr>
            <w:r w:rsidRPr="00C35FC2">
              <w:rPr>
                <w:rFonts w:ascii="Verdana" w:hAnsi="Verdana"/>
                <w:b/>
                <w:sz w:val="13"/>
                <w:szCs w:val="13"/>
                <w:lang w:eastAsia="en-US"/>
              </w:rPr>
              <w:t>(вкл. начина на получаване на предложението)</w:t>
            </w:r>
          </w:p>
        </w:tc>
        <w:tc>
          <w:tcPr>
            <w:tcW w:w="5475" w:type="dxa"/>
            <w:tcBorders>
              <w:top w:val="single" w:sz="24" w:space="0" w:color="2E74B5"/>
              <w:left w:val="single" w:sz="12" w:space="0" w:color="2E74B5"/>
              <w:bottom w:val="single" w:sz="24" w:space="0" w:color="2E74B5"/>
              <w:right w:val="single" w:sz="12" w:space="0" w:color="2E74B5"/>
            </w:tcBorders>
            <w:shd w:val="clear" w:color="auto" w:fill="DEEAF6"/>
            <w:vAlign w:val="center"/>
            <w:hideMark/>
          </w:tcPr>
          <w:p w:rsidR="00E9347F" w:rsidRPr="00C35FC2" w:rsidRDefault="00E9347F">
            <w:pPr>
              <w:jc w:val="center"/>
              <w:rPr>
                <w:rFonts w:ascii="Verdana" w:hAnsi="Verdana"/>
                <w:b/>
                <w:sz w:val="18"/>
                <w:szCs w:val="18"/>
                <w:lang w:eastAsia="en-US"/>
              </w:rPr>
            </w:pPr>
            <w:r w:rsidRPr="00C35FC2">
              <w:rPr>
                <w:rFonts w:ascii="Verdana" w:hAnsi="Verdana"/>
                <w:b/>
                <w:sz w:val="18"/>
                <w:szCs w:val="18"/>
                <w:lang w:eastAsia="en-US"/>
              </w:rPr>
              <w:t>Предложения и становища</w:t>
            </w:r>
          </w:p>
        </w:tc>
        <w:tc>
          <w:tcPr>
            <w:tcW w:w="1559" w:type="dxa"/>
            <w:tcBorders>
              <w:top w:val="single" w:sz="24" w:space="0" w:color="2E74B5"/>
              <w:left w:val="single" w:sz="12" w:space="0" w:color="2E74B5"/>
              <w:bottom w:val="single" w:sz="24" w:space="0" w:color="2E74B5"/>
              <w:right w:val="single" w:sz="12" w:space="0" w:color="2E74B5"/>
            </w:tcBorders>
            <w:shd w:val="clear" w:color="auto" w:fill="DEEAF6"/>
            <w:vAlign w:val="center"/>
            <w:hideMark/>
          </w:tcPr>
          <w:p w:rsidR="00E9347F" w:rsidRPr="00C35FC2" w:rsidRDefault="00E9347F">
            <w:pPr>
              <w:jc w:val="center"/>
              <w:rPr>
                <w:rFonts w:ascii="Verdana" w:hAnsi="Verdana"/>
                <w:b/>
                <w:sz w:val="18"/>
                <w:szCs w:val="18"/>
                <w:lang w:eastAsia="en-US"/>
              </w:rPr>
            </w:pPr>
            <w:r w:rsidRPr="00C35FC2">
              <w:rPr>
                <w:rFonts w:ascii="Verdana" w:hAnsi="Verdana"/>
                <w:b/>
                <w:sz w:val="18"/>
                <w:szCs w:val="18"/>
                <w:lang w:eastAsia="en-US"/>
              </w:rPr>
              <w:t>Приети/</w:t>
            </w:r>
          </w:p>
          <w:p w:rsidR="00E9347F" w:rsidRPr="00C35FC2" w:rsidRDefault="00E9347F">
            <w:pPr>
              <w:jc w:val="center"/>
              <w:rPr>
                <w:rFonts w:ascii="Verdana" w:hAnsi="Verdana"/>
                <w:b/>
                <w:sz w:val="18"/>
                <w:szCs w:val="18"/>
                <w:lang w:eastAsia="en-US"/>
              </w:rPr>
            </w:pPr>
            <w:r w:rsidRPr="00C35FC2">
              <w:rPr>
                <w:rFonts w:ascii="Verdana" w:hAnsi="Verdana"/>
                <w:b/>
                <w:sz w:val="18"/>
                <w:szCs w:val="18"/>
                <w:lang w:eastAsia="en-US"/>
              </w:rPr>
              <w:t>неприети</w:t>
            </w:r>
          </w:p>
        </w:tc>
        <w:tc>
          <w:tcPr>
            <w:tcW w:w="4964" w:type="dxa"/>
            <w:tcBorders>
              <w:top w:val="single" w:sz="24" w:space="0" w:color="2E74B5"/>
              <w:left w:val="single" w:sz="12" w:space="0" w:color="2E74B5"/>
              <w:bottom w:val="single" w:sz="24" w:space="0" w:color="2E74B5"/>
              <w:right w:val="single" w:sz="24" w:space="0" w:color="2E74B5"/>
            </w:tcBorders>
            <w:shd w:val="clear" w:color="auto" w:fill="DEEAF6"/>
            <w:vAlign w:val="center"/>
            <w:hideMark/>
          </w:tcPr>
          <w:p w:rsidR="00E9347F" w:rsidRPr="00C35FC2" w:rsidRDefault="00E9347F">
            <w:pPr>
              <w:jc w:val="center"/>
              <w:rPr>
                <w:rFonts w:ascii="Verdana" w:hAnsi="Verdana"/>
                <w:sz w:val="18"/>
                <w:szCs w:val="18"/>
                <w:lang w:eastAsia="en-US"/>
              </w:rPr>
            </w:pPr>
            <w:r w:rsidRPr="00C35FC2">
              <w:rPr>
                <w:rFonts w:ascii="Verdana" w:hAnsi="Verdana"/>
                <w:b/>
                <w:sz w:val="18"/>
                <w:szCs w:val="18"/>
                <w:lang w:eastAsia="en-US"/>
              </w:rPr>
              <w:t>Мотиви</w:t>
            </w:r>
          </w:p>
        </w:tc>
      </w:tr>
      <w:tr w:rsidR="00E9347F" w:rsidRPr="00C35FC2" w:rsidTr="00870515">
        <w:tc>
          <w:tcPr>
            <w:tcW w:w="622" w:type="dxa"/>
            <w:vMerge w:val="restart"/>
            <w:tcBorders>
              <w:top w:val="single" w:sz="24" w:space="0" w:color="2E74B5"/>
              <w:left w:val="single" w:sz="24" w:space="0" w:color="2E74B5"/>
              <w:bottom w:val="single" w:sz="18" w:space="0" w:color="2E74B5"/>
              <w:right w:val="single" w:sz="12" w:space="0" w:color="2E74B5"/>
            </w:tcBorders>
          </w:tcPr>
          <w:p w:rsidR="00E9347F" w:rsidRPr="00C35FC2" w:rsidRDefault="00E9347F" w:rsidP="00E9347F">
            <w:pPr>
              <w:pStyle w:val="ListParagraph"/>
              <w:numPr>
                <w:ilvl w:val="0"/>
                <w:numId w:val="7"/>
              </w:numPr>
              <w:tabs>
                <w:tab w:val="left" w:pos="192"/>
              </w:tabs>
              <w:jc w:val="center"/>
              <w:rPr>
                <w:rFonts w:ascii="Verdana" w:hAnsi="Verdana"/>
                <w:b/>
                <w:sz w:val="20"/>
                <w:szCs w:val="20"/>
                <w:lang w:eastAsia="en-US"/>
              </w:rPr>
            </w:pPr>
          </w:p>
        </w:tc>
        <w:tc>
          <w:tcPr>
            <w:tcW w:w="3030" w:type="dxa"/>
            <w:vMerge w:val="restart"/>
            <w:tcBorders>
              <w:top w:val="single" w:sz="24" w:space="0" w:color="2E74B5"/>
              <w:left w:val="single" w:sz="12" w:space="0" w:color="2E74B5"/>
              <w:bottom w:val="single" w:sz="18" w:space="0" w:color="2E74B5"/>
              <w:right w:val="single" w:sz="18" w:space="0" w:color="2E74B5"/>
            </w:tcBorders>
          </w:tcPr>
          <w:p w:rsidR="00E9347F" w:rsidRPr="00C35FC2" w:rsidRDefault="00261911" w:rsidP="00C35FC2">
            <w:pPr>
              <w:rPr>
                <w:rFonts w:ascii="Verdana" w:hAnsi="Verdana"/>
                <w:sz w:val="20"/>
                <w:szCs w:val="20"/>
                <w:lang w:eastAsia="en-US"/>
              </w:rPr>
            </w:pPr>
            <w:r w:rsidRPr="00C35FC2">
              <w:rPr>
                <w:rFonts w:ascii="Verdana" w:hAnsi="Verdana"/>
                <w:sz w:val="20"/>
                <w:szCs w:val="20"/>
                <w:lang w:eastAsia="en-US"/>
              </w:rPr>
              <w:t xml:space="preserve">Омбудсман на Република България </w:t>
            </w:r>
            <w:r w:rsidR="00C35FC2">
              <w:rPr>
                <w:rFonts w:ascii="Verdana" w:hAnsi="Verdana"/>
                <w:sz w:val="20"/>
                <w:szCs w:val="20"/>
                <w:lang w:eastAsia="en-US"/>
              </w:rPr>
              <w:br/>
            </w:r>
            <w:r w:rsidRPr="00C35FC2">
              <w:rPr>
                <w:rFonts w:ascii="Verdana" w:hAnsi="Verdana"/>
                <w:sz w:val="20"/>
                <w:szCs w:val="20"/>
                <w:lang w:eastAsia="en-US"/>
              </w:rPr>
              <w:t>писмо № 92-383 от 08.08.2025 г.</w:t>
            </w:r>
          </w:p>
        </w:tc>
        <w:tc>
          <w:tcPr>
            <w:tcW w:w="5475" w:type="dxa"/>
            <w:tcBorders>
              <w:top w:val="single" w:sz="24" w:space="0" w:color="2E74B5"/>
              <w:left w:val="single" w:sz="18" w:space="0" w:color="2E74B5"/>
              <w:bottom w:val="nil"/>
              <w:right w:val="single" w:sz="12" w:space="0" w:color="2E74B5"/>
            </w:tcBorders>
          </w:tcPr>
          <w:p w:rsidR="00E9347F" w:rsidRPr="00870515" w:rsidRDefault="003B082E" w:rsidP="00261911">
            <w:pPr>
              <w:jc w:val="both"/>
              <w:rPr>
                <w:rFonts w:ascii="Verdana" w:hAnsi="Verdana"/>
                <w:b/>
                <w:sz w:val="20"/>
                <w:szCs w:val="20"/>
                <w:lang w:eastAsia="en-US"/>
              </w:rPr>
            </w:pPr>
            <w:r w:rsidRPr="00870515">
              <w:rPr>
                <w:rFonts w:ascii="Verdana" w:hAnsi="Verdana"/>
                <w:b/>
                <w:sz w:val="20"/>
                <w:szCs w:val="20"/>
                <w:lang w:eastAsia="en-US"/>
              </w:rPr>
              <w:t>І. Общи бележки</w:t>
            </w:r>
          </w:p>
        </w:tc>
        <w:tc>
          <w:tcPr>
            <w:tcW w:w="1559" w:type="dxa"/>
            <w:tcBorders>
              <w:top w:val="single" w:sz="24" w:space="0" w:color="2E74B5"/>
              <w:left w:val="single" w:sz="12" w:space="0" w:color="2E74B5"/>
              <w:bottom w:val="nil"/>
              <w:right w:val="single" w:sz="12" w:space="0" w:color="2E74B5"/>
            </w:tcBorders>
          </w:tcPr>
          <w:p w:rsidR="00E9347F" w:rsidRPr="00C35FC2" w:rsidRDefault="00E9347F">
            <w:pPr>
              <w:rPr>
                <w:rFonts w:ascii="Verdana" w:hAnsi="Verdana"/>
                <w:sz w:val="20"/>
                <w:szCs w:val="20"/>
                <w:lang w:eastAsia="en-US"/>
              </w:rPr>
            </w:pPr>
          </w:p>
        </w:tc>
        <w:tc>
          <w:tcPr>
            <w:tcW w:w="4964" w:type="dxa"/>
            <w:tcBorders>
              <w:top w:val="single" w:sz="24" w:space="0" w:color="2E74B5"/>
              <w:left w:val="single" w:sz="12" w:space="0" w:color="2E74B5"/>
              <w:bottom w:val="nil"/>
              <w:right w:val="single" w:sz="24" w:space="0" w:color="2E74B5"/>
            </w:tcBorders>
          </w:tcPr>
          <w:p w:rsidR="00E9347F" w:rsidRPr="00C35FC2" w:rsidRDefault="00E9347F">
            <w:pPr>
              <w:rPr>
                <w:rFonts w:ascii="Verdana" w:hAnsi="Verdana"/>
                <w:sz w:val="20"/>
                <w:szCs w:val="20"/>
                <w:lang w:eastAsia="en-US"/>
              </w:rPr>
            </w:pPr>
          </w:p>
        </w:tc>
      </w:tr>
      <w:tr w:rsidR="00E9347F" w:rsidRPr="00C35FC2" w:rsidTr="00870515">
        <w:tc>
          <w:tcPr>
            <w:tcW w:w="622" w:type="dxa"/>
            <w:vMerge/>
            <w:tcBorders>
              <w:top w:val="single" w:sz="24" w:space="0" w:color="2E74B5"/>
              <w:left w:val="single" w:sz="24" w:space="0" w:color="2E74B5"/>
              <w:bottom w:val="single" w:sz="18" w:space="0" w:color="2E74B5"/>
              <w:right w:val="single" w:sz="12" w:space="0" w:color="2E74B5"/>
            </w:tcBorders>
            <w:vAlign w:val="center"/>
            <w:hideMark/>
          </w:tcPr>
          <w:p w:rsidR="00E9347F" w:rsidRPr="00C35FC2" w:rsidRDefault="00E9347F">
            <w:pPr>
              <w:rPr>
                <w:rFonts w:ascii="Verdana" w:hAnsi="Verdana"/>
                <w:b/>
                <w:sz w:val="20"/>
                <w:szCs w:val="20"/>
                <w:lang w:eastAsia="en-US"/>
              </w:rPr>
            </w:pPr>
          </w:p>
        </w:tc>
        <w:tc>
          <w:tcPr>
            <w:tcW w:w="3030" w:type="dxa"/>
            <w:vMerge/>
            <w:tcBorders>
              <w:top w:val="single" w:sz="24" w:space="0" w:color="2E74B5"/>
              <w:left w:val="single" w:sz="12" w:space="0" w:color="2E74B5"/>
              <w:bottom w:val="single" w:sz="18" w:space="0" w:color="2E74B5"/>
              <w:right w:val="single" w:sz="18" w:space="0" w:color="2E74B5"/>
            </w:tcBorders>
            <w:vAlign w:val="center"/>
            <w:hideMark/>
          </w:tcPr>
          <w:p w:rsidR="00E9347F" w:rsidRPr="00C35FC2" w:rsidRDefault="00E9347F">
            <w:pPr>
              <w:rPr>
                <w:rFonts w:ascii="Verdana" w:hAnsi="Verdana"/>
                <w:b/>
                <w:sz w:val="20"/>
                <w:szCs w:val="20"/>
                <w:lang w:eastAsia="en-US"/>
              </w:rPr>
            </w:pPr>
          </w:p>
        </w:tc>
        <w:tc>
          <w:tcPr>
            <w:tcW w:w="5475" w:type="dxa"/>
            <w:tcBorders>
              <w:top w:val="nil"/>
              <w:left w:val="single" w:sz="18" w:space="0" w:color="2E74B5"/>
              <w:bottom w:val="nil"/>
              <w:right w:val="single" w:sz="12" w:space="0" w:color="2E74B5"/>
            </w:tcBorders>
          </w:tcPr>
          <w:p w:rsidR="00E9347F" w:rsidRPr="00C35FC2" w:rsidRDefault="00261911" w:rsidP="00261911">
            <w:pPr>
              <w:jc w:val="both"/>
              <w:rPr>
                <w:rFonts w:ascii="Verdana" w:hAnsi="Verdana"/>
                <w:sz w:val="20"/>
                <w:szCs w:val="20"/>
                <w:lang w:eastAsia="en-US"/>
              </w:rPr>
            </w:pPr>
            <w:r w:rsidRPr="00C35FC2">
              <w:rPr>
                <w:rFonts w:ascii="Verdana" w:hAnsi="Verdana"/>
                <w:sz w:val="20"/>
                <w:szCs w:val="20"/>
                <w:lang w:eastAsia="en-US"/>
              </w:rPr>
              <w:t>Подкрепям по принцип основната цел на проекта: постигне на обективно съотношение между размера на таксите, които не са изменяни от 2009 г., и разходите на органите по поземлената собственост за извършването и предоставянето на административните услуги в новите икономически условия.</w:t>
            </w:r>
          </w:p>
        </w:tc>
        <w:tc>
          <w:tcPr>
            <w:tcW w:w="1559" w:type="dxa"/>
            <w:tcBorders>
              <w:top w:val="nil"/>
              <w:left w:val="single" w:sz="12" w:space="0" w:color="2E74B5"/>
              <w:bottom w:val="nil"/>
              <w:right w:val="single" w:sz="12" w:space="0" w:color="2E74B5"/>
            </w:tcBorders>
          </w:tcPr>
          <w:p w:rsidR="00E9347F" w:rsidRPr="00C35FC2" w:rsidRDefault="00E9347F">
            <w:pPr>
              <w:rPr>
                <w:rFonts w:ascii="Verdana" w:hAnsi="Verdana"/>
                <w:sz w:val="20"/>
                <w:szCs w:val="20"/>
                <w:lang w:eastAsia="en-US"/>
              </w:rPr>
            </w:pPr>
          </w:p>
        </w:tc>
        <w:tc>
          <w:tcPr>
            <w:tcW w:w="4964" w:type="dxa"/>
            <w:tcBorders>
              <w:top w:val="nil"/>
              <w:left w:val="single" w:sz="12" w:space="0" w:color="2E74B5"/>
              <w:bottom w:val="nil"/>
              <w:right w:val="single" w:sz="24" w:space="0" w:color="2E74B5"/>
            </w:tcBorders>
          </w:tcPr>
          <w:p w:rsidR="00E9347F" w:rsidRPr="00C35FC2" w:rsidRDefault="00E9347F">
            <w:pPr>
              <w:rPr>
                <w:rFonts w:ascii="Verdana" w:hAnsi="Verdana"/>
                <w:sz w:val="20"/>
                <w:szCs w:val="20"/>
                <w:lang w:eastAsia="en-US"/>
              </w:rPr>
            </w:pPr>
          </w:p>
        </w:tc>
      </w:tr>
      <w:tr w:rsidR="003B082E" w:rsidRPr="00C35FC2" w:rsidTr="00870515">
        <w:tc>
          <w:tcPr>
            <w:tcW w:w="622" w:type="dxa"/>
            <w:vMerge/>
            <w:tcBorders>
              <w:top w:val="single" w:sz="24" w:space="0" w:color="2E74B5"/>
              <w:left w:val="single" w:sz="24" w:space="0" w:color="2E74B5"/>
              <w:bottom w:val="single" w:sz="18" w:space="0" w:color="2E74B5"/>
              <w:right w:val="single" w:sz="12" w:space="0" w:color="2E74B5"/>
            </w:tcBorders>
            <w:vAlign w:val="center"/>
          </w:tcPr>
          <w:p w:rsidR="003B082E" w:rsidRPr="00C35FC2" w:rsidRDefault="003B082E">
            <w:pPr>
              <w:rPr>
                <w:rFonts w:ascii="Verdana" w:hAnsi="Verdana"/>
                <w:b/>
                <w:sz w:val="20"/>
                <w:szCs w:val="20"/>
                <w:lang w:eastAsia="en-US"/>
              </w:rPr>
            </w:pPr>
          </w:p>
        </w:tc>
        <w:tc>
          <w:tcPr>
            <w:tcW w:w="3030" w:type="dxa"/>
            <w:vMerge/>
            <w:tcBorders>
              <w:top w:val="single" w:sz="24" w:space="0" w:color="2E74B5"/>
              <w:left w:val="single" w:sz="12" w:space="0" w:color="2E74B5"/>
              <w:bottom w:val="single" w:sz="18" w:space="0" w:color="2E74B5"/>
              <w:right w:val="single" w:sz="18" w:space="0" w:color="2E74B5"/>
            </w:tcBorders>
            <w:vAlign w:val="center"/>
          </w:tcPr>
          <w:p w:rsidR="003B082E" w:rsidRPr="00C35FC2" w:rsidRDefault="003B082E">
            <w:pPr>
              <w:rPr>
                <w:rFonts w:ascii="Verdana" w:hAnsi="Verdana"/>
                <w:b/>
                <w:sz w:val="20"/>
                <w:szCs w:val="20"/>
                <w:lang w:eastAsia="en-US"/>
              </w:rPr>
            </w:pPr>
          </w:p>
        </w:tc>
        <w:tc>
          <w:tcPr>
            <w:tcW w:w="5475" w:type="dxa"/>
            <w:tcBorders>
              <w:top w:val="nil"/>
              <w:left w:val="single" w:sz="18" w:space="0" w:color="2E74B5"/>
              <w:bottom w:val="nil"/>
              <w:right w:val="single" w:sz="12" w:space="0" w:color="2E74B5"/>
            </w:tcBorders>
          </w:tcPr>
          <w:p w:rsidR="003B082E" w:rsidRDefault="00261911" w:rsidP="00261911">
            <w:pPr>
              <w:jc w:val="both"/>
              <w:rPr>
                <w:rFonts w:ascii="Verdana" w:hAnsi="Verdana"/>
                <w:sz w:val="20"/>
                <w:szCs w:val="20"/>
                <w:lang w:eastAsia="en-US"/>
              </w:rPr>
            </w:pPr>
            <w:r w:rsidRPr="00C35FC2">
              <w:rPr>
                <w:rFonts w:ascii="Verdana" w:hAnsi="Verdana"/>
                <w:sz w:val="20"/>
                <w:szCs w:val="20"/>
                <w:lang w:eastAsia="en-US"/>
              </w:rPr>
              <w:t xml:space="preserve">Предложено е увеличаване на таксите за част от регламентираните в Тарифата административни услуги. Извън обхвата на проекта обосновано са оставени административните услуги, свързани с поддържането на картата на възстановената собственост, тъй като след одобряването на кадастрална карта и кадастрални регистри за съответното землище органите по поземлената собственост преустановяват тази дейност. По данни от доклада към проекта, за 4635 землища на територията на страната към настоящия момент има одобрени кадастрална карта и кадастрални регистри, за които Наредба № 49 от 2004 г. за поддържане на картата на възстановената собственост, съответно и Тарифата за таксите, събирани от органите по поземлената собственост, не намират приложение. Само за шест землища в страната няма одобрени кадастрална карта и кадастрални регистри (с. Филипово, община Банско, с. </w:t>
            </w:r>
            <w:r w:rsidRPr="00C35FC2">
              <w:rPr>
                <w:rFonts w:ascii="Verdana" w:hAnsi="Verdana"/>
                <w:sz w:val="20"/>
                <w:szCs w:val="20"/>
                <w:lang w:eastAsia="en-US"/>
              </w:rPr>
              <w:lastRenderedPageBreak/>
              <w:t>Орцево, община Белица, област Благоевград; с. Попович, община Бяла, област Варна; с. Голец, община Угърчин, област Ловеч; с. Триводици, община Стамболийски, област Пловдив, с. Равнище, община Правец, София област).</w:t>
            </w:r>
          </w:p>
          <w:p w:rsidR="00821B47" w:rsidRDefault="00821B47" w:rsidP="00261911">
            <w:pPr>
              <w:jc w:val="both"/>
              <w:rPr>
                <w:rFonts w:ascii="Verdana" w:hAnsi="Verdana"/>
                <w:sz w:val="20"/>
                <w:szCs w:val="20"/>
                <w:lang w:eastAsia="en-US"/>
              </w:rPr>
            </w:pPr>
            <w:r w:rsidRPr="00C35FC2">
              <w:rPr>
                <w:rFonts w:ascii="Verdana" w:hAnsi="Verdana"/>
                <w:sz w:val="20"/>
                <w:szCs w:val="20"/>
                <w:lang w:eastAsia="en-US"/>
              </w:rPr>
              <w:t>Предоставянето на втората група административни услуги от органите по поземлената собственост ще продължи и след одобряването на кадастралната карта и кадастралните регистри. Именно предвидените за тях такси са предмет на предлаганите изменения. Засегнати са следните административни услуги: 1) издаване на препис от решенията за възстановяване на правото на собственост по реда на Закона за собствеността и ползването на земеделските земи (ЗСПЗЗ) и на Закона за възстановяване на собствеността върху горите и земите от горския фонд (ЗВСГЗГФ); 2) установяване на промяна в начина на трайно ползване на земеделските имоти, уредена в чл. 78а от ППЗСПЗЗ; 3) издаване на удостоверения за наличието или липсата на реституционни претенции.</w:t>
            </w:r>
          </w:p>
          <w:p w:rsidR="00821B47" w:rsidRDefault="00821B47" w:rsidP="00261911">
            <w:pPr>
              <w:jc w:val="both"/>
              <w:rPr>
                <w:rFonts w:ascii="Verdana" w:hAnsi="Verdana"/>
                <w:sz w:val="20"/>
                <w:szCs w:val="20"/>
                <w:lang w:eastAsia="en-US"/>
              </w:rPr>
            </w:pPr>
            <w:r w:rsidRPr="00821B47">
              <w:rPr>
                <w:rFonts w:ascii="Verdana" w:hAnsi="Verdana"/>
                <w:sz w:val="20"/>
                <w:szCs w:val="20"/>
                <w:lang w:eastAsia="en-US"/>
              </w:rPr>
              <w:t>Проектът въвежда нова такса спрямо трета група административни услуги, означени общо като „издаване на други удостоверения.</w:t>
            </w:r>
          </w:p>
          <w:p w:rsidR="00821B47" w:rsidRDefault="00821B47" w:rsidP="00261911">
            <w:pPr>
              <w:jc w:val="both"/>
              <w:rPr>
                <w:rFonts w:ascii="Verdana" w:hAnsi="Verdana"/>
                <w:sz w:val="20"/>
                <w:szCs w:val="20"/>
                <w:lang w:eastAsia="en-US"/>
              </w:rPr>
            </w:pPr>
            <w:r w:rsidRPr="00C35FC2">
              <w:rPr>
                <w:rFonts w:ascii="Verdana" w:hAnsi="Verdana"/>
                <w:sz w:val="20"/>
                <w:szCs w:val="20"/>
                <w:lang w:eastAsia="en-US"/>
              </w:rPr>
              <w:t xml:space="preserve">Според мотивите се имат предвид издавани от общинските служби по земеделие и от областните дирекции „Земеделие“ удостоверения, съдържащи факти и обстоятелства, „необходими най-вече на нотариусите за осъществяване на разпоредителни сделки“. Те са извън посочените в действащата тарифа и по тази причина до момента за издаването им не са събирани такси. За сборната категория административни услуги е предложена единна цена от 29, 34 лв. Примерно </w:t>
            </w:r>
            <w:r w:rsidRPr="00C35FC2">
              <w:rPr>
                <w:rFonts w:ascii="Verdana" w:hAnsi="Verdana"/>
                <w:sz w:val="20"/>
                <w:szCs w:val="20"/>
                <w:lang w:eastAsia="en-US"/>
              </w:rPr>
              <w:lastRenderedPageBreak/>
              <w:t>са изброени удостоверения за: 1) статута на имотите – при обстоятелствена проверка и при разпоредителни сделки; 2) принадлежност на имот към стопански двор и наличие или липса на акт за държавна собственост; 3) влизането в сила, както и дали е изменяно или отменяно конкретно решение на органа по поземлената собственост; 4) наличието или липсата на договор за наем или аренда за имота, предмет на разпоредителната сделка.</w:t>
            </w:r>
          </w:p>
          <w:p w:rsidR="00821B47" w:rsidRDefault="00821B47" w:rsidP="00261911">
            <w:pPr>
              <w:jc w:val="both"/>
              <w:rPr>
                <w:rFonts w:ascii="Verdana" w:hAnsi="Verdana"/>
                <w:sz w:val="20"/>
                <w:szCs w:val="20"/>
                <w:lang w:eastAsia="en-US"/>
              </w:rPr>
            </w:pPr>
            <w:r w:rsidRPr="00C35FC2">
              <w:rPr>
                <w:rFonts w:ascii="Verdana" w:hAnsi="Verdana"/>
                <w:sz w:val="20"/>
                <w:szCs w:val="20"/>
                <w:lang w:eastAsia="en-US"/>
              </w:rPr>
              <w:t>Намирам за недостатъчно само общото предвиждане в т. 16 на чл. 5, ал. 1 от Тарифата (§ 2, т. 4 от проекта) на административна услуга „издаване на други удостоверения“. Яснотата на уредбата при формулирането на разпоредбите на нормативните актове е важна гаранция за точното им прилагане и за защита на правата на гражданите – потребители на административните услуги.</w:t>
            </w:r>
          </w:p>
          <w:p w:rsidR="00821B47" w:rsidRPr="00821B47" w:rsidRDefault="00821B47" w:rsidP="00261911">
            <w:pPr>
              <w:jc w:val="both"/>
              <w:rPr>
                <w:rFonts w:ascii="Verdana" w:hAnsi="Verdana"/>
                <w:sz w:val="20"/>
                <w:szCs w:val="20"/>
                <w:lang w:eastAsia="en-US"/>
              </w:rPr>
            </w:pPr>
            <w:r w:rsidRPr="00C35FC2">
              <w:rPr>
                <w:rFonts w:ascii="Verdana" w:hAnsi="Verdana"/>
                <w:sz w:val="20"/>
                <w:szCs w:val="20"/>
                <w:lang w:eastAsia="en-US"/>
              </w:rPr>
              <w:t>Без конкретизиране на видовете удостоверения, съдържанието им и правното им значение не би била възможна и преценката за съответствие между предлагания размер на таксата от 29, 34 лв. и изискванията съгласно Методиката за определяне на разходоориентиран размер на таксите по чл. 7а на Закона за ограничаване на административното регулиране и административния контрол върху стопанската дейност и разходването им, приета с Постановление</w:t>
            </w:r>
            <w:r>
              <w:rPr>
                <w:rFonts w:ascii="Verdana" w:hAnsi="Verdana"/>
                <w:sz w:val="20"/>
                <w:szCs w:val="20"/>
                <w:lang w:eastAsia="en-US"/>
              </w:rPr>
              <w:t>.</w:t>
            </w:r>
            <w:r w:rsidRPr="00C35FC2">
              <w:rPr>
                <w:rFonts w:ascii="Verdana" w:hAnsi="Verdana"/>
                <w:sz w:val="20"/>
                <w:szCs w:val="20"/>
                <w:lang w:eastAsia="en-US"/>
              </w:rPr>
              <w:t xml:space="preserve"> на Министерския съвет № 1 от 05.01.2012 г.</w:t>
            </w:r>
          </w:p>
        </w:tc>
        <w:tc>
          <w:tcPr>
            <w:tcW w:w="1559" w:type="dxa"/>
            <w:tcBorders>
              <w:top w:val="nil"/>
              <w:left w:val="single" w:sz="12" w:space="0" w:color="2E74B5"/>
              <w:bottom w:val="nil"/>
              <w:right w:val="single" w:sz="12" w:space="0" w:color="2E74B5"/>
            </w:tcBorders>
          </w:tcPr>
          <w:p w:rsidR="003B082E" w:rsidRPr="00C35FC2" w:rsidRDefault="00FB486B" w:rsidP="00F83CB7">
            <w:pPr>
              <w:rPr>
                <w:rFonts w:ascii="Verdana" w:hAnsi="Verdana"/>
                <w:color w:val="FF0000"/>
                <w:sz w:val="20"/>
                <w:szCs w:val="20"/>
                <w:lang w:eastAsia="en-US"/>
              </w:rPr>
            </w:pPr>
            <w:r w:rsidRPr="00F83CB7">
              <w:rPr>
                <w:rFonts w:ascii="Verdana" w:hAnsi="Verdana"/>
                <w:sz w:val="20"/>
                <w:szCs w:val="20"/>
                <w:lang w:eastAsia="en-US"/>
              </w:rPr>
              <w:lastRenderedPageBreak/>
              <w:t>Приема се</w:t>
            </w:r>
            <w:r w:rsidR="00F83CB7" w:rsidRPr="00F83CB7">
              <w:rPr>
                <w:rFonts w:ascii="Verdana" w:hAnsi="Verdana"/>
                <w:sz w:val="20"/>
                <w:szCs w:val="20"/>
                <w:lang w:eastAsia="en-US"/>
              </w:rPr>
              <w:t xml:space="preserve"> по принцип</w:t>
            </w:r>
          </w:p>
        </w:tc>
        <w:tc>
          <w:tcPr>
            <w:tcW w:w="4964" w:type="dxa"/>
            <w:tcBorders>
              <w:top w:val="nil"/>
              <w:left w:val="single" w:sz="12" w:space="0" w:color="2E74B5"/>
              <w:bottom w:val="nil"/>
              <w:right w:val="single" w:sz="24" w:space="0" w:color="2E74B5"/>
            </w:tcBorders>
          </w:tcPr>
          <w:p w:rsidR="003B082E" w:rsidRPr="00C35FC2" w:rsidRDefault="00F83CB7" w:rsidP="001E5770">
            <w:pPr>
              <w:widowControl w:val="0"/>
              <w:autoSpaceDE w:val="0"/>
              <w:autoSpaceDN w:val="0"/>
              <w:adjustRightInd w:val="0"/>
              <w:jc w:val="both"/>
              <w:rPr>
                <w:rFonts w:ascii="Verdana" w:hAnsi="Verdana"/>
                <w:sz w:val="20"/>
                <w:szCs w:val="20"/>
                <w:lang w:eastAsia="en-US"/>
              </w:rPr>
            </w:pPr>
            <w:r w:rsidRPr="00F83CB7">
              <w:rPr>
                <w:rFonts w:ascii="Verdana" w:hAnsi="Verdana" w:cs="Verdana"/>
                <w:noProof/>
                <w:color w:val="000000" w:themeColor="text1"/>
                <w:sz w:val="20"/>
                <w:szCs w:val="20"/>
              </w:rPr>
              <w:t>В следващо постановление ще бъде изготвена нова тарифа, в която предлаганите услуги ще бъдат прецизрани.</w:t>
            </w:r>
          </w:p>
        </w:tc>
      </w:tr>
      <w:tr w:rsidR="00821B47" w:rsidRPr="00C35FC2" w:rsidTr="00870515">
        <w:tc>
          <w:tcPr>
            <w:tcW w:w="622" w:type="dxa"/>
            <w:vMerge/>
            <w:tcBorders>
              <w:top w:val="single" w:sz="24" w:space="0" w:color="2E74B5"/>
              <w:left w:val="single" w:sz="24" w:space="0" w:color="2E74B5"/>
              <w:bottom w:val="single" w:sz="18" w:space="0" w:color="2E74B5"/>
              <w:right w:val="single" w:sz="12" w:space="0" w:color="2E74B5"/>
            </w:tcBorders>
            <w:vAlign w:val="center"/>
          </w:tcPr>
          <w:p w:rsidR="00821B47" w:rsidRPr="00C35FC2" w:rsidRDefault="00821B47">
            <w:pPr>
              <w:rPr>
                <w:rFonts w:ascii="Verdana" w:hAnsi="Verdana"/>
                <w:b/>
                <w:sz w:val="20"/>
                <w:szCs w:val="20"/>
                <w:lang w:eastAsia="en-US"/>
              </w:rPr>
            </w:pPr>
          </w:p>
        </w:tc>
        <w:tc>
          <w:tcPr>
            <w:tcW w:w="3030" w:type="dxa"/>
            <w:vMerge/>
            <w:tcBorders>
              <w:top w:val="single" w:sz="24" w:space="0" w:color="2E74B5"/>
              <w:left w:val="single" w:sz="12" w:space="0" w:color="2E74B5"/>
              <w:bottom w:val="single" w:sz="18" w:space="0" w:color="2E74B5"/>
              <w:right w:val="single" w:sz="18" w:space="0" w:color="2E74B5"/>
            </w:tcBorders>
            <w:vAlign w:val="center"/>
          </w:tcPr>
          <w:p w:rsidR="00821B47" w:rsidRPr="00C35FC2" w:rsidRDefault="00821B47">
            <w:pPr>
              <w:rPr>
                <w:rFonts w:ascii="Verdana" w:hAnsi="Verdana"/>
                <w:b/>
                <w:sz w:val="20"/>
                <w:szCs w:val="20"/>
                <w:lang w:eastAsia="en-US"/>
              </w:rPr>
            </w:pPr>
          </w:p>
        </w:tc>
        <w:tc>
          <w:tcPr>
            <w:tcW w:w="5475" w:type="dxa"/>
            <w:tcBorders>
              <w:top w:val="nil"/>
              <w:left w:val="single" w:sz="18" w:space="0" w:color="2E74B5"/>
              <w:bottom w:val="nil"/>
              <w:right w:val="single" w:sz="12" w:space="0" w:color="2E74B5"/>
            </w:tcBorders>
          </w:tcPr>
          <w:p w:rsidR="00821B47" w:rsidRPr="00821B47" w:rsidRDefault="00821B47" w:rsidP="00261911">
            <w:pPr>
              <w:jc w:val="both"/>
              <w:rPr>
                <w:rFonts w:ascii="Verdana" w:hAnsi="Verdana"/>
                <w:b/>
                <w:sz w:val="20"/>
                <w:szCs w:val="20"/>
                <w:lang w:eastAsia="en-US"/>
              </w:rPr>
            </w:pPr>
            <w:r w:rsidRPr="00821B47">
              <w:rPr>
                <w:rFonts w:ascii="Verdana" w:hAnsi="Verdana"/>
                <w:b/>
                <w:sz w:val="20"/>
                <w:szCs w:val="20"/>
                <w:lang w:eastAsia="en-US"/>
              </w:rPr>
              <w:t>ІІ. Конкретни предложения</w:t>
            </w:r>
          </w:p>
        </w:tc>
        <w:tc>
          <w:tcPr>
            <w:tcW w:w="1559" w:type="dxa"/>
            <w:tcBorders>
              <w:top w:val="nil"/>
              <w:left w:val="single" w:sz="12" w:space="0" w:color="2E74B5"/>
              <w:bottom w:val="nil"/>
              <w:right w:val="single" w:sz="12" w:space="0" w:color="2E74B5"/>
            </w:tcBorders>
          </w:tcPr>
          <w:p w:rsidR="00821B47" w:rsidRPr="00C35FC2" w:rsidRDefault="00821B47">
            <w:pPr>
              <w:rPr>
                <w:rFonts w:ascii="Verdana" w:hAnsi="Verdana"/>
                <w:sz w:val="20"/>
                <w:szCs w:val="20"/>
                <w:lang w:eastAsia="en-US"/>
              </w:rPr>
            </w:pPr>
          </w:p>
        </w:tc>
        <w:tc>
          <w:tcPr>
            <w:tcW w:w="4964" w:type="dxa"/>
            <w:tcBorders>
              <w:top w:val="nil"/>
              <w:left w:val="single" w:sz="12" w:space="0" w:color="2E74B5"/>
              <w:bottom w:val="nil"/>
              <w:right w:val="single" w:sz="24" w:space="0" w:color="2E74B5"/>
            </w:tcBorders>
          </w:tcPr>
          <w:p w:rsidR="00821B47" w:rsidRPr="00C35FC2" w:rsidRDefault="00821B47">
            <w:pPr>
              <w:rPr>
                <w:rFonts w:ascii="Verdana" w:hAnsi="Verdana"/>
                <w:sz w:val="20"/>
                <w:szCs w:val="20"/>
                <w:lang w:eastAsia="en-US"/>
              </w:rPr>
            </w:pPr>
          </w:p>
        </w:tc>
      </w:tr>
      <w:tr w:rsidR="00821B47" w:rsidRPr="00C35FC2" w:rsidTr="00870515">
        <w:tc>
          <w:tcPr>
            <w:tcW w:w="622" w:type="dxa"/>
            <w:vMerge/>
            <w:tcBorders>
              <w:top w:val="single" w:sz="24" w:space="0" w:color="2E74B5"/>
              <w:left w:val="single" w:sz="24" w:space="0" w:color="2E74B5"/>
              <w:bottom w:val="single" w:sz="18" w:space="0" w:color="2E74B5"/>
              <w:right w:val="single" w:sz="12" w:space="0" w:color="2E74B5"/>
            </w:tcBorders>
            <w:vAlign w:val="center"/>
          </w:tcPr>
          <w:p w:rsidR="00821B47" w:rsidRPr="00C35FC2" w:rsidRDefault="00821B47">
            <w:pPr>
              <w:rPr>
                <w:rFonts w:ascii="Verdana" w:hAnsi="Verdana"/>
                <w:b/>
                <w:sz w:val="20"/>
                <w:szCs w:val="20"/>
                <w:lang w:eastAsia="en-US"/>
              </w:rPr>
            </w:pPr>
          </w:p>
        </w:tc>
        <w:tc>
          <w:tcPr>
            <w:tcW w:w="3030" w:type="dxa"/>
            <w:vMerge/>
            <w:tcBorders>
              <w:top w:val="single" w:sz="24" w:space="0" w:color="2E74B5"/>
              <w:left w:val="single" w:sz="12" w:space="0" w:color="2E74B5"/>
              <w:bottom w:val="single" w:sz="18" w:space="0" w:color="2E74B5"/>
              <w:right w:val="single" w:sz="18" w:space="0" w:color="2E74B5"/>
            </w:tcBorders>
            <w:vAlign w:val="center"/>
          </w:tcPr>
          <w:p w:rsidR="00821B47" w:rsidRPr="00C35FC2" w:rsidRDefault="00821B47">
            <w:pPr>
              <w:rPr>
                <w:rFonts w:ascii="Verdana" w:hAnsi="Verdana"/>
                <w:b/>
                <w:sz w:val="20"/>
                <w:szCs w:val="20"/>
                <w:lang w:eastAsia="en-US"/>
              </w:rPr>
            </w:pPr>
          </w:p>
        </w:tc>
        <w:tc>
          <w:tcPr>
            <w:tcW w:w="5475" w:type="dxa"/>
            <w:tcBorders>
              <w:top w:val="nil"/>
              <w:left w:val="single" w:sz="18" w:space="0" w:color="2E74B5"/>
              <w:bottom w:val="nil"/>
              <w:right w:val="single" w:sz="12" w:space="0" w:color="2E74B5"/>
            </w:tcBorders>
          </w:tcPr>
          <w:p w:rsidR="00821B47" w:rsidRPr="00821B47" w:rsidRDefault="00821B47" w:rsidP="00261911">
            <w:pPr>
              <w:jc w:val="both"/>
              <w:rPr>
                <w:rFonts w:ascii="Verdana" w:hAnsi="Verdana"/>
                <w:b/>
                <w:sz w:val="20"/>
                <w:szCs w:val="20"/>
                <w:lang w:eastAsia="en-US"/>
              </w:rPr>
            </w:pPr>
            <w:r w:rsidRPr="00821B47">
              <w:rPr>
                <w:rFonts w:ascii="Verdana" w:hAnsi="Verdana"/>
                <w:b/>
                <w:sz w:val="20"/>
                <w:szCs w:val="20"/>
                <w:lang w:eastAsia="en-US"/>
              </w:rPr>
              <w:t>1. По § 1 относно чл. 3, ал. 1</w:t>
            </w:r>
          </w:p>
        </w:tc>
        <w:tc>
          <w:tcPr>
            <w:tcW w:w="1559" w:type="dxa"/>
            <w:tcBorders>
              <w:top w:val="nil"/>
              <w:left w:val="single" w:sz="12" w:space="0" w:color="2E74B5"/>
              <w:bottom w:val="nil"/>
              <w:right w:val="single" w:sz="12" w:space="0" w:color="2E74B5"/>
            </w:tcBorders>
          </w:tcPr>
          <w:p w:rsidR="00821B47" w:rsidRPr="00C35FC2" w:rsidRDefault="00821B47">
            <w:pPr>
              <w:rPr>
                <w:rFonts w:ascii="Verdana" w:hAnsi="Verdana"/>
                <w:sz w:val="20"/>
                <w:szCs w:val="20"/>
                <w:lang w:eastAsia="en-US"/>
              </w:rPr>
            </w:pPr>
          </w:p>
        </w:tc>
        <w:tc>
          <w:tcPr>
            <w:tcW w:w="4964" w:type="dxa"/>
            <w:tcBorders>
              <w:top w:val="nil"/>
              <w:left w:val="single" w:sz="12" w:space="0" w:color="2E74B5"/>
              <w:bottom w:val="nil"/>
              <w:right w:val="single" w:sz="24" w:space="0" w:color="2E74B5"/>
            </w:tcBorders>
          </w:tcPr>
          <w:p w:rsidR="00821B47" w:rsidRPr="00C35FC2" w:rsidRDefault="00821B47">
            <w:pPr>
              <w:rPr>
                <w:rFonts w:ascii="Verdana" w:hAnsi="Verdana"/>
                <w:sz w:val="20"/>
                <w:szCs w:val="20"/>
                <w:lang w:eastAsia="en-US"/>
              </w:rPr>
            </w:pPr>
          </w:p>
        </w:tc>
      </w:tr>
      <w:tr w:rsidR="00821B47" w:rsidRPr="00C35FC2" w:rsidTr="00870515">
        <w:tc>
          <w:tcPr>
            <w:tcW w:w="622" w:type="dxa"/>
            <w:vMerge/>
            <w:tcBorders>
              <w:top w:val="single" w:sz="24" w:space="0" w:color="2E74B5"/>
              <w:left w:val="single" w:sz="24" w:space="0" w:color="2E74B5"/>
              <w:bottom w:val="single" w:sz="18" w:space="0" w:color="2E74B5"/>
              <w:right w:val="single" w:sz="12" w:space="0" w:color="2E74B5"/>
            </w:tcBorders>
            <w:vAlign w:val="center"/>
          </w:tcPr>
          <w:p w:rsidR="00821B47" w:rsidRPr="00C35FC2" w:rsidRDefault="00821B47">
            <w:pPr>
              <w:rPr>
                <w:rFonts w:ascii="Verdana" w:hAnsi="Verdana"/>
                <w:b/>
                <w:sz w:val="20"/>
                <w:szCs w:val="20"/>
                <w:lang w:eastAsia="en-US"/>
              </w:rPr>
            </w:pPr>
          </w:p>
        </w:tc>
        <w:tc>
          <w:tcPr>
            <w:tcW w:w="3030" w:type="dxa"/>
            <w:vMerge/>
            <w:tcBorders>
              <w:top w:val="single" w:sz="24" w:space="0" w:color="2E74B5"/>
              <w:left w:val="single" w:sz="12" w:space="0" w:color="2E74B5"/>
              <w:bottom w:val="single" w:sz="18" w:space="0" w:color="2E74B5"/>
              <w:right w:val="single" w:sz="18" w:space="0" w:color="2E74B5"/>
            </w:tcBorders>
            <w:vAlign w:val="center"/>
          </w:tcPr>
          <w:p w:rsidR="00821B47" w:rsidRPr="00C35FC2" w:rsidRDefault="00821B47">
            <w:pPr>
              <w:rPr>
                <w:rFonts w:ascii="Verdana" w:hAnsi="Verdana"/>
                <w:b/>
                <w:sz w:val="20"/>
                <w:szCs w:val="20"/>
                <w:lang w:eastAsia="en-US"/>
              </w:rPr>
            </w:pPr>
          </w:p>
        </w:tc>
        <w:tc>
          <w:tcPr>
            <w:tcW w:w="5475" w:type="dxa"/>
            <w:tcBorders>
              <w:top w:val="nil"/>
              <w:left w:val="single" w:sz="18" w:space="0" w:color="2E74B5"/>
              <w:bottom w:val="nil"/>
              <w:right w:val="single" w:sz="12" w:space="0" w:color="2E74B5"/>
            </w:tcBorders>
          </w:tcPr>
          <w:p w:rsidR="00821B47" w:rsidRDefault="00821B47" w:rsidP="00261911">
            <w:pPr>
              <w:jc w:val="both"/>
              <w:rPr>
                <w:rFonts w:ascii="Verdana" w:hAnsi="Verdana"/>
                <w:sz w:val="20"/>
                <w:szCs w:val="20"/>
                <w:lang w:eastAsia="en-US"/>
              </w:rPr>
            </w:pPr>
            <w:r w:rsidRPr="00C35FC2">
              <w:rPr>
                <w:rFonts w:ascii="Verdana" w:hAnsi="Verdana"/>
                <w:sz w:val="20"/>
                <w:szCs w:val="20"/>
                <w:lang w:eastAsia="en-US"/>
              </w:rPr>
              <w:t xml:space="preserve">Действащият текст предвижда диференцирана такса за издаване на препис от решение на поземлената комисия или на общинската служба </w:t>
            </w:r>
            <w:r w:rsidRPr="00C35FC2">
              <w:rPr>
                <w:rFonts w:ascii="Verdana" w:hAnsi="Verdana"/>
                <w:sz w:val="20"/>
                <w:szCs w:val="20"/>
                <w:lang w:eastAsia="en-US"/>
              </w:rPr>
              <w:lastRenderedPageBreak/>
              <w:t xml:space="preserve">по земеделие, както следва: 1. за един имот </w:t>
            </w:r>
            <w:r>
              <w:rPr>
                <w:rFonts w:ascii="Verdana" w:hAnsi="Verdana"/>
                <w:sz w:val="20"/>
                <w:szCs w:val="20"/>
                <w:lang w:eastAsia="en-US"/>
              </w:rPr>
              <w:t>–</w:t>
            </w:r>
            <w:r w:rsidRPr="00C35FC2">
              <w:rPr>
                <w:rFonts w:ascii="Verdana" w:hAnsi="Verdana"/>
                <w:sz w:val="20"/>
                <w:szCs w:val="20"/>
                <w:lang w:eastAsia="en-US"/>
              </w:rPr>
              <w:t xml:space="preserve"> 1,50 лв.; 2. от 2 до 4 имота </w:t>
            </w:r>
            <w:r>
              <w:rPr>
                <w:rFonts w:ascii="Verdana" w:hAnsi="Verdana"/>
                <w:sz w:val="20"/>
                <w:szCs w:val="20"/>
                <w:lang w:eastAsia="en-US"/>
              </w:rPr>
              <w:t>–</w:t>
            </w:r>
            <w:r w:rsidRPr="00C35FC2">
              <w:rPr>
                <w:rFonts w:ascii="Verdana" w:hAnsi="Verdana"/>
                <w:sz w:val="20"/>
                <w:szCs w:val="20"/>
                <w:lang w:eastAsia="en-US"/>
              </w:rPr>
              <w:t xml:space="preserve"> 2 лв.; 3. над 4 имота </w:t>
            </w:r>
            <w:r>
              <w:rPr>
                <w:rFonts w:ascii="Verdana" w:hAnsi="Verdana"/>
                <w:sz w:val="20"/>
                <w:szCs w:val="20"/>
                <w:lang w:eastAsia="en-US"/>
              </w:rPr>
              <w:t>–</w:t>
            </w:r>
            <w:r w:rsidRPr="00C35FC2">
              <w:rPr>
                <w:rFonts w:ascii="Verdana" w:hAnsi="Verdana"/>
                <w:sz w:val="20"/>
                <w:szCs w:val="20"/>
                <w:lang w:eastAsia="en-US"/>
              </w:rPr>
              <w:t xml:space="preserve"> 2,50 лв. Предмет на услугата са крайните актове на органа по поземлената собственост за възстановяване/обезщетяване със земя, както и за оземляване на безимотни и малоимотни граждани, издадени на основание чл. 18ж, ал. 1, чл. 27, чл. 27а и чл. 42 (отм.) от Правилника за прилагане на Закона за собствеността и ползването на земеделските земи (ППЗСПЗЗ), както и по чл. 13, ал. 5 и чл. 14, ал. 6 от Закона за възстановяване на собствеността върху горите и земите от горския фонд (ЗВСГЗГФ).</w:t>
            </w:r>
          </w:p>
          <w:p w:rsidR="00821B47" w:rsidRPr="00821B47" w:rsidRDefault="00821B47" w:rsidP="00821B47">
            <w:pPr>
              <w:jc w:val="both"/>
              <w:rPr>
                <w:rFonts w:ascii="Verdana" w:hAnsi="Verdana"/>
                <w:sz w:val="20"/>
                <w:szCs w:val="20"/>
                <w:lang w:eastAsia="en-US"/>
              </w:rPr>
            </w:pPr>
            <w:r w:rsidRPr="00821B47">
              <w:rPr>
                <w:rFonts w:ascii="Verdana" w:hAnsi="Verdana"/>
                <w:sz w:val="20"/>
                <w:szCs w:val="20"/>
                <w:lang w:eastAsia="en-US"/>
              </w:rPr>
              <w:t xml:space="preserve">Не подкрепям предложението за въвеждане на единна такса при издаване на преписи от решения на органа по поземлената собственост, по следните съображения: </w:t>
            </w:r>
          </w:p>
          <w:p w:rsidR="00821B47" w:rsidRPr="00821B47" w:rsidRDefault="00821B47" w:rsidP="00821B47">
            <w:pPr>
              <w:jc w:val="both"/>
              <w:rPr>
                <w:rFonts w:ascii="Verdana" w:hAnsi="Verdana"/>
                <w:sz w:val="20"/>
                <w:szCs w:val="20"/>
                <w:lang w:eastAsia="en-US"/>
              </w:rPr>
            </w:pPr>
            <w:r w:rsidRPr="00821B47">
              <w:rPr>
                <w:rFonts w:ascii="Verdana" w:hAnsi="Verdana"/>
                <w:sz w:val="20"/>
                <w:szCs w:val="20"/>
                <w:lang w:eastAsia="en-US"/>
              </w:rPr>
              <w:t>Приключващите реституционните процедури по реда на ЗСПЗЗ и на ЗВСГЗГФ решения на органа по поземлената собственост (поземлена комисия или общинска служба по земеделие), придружени със скица, са конститутивни административни актове. По силата на закона имат силата и на констативен нотариален акт за правото на собственост върху земеделските и горските имоти; в това им качество те подлежат на вписване от 1.01.2001 г.– издадените преди тази дата решения, които легитимират лицата като собственици, се съхраняват единствено от органа по поземлената собственост.</w:t>
            </w:r>
          </w:p>
          <w:p w:rsidR="00821B47" w:rsidRPr="00821B47" w:rsidRDefault="00821B47" w:rsidP="00821B47">
            <w:pPr>
              <w:jc w:val="both"/>
              <w:rPr>
                <w:rFonts w:ascii="Verdana" w:hAnsi="Verdana"/>
                <w:sz w:val="20"/>
                <w:szCs w:val="20"/>
                <w:lang w:eastAsia="en-US"/>
              </w:rPr>
            </w:pPr>
            <w:r w:rsidRPr="00821B47">
              <w:rPr>
                <w:rFonts w:ascii="Verdana" w:hAnsi="Verdana"/>
                <w:sz w:val="20"/>
                <w:szCs w:val="20"/>
                <w:lang w:eastAsia="en-US"/>
              </w:rPr>
              <w:t xml:space="preserve">Както е отбелязано в становище на Министерството на земеделието и храните № 02-01-179/29.05.2025 г. по Законопроект за изменение и допълнение на Закона за кадастъра и имотния регистър № 51-554-01-95, внесен от група народни представители на 16 април 2025 </w:t>
            </w:r>
            <w:r w:rsidRPr="00821B47">
              <w:rPr>
                <w:rFonts w:ascii="Verdana" w:hAnsi="Verdana"/>
                <w:sz w:val="20"/>
                <w:szCs w:val="20"/>
                <w:lang w:eastAsia="en-US"/>
              </w:rPr>
              <w:lastRenderedPageBreak/>
              <w:t>г. „Предвид различните начини на възстановяване на правото на собственост – в нови граници – с план за земеразделяне, в съществуващи или възстановими на терена стари реални граници, в урбанизирани територии, в територии по § 4 от ПЗР на ЗСПЗЗ, по една преписка, образувана по подадено по реда на чл. 11 от ЗСПЗЗ заявление, може да са издадени няколко решения, като за имотите, възстановени в съществуващи или възстановими на терена стари реални граници, те могат да бъдат и колкото са имотите.“</w:t>
            </w:r>
          </w:p>
          <w:p w:rsidR="00821B47" w:rsidRPr="00821B47" w:rsidRDefault="00821B47" w:rsidP="00821B47">
            <w:pPr>
              <w:jc w:val="both"/>
              <w:rPr>
                <w:rFonts w:ascii="Verdana" w:hAnsi="Verdana"/>
                <w:sz w:val="20"/>
                <w:szCs w:val="20"/>
                <w:lang w:eastAsia="en-US"/>
              </w:rPr>
            </w:pPr>
            <w:r w:rsidRPr="00821B47">
              <w:rPr>
                <w:rFonts w:ascii="Verdana" w:hAnsi="Verdana"/>
                <w:sz w:val="20"/>
                <w:szCs w:val="20"/>
                <w:lang w:eastAsia="en-US"/>
              </w:rPr>
              <w:t>Или, за възстановяването на правото на собственост на един собственик или на наследниците му няма ограничение за броя на актовете, с които следва да се произнесе органът по поземлената собственост. По правило се постановяват повече от едно решения, което означава, че за препис от всяко решение ще се дължи таксата от 19, 55 лв. Ако, например, са възстановени 5 имота в стари граници, дължимата сума за преписи ще е около 100 лева.</w:t>
            </w:r>
          </w:p>
          <w:p w:rsidR="00821B47" w:rsidRPr="00821B47" w:rsidRDefault="00821B47" w:rsidP="00821B47">
            <w:pPr>
              <w:jc w:val="both"/>
              <w:rPr>
                <w:rFonts w:ascii="Verdana" w:hAnsi="Verdana"/>
                <w:sz w:val="20"/>
                <w:szCs w:val="20"/>
                <w:lang w:eastAsia="en-US"/>
              </w:rPr>
            </w:pPr>
            <w:r w:rsidRPr="00821B47">
              <w:rPr>
                <w:rFonts w:ascii="Verdana" w:hAnsi="Verdana"/>
                <w:sz w:val="20"/>
                <w:szCs w:val="20"/>
                <w:lang w:eastAsia="en-US"/>
              </w:rPr>
              <w:t xml:space="preserve">Като се прибави към това и издаването на удостоверение относно влизането в сила на конкретно решение (включено в общата категория удостоверения по чл. 5, ал. 1, т. 16), таксите за препис от едно решение с удостоверяване на влизането му в сила биха били 48,89 лв. </w:t>
            </w:r>
          </w:p>
          <w:p w:rsidR="00821B47" w:rsidRPr="00821B47" w:rsidRDefault="00821B47" w:rsidP="00821B47">
            <w:pPr>
              <w:jc w:val="both"/>
              <w:rPr>
                <w:rFonts w:ascii="Verdana" w:hAnsi="Verdana"/>
                <w:sz w:val="20"/>
                <w:szCs w:val="20"/>
                <w:lang w:eastAsia="en-US"/>
              </w:rPr>
            </w:pPr>
            <w:r w:rsidRPr="00821B47">
              <w:rPr>
                <w:rFonts w:ascii="Verdana" w:hAnsi="Verdana"/>
                <w:sz w:val="20"/>
                <w:szCs w:val="20"/>
                <w:lang w:eastAsia="en-US"/>
              </w:rPr>
              <w:t xml:space="preserve">Предлаганото увеличение на финансовата тежест при снабдяване с преписи от решенията на органа по поземлената собственост на правоимащите лица – собственици/наследници на имоти с признати права в стари граници би затруднило допълнително довършването на поземлената реституция. С още по-голяма острота се поставя въпросът за служебното </w:t>
            </w:r>
            <w:r w:rsidRPr="00821B47">
              <w:rPr>
                <w:rFonts w:ascii="Verdana" w:hAnsi="Verdana"/>
                <w:sz w:val="20"/>
                <w:szCs w:val="20"/>
                <w:lang w:eastAsia="en-US"/>
              </w:rPr>
              <w:lastRenderedPageBreak/>
              <w:t>приключване на реституционните процедури за имоти в стари граници, предмет на Законопроект за допълнение на Закона за собствеността и ползването на земеделските земи, внесен от Министерския съвет в 47-то Народно събрание (№ 47-202-01-31/02.06.2022 г.), неприет, поради разпускането на Парламента. Омбудсманът подкрепи законопроекта и последователно предлага в докладите за дейността на институцията до Народното събрание повторното му внасяне в Парламента.</w:t>
            </w:r>
          </w:p>
          <w:p w:rsidR="00821B47" w:rsidRPr="00821B47" w:rsidRDefault="00821B47" w:rsidP="00821B47">
            <w:pPr>
              <w:jc w:val="both"/>
              <w:rPr>
                <w:rFonts w:ascii="Verdana" w:hAnsi="Verdana"/>
                <w:sz w:val="20"/>
                <w:szCs w:val="20"/>
                <w:lang w:eastAsia="en-US"/>
              </w:rPr>
            </w:pPr>
            <w:r w:rsidRPr="00821B47">
              <w:rPr>
                <w:rFonts w:ascii="Verdana" w:hAnsi="Verdana"/>
                <w:sz w:val="20"/>
                <w:szCs w:val="20"/>
                <w:lang w:eastAsia="en-US"/>
              </w:rPr>
              <w:t xml:space="preserve">Увеличената такса за преписи от решения на органите по поземлената собственост има широко приложно поле – в кръга на засегнатите лица в частичната предварителна оценка на проекта са включени собствениците на решения, издадени по реда на ЗСПЗЗ и ЗВСГЗГФ – около 500 000, както и собствениците на земеделски земи – около 600 000. </w:t>
            </w:r>
          </w:p>
          <w:p w:rsidR="00821B47" w:rsidRPr="00821B47" w:rsidRDefault="00821B47" w:rsidP="00821B47">
            <w:pPr>
              <w:jc w:val="both"/>
              <w:rPr>
                <w:rFonts w:ascii="Verdana" w:hAnsi="Verdana"/>
                <w:sz w:val="20"/>
                <w:szCs w:val="20"/>
                <w:lang w:eastAsia="en-US"/>
              </w:rPr>
            </w:pPr>
            <w:r w:rsidRPr="00821B47">
              <w:rPr>
                <w:rFonts w:ascii="Verdana" w:hAnsi="Verdana"/>
                <w:sz w:val="20"/>
                <w:szCs w:val="20"/>
                <w:lang w:eastAsia="en-US"/>
              </w:rPr>
              <w:t>Ето защо смятам, че предложението по § 1 относно чл. 3, ал. 1 от проекта  създава предпоставки за ограничаване на достъпа за снабдяване с документи, легитимиращи гражданите като носители на правото на собственост върху земеделски и горски имоти, или необходими им за окончателно придобиване на това качество, поради прекомерна финансова тежест. По този начин се застрашава упражняването на конституционно гарантираното право на собственост на хиляди граждани и на признати от държавата права на възстановяване на земеделски и горски имоти.</w:t>
            </w:r>
          </w:p>
          <w:p w:rsidR="00821B47" w:rsidRPr="00C35FC2" w:rsidRDefault="00821B47" w:rsidP="00261911">
            <w:pPr>
              <w:jc w:val="both"/>
              <w:rPr>
                <w:rFonts w:ascii="Verdana" w:hAnsi="Verdana"/>
                <w:sz w:val="20"/>
                <w:szCs w:val="20"/>
                <w:lang w:eastAsia="en-US"/>
              </w:rPr>
            </w:pPr>
            <w:r w:rsidRPr="00C35FC2">
              <w:rPr>
                <w:rFonts w:ascii="Verdana" w:hAnsi="Verdana"/>
                <w:sz w:val="20"/>
                <w:szCs w:val="20"/>
                <w:lang w:eastAsia="en-US"/>
              </w:rPr>
              <w:t>Предлагам да се възприеме нов подход при определяне на таксата за административната услуга, гарантиращ законовото изискване за разходоориентиран размер на таксите, включително като се предвиди горна граница.</w:t>
            </w:r>
          </w:p>
        </w:tc>
        <w:tc>
          <w:tcPr>
            <w:tcW w:w="1559" w:type="dxa"/>
            <w:tcBorders>
              <w:top w:val="nil"/>
              <w:left w:val="single" w:sz="12" w:space="0" w:color="2E74B5"/>
              <w:bottom w:val="nil"/>
              <w:right w:val="single" w:sz="12" w:space="0" w:color="2E74B5"/>
            </w:tcBorders>
          </w:tcPr>
          <w:p w:rsidR="00821B47" w:rsidRPr="00C35FC2" w:rsidRDefault="00821B47">
            <w:pPr>
              <w:rPr>
                <w:rFonts w:ascii="Verdana" w:hAnsi="Verdana"/>
                <w:sz w:val="20"/>
                <w:szCs w:val="20"/>
                <w:lang w:eastAsia="en-US"/>
              </w:rPr>
            </w:pPr>
            <w:r w:rsidRPr="00F83CB7">
              <w:rPr>
                <w:rFonts w:ascii="Verdana" w:hAnsi="Verdana"/>
                <w:sz w:val="20"/>
                <w:szCs w:val="20"/>
                <w:lang w:eastAsia="en-US"/>
              </w:rPr>
              <w:lastRenderedPageBreak/>
              <w:t>Не се приема</w:t>
            </w:r>
          </w:p>
        </w:tc>
        <w:tc>
          <w:tcPr>
            <w:tcW w:w="4964" w:type="dxa"/>
            <w:tcBorders>
              <w:top w:val="nil"/>
              <w:left w:val="single" w:sz="12" w:space="0" w:color="2E74B5"/>
              <w:bottom w:val="nil"/>
              <w:right w:val="single" w:sz="24" w:space="0" w:color="2E74B5"/>
            </w:tcBorders>
          </w:tcPr>
          <w:p w:rsidR="00821B47" w:rsidRPr="00C35FC2" w:rsidRDefault="00821B47" w:rsidP="001E5770">
            <w:pPr>
              <w:jc w:val="both"/>
              <w:rPr>
                <w:rFonts w:ascii="Verdana" w:hAnsi="Verdana"/>
                <w:sz w:val="20"/>
                <w:szCs w:val="20"/>
                <w:lang w:eastAsia="en-US"/>
              </w:rPr>
            </w:pPr>
            <w:r w:rsidRPr="00821B47">
              <w:rPr>
                <w:rFonts w:ascii="Verdana" w:hAnsi="Verdana"/>
                <w:sz w:val="20"/>
                <w:szCs w:val="20"/>
                <w:lang w:eastAsia="en-US"/>
              </w:rPr>
              <w:t xml:space="preserve">Предложените стойности съответстват на разходите на административния орган за извършване на съответната услуга и за </w:t>
            </w:r>
            <w:r w:rsidRPr="00821B47">
              <w:rPr>
                <w:rFonts w:ascii="Verdana" w:hAnsi="Verdana"/>
                <w:sz w:val="20"/>
                <w:szCs w:val="20"/>
                <w:lang w:eastAsia="en-US"/>
              </w:rPr>
              <w:lastRenderedPageBreak/>
              <w:t xml:space="preserve">упражняване на контрола, в т.ч. необходимите материално-технически разходи и всички административни разходи за изпълнение на задълженията на длъжностните лица с оглед на тяхната квалификация и изразходвано работно време. </w:t>
            </w:r>
          </w:p>
        </w:tc>
      </w:tr>
      <w:tr w:rsidR="00870515" w:rsidRPr="00C35FC2" w:rsidTr="00870515">
        <w:tc>
          <w:tcPr>
            <w:tcW w:w="622" w:type="dxa"/>
            <w:vMerge/>
            <w:tcBorders>
              <w:top w:val="single" w:sz="24" w:space="0" w:color="2E74B5"/>
              <w:left w:val="single" w:sz="24" w:space="0" w:color="2E74B5"/>
              <w:bottom w:val="single" w:sz="18" w:space="0" w:color="2E74B5"/>
              <w:right w:val="single" w:sz="12" w:space="0" w:color="2E74B5"/>
            </w:tcBorders>
            <w:vAlign w:val="center"/>
          </w:tcPr>
          <w:p w:rsidR="00870515" w:rsidRPr="00C35FC2" w:rsidRDefault="00870515">
            <w:pPr>
              <w:rPr>
                <w:rFonts w:ascii="Verdana" w:hAnsi="Verdana"/>
                <w:b/>
                <w:sz w:val="20"/>
                <w:szCs w:val="20"/>
                <w:lang w:eastAsia="en-US"/>
              </w:rPr>
            </w:pPr>
          </w:p>
        </w:tc>
        <w:tc>
          <w:tcPr>
            <w:tcW w:w="3030" w:type="dxa"/>
            <w:vMerge/>
            <w:tcBorders>
              <w:top w:val="single" w:sz="24" w:space="0" w:color="2E74B5"/>
              <w:left w:val="single" w:sz="12" w:space="0" w:color="2E74B5"/>
              <w:bottom w:val="single" w:sz="18" w:space="0" w:color="2E74B5"/>
              <w:right w:val="single" w:sz="18" w:space="0" w:color="2E74B5"/>
            </w:tcBorders>
            <w:vAlign w:val="center"/>
          </w:tcPr>
          <w:p w:rsidR="00870515" w:rsidRPr="00C35FC2" w:rsidRDefault="00870515">
            <w:pPr>
              <w:rPr>
                <w:rFonts w:ascii="Verdana" w:hAnsi="Verdana"/>
                <w:b/>
                <w:sz w:val="20"/>
                <w:szCs w:val="20"/>
                <w:lang w:eastAsia="en-US"/>
              </w:rPr>
            </w:pPr>
          </w:p>
        </w:tc>
        <w:tc>
          <w:tcPr>
            <w:tcW w:w="5475" w:type="dxa"/>
            <w:tcBorders>
              <w:top w:val="nil"/>
              <w:left w:val="single" w:sz="18" w:space="0" w:color="2E74B5"/>
              <w:bottom w:val="nil"/>
              <w:right w:val="single" w:sz="12" w:space="0" w:color="2E74B5"/>
            </w:tcBorders>
          </w:tcPr>
          <w:p w:rsidR="00870515" w:rsidRPr="00C35FC2" w:rsidRDefault="00870515" w:rsidP="00261911">
            <w:pPr>
              <w:jc w:val="both"/>
              <w:rPr>
                <w:rFonts w:ascii="Verdana" w:hAnsi="Verdana"/>
                <w:sz w:val="20"/>
                <w:szCs w:val="20"/>
                <w:lang w:eastAsia="en-US"/>
              </w:rPr>
            </w:pPr>
            <w:r w:rsidRPr="00C35FC2">
              <w:rPr>
                <w:rFonts w:ascii="Verdana" w:hAnsi="Verdana"/>
                <w:sz w:val="20"/>
                <w:szCs w:val="20"/>
                <w:lang w:eastAsia="en-US"/>
              </w:rPr>
              <w:t>Да се допълни описанието на услугата и нейното съдържание в ал. 2 на чл. 3 от Тарифата и когато решенията на органа по поземлената собственост не са налични на хартиен носител и генерираните документи от електронната база данни, подържана от органите по поземлената собственост, не представляват преписи и не се зачитат като такива.</w:t>
            </w:r>
          </w:p>
        </w:tc>
        <w:tc>
          <w:tcPr>
            <w:tcW w:w="1559" w:type="dxa"/>
            <w:tcBorders>
              <w:top w:val="nil"/>
              <w:left w:val="single" w:sz="12" w:space="0" w:color="2E74B5"/>
              <w:bottom w:val="nil"/>
              <w:right w:val="single" w:sz="12" w:space="0" w:color="2E74B5"/>
            </w:tcBorders>
          </w:tcPr>
          <w:p w:rsidR="00870515" w:rsidRPr="00C35FC2" w:rsidRDefault="00870515">
            <w:pPr>
              <w:rPr>
                <w:rFonts w:ascii="Verdana" w:hAnsi="Verdana"/>
                <w:sz w:val="20"/>
                <w:szCs w:val="20"/>
                <w:lang w:eastAsia="en-US"/>
              </w:rPr>
            </w:pPr>
            <w:r w:rsidRPr="00F83CB7">
              <w:rPr>
                <w:rFonts w:ascii="Verdana" w:hAnsi="Verdana"/>
                <w:sz w:val="20"/>
                <w:szCs w:val="20"/>
                <w:lang w:eastAsia="en-US"/>
              </w:rPr>
              <w:t>Не се приема</w:t>
            </w:r>
          </w:p>
        </w:tc>
        <w:tc>
          <w:tcPr>
            <w:tcW w:w="4964" w:type="dxa"/>
            <w:tcBorders>
              <w:top w:val="nil"/>
              <w:left w:val="single" w:sz="12" w:space="0" w:color="2E74B5"/>
              <w:bottom w:val="nil"/>
              <w:right w:val="single" w:sz="24" w:space="0" w:color="2E74B5"/>
            </w:tcBorders>
          </w:tcPr>
          <w:p w:rsidR="00870515" w:rsidRPr="00870515" w:rsidRDefault="00870515" w:rsidP="00870515">
            <w:pPr>
              <w:jc w:val="both"/>
              <w:rPr>
                <w:rFonts w:ascii="Verdana" w:hAnsi="Verdana"/>
                <w:sz w:val="22"/>
                <w:szCs w:val="22"/>
                <w:lang w:eastAsia="en-US"/>
              </w:rPr>
            </w:pPr>
            <w:r w:rsidRPr="00F83CB7">
              <w:rPr>
                <w:rFonts w:ascii="Verdana" w:hAnsi="Verdana"/>
                <w:sz w:val="20"/>
                <w:szCs w:val="20"/>
                <w:lang w:eastAsia="en-US"/>
              </w:rPr>
              <w:t>Много от съдилищата зачитат представените документи от електронната база данни, подържана от органите по поземлената собственост, поради което се стига до възобновяване на отдавна приключили реституционни производства. Например след влязъл в сила план за обезщетение за община Созопол през 2023 г., БРС обявява за нищожни издадени от електронната база данни на ОСЗ – Созопол решения за признато право за възстановяване на имоти, както и на решения за стойността на обезщетенията, а оттук и на решенията за предоставен имот по плана за обезщетение</w:t>
            </w:r>
            <w:r>
              <w:rPr>
                <w:rFonts w:ascii="Verdana" w:hAnsi="Verdana"/>
                <w:sz w:val="22"/>
                <w:szCs w:val="22"/>
                <w:lang w:eastAsia="en-US"/>
              </w:rPr>
              <w:t>.</w:t>
            </w:r>
          </w:p>
        </w:tc>
      </w:tr>
      <w:tr w:rsidR="00870515" w:rsidRPr="00C35FC2" w:rsidTr="00870515">
        <w:tc>
          <w:tcPr>
            <w:tcW w:w="622" w:type="dxa"/>
            <w:vMerge/>
            <w:tcBorders>
              <w:top w:val="single" w:sz="24" w:space="0" w:color="2E74B5"/>
              <w:left w:val="single" w:sz="24" w:space="0" w:color="2E74B5"/>
              <w:bottom w:val="single" w:sz="18" w:space="0" w:color="2E74B5"/>
              <w:right w:val="single" w:sz="12" w:space="0" w:color="2E74B5"/>
            </w:tcBorders>
            <w:vAlign w:val="center"/>
          </w:tcPr>
          <w:p w:rsidR="00870515" w:rsidRPr="00C35FC2" w:rsidRDefault="00870515">
            <w:pPr>
              <w:rPr>
                <w:rFonts w:ascii="Verdana" w:hAnsi="Verdana"/>
                <w:b/>
                <w:sz w:val="20"/>
                <w:szCs w:val="20"/>
                <w:lang w:eastAsia="en-US"/>
              </w:rPr>
            </w:pPr>
          </w:p>
        </w:tc>
        <w:tc>
          <w:tcPr>
            <w:tcW w:w="3030" w:type="dxa"/>
            <w:vMerge/>
            <w:tcBorders>
              <w:top w:val="single" w:sz="24" w:space="0" w:color="2E74B5"/>
              <w:left w:val="single" w:sz="12" w:space="0" w:color="2E74B5"/>
              <w:bottom w:val="single" w:sz="18" w:space="0" w:color="2E74B5"/>
              <w:right w:val="single" w:sz="18" w:space="0" w:color="2E74B5"/>
            </w:tcBorders>
            <w:vAlign w:val="center"/>
          </w:tcPr>
          <w:p w:rsidR="00870515" w:rsidRPr="00C35FC2" w:rsidRDefault="00870515">
            <w:pPr>
              <w:rPr>
                <w:rFonts w:ascii="Verdana" w:hAnsi="Verdana"/>
                <w:b/>
                <w:sz w:val="20"/>
                <w:szCs w:val="20"/>
                <w:lang w:eastAsia="en-US"/>
              </w:rPr>
            </w:pPr>
          </w:p>
        </w:tc>
        <w:tc>
          <w:tcPr>
            <w:tcW w:w="5475" w:type="dxa"/>
            <w:tcBorders>
              <w:top w:val="nil"/>
              <w:left w:val="single" w:sz="18" w:space="0" w:color="2E74B5"/>
              <w:bottom w:val="nil"/>
              <w:right w:val="single" w:sz="12" w:space="0" w:color="2E74B5"/>
            </w:tcBorders>
          </w:tcPr>
          <w:p w:rsidR="00870515" w:rsidRPr="00870515" w:rsidRDefault="00870515" w:rsidP="00F83CB7">
            <w:pPr>
              <w:jc w:val="both"/>
              <w:rPr>
                <w:rFonts w:ascii="Verdana" w:hAnsi="Verdana"/>
                <w:b/>
                <w:sz w:val="20"/>
                <w:szCs w:val="20"/>
                <w:lang w:eastAsia="en-US"/>
              </w:rPr>
            </w:pPr>
            <w:r w:rsidRPr="00870515">
              <w:rPr>
                <w:rFonts w:ascii="Verdana" w:hAnsi="Verdana"/>
                <w:b/>
                <w:sz w:val="20"/>
                <w:szCs w:val="20"/>
                <w:lang w:eastAsia="en-US"/>
              </w:rPr>
              <w:t>2. По § 2, т. 4 относно чл. 5, ал. 1, т. 16</w:t>
            </w:r>
          </w:p>
          <w:p w:rsidR="00870515" w:rsidRPr="00C35FC2" w:rsidRDefault="00870515" w:rsidP="00261911">
            <w:pPr>
              <w:jc w:val="both"/>
              <w:rPr>
                <w:rFonts w:ascii="Verdana" w:hAnsi="Verdana"/>
                <w:sz w:val="20"/>
                <w:szCs w:val="20"/>
                <w:lang w:eastAsia="en-US"/>
              </w:rPr>
            </w:pPr>
            <w:r w:rsidRPr="00C35FC2">
              <w:rPr>
                <w:rFonts w:ascii="Verdana" w:hAnsi="Verdana"/>
                <w:sz w:val="20"/>
                <w:szCs w:val="20"/>
                <w:lang w:eastAsia="en-US"/>
              </w:rPr>
              <w:t>Предлагам проектът да се допълни с конкретни разпоредби относно издаваните от органите по поземлената собственост видове удостоверения и съдържанието им,</w:t>
            </w:r>
          </w:p>
        </w:tc>
        <w:tc>
          <w:tcPr>
            <w:tcW w:w="1559" w:type="dxa"/>
            <w:tcBorders>
              <w:top w:val="nil"/>
              <w:left w:val="single" w:sz="12" w:space="0" w:color="2E74B5"/>
              <w:bottom w:val="nil"/>
              <w:right w:val="single" w:sz="12" w:space="0" w:color="2E74B5"/>
            </w:tcBorders>
          </w:tcPr>
          <w:p w:rsidR="00870515" w:rsidRPr="00C35FC2" w:rsidRDefault="00870515">
            <w:pPr>
              <w:rPr>
                <w:rFonts w:ascii="Verdana" w:hAnsi="Verdana"/>
                <w:sz w:val="20"/>
                <w:szCs w:val="20"/>
                <w:lang w:eastAsia="en-US"/>
              </w:rPr>
            </w:pPr>
            <w:r w:rsidRPr="00F83CB7">
              <w:rPr>
                <w:rFonts w:ascii="Verdana" w:hAnsi="Verdana"/>
                <w:sz w:val="20"/>
                <w:szCs w:val="20"/>
                <w:lang w:eastAsia="en-US"/>
              </w:rPr>
              <w:t>Приема се по принцип</w:t>
            </w:r>
          </w:p>
        </w:tc>
        <w:tc>
          <w:tcPr>
            <w:tcW w:w="4964" w:type="dxa"/>
            <w:tcBorders>
              <w:top w:val="nil"/>
              <w:left w:val="single" w:sz="12" w:space="0" w:color="2E74B5"/>
              <w:bottom w:val="nil"/>
              <w:right w:val="single" w:sz="24" w:space="0" w:color="2E74B5"/>
            </w:tcBorders>
          </w:tcPr>
          <w:p w:rsidR="00870515" w:rsidRPr="00C35FC2" w:rsidRDefault="00870515" w:rsidP="001E5770">
            <w:pPr>
              <w:widowControl w:val="0"/>
              <w:autoSpaceDE w:val="0"/>
              <w:autoSpaceDN w:val="0"/>
              <w:adjustRightInd w:val="0"/>
              <w:jc w:val="both"/>
              <w:rPr>
                <w:rFonts w:ascii="Verdana" w:hAnsi="Verdana"/>
                <w:sz w:val="20"/>
                <w:szCs w:val="20"/>
                <w:lang w:eastAsia="en-US"/>
              </w:rPr>
            </w:pPr>
            <w:r w:rsidRPr="00F83CB7">
              <w:rPr>
                <w:rFonts w:ascii="Verdana" w:hAnsi="Verdana" w:cs="Verdana"/>
                <w:noProof/>
                <w:color w:val="000000" w:themeColor="text1"/>
                <w:sz w:val="20"/>
                <w:szCs w:val="20"/>
              </w:rPr>
              <w:t>В следващо постановление ще бъде изготвена нова тарифа, в която предлаганите услуги ще бъдат прецизрани.</w:t>
            </w:r>
          </w:p>
        </w:tc>
      </w:tr>
      <w:tr w:rsidR="00870515" w:rsidRPr="00C35FC2" w:rsidTr="00870515">
        <w:tc>
          <w:tcPr>
            <w:tcW w:w="622" w:type="dxa"/>
            <w:vMerge/>
            <w:tcBorders>
              <w:top w:val="single" w:sz="24" w:space="0" w:color="2E74B5"/>
              <w:left w:val="single" w:sz="24" w:space="0" w:color="2E74B5"/>
              <w:bottom w:val="single" w:sz="18" w:space="0" w:color="2E74B5"/>
              <w:right w:val="single" w:sz="12" w:space="0" w:color="2E74B5"/>
            </w:tcBorders>
            <w:vAlign w:val="center"/>
          </w:tcPr>
          <w:p w:rsidR="00870515" w:rsidRPr="00C35FC2" w:rsidRDefault="00870515">
            <w:pPr>
              <w:rPr>
                <w:rFonts w:ascii="Verdana" w:hAnsi="Verdana"/>
                <w:b/>
                <w:sz w:val="20"/>
                <w:szCs w:val="20"/>
                <w:lang w:eastAsia="en-US"/>
              </w:rPr>
            </w:pPr>
          </w:p>
        </w:tc>
        <w:tc>
          <w:tcPr>
            <w:tcW w:w="3030" w:type="dxa"/>
            <w:vMerge/>
            <w:tcBorders>
              <w:top w:val="single" w:sz="24" w:space="0" w:color="2E74B5"/>
              <w:left w:val="single" w:sz="12" w:space="0" w:color="2E74B5"/>
              <w:bottom w:val="single" w:sz="18" w:space="0" w:color="2E74B5"/>
              <w:right w:val="single" w:sz="18" w:space="0" w:color="2E74B5"/>
            </w:tcBorders>
            <w:vAlign w:val="center"/>
          </w:tcPr>
          <w:p w:rsidR="00870515" w:rsidRPr="00C35FC2" w:rsidRDefault="00870515">
            <w:pPr>
              <w:rPr>
                <w:rFonts w:ascii="Verdana" w:hAnsi="Verdana"/>
                <w:b/>
                <w:sz w:val="20"/>
                <w:szCs w:val="20"/>
                <w:lang w:eastAsia="en-US"/>
              </w:rPr>
            </w:pPr>
          </w:p>
        </w:tc>
        <w:tc>
          <w:tcPr>
            <w:tcW w:w="5475" w:type="dxa"/>
            <w:tcBorders>
              <w:top w:val="nil"/>
              <w:left w:val="single" w:sz="18" w:space="0" w:color="2E74B5"/>
              <w:bottom w:val="nil"/>
              <w:right w:val="single" w:sz="12" w:space="0" w:color="2E74B5"/>
            </w:tcBorders>
          </w:tcPr>
          <w:p w:rsidR="00870515" w:rsidRPr="00870515" w:rsidRDefault="00870515" w:rsidP="00261911">
            <w:pPr>
              <w:jc w:val="both"/>
              <w:rPr>
                <w:rFonts w:ascii="Verdana" w:hAnsi="Verdana"/>
                <w:b/>
                <w:sz w:val="20"/>
                <w:szCs w:val="20"/>
                <w:lang w:eastAsia="en-US"/>
              </w:rPr>
            </w:pPr>
            <w:r w:rsidRPr="00870515">
              <w:rPr>
                <w:rFonts w:ascii="Verdana" w:hAnsi="Verdana"/>
                <w:b/>
                <w:sz w:val="20"/>
                <w:szCs w:val="20"/>
                <w:lang w:eastAsia="en-US"/>
              </w:rPr>
              <w:t>3. Правно-технически бележки</w:t>
            </w:r>
          </w:p>
        </w:tc>
        <w:tc>
          <w:tcPr>
            <w:tcW w:w="1559" w:type="dxa"/>
            <w:tcBorders>
              <w:top w:val="nil"/>
              <w:left w:val="single" w:sz="12" w:space="0" w:color="2E74B5"/>
              <w:bottom w:val="nil"/>
              <w:right w:val="single" w:sz="12" w:space="0" w:color="2E74B5"/>
            </w:tcBorders>
          </w:tcPr>
          <w:p w:rsidR="00870515" w:rsidRPr="00C35FC2" w:rsidRDefault="00870515">
            <w:pPr>
              <w:rPr>
                <w:rFonts w:ascii="Verdana" w:hAnsi="Verdana"/>
                <w:sz w:val="20"/>
                <w:szCs w:val="20"/>
                <w:lang w:eastAsia="en-US"/>
              </w:rPr>
            </w:pPr>
          </w:p>
        </w:tc>
        <w:tc>
          <w:tcPr>
            <w:tcW w:w="4964" w:type="dxa"/>
            <w:tcBorders>
              <w:top w:val="nil"/>
              <w:left w:val="single" w:sz="12" w:space="0" w:color="2E74B5"/>
              <w:bottom w:val="nil"/>
              <w:right w:val="single" w:sz="24" w:space="0" w:color="2E74B5"/>
            </w:tcBorders>
          </w:tcPr>
          <w:p w:rsidR="00870515" w:rsidRPr="00C35FC2" w:rsidRDefault="00870515">
            <w:pPr>
              <w:rPr>
                <w:rFonts w:ascii="Verdana" w:hAnsi="Verdana"/>
                <w:sz w:val="20"/>
                <w:szCs w:val="20"/>
                <w:lang w:eastAsia="en-US"/>
              </w:rPr>
            </w:pPr>
          </w:p>
        </w:tc>
      </w:tr>
      <w:tr w:rsidR="00870515" w:rsidRPr="00C35FC2" w:rsidTr="00870515">
        <w:tc>
          <w:tcPr>
            <w:tcW w:w="622" w:type="dxa"/>
            <w:vMerge/>
            <w:tcBorders>
              <w:top w:val="single" w:sz="24" w:space="0" w:color="2E74B5"/>
              <w:left w:val="single" w:sz="24" w:space="0" w:color="2E74B5"/>
              <w:bottom w:val="single" w:sz="18" w:space="0" w:color="2E74B5"/>
              <w:right w:val="single" w:sz="12" w:space="0" w:color="2E74B5"/>
            </w:tcBorders>
            <w:vAlign w:val="center"/>
          </w:tcPr>
          <w:p w:rsidR="00870515" w:rsidRPr="00C35FC2" w:rsidRDefault="00870515">
            <w:pPr>
              <w:rPr>
                <w:rFonts w:ascii="Verdana" w:hAnsi="Verdana"/>
                <w:b/>
                <w:sz w:val="20"/>
                <w:szCs w:val="20"/>
                <w:lang w:eastAsia="en-US"/>
              </w:rPr>
            </w:pPr>
          </w:p>
        </w:tc>
        <w:tc>
          <w:tcPr>
            <w:tcW w:w="3030" w:type="dxa"/>
            <w:vMerge/>
            <w:tcBorders>
              <w:top w:val="single" w:sz="24" w:space="0" w:color="2E74B5"/>
              <w:left w:val="single" w:sz="12" w:space="0" w:color="2E74B5"/>
              <w:bottom w:val="single" w:sz="18" w:space="0" w:color="2E74B5"/>
              <w:right w:val="single" w:sz="18" w:space="0" w:color="2E74B5"/>
            </w:tcBorders>
            <w:vAlign w:val="center"/>
          </w:tcPr>
          <w:p w:rsidR="00870515" w:rsidRPr="00C35FC2" w:rsidRDefault="00870515">
            <w:pPr>
              <w:rPr>
                <w:rFonts w:ascii="Verdana" w:hAnsi="Verdana"/>
                <w:b/>
                <w:sz w:val="20"/>
                <w:szCs w:val="20"/>
                <w:lang w:eastAsia="en-US"/>
              </w:rPr>
            </w:pPr>
          </w:p>
        </w:tc>
        <w:tc>
          <w:tcPr>
            <w:tcW w:w="5475" w:type="dxa"/>
            <w:tcBorders>
              <w:top w:val="nil"/>
              <w:left w:val="single" w:sz="18" w:space="0" w:color="2E74B5"/>
              <w:bottom w:val="nil"/>
              <w:right w:val="single" w:sz="12" w:space="0" w:color="2E74B5"/>
            </w:tcBorders>
          </w:tcPr>
          <w:p w:rsidR="00870515" w:rsidRPr="00C35FC2" w:rsidRDefault="00870515" w:rsidP="00261911">
            <w:pPr>
              <w:jc w:val="both"/>
              <w:rPr>
                <w:rFonts w:ascii="Verdana" w:hAnsi="Verdana"/>
                <w:sz w:val="20"/>
                <w:szCs w:val="20"/>
                <w:lang w:eastAsia="en-US"/>
              </w:rPr>
            </w:pPr>
            <w:r w:rsidRPr="00C35FC2">
              <w:rPr>
                <w:rFonts w:ascii="Verdana" w:hAnsi="Verdana"/>
                <w:sz w:val="20"/>
                <w:szCs w:val="20"/>
                <w:lang w:eastAsia="en-US"/>
              </w:rPr>
              <w:t>Предлагам да се прецизират:</w:t>
            </w:r>
          </w:p>
        </w:tc>
        <w:tc>
          <w:tcPr>
            <w:tcW w:w="1559" w:type="dxa"/>
            <w:tcBorders>
              <w:top w:val="nil"/>
              <w:left w:val="single" w:sz="12" w:space="0" w:color="2E74B5"/>
              <w:bottom w:val="nil"/>
              <w:right w:val="single" w:sz="12" w:space="0" w:color="2E74B5"/>
            </w:tcBorders>
          </w:tcPr>
          <w:p w:rsidR="00870515" w:rsidRPr="00C35FC2" w:rsidRDefault="00870515">
            <w:pPr>
              <w:rPr>
                <w:rFonts w:ascii="Verdana" w:hAnsi="Verdana"/>
                <w:sz w:val="20"/>
                <w:szCs w:val="20"/>
                <w:lang w:eastAsia="en-US"/>
              </w:rPr>
            </w:pPr>
          </w:p>
        </w:tc>
        <w:tc>
          <w:tcPr>
            <w:tcW w:w="4964" w:type="dxa"/>
            <w:tcBorders>
              <w:top w:val="nil"/>
              <w:left w:val="single" w:sz="12" w:space="0" w:color="2E74B5"/>
              <w:bottom w:val="nil"/>
              <w:right w:val="single" w:sz="24" w:space="0" w:color="2E74B5"/>
            </w:tcBorders>
          </w:tcPr>
          <w:p w:rsidR="00870515" w:rsidRPr="00C35FC2" w:rsidRDefault="00870515">
            <w:pPr>
              <w:rPr>
                <w:rFonts w:ascii="Verdana" w:hAnsi="Verdana"/>
                <w:sz w:val="20"/>
                <w:szCs w:val="20"/>
                <w:lang w:eastAsia="en-US"/>
              </w:rPr>
            </w:pPr>
          </w:p>
        </w:tc>
      </w:tr>
      <w:tr w:rsidR="00870515" w:rsidRPr="00C35FC2" w:rsidTr="00870515">
        <w:tc>
          <w:tcPr>
            <w:tcW w:w="622" w:type="dxa"/>
            <w:vMerge/>
            <w:tcBorders>
              <w:top w:val="single" w:sz="24" w:space="0" w:color="2E74B5"/>
              <w:left w:val="single" w:sz="24" w:space="0" w:color="2E74B5"/>
              <w:bottom w:val="single" w:sz="18" w:space="0" w:color="2E74B5"/>
              <w:right w:val="single" w:sz="12" w:space="0" w:color="2E74B5"/>
            </w:tcBorders>
            <w:vAlign w:val="center"/>
          </w:tcPr>
          <w:p w:rsidR="00870515" w:rsidRPr="00C35FC2" w:rsidRDefault="00870515">
            <w:pPr>
              <w:rPr>
                <w:rFonts w:ascii="Verdana" w:hAnsi="Verdana"/>
                <w:b/>
                <w:sz w:val="20"/>
                <w:szCs w:val="20"/>
                <w:lang w:eastAsia="en-US"/>
              </w:rPr>
            </w:pPr>
          </w:p>
        </w:tc>
        <w:tc>
          <w:tcPr>
            <w:tcW w:w="3030" w:type="dxa"/>
            <w:vMerge/>
            <w:tcBorders>
              <w:top w:val="single" w:sz="24" w:space="0" w:color="2E74B5"/>
              <w:left w:val="single" w:sz="12" w:space="0" w:color="2E74B5"/>
              <w:bottom w:val="single" w:sz="18" w:space="0" w:color="2E74B5"/>
              <w:right w:val="single" w:sz="18" w:space="0" w:color="2E74B5"/>
            </w:tcBorders>
            <w:vAlign w:val="center"/>
          </w:tcPr>
          <w:p w:rsidR="00870515" w:rsidRPr="00C35FC2" w:rsidRDefault="00870515">
            <w:pPr>
              <w:rPr>
                <w:rFonts w:ascii="Verdana" w:hAnsi="Verdana"/>
                <w:b/>
                <w:sz w:val="20"/>
                <w:szCs w:val="20"/>
                <w:lang w:eastAsia="en-US"/>
              </w:rPr>
            </w:pPr>
          </w:p>
        </w:tc>
        <w:tc>
          <w:tcPr>
            <w:tcW w:w="5475" w:type="dxa"/>
            <w:tcBorders>
              <w:top w:val="nil"/>
              <w:left w:val="single" w:sz="18" w:space="0" w:color="2E74B5"/>
              <w:bottom w:val="nil"/>
              <w:right w:val="single" w:sz="12" w:space="0" w:color="2E74B5"/>
            </w:tcBorders>
          </w:tcPr>
          <w:p w:rsidR="00870515" w:rsidRPr="00C35FC2" w:rsidRDefault="00870515" w:rsidP="00261911">
            <w:pPr>
              <w:jc w:val="both"/>
              <w:rPr>
                <w:rFonts w:ascii="Verdana" w:hAnsi="Verdana"/>
                <w:sz w:val="20"/>
                <w:szCs w:val="20"/>
                <w:lang w:eastAsia="en-US"/>
              </w:rPr>
            </w:pPr>
            <w:r w:rsidRPr="00C35FC2">
              <w:rPr>
                <w:rFonts w:ascii="Verdana" w:hAnsi="Verdana"/>
                <w:sz w:val="20"/>
                <w:szCs w:val="20"/>
                <w:lang w:eastAsia="en-US"/>
              </w:rPr>
              <w:t>- разпоредби, препращащи към отменени текстове, например чл. 6а, ал. 1 от Тарифата препраща към отменения чл. 96, ал. 2 от ППЗСПЗЗ;</w:t>
            </w:r>
          </w:p>
        </w:tc>
        <w:tc>
          <w:tcPr>
            <w:tcW w:w="1559" w:type="dxa"/>
            <w:tcBorders>
              <w:top w:val="nil"/>
              <w:left w:val="single" w:sz="12" w:space="0" w:color="2E74B5"/>
              <w:bottom w:val="nil"/>
              <w:right w:val="single" w:sz="12" w:space="0" w:color="2E74B5"/>
            </w:tcBorders>
          </w:tcPr>
          <w:p w:rsidR="00870515" w:rsidRPr="00C35FC2" w:rsidRDefault="00870515">
            <w:pPr>
              <w:rPr>
                <w:rFonts w:ascii="Verdana" w:hAnsi="Verdana"/>
                <w:sz w:val="20"/>
                <w:szCs w:val="20"/>
                <w:lang w:eastAsia="en-US"/>
              </w:rPr>
            </w:pPr>
            <w:r>
              <w:rPr>
                <w:rFonts w:ascii="Verdana" w:hAnsi="Verdana"/>
                <w:sz w:val="20"/>
                <w:szCs w:val="20"/>
                <w:lang w:eastAsia="en-US"/>
              </w:rPr>
              <w:t>Приема се</w:t>
            </w:r>
          </w:p>
        </w:tc>
        <w:tc>
          <w:tcPr>
            <w:tcW w:w="4964" w:type="dxa"/>
            <w:tcBorders>
              <w:top w:val="nil"/>
              <w:left w:val="single" w:sz="12" w:space="0" w:color="2E74B5"/>
              <w:bottom w:val="nil"/>
              <w:right w:val="single" w:sz="24" w:space="0" w:color="2E74B5"/>
            </w:tcBorders>
          </w:tcPr>
          <w:p w:rsidR="00870515" w:rsidRPr="00C35FC2" w:rsidRDefault="00870515">
            <w:pPr>
              <w:rPr>
                <w:rFonts w:ascii="Verdana" w:hAnsi="Verdana"/>
                <w:sz w:val="20"/>
                <w:szCs w:val="20"/>
                <w:lang w:eastAsia="en-US"/>
              </w:rPr>
            </w:pPr>
          </w:p>
        </w:tc>
      </w:tr>
      <w:tr w:rsidR="00870515" w:rsidRPr="00C35FC2" w:rsidTr="00870515">
        <w:tc>
          <w:tcPr>
            <w:tcW w:w="622" w:type="dxa"/>
            <w:vMerge/>
            <w:tcBorders>
              <w:top w:val="single" w:sz="24" w:space="0" w:color="2E74B5"/>
              <w:left w:val="single" w:sz="24" w:space="0" w:color="2E74B5"/>
              <w:bottom w:val="single" w:sz="18" w:space="0" w:color="2E74B5"/>
              <w:right w:val="single" w:sz="12" w:space="0" w:color="2E74B5"/>
            </w:tcBorders>
            <w:vAlign w:val="center"/>
          </w:tcPr>
          <w:p w:rsidR="00870515" w:rsidRPr="00C35FC2" w:rsidRDefault="00870515">
            <w:pPr>
              <w:rPr>
                <w:rFonts w:ascii="Verdana" w:hAnsi="Verdana"/>
                <w:b/>
                <w:sz w:val="20"/>
                <w:szCs w:val="20"/>
                <w:lang w:eastAsia="en-US"/>
              </w:rPr>
            </w:pPr>
          </w:p>
        </w:tc>
        <w:tc>
          <w:tcPr>
            <w:tcW w:w="3030" w:type="dxa"/>
            <w:vMerge/>
            <w:tcBorders>
              <w:top w:val="single" w:sz="24" w:space="0" w:color="2E74B5"/>
              <w:left w:val="single" w:sz="12" w:space="0" w:color="2E74B5"/>
              <w:bottom w:val="single" w:sz="18" w:space="0" w:color="2E74B5"/>
              <w:right w:val="single" w:sz="18" w:space="0" w:color="2E74B5"/>
            </w:tcBorders>
            <w:vAlign w:val="center"/>
          </w:tcPr>
          <w:p w:rsidR="00870515" w:rsidRPr="00C35FC2" w:rsidRDefault="00870515">
            <w:pPr>
              <w:rPr>
                <w:rFonts w:ascii="Verdana" w:hAnsi="Verdana"/>
                <w:b/>
                <w:sz w:val="20"/>
                <w:szCs w:val="20"/>
                <w:lang w:eastAsia="en-US"/>
              </w:rPr>
            </w:pPr>
          </w:p>
        </w:tc>
        <w:tc>
          <w:tcPr>
            <w:tcW w:w="5475" w:type="dxa"/>
            <w:tcBorders>
              <w:top w:val="nil"/>
              <w:left w:val="single" w:sz="18" w:space="0" w:color="2E74B5"/>
              <w:bottom w:val="single" w:sz="18" w:space="0" w:color="2E74B5"/>
              <w:right w:val="single" w:sz="12" w:space="0" w:color="2E74B5"/>
            </w:tcBorders>
          </w:tcPr>
          <w:p w:rsidR="00870515" w:rsidRPr="00C35FC2" w:rsidRDefault="00870515" w:rsidP="00261911">
            <w:pPr>
              <w:jc w:val="both"/>
              <w:rPr>
                <w:rFonts w:ascii="Verdana" w:hAnsi="Verdana"/>
                <w:sz w:val="20"/>
                <w:szCs w:val="20"/>
                <w:lang w:eastAsia="en-US"/>
              </w:rPr>
            </w:pPr>
            <w:r w:rsidRPr="00C35FC2">
              <w:rPr>
                <w:rFonts w:ascii="Verdana" w:hAnsi="Verdana"/>
                <w:sz w:val="20"/>
                <w:szCs w:val="20"/>
                <w:lang w:eastAsia="en-US"/>
              </w:rPr>
              <w:t xml:space="preserve">- разпоредби, свързани с нормативни актове, издадени на отпаднало основание: например, чл. 9, ал. 1 от Тарифата, уреждащ такса за издаване на талон за аренда и наем, с основание Наредба № 6 от 18 февруари 2000 г. за условията и реда на регистрация на договорите за аренда в поземлените комисии, издадена от министъра на земеделието и горите (обн., ДВ. бр.18 от 7 март 2000 г.), на основание чл. 3, ал. 3 от Закона за арендата в земеделието (ЗАЗ). Действащата </w:t>
            </w:r>
            <w:r w:rsidRPr="00C35FC2">
              <w:rPr>
                <w:rFonts w:ascii="Verdana" w:hAnsi="Verdana"/>
                <w:sz w:val="20"/>
                <w:szCs w:val="20"/>
                <w:lang w:eastAsia="en-US"/>
              </w:rPr>
              <w:lastRenderedPageBreak/>
              <w:t>редакция на чл. 3, ал. 3 от ЗАЗ предвижда за регистрация на договорите за аренда в общинските служби по земеделие да се прилагат правилата по чл. 37б, ал. 7 от Закона за собствеността и ползването на земеделските земи. С ал. 7 на чл. 37б от ЗСПЗЗ министърът на земеделието и храните е овластен да утвърждава правила за регистрация на договорите за наем и за аренда на земеделска земя в общинските служби по земеделие. Действащите правила са одобрени със Заповед № РД 46-353/26.07.2018 г. на министъра на земеделието, храните и горите и са изменени и допълнени със Заповед № РД-46-291/23.12.2024 г. на министъра на земеделието и храните. В тях не се предвижда издаване на талон за регистрация.</w:t>
            </w:r>
          </w:p>
        </w:tc>
        <w:tc>
          <w:tcPr>
            <w:tcW w:w="1559" w:type="dxa"/>
            <w:tcBorders>
              <w:top w:val="nil"/>
              <w:left w:val="single" w:sz="12" w:space="0" w:color="2E74B5"/>
              <w:bottom w:val="single" w:sz="18" w:space="0" w:color="2E74B5"/>
              <w:right w:val="single" w:sz="12" w:space="0" w:color="2E74B5"/>
            </w:tcBorders>
          </w:tcPr>
          <w:p w:rsidR="00870515" w:rsidRPr="00C35FC2" w:rsidRDefault="00870515">
            <w:pPr>
              <w:rPr>
                <w:rFonts w:ascii="Verdana" w:hAnsi="Verdana"/>
                <w:sz w:val="20"/>
                <w:szCs w:val="20"/>
                <w:lang w:eastAsia="en-US"/>
              </w:rPr>
            </w:pPr>
            <w:r w:rsidRPr="00F83CB7">
              <w:rPr>
                <w:rFonts w:ascii="Verdana" w:hAnsi="Verdana"/>
                <w:sz w:val="20"/>
                <w:szCs w:val="20"/>
                <w:lang w:eastAsia="en-US"/>
              </w:rPr>
              <w:lastRenderedPageBreak/>
              <w:t xml:space="preserve">Приема се </w:t>
            </w:r>
          </w:p>
        </w:tc>
        <w:tc>
          <w:tcPr>
            <w:tcW w:w="4964" w:type="dxa"/>
            <w:tcBorders>
              <w:top w:val="nil"/>
              <w:left w:val="single" w:sz="12" w:space="0" w:color="2E74B5"/>
              <w:bottom w:val="single" w:sz="18" w:space="0" w:color="2E74B5"/>
              <w:right w:val="single" w:sz="24" w:space="0" w:color="2E74B5"/>
            </w:tcBorders>
          </w:tcPr>
          <w:p w:rsidR="00870515" w:rsidRPr="00C35FC2" w:rsidRDefault="00870515">
            <w:pPr>
              <w:rPr>
                <w:rFonts w:ascii="Verdana" w:hAnsi="Verdana"/>
                <w:sz w:val="20"/>
                <w:szCs w:val="20"/>
                <w:lang w:eastAsia="en-US"/>
              </w:rPr>
            </w:pPr>
          </w:p>
        </w:tc>
      </w:tr>
    </w:tbl>
    <w:p w:rsidR="00F10863" w:rsidRPr="00C35FC2" w:rsidRDefault="00F10863" w:rsidP="00C35FC2">
      <w:pPr>
        <w:rPr>
          <w:rFonts w:ascii="Verdana" w:hAnsi="Verdana"/>
          <w:sz w:val="20"/>
          <w:szCs w:val="20"/>
        </w:rPr>
      </w:pPr>
      <w:bookmarkStart w:id="0" w:name="_GoBack"/>
      <w:bookmarkEnd w:id="0"/>
    </w:p>
    <w:sectPr w:rsidR="00F10863" w:rsidRPr="00C35FC2" w:rsidSect="003A02F6">
      <w:footerReference w:type="even" r:id="rId8"/>
      <w:footerReference w:type="default" r:id="rId9"/>
      <w:headerReference w:type="first" r:id="rId10"/>
      <w:pgSz w:w="16838" w:h="11906" w:orient="landscape" w:code="9"/>
      <w:pgMar w:top="1134" w:right="907" w:bottom="28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774" w:rsidRDefault="003C2774">
      <w:r>
        <w:separator/>
      </w:r>
    </w:p>
  </w:endnote>
  <w:endnote w:type="continuationSeparator" w:id="0">
    <w:p w:rsidR="003C2774" w:rsidRDefault="003C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75099"/>
      <w:docPartObj>
        <w:docPartGallery w:val="Page Numbers (Bottom of Page)"/>
        <w:docPartUnique/>
      </w:docPartObj>
    </w:sdtPr>
    <w:sdtEndPr>
      <w:rPr>
        <w:rFonts w:ascii="Verdana" w:hAnsi="Verdana"/>
        <w:noProof/>
        <w:sz w:val="18"/>
        <w:szCs w:val="18"/>
      </w:rPr>
    </w:sdtEndPr>
    <w:sdtContent>
      <w:p w:rsidR="00D56BB2" w:rsidRPr="00F22457" w:rsidRDefault="00D56BB2" w:rsidP="00D56BB2">
        <w:pPr>
          <w:pStyle w:val="Footer"/>
          <w:jc w:val="right"/>
          <w:rPr>
            <w:rFonts w:ascii="Verdana" w:hAnsi="Verdana"/>
            <w:sz w:val="18"/>
            <w:szCs w:val="18"/>
          </w:rPr>
        </w:pPr>
        <w:r w:rsidRPr="00F22457">
          <w:rPr>
            <w:rFonts w:ascii="Verdana" w:hAnsi="Verdana"/>
            <w:sz w:val="18"/>
            <w:szCs w:val="18"/>
          </w:rPr>
          <w:fldChar w:fldCharType="begin"/>
        </w:r>
        <w:r w:rsidRPr="00F22457">
          <w:rPr>
            <w:rFonts w:ascii="Verdana" w:hAnsi="Verdana"/>
            <w:sz w:val="18"/>
            <w:szCs w:val="18"/>
          </w:rPr>
          <w:instrText xml:space="preserve"> PAGE   \* MERGEFORMAT </w:instrText>
        </w:r>
        <w:r w:rsidRPr="00F22457">
          <w:rPr>
            <w:rFonts w:ascii="Verdana" w:hAnsi="Verdana"/>
            <w:sz w:val="18"/>
            <w:szCs w:val="18"/>
          </w:rPr>
          <w:fldChar w:fldCharType="separate"/>
        </w:r>
        <w:r w:rsidR="002E6556">
          <w:rPr>
            <w:rFonts w:ascii="Verdana" w:hAnsi="Verdana"/>
            <w:noProof/>
            <w:sz w:val="18"/>
            <w:szCs w:val="18"/>
          </w:rPr>
          <w:t>8</w:t>
        </w:r>
        <w:r w:rsidRPr="00F22457">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774" w:rsidRDefault="003C2774">
      <w:r>
        <w:separator/>
      </w:r>
    </w:p>
  </w:footnote>
  <w:footnote w:type="continuationSeparator" w:id="0">
    <w:p w:rsidR="003C2774" w:rsidRDefault="003C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11" w:rsidRPr="00896E11"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rPr>
    </w:pPr>
    <w:r w:rsidRPr="00896E11">
      <w:rPr>
        <w:rFonts w:ascii="Verdana" w:hAnsi="Verdana"/>
        <w:sz w:val="18"/>
        <w:szCs w:val="18"/>
      </w:rPr>
      <w:t>Класификация на информацията:</w:t>
    </w:r>
  </w:p>
  <w:p w:rsidR="00896E11" w:rsidRPr="00F22457"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lang w:val="ru-RU"/>
      </w:rPr>
    </w:pPr>
    <w:r w:rsidRPr="00896E11">
      <w:rPr>
        <w:rFonts w:ascii="Verdana" w:hAnsi="Verdana"/>
        <w:bCs/>
        <w:sz w:val="18"/>
        <w:szCs w:val="18"/>
      </w:rPr>
      <w:t>Ниво 0, TLP-</w:t>
    </w:r>
    <w:r w:rsidRPr="00896E11">
      <w:rPr>
        <w:rFonts w:ascii="Verdana" w:hAnsi="Verdana"/>
        <w:bCs/>
        <w:sz w:val="18"/>
        <w:szCs w:val="18"/>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C3A"/>
    <w:multiLevelType w:val="multilevel"/>
    <w:tmpl w:val="098A458C"/>
    <w:lvl w:ilvl="0">
      <w:start w:val="1"/>
      <w:numFmt w:val="decimal"/>
      <w:suff w:val="space"/>
      <w:lvlText w:val="%1."/>
      <w:lvlJc w:val="right"/>
      <w:pPr>
        <w:ind w:left="28" w:firstLine="397"/>
      </w:pPr>
      <w:rPr>
        <w:rFonts w:hint="default"/>
      </w:rPr>
    </w:lvl>
    <w:lvl w:ilvl="1">
      <w:start w:val="1"/>
      <w:numFmt w:val="lowerLetter"/>
      <w:lvlText w:val="%2."/>
      <w:lvlJc w:val="left"/>
      <w:pPr>
        <w:ind w:left="1468" w:hanging="360"/>
      </w:pPr>
      <w:rPr>
        <w:rFonts w:hint="default"/>
      </w:rPr>
    </w:lvl>
    <w:lvl w:ilvl="2">
      <w:start w:val="1"/>
      <w:numFmt w:val="lowerRoman"/>
      <w:lvlText w:val="%3."/>
      <w:lvlJc w:val="right"/>
      <w:pPr>
        <w:ind w:left="2188" w:hanging="180"/>
      </w:pPr>
      <w:rPr>
        <w:rFonts w:hint="default"/>
      </w:rPr>
    </w:lvl>
    <w:lvl w:ilvl="3">
      <w:start w:val="1"/>
      <w:numFmt w:val="decimal"/>
      <w:lvlText w:val="%4."/>
      <w:lvlJc w:val="left"/>
      <w:pPr>
        <w:ind w:left="2908" w:hanging="360"/>
      </w:pPr>
      <w:rPr>
        <w:rFonts w:hint="default"/>
      </w:rPr>
    </w:lvl>
    <w:lvl w:ilvl="4">
      <w:start w:val="1"/>
      <w:numFmt w:val="lowerLetter"/>
      <w:lvlText w:val="%5."/>
      <w:lvlJc w:val="left"/>
      <w:pPr>
        <w:ind w:left="3628" w:hanging="360"/>
      </w:pPr>
      <w:rPr>
        <w:rFonts w:hint="default"/>
      </w:rPr>
    </w:lvl>
    <w:lvl w:ilvl="5">
      <w:start w:val="1"/>
      <w:numFmt w:val="lowerRoman"/>
      <w:lvlText w:val="%6."/>
      <w:lvlJc w:val="right"/>
      <w:pPr>
        <w:ind w:left="4348" w:hanging="180"/>
      </w:pPr>
      <w:rPr>
        <w:rFonts w:hint="default"/>
      </w:rPr>
    </w:lvl>
    <w:lvl w:ilvl="6">
      <w:start w:val="1"/>
      <w:numFmt w:val="decimal"/>
      <w:lvlText w:val="%7."/>
      <w:lvlJc w:val="left"/>
      <w:pPr>
        <w:ind w:left="5068" w:hanging="360"/>
      </w:pPr>
      <w:rPr>
        <w:rFonts w:hint="default"/>
      </w:rPr>
    </w:lvl>
    <w:lvl w:ilvl="7">
      <w:start w:val="1"/>
      <w:numFmt w:val="lowerLetter"/>
      <w:lvlText w:val="%8."/>
      <w:lvlJc w:val="left"/>
      <w:pPr>
        <w:ind w:left="5788" w:hanging="360"/>
      </w:pPr>
      <w:rPr>
        <w:rFonts w:hint="default"/>
      </w:rPr>
    </w:lvl>
    <w:lvl w:ilvl="8">
      <w:start w:val="1"/>
      <w:numFmt w:val="lowerRoman"/>
      <w:lvlText w:val="%9."/>
      <w:lvlJc w:val="right"/>
      <w:pPr>
        <w:ind w:left="6508" w:hanging="180"/>
      </w:pPr>
      <w:rPr>
        <w:rFonts w:hint="default"/>
      </w:rPr>
    </w:lvl>
  </w:abstractNum>
  <w:abstractNum w:abstractNumId="1"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3489"/>
    <w:rsid w:val="000042F6"/>
    <w:rsid w:val="0000470F"/>
    <w:rsid w:val="00005688"/>
    <w:rsid w:val="000101A6"/>
    <w:rsid w:val="000115D5"/>
    <w:rsid w:val="00015E5E"/>
    <w:rsid w:val="00016086"/>
    <w:rsid w:val="000200AF"/>
    <w:rsid w:val="00024421"/>
    <w:rsid w:val="0002544E"/>
    <w:rsid w:val="00025DD3"/>
    <w:rsid w:val="000279C9"/>
    <w:rsid w:val="00033183"/>
    <w:rsid w:val="00033713"/>
    <w:rsid w:val="000357B4"/>
    <w:rsid w:val="00044E65"/>
    <w:rsid w:val="0004610E"/>
    <w:rsid w:val="0005435E"/>
    <w:rsid w:val="0005470C"/>
    <w:rsid w:val="000553BE"/>
    <w:rsid w:val="000572CA"/>
    <w:rsid w:val="0006091E"/>
    <w:rsid w:val="00062907"/>
    <w:rsid w:val="00062ADE"/>
    <w:rsid w:val="00062F02"/>
    <w:rsid w:val="00063E4B"/>
    <w:rsid w:val="000673CE"/>
    <w:rsid w:val="000718C7"/>
    <w:rsid w:val="00073659"/>
    <w:rsid w:val="00075594"/>
    <w:rsid w:val="0008079F"/>
    <w:rsid w:val="00082171"/>
    <w:rsid w:val="00084700"/>
    <w:rsid w:val="00086C83"/>
    <w:rsid w:val="000902D1"/>
    <w:rsid w:val="00090401"/>
    <w:rsid w:val="000937D4"/>
    <w:rsid w:val="000953A8"/>
    <w:rsid w:val="00097783"/>
    <w:rsid w:val="000A1017"/>
    <w:rsid w:val="000A228F"/>
    <w:rsid w:val="000B298E"/>
    <w:rsid w:val="000B2EB1"/>
    <w:rsid w:val="000B3D5F"/>
    <w:rsid w:val="000B5A9D"/>
    <w:rsid w:val="000B6AE5"/>
    <w:rsid w:val="000B6D57"/>
    <w:rsid w:val="000C46A7"/>
    <w:rsid w:val="000C5E61"/>
    <w:rsid w:val="000D4198"/>
    <w:rsid w:val="000E3570"/>
    <w:rsid w:val="000F02C5"/>
    <w:rsid w:val="000F2B15"/>
    <w:rsid w:val="000F31C8"/>
    <w:rsid w:val="000F3490"/>
    <w:rsid w:val="0010687D"/>
    <w:rsid w:val="001143E4"/>
    <w:rsid w:val="0011484F"/>
    <w:rsid w:val="00115EDD"/>
    <w:rsid w:val="00116F4E"/>
    <w:rsid w:val="00120ABA"/>
    <w:rsid w:val="00133A14"/>
    <w:rsid w:val="00134E1D"/>
    <w:rsid w:val="0013629D"/>
    <w:rsid w:val="0013699F"/>
    <w:rsid w:val="00141BFB"/>
    <w:rsid w:val="00144034"/>
    <w:rsid w:val="001440FE"/>
    <w:rsid w:val="0014437A"/>
    <w:rsid w:val="00155CAF"/>
    <w:rsid w:val="00156102"/>
    <w:rsid w:val="00161362"/>
    <w:rsid w:val="001632AB"/>
    <w:rsid w:val="001668E1"/>
    <w:rsid w:val="00175004"/>
    <w:rsid w:val="00177AA6"/>
    <w:rsid w:val="001808B4"/>
    <w:rsid w:val="0018509E"/>
    <w:rsid w:val="00191645"/>
    <w:rsid w:val="00191F2B"/>
    <w:rsid w:val="001948B0"/>
    <w:rsid w:val="001A0680"/>
    <w:rsid w:val="001B4CD8"/>
    <w:rsid w:val="001D362A"/>
    <w:rsid w:val="001E0B7F"/>
    <w:rsid w:val="001E4FE9"/>
    <w:rsid w:val="001E5770"/>
    <w:rsid w:val="001E64F2"/>
    <w:rsid w:val="001F0567"/>
    <w:rsid w:val="001F1F60"/>
    <w:rsid w:val="001F314D"/>
    <w:rsid w:val="0020103A"/>
    <w:rsid w:val="00201455"/>
    <w:rsid w:val="00206678"/>
    <w:rsid w:val="0021035B"/>
    <w:rsid w:val="00214B75"/>
    <w:rsid w:val="00215178"/>
    <w:rsid w:val="002206BA"/>
    <w:rsid w:val="002207AA"/>
    <w:rsid w:val="00221143"/>
    <w:rsid w:val="002217C0"/>
    <w:rsid w:val="00221B68"/>
    <w:rsid w:val="002264C4"/>
    <w:rsid w:val="00230E0E"/>
    <w:rsid w:val="00233C04"/>
    <w:rsid w:val="002348DC"/>
    <w:rsid w:val="002369C8"/>
    <w:rsid w:val="002375B3"/>
    <w:rsid w:val="00237A17"/>
    <w:rsid w:val="00241F4C"/>
    <w:rsid w:val="0024444A"/>
    <w:rsid w:val="00245175"/>
    <w:rsid w:val="00250971"/>
    <w:rsid w:val="00250B87"/>
    <w:rsid w:val="002536A8"/>
    <w:rsid w:val="00257983"/>
    <w:rsid w:val="00257BFA"/>
    <w:rsid w:val="00260F55"/>
    <w:rsid w:val="00261911"/>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B1502"/>
    <w:rsid w:val="002C03AF"/>
    <w:rsid w:val="002C5843"/>
    <w:rsid w:val="002C7F10"/>
    <w:rsid w:val="002D083C"/>
    <w:rsid w:val="002D2176"/>
    <w:rsid w:val="002E537C"/>
    <w:rsid w:val="002E57D4"/>
    <w:rsid w:val="002E58E3"/>
    <w:rsid w:val="002E5E3F"/>
    <w:rsid w:val="002E6556"/>
    <w:rsid w:val="002E6ADF"/>
    <w:rsid w:val="002F0752"/>
    <w:rsid w:val="002F7B2A"/>
    <w:rsid w:val="00300B99"/>
    <w:rsid w:val="00300D63"/>
    <w:rsid w:val="003039A5"/>
    <w:rsid w:val="00306298"/>
    <w:rsid w:val="0031111D"/>
    <w:rsid w:val="00312FB3"/>
    <w:rsid w:val="00314F63"/>
    <w:rsid w:val="003154C2"/>
    <w:rsid w:val="00316618"/>
    <w:rsid w:val="00321BD0"/>
    <w:rsid w:val="00326B58"/>
    <w:rsid w:val="0032726C"/>
    <w:rsid w:val="003336CE"/>
    <w:rsid w:val="00333BD7"/>
    <w:rsid w:val="00346856"/>
    <w:rsid w:val="00351063"/>
    <w:rsid w:val="00357018"/>
    <w:rsid w:val="003640F0"/>
    <w:rsid w:val="0037191E"/>
    <w:rsid w:val="00377A96"/>
    <w:rsid w:val="00377FE2"/>
    <w:rsid w:val="00384B8B"/>
    <w:rsid w:val="00387130"/>
    <w:rsid w:val="00387162"/>
    <w:rsid w:val="00395655"/>
    <w:rsid w:val="003A02F6"/>
    <w:rsid w:val="003A060F"/>
    <w:rsid w:val="003B082E"/>
    <w:rsid w:val="003C1F1E"/>
    <w:rsid w:val="003C2774"/>
    <w:rsid w:val="003C4F1F"/>
    <w:rsid w:val="003C563D"/>
    <w:rsid w:val="003C5C7B"/>
    <w:rsid w:val="003D6231"/>
    <w:rsid w:val="003E0EFB"/>
    <w:rsid w:val="003E361D"/>
    <w:rsid w:val="003F2026"/>
    <w:rsid w:val="003F3728"/>
    <w:rsid w:val="003F7612"/>
    <w:rsid w:val="003F7CD4"/>
    <w:rsid w:val="00401834"/>
    <w:rsid w:val="00407815"/>
    <w:rsid w:val="00414F26"/>
    <w:rsid w:val="00415D7B"/>
    <w:rsid w:val="00417315"/>
    <w:rsid w:val="004205D9"/>
    <w:rsid w:val="00420A7D"/>
    <w:rsid w:val="00420F8B"/>
    <w:rsid w:val="0042418B"/>
    <w:rsid w:val="0042440B"/>
    <w:rsid w:val="00430245"/>
    <w:rsid w:val="00430323"/>
    <w:rsid w:val="00433081"/>
    <w:rsid w:val="004361F2"/>
    <w:rsid w:val="004376C2"/>
    <w:rsid w:val="004427B2"/>
    <w:rsid w:val="00442824"/>
    <w:rsid w:val="004444E8"/>
    <w:rsid w:val="00446EC1"/>
    <w:rsid w:val="0045180F"/>
    <w:rsid w:val="00452217"/>
    <w:rsid w:val="004537D4"/>
    <w:rsid w:val="00453C28"/>
    <w:rsid w:val="00453E85"/>
    <w:rsid w:val="00455D0B"/>
    <w:rsid w:val="0046759A"/>
    <w:rsid w:val="004677F5"/>
    <w:rsid w:val="00467C52"/>
    <w:rsid w:val="004720AF"/>
    <w:rsid w:val="0047261C"/>
    <w:rsid w:val="004867A5"/>
    <w:rsid w:val="00487E51"/>
    <w:rsid w:val="00496618"/>
    <w:rsid w:val="004A0A82"/>
    <w:rsid w:val="004A207E"/>
    <w:rsid w:val="004A27CC"/>
    <w:rsid w:val="004A285F"/>
    <w:rsid w:val="004A55AC"/>
    <w:rsid w:val="004A5E2A"/>
    <w:rsid w:val="004A6AE4"/>
    <w:rsid w:val="004A70C4"/>
    <w:rsid w:val="004B2E13"/>
    <w:rsid w:val="004B4FC8"/>
    <w:rsid w:val="004B5150"/>
    <w:rsid w:val="004B5B51"/>
    <w:rsid w:val="004B735F"/>
    <w:rsid w:val="004C1080"/>
    <w:rsid w:val="004C10A2"/>
    <w:rsid w:val="004C420B"/>
    <w:rsid w:val="004C54A0"/>
    <w:rsid w:val="004C5BFA"/>
    <w:rsid w:val="004D24E9"/>
    <w:rsid w:val="004D3191"/>
    <w:rsid w:val="004E0260"/>
    <w:rsid w:val="004E4897"/>
    <w:rsid w:val="004E6D10"/>
    <w:rsid w:val="004F17EA"/>
    <w:rsid w:val="004F2B1B"/>
    <w:rsid w:val="004F4B94"/>
    <w:rsid w:val="004F5643"/>
    <w:rsid w:val="004F70FF"/>
    <w:rsid w:val="004F7672"/>
    <w:rsid w:val="004F7953"/>
    <w:rsid w:val="0050084D"/>
    <w:rsid w:val="00501868"/>
    <w:rsid w:val="00501E0F"/>
    <w:rsid w:val="00501E65"/>
    <w:rsid w:val="0050754B"/>
    <w:rsid w:val="00507B53"/>
    <w:rsid w:val="005121ED"/>
    <w:rsid w:val="005130D6"/>
    <w:rsid w:val="00514AC6"/>
    <w:rsid w:val="00517A62"/>
    <w:rsid w:val="00520109"/>
    <w:rsid w:val="00520903"/>
    <w:rsid w:val="00522F73"/>
    <w:rsid w:val="005244A3"/>
    <w:rsid w:val="0052467D"/>
    <w:rsid w:val="00525B95"/>
    <w:rsid w:val="005260B9"/>
    <w:rsid w:val="00534E66"/>
    <w:rsid w:val="00540C53"/>
    <w:rsid w:val="005424B9"/>
    <w:rsid w:val="00543E05"/>
    <w:rsid w:val="005462B1"/>
    <w:rsid w:val="005531AA"/>
    <w:rsid w:val="00554B28"/>
    <w:rsid w:val="00554CC1"/>
    <w:rsid w:val="00563FA3"/>
    <w:rsid w:val="005644C8"/>
    <w:rsid w:val="00564E98"/>
    <w:rsid w:val="00583A7E"/>
    <w:rsid w:val="00585BBF"/>
    <w:rsid w:val="005913D0"/>
    <w:rsid w:val="00597D5D"/>
    <w:rsid w:val="005A338B"/>
    <w:rsid w:val="005A6C42"/>
    <w:rsid w:val="005B6F9F"/>
    <w:rsid w:val="005C2DFD"/>
    <w:rsid w:val="005C43C6"/>
    <w:rsid w:val="005D04BC"/>
    <w:rsid w:val="005D06F0"/>
    <w:rsid w:val="005D094A"/>
    <w:rsid w:val="005D276C"/>
    <w:rsid w:val="005D3B47"/>
    <w:rsid w:val="005D5B4B"/>
    <w:rsid w:val="005D72C5"/>
    <w:rsid w:val="005D733F"/>
    <w:rsid w:val="005E08BD"/>
    <w:rsid w:val="005E0F94"/>
    <w:rsid w:val="005E316C"/>
    <w:rsid w:val="005E36D5"/>
    <w:rsid w:val="005E4874"/>
    <w:rsid w:val="005E4CF0"/>
    <w:rsid w:val="005F0C39"/>
    <w:rsid w:val="005F421E"/>
    <w:rsid w:val="0060094C"/>
    <w:rsid w:val="00600B63"/>
    <w:rsid w:val="006040E1"/>
    <w:rsid w:val="00604A61"/>
    <w:rsid w:val="00610231"/>
    <w:rsid w:val="00617D55"/>
    <w:rsid w:val="006240D8"/>
    <w:rsid w:val="00626132"/>
    <w:rsid w:val="006324A1"/>
    <w:rsid w:val="00633E91"/>
    <w:rsid w:val="00634DDD"/>
    <w:rsid w:val="006361E3"/>
    <w:rsid w:val="0063730A"/>
    <w:rsid w:val="00642470"/>
    <w:rsid w:val="00642D90"/>
    <w:rsid w:val="00645DFC"/>
    <w:rsid w:val="00646091"/>
    <w:rsid w:val="00656642"/>
    <w:rsid w:val="006570D3"/>
    <w:rsid w:val="006622F8"/>
    <w:rsid w:val="006712A6"/>
    <w:rsid w:val="00671E4E"/>
    <w:rsid w:val="0067456E"/>
    <w:rsid w:val="00675133"/>
    <w:rsid w:val="006802C1"/>
    <w:rsid w:val="00690FE6"/>
    <w:rsid w:val="00691BD4"/>
    <w:rsid w:val="00694141"/>
    <w:rsid w:val="006A512F"/>
    <w:rsid w:val="006B4070"/>
    <w:rsid w:val="006C6BF5"/>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354E"/>
    <w:rsid w:val="007160B3"/>
    <w:rsid w:val="00716B72"/>
    <w:rsid w:val="00720625"/>
    <w:rsid w:val="0072098B"/>
    <w:rsid w:val="00723D89"/>
    <w:rsid w:val="00731B88"/>
    <w:rsid w:val="00732DEB"/>
    <w:rsid w:val="00733269"/>
    <w:rsid w:val="007362EB"/>
    <w:rsid w:val="00736C03"/>
    <w:rsid w:val="00737BC4"/>
    <w:rsid w:val="00737D3E"/>
    <w:rsid w:val="007431DE"/>
    <w:rsid w:val="007475FE"/>
    <w:rsid w:val="007516D1"/>
    <w:rsid w:val="00756290"/>
    <w:rsid w:val="00756A19"/>
    <w:rsid w:val="0076108C"/>
    <w:rsid w:val="00761B5E"/>
    <w:rsid w:val="0076408A"/>
    <w:rsid w:val="00774BE7"/>
    <w:rsid w:val="00777754"/>
    <w:rsid w:val="00780EAB"/>
    <w:rsid w:val="00781306"/>
    <w:rsid w:val="007836C8"/>
    <w:rsid w:val="007934F1"/>
    <w:rsid w:val="00794229"/>
    <w:rsid w:val="007A76C5"/>
    <w:rsid w:val="007B1141"/>
    <w:rsid w:val="007B24F7"/>
    <w:rsid w:val="007C6C8E"/>
    <w:rsid w:val="007D0AFE"/>
    <w:rsid w:val="007D6B06"/>
    <w:rsid w:val="007E249E"/>
    <w:rsid w:val="007E633B"/>
    <w:rsid w:val="007E6AD6"/>
    <w:rsid w:val="007F135A"/>
    <w:rsid w:val="007F4201"/>
    <w:rsid w:val="0080232E"/>
    <w:rsid w:val="00812789"/>
    <w:rsid w:val="00815CDE"/>
    <w:rsid w:val="00821B47"/>
    <w:rsid w:val="00826D8F"/>
    <w:rsid w:val="00826F86"/>
    <w:rsid w:val="00831124"/>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25A0"/>
    <w:rsid w:val="00864193"/>
    <w:rsid w:val="0086505F"/>
    <w:rsid w:val="00865EE3"/>
    <w:rsid w:val="0086600C"/>
    <w:rsid w:val="00870515"/>
    <w:rsid w:val="00872A86"/>
    <w:rsid w:val="00873084"/>
    <w:rsid w:val="00874481"/>
    <w:rsid w:val="00875D88"/>
    <w:rsid w:val="00887B6C"/>
    <w:rsid w:val="0089123B"/>
    <w:rsid w:val="00891BE7"/>
    <w:rsid w:val="00894946"/>
    <w:rsid w:val="008963DE"/>
    <w:rsid w:val="00896E11"/>
    <w:rsid w:val="008A00BC"/>
    <w:rsid w:val="008A1687"/>
    <w:rsid w:val="008A2DF5"/>
    <w:rsid w:val="008A52D8"/>
    <w:rsid w:val="008A5E27"/>
    <w:rsid w:val="008A721D"/>
    <w:rsid w:val="008B1BC5"/>
    <w:rsid w:val="008C0503"/>
    <w:rsid w:val="008C4A55"/>
    <w:rsid w:val="008C5E5E"/>
    <w:rsid w:val="008D08F5"/>
    <w:rsid w:val="008D2350"/>
    <w:rsid w:val="008D579B"/>
    <w:rsid w:val="008D583E"/>
    <w:rsid w:val="008D7657"/>
    <w:rsid w:val="008E1CC8"/>
    <w:rsid w:val="008E24D8"/>
    <w:rsid w:val="008E3AC0"/>
    <w:rsid w:val="008E7584"/>
    <w:rsid w:val="008E7705"/>
    <w:rsid w:val="008E77F4"/>
    <w:rsid w:val="008E7E4D"/>
    <w:rsid w:val="008F35DB"/>
    <w:rsid w:val="008F4969"/>
    <w:rsid w:val="008F6393"/>
    <w:rsid w:val="00905EB8"/>
    <w:rsid w:val="00905F3A"/>
    <w:rsid w:val="0090782D"/>
    <w:rsid w:val="0091523F"/>
    <w:rsid w:val="0091558A"/>
    <w:rsid w:val="00917058"/>
    <w:rsid w:val="00917AFD"/>
    <w:rsid w:val="009210DE"/>
    <w:rsid w:val="00924F7D"/>
    <w:rsid w:val="009312BE"/>
    <w:rsid w:val="0094334A"/>
    <w:rsid w:val="00943E2F"/>
    <w:rsid w:val="009448BA"/>
    <w:rsid w:val="00952D0A"/>
    <w:rsid w:val="00953FD7"/>
    <w:rsid w:val="009551F9"/>
    <w:rsid w:val="0095734B"/>
    <w:rsid w:val="00963AE2"/>
    <w:rsid w:val="00972F4C"/>
    <w:rsid w:val="00975F5E"/>
    <w:rsid w:val="00977612"/>
    <w:rsid w:val="00981461"/>
    <w:rsid w:val="009827FE"/>
    <w:rsid w:val="00983B09"/>
    <w:rsid w:val="00990860"/>
    <w:rsid w:val="00990FC4"/>
    <w:rsid w:val="009941E5"/>
    <w:rsid w:val="0099513B"/>
    <w:rsid w:val="00996B48"/>
    <w:rsid w:val="009A0E39"/>
    <w:rsid w:val="009A1973"/>
    <w:rsid w:val="009A19C4"/>
    <w:rsid w:val="009B1744"/>
    <w:rsid w:val="009B1EE9"/>
    <w:rsid w:val="009B568A"/>
    <w:rsid w:val="009D0944"/>
    <w:rsid w:val="009D6D2E"/>
    <w:rsid w:val="009D753B"/>
    <w:rsid w:val="009E0CEB"/>
    <w:rsid w:val="009E5A9F"/>
    <w:rsid w:val="009E6C5E"/>
    <w:rsid w:val="009E7717"/>
    <w:rsid w:val="009E7FF1"/>
    <w:rsid w:val="00A02072"/>
    <w:rsid w:val="00A11D46"/>
    <w:rsid w:val="00A163D9"/>
    <w:rsid w:val="00A17807"/>
    <w:rsid w:val="00A23452"/>
    <w:rsid w:val="00A26499"/>
    <w:rsid w:val="00A27F81"/>
    <w:rsid w:val="00A30636"/>
    <w:rsid w:val="00A31338"/>
    <w:rsid w:val="00A32258"/>
    <w:rsid w:val="00A3356F"/>
    <w:rsid w:val="00A3568B"/>
    <w:rsid w:val="00A4509D"/>
    <w:rsid w:val="00A4752C"/>
    <w:rsid w:val="00A50CD4"/>
    <w:rsid w:val="00A53909"/>
    <w:rsid w:val="00A55782"/>
    <w:rsid w:val="00A57A10"/>
    <w:rsid w:val="00A57F06"/>
    <w:rsid w:val="00A600FC"/>
    <w:rsid w:val="00A606F7"/>
    <w:rsid w:val="00A60884"/>
    <w:rsid w:val="00A610CB"/>
    <w:rsid w:val="00A643D6"/>
    <w:rsid w:val="00A64DC1"/>
    <w:rsid w:val="00A6623B"/>
    <w:rsid w:val="00A7058C"/>
    <w:rsid w:val="00A70B39"/>
    <w:rsid w:val="00A8542F"/>
    <w:rsid w:val="00A85598"/>
    <w:rsid w:val="00A856B0"/>
    <w:rsid w:val="00A8607A"/>
    <w:rsid w:val="00A90530"/>
    <w:rsid w:val="00A917A9"/>
    <w:rsid w:val="00A94B87"/>
    <w:rsid w:val="00A9750F"/>
    <w:rsid w:val="00AA599A"/>
    <w:rsid w:val="00AB5812"/>
    <w:rsid w:val="00AB7845"/>
    <w:rsid w:val="00AC135D"/>
    <w:rsid w:val="00AC2072"/>
    <w:rsid w:val="00AD23E6"/>
    <w:rsid w:val="00AD3F9D"/>
    <w:rsid w:val="00AD4746"/>
    <w:rsid w:val="00AD5010"/>
    <w:rsid w:val="00AE20C4"/>
    <w:rsid w:val="00AE2731"/>
    <w:rsid w:val="00AE4C05"/>
    <w:rsid w:val="00AE6BE8"/>
    <w:rsid w:val="00AE6FA9"/>
    <w:rsid w:val="00AF2498"/>
    <w:rsid w:val="00B0691A"/>
    <w:rsid w:val="00B12893"/>
    <w:rsid w:val="00B17C41"/>
    <w:rsid w:val="00B17FDB"/>
    <w:rsid w:val="00B24B51"/>
    <w:rsid w:val="00B30A00"/>
    <w:rsid w:val="00B31B92"/>
    <w:rsid w:val="00B320D9"/>
    <w:rsid w:val="00B321D4"/>
    <w:rsid w:val="00B330B9"/>
    <w:rsid w:val="00B3495F"/>
    <w:rsid w:val="00B34AF6"/>
    <w:rsid w:val="00B34CBF"/>
    <w:rsid w:val="00B40DAD"/>
    <w:rsid w:val="00B42361"/>
    <w:rsid w:val="00B429D4"/>
    <w:rsid w:val="00B458D2"/>
    <w:rsid w:val="00B5191C"/>
    <w:rsid w:val="00B5236B"/>
    <w:rsid w:val="00B5758A"/>
    <w:rsid w:val="00B6355E"/>
    <w:rsid w:val="00B65B84"/>
    <w:rsid w:val="00B7272A"/>
    <w:rsid w:val="00B73133"/>
    <w:rsid w:val="00B74629"/>
    <w:rsid w:val="00B75F90"/>
    <w:rsid w:val="00B8036D"/>
    <w:rsid w:val="00B84A5C"/>
    <w:rsid w:val="00B87124"/>
    <w:rsid w:val="00B90C96"/>
    <w:rsid w:val="00B948D2"/>
    <w:rsid w:val="00BA0F4C"/>
    <w:rsid w:val="00BA478A"/>
    <w:rsid w:val="00BA66F5"/>
    <w:rsid w:val="00BA726F"/>
    <w:rsid w:val="00BB13DA"/>
    <w:rsid w:val="00BB2597"/>
    <w:rsid w:val="00BD068F"/>
    <w:rsid w:val="00BD0FA0"/>
    <w:rsid w:val="00BD2B98"/>
    <w:rsid w:val="00BD7BD3"/>
    <w:rsid w:val="00BE0D0E"/>
    <w:rsid w:val="00BE395D"/>
    <w:rsid w:val="00BE482D"/>
    <w:rsid w:val="00BF0159"/>
    <w:rsid w:val="00BF6BBB"/>
    <w:rsid w:val="00C00A4C"/>
    <w:rsid w:val="00C03495"/>
    <w:rsid w:val="00C1385A"/>
    <w:rsid w:val="00C2421A"/>
    <w:rsid w:val="00C27D33"/>
    <w:rsid w:val="00C31286"/>
    <w:rsid w:val="00C31A5B"/>
    <w:rsid w:val="00C34C0E"/>
    <w:rsid w:val="00C35EF2"/>
    <w:rsid w:val="00C35FC2"/>
    <w:rsid w:val="00C403B4"/>
    <w:rsid w:val="00C406DE"/>
    <w:rsid w:val="00C41445"/>
    <w:rsid w:val="00C41B61"/>
    <w:rsid w:val="00C45CCE"/>
    <w:rsid w:val="00C46170"/>
    <w:rsid w:val="00C467CA"/>
    <w:rsid w:val="00C467D4"/>
    <w:rsid w:val="00C5218E"/>
    <w:rsid w:val="00C5278E"/>
    <w:rsid w:val="00C538D8"/>
    <w:rsid w:val="00C550EA"/>
    <w:rsid w:val="00C573AA"/>
    <w:rsid w:val="00C63AA7"/>
    <w:rsid w:val="00C710B3"/>
    <w:rsid w:val="00C718DA"/>
    <w:rsid w:val="00C73873"/>
    <w:rsid w:val="00C75FCC"/>
    <w:rsid w:val="00C86431"/>
    <w:rsid w:val="00C9316D"/>
    <w:rsid w:val="00C9677A"/>
    <w:rsid w:val="00C975B4"/>
    <w:rsid w:val="00C97FB9"/>
    <w:rsid w:val="00CA155E"/>
    <w:rsid w:val="00CA292D"/>
    <w:rsid w:val="00CA2E10"/>
    <w:rsid w:val="00CA7999"/>
    <w:rsid w:val="00CB4E0C"/>
    <w:rsid w:val="00CB6814"/>
    <w:rsid w:val="00CD1405"/>
    <w:rsid w:val="00CE3610"/>
    <w:rsid w:val="00CF24CD"/>
    <w:rsid w:val="00CF4B16"/>
    <w:rsid w:val="00CF5221"/>
    <w:rsid w:val="00CF5822"/>
    <w:rsid w:val="00CF5A9B"/>
    <w:rsid w:val="00CF61A2"/>
    <w:rsid w:val="00CF6672"/>
    <w:rsid w:val="00D03A5F"/>
    <w:rsid w:val="00D11E74"/>
    <w:rsid w:val="00D11FEB"/>
    <w:rsid w:val="00D144A4"/>
    <w:rsid w:val="00D14A2E"/>
    <w:rsid w:val="00D22435"/>
    <w:rsid w:val="00D23711"/>
    <w:rsid w:val="00D25823"/>
    <w:rsid w:val="00D2649F"/>
    <w:rsid w:val="00D349DC"/>
    <w:rsid w:val="00D36CA4"/>
    <w:rsid w:val="00D37896"/>
    <w:rsid w:val="00D41A30"/>
    <w:rsid w:val="00D469E3"/>
    <w:rsid w:val="00D532DC"/>
    <w:rsid w:val="00D56BB2"/>
    <w:rsid w:val="00D63557"/>
    <w:rsid w:val="00D66487"/>
    <w:rsid w:val="00D71C75"/>
    <w:rsid w:val="00D723F2"/>
    <w:rsid w:val="00D741ED"/>
    <w:rsid w:val="00D76AAD"/>
    <w:rsid w:val="00D76DCC"/>
    <w:rsid w:val="00D82A70"/>
    <w:rsid w:val="00D83702"/>
    <w:rsid w:val="00D838C4"/>
    <w:rsid w:val="00D83CD6"/>
    <w:rsid w:val="00D96DF5"/>
    <w:rsid w:val="00DA0F8B"/>
    <w:rsid w:val="00DA2FD7"/>
    <w:rsid w:val="00DA4C8E"/>
    <w:rsid w:val="00DB5EFB"/>
    <w:rsid w:val="00DB75E1"/>
    <w:rsid w:val="00DC3C79"/>
    <w:rsid w:val="00DC60E2"/>
    <w:rsid w:val="00DD139E"/>
    <w:rsid w:val="00DD4DA6"/>
    <w:rsid w:val="00DD7AA4"/>
    <w:rsid w:val="00DE1C7B"/>
    <w:rsid w:val="00DE370C"/>
    <w:rsid w:val="00DE4504"/>
    <w:rsid w:val="00DE48BE"/>
    <w:rsid w:val="00DE5489"/>
    <w:rsid w:val="00DF4AC7"/>
    <w:rsid w:val="00DF568A"/>
    <w:rsid w:val="00DF5EF4"/>
    <w:rsid w:val="00E00230"/>
    <w:rsid w:val="00E00442"/>
    <w:rsid w:val="00E015B8"/>
    <w:rsid w:val="00E02445"/>
    <w:rsid w:val="00E0521D"/>
    <w:rsid w:val="00E074E3"/>
    <w:rsid w:val="00E13B78"/>
    <w:rsid w:val="00E13B7B"/>
    <w:rsid w:val="00E13CBF"/>
    <w:rsid w:val="00E2203D"/>
    <w:rsid w:val="00E220AD"/>
    <w:rsid w:val="00E222BB"/>
    <w:rsid w:val="00E26258"/>
    <w:rsid w:val="00E27FFC"/>
    <w:rsid w:val="00E352D8"/>
    <w:rsid w:val="00E36D56"/>
    <w:rsid w:val="00E377AA"/>
    <w:rsid w:val="00E41613"/>
    <w:rsid w:val="00E41BB3"/>
    <w:rsid w:val="00E52B88"/>
    <w:rsid w:val="00E53B43"/>
    <w:rsid w:val="00E55296"/>
    <w:rsid w:val="00E61E3D"/>
    <w:rsid w:val="00E61F16"/>
    <w:rsid w:val="00E67755"/>
    <w:rsid w:val="00E72CDA"/>
    <w:rsid w:val="00E76BD1"/>
    <w:rsid w:val="00E77544"/>
    <w:rsid w:val="00E7793E"/>
    <w:rsid w:val="00E7794B"/>
    <w:rsid w:val="00E804F0"/>
    <w:rsid w:val="00E8474D"/>
    <w:rsid w:val="00E87046"/>
    <w:rsid w:val="00E9347F"/>
    <w:rsid w:val="00E9475D"/>
    <w:rsid w:val="00E9569E"/>
    <w:rsid w:val="00E96851"/>
    <w:rsid w:val="00EA151B"/>
    <w:rsid w:val="00EA3777"/>
    <w:rsid w:val="00EA759A"/>
    <w:rsid w:val="00EA7FE4"/>
    <w:rsid w:val="00EB06DD"/>
    <w:rsid w:val="00EB4615"/>
    <w:rsid w:val="00EB648A"/>
    <w:rsid w:val="00EB6C95"/>
    <w:rsid w:val="00EB6E90"/>
    <w:rsid w:val="00EB6F0C"/>
    <w:rsid w:val="00EB71B3"/>
    <w:rsid w:val="00EC103F"/>
    <w:rsid w:val="00EC2608"/>
    <w:rsid w:val="00EC5557"/>
    <w:rsid w:val="00EC5DBC"/>
    <w:rsid w:val="00EC66E9"/>
    <w:rsid w:val="00ED364A"/>
    <w:rsid w:val="00ED7690"/>
    <w:rsid w:val="00EE137A"/>
    <w:rsid w:val="00EE22E1"/>
    <w:rsid w:val="00EE2835"/>
    <w:rsid w:val="00EF21BC"/>
    <w:rsid w:val="00EF3B04"/>
    <w:rsid w:val="00EF72B0"/>
    <w:rsid w:val="00F00C40"/>
    <w:rsid w:val="00F00CD5"/>
    <w:rsid w:val="00F03EE5"/>
    <w:rsid w:val="00F04A79"/>
    <w:rsid w:val="00F06310"/>
    <w:rsid w:val="00F10769"/>
    <w:rsid w:val="00F10863"/>
    <w:rsid w:val="00F12F9E"/>
    <w:rsid w:val="00F15297"/>
    <w:rsid w:val="00F22457"/>
    <w:rsid w:val="00F23427"/>
    <w:rsid w:val="00F30ED8"/>
    <w:rsid w:val="00F316E9"/>
    <w:rsid w:val="00F34EFA"/>
    <w:rsid w:val="00F37E2C"/>
    <w:rsid w:val="00F43176"/>
    <w:rsid w:val="00F44CFD"/>
    <w:rsid w:val="00F456C2"/>
    <w:rsid w:val="00F51B36"/>
    <w:rsid w:val="00F521F4"/>
    <w:rsid w:val="00F54AC6"/>
    <w:rsid w:val="00F61E91"/>
    <w:rsid w:val="00F629A8"/>
    <w:rsid w:val="00F7694A"/>
    <w:rsid w:val="00F80CD3"/>
    <w:rsid w:val="00F80FDF"/>
    <w:rsid w:val="00F83CB7"/>
    <w:rsid w:val="00F8787B"/>
    <w:rsid w:val="00F87E94"/>
    <w:rsid w:val="00F92145"/>
    <w:rsid w:val="00F93CB3"/>
    <w:rsid w:val="00F94C2A"/>
    <w:rsid w:val="00F97925"/>
    <w:rsid w:val="00F97DD0"/>
    <w:rsid w:val="00FA26A0"/>
    <w:rsid w:val="00FA2D8D"/>
    <w:rsid w:val="00FA3B4C"/>
    <w:rsid w:val="00FB0D80"/>
    <w:rsid w:val="00FB1992"/>
    <w:rsid w:val="00FB486B"/>
    <w:rsid w:val="00FB4BB4"/>
    <w:rsid w:val="00FB55BD"/>
    <w:rsid w:val="00FC3975"/>
    <w:rsid w:val="00FD0C75"/>
    <w:rsid w:val="00FD2E83"/>
    <w:rsid w:val="00FD60D1"/>
    <w:rsid w:val="00FD6185"/>
    <w:rsid w:val="00FE05A8"/>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0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D56BB2"/>
    <w:rPr>
      <w:sz w:val="24"/>
      <w:szCs w:val="24"/>
      <w:lang w:val="bg-BG" w:eastAsia="bg-BG"/>
    </w:rPr>
  </w:style>
  <w:style w:type="paragraph" w:customStyle="1" w:styleId="1">
    <w:name w:val="Нормален1"/>
    <w:uiPriority w:val="99"/>
    <w:rsid w:val="00780EAB"/>
    <w:pPr>
      <w:widowControl w:val="0"/>
      <w:autoSpaceDE w:val="0"/>
      <w:autoSpaceDN w:val="0"/>
      <w:adjustRightInd w:val="0"/>
    </w:pPr>
    <w:rPr>
      <w:sz w:val="24"/>
      <w:szCs w:val="24"/>
      <w:lang w:val="bg-BG"/>
    </w:rPr>
  </w:style>
  <w:style w:type="paragraph" w:styleId="BodyText">
    <w:name w:val="Body Text"/>
    <w:basedOn w:val="Normal"/>
    <w:link w:val="BodyTextChar"/>
    <w:rsid w:val="007D0AFE"/>
    <w:pPr>
      <w:spacing w:after="120"/>
    </w:pPr>
  </w:style>
  <w:style w:type="character" w:customStyle="1" w:styleId="BodyTextChar">
    <w:name w:val="Body Text Char"/>
    <w:basedOn w:val="DefaultParagraphFont"/>
    <w:link w:val="BodyText"/>
    <w:rsid w:val="007D0AFE"/>
    <w:rPr>
      <w:sz w:val="24"/>
      <w:szCs w:val="24"/>
      <w:lang w:val="bg-BG" w:eastAsia="bg-BG"/>
    </w:rPr>
  </w:style>
  <w:style w:type="paragraph" w:styleId="ListParagraph">
    <w:name w:val="List Paragraph"/>
    <w:basedOn w:val="Normal"/>
    <w:uiPriority w:val="34"/>
    <w:qFormat/>
    <w:rsid w:val="007D0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27216722">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204C7-5274-4C79-90FC-BF7B02ED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2020-02-24T06:25:00Z</dcterms:created>
  <dcterms:modified xsi:type="dcterms:W3CDTF">2025-09-16T12:17:00Z</dcterms:modified>
</cp:coreProperties>
</file>