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6.xml" ContentType="application/vnd.ms-office.activeX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15" w:rsidRPr="00581AC8" w:rsidRDefault="00697115" w:rsidP="0059596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92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4"/>
        <w:gridCol w:w="4809"/>
      </w:tblGrid>
      <w:tr w:rsidR="000F1532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76E63" w:rsidRPr="00581AC8" w:rsidRDefault="00FE55C5" w:rsidP="009B0327">
            <w:pPr>
              <w:spacing w:before="24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F1532" w:rsidRPr="00D942B7" w:rsidTr="006614E8">
        <w:tc>
          <w:tcPr>
            <w:tcW w:w="5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E63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:rsidR="007026A1" w:rsidRPr="00581AC8" w:rsidRDefault="00725168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</w:t>
            </w:r>
            <w:r w:rsidR="00063B20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храните 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76E63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:rsidR="00076E63" w:rsidRPr="00581AC8" w:rsidRDefault="005F5510" w:rsidP="0087692D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на Постановление на Министерския съвет за </w:t>
            </w:r>
            <w:r w:rsidR="004576F8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</w:t>
            </w:r>
            <w:r w:rsidR="00442C77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менение на </w:t>
            </w:r>
            <w:r w:rsid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Тарифа</w:t>
            </w:r>
            <w:r w:rsidR="0059596C" w:rsidRPr="004E25C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034656" w:rsidRPr="000346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таксите, </w:t>
            </w:r>
            <w:r w:rsid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които се събират за обучение за придобиване на правоспособност за класификатор на кланични трупове по скалата </w:t>
            </w:r>
            <w:r w:rsidR="0087692D">
              <w:rPr>
                <w:rFonts w:ascii="Times New Roman" w:eastAsia="Times New Roman" w:hAnsi="Times New Roman" w:cs="Times New Roman"/>
                <w:sz w:val="24"/>
                <w:szCs w:val="24"/>
              </w:rPr>
              <w:t>EUROP</w:t>
            </w:r>
            <w:r w:rsid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одобрена</w:t>
            </w:r>
            <w:r w:rsidR="001E586D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Постановление № </w:t>
            </w:r>
            <w:r w:rsidR="00034656" w:rsidRPr="00E2613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206</w:t>
            </w:r>
            <w:r w:rsidR="00034656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E586D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Министерския съвет от 20</w:t>
            </w:r>
            <w:r w:rsidR="00034656" w:rsidRPr="00E2613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</w:t>
            </w:r>
            <w:r w:rsid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 (</w:t>
            </w:r>
            <w:r w:rsidR="005959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59596C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бн</w:t>
            </w:r>
            <w:r w:rsidR="001E586D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., ДВ, бр. </w:t>
            </w:r>
            <w:r w:rsidR="00034656" w:rsidRPr="00B605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57</w:t>
            </w:r>
            <w:r w:rsidR="00034656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E586D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20</w:t>
            </w:r>
            <w:r w:rsidR="00034656" w:rsidRPr="00B605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</w:t>
            </w:r>
            <w:r w:rsidR="001E586D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г.)</w:t>
            </w:r>
          </w:p>
        </w:tc>
      </w:tr>
      <w:tr w:rsidR="000F1532" w:rsidRPr="005C1C5F" w:rsidTr="006614E8">
        <w:tc>
          <w:tcPr>
            <w:tcW w:w="5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E63" w:rsidRPr="00581AC8" w:rsidRDefault="00076E63" w:rsidP="009B032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25pt;height:39.4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9403C" w:rsidRDefault="00076E63" w:rsidP="00E2613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object w:dxaOrig="225" w:dyaOrig="225">
                <v:shape id="_x0000_i1062" type="#_x0000_t75" style="width:202.25pt;height:38.8pt" o:ole="">
                  <v:imagedata r:id="rId10" o:title=""/>
                </v:shape>
                <w:control r:id="rId11" w:name="OptionButton1" w:shapeid="_x0000_i1062"/>
              </w:object>
            </w:r>
          </w:p>
          <w:p w:rsidR="005C1C5F" w:rsidRPr="005C1C5F" w:rsidRDefault="005C1C5F" w:rsidP="00E2613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</w:pPr>
            <w:r w:rsidRPr="005C1C5F"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>периода юли 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 xml:space="preserve"> </w:t>
            </w:r>
            <w:r w:rsidRPr="005C1C5F"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>декември 2025 г.</w:t>
            </w:r>
          </w:p>
        </w:tc>
      </w:tr>
      <w:tr w:rsidR="000F1532" w:rsidRPr="0087692D" w:rsidTr="006614E8">
        <w:tc>
          <w:tcPr>
            <w:tcW w:w="511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9F1D17" w:rsidRPr="00581AC8" w:rsidRDefault="00076E63" w:rsidP="0059596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</w:t>
            </w:r>
            <w:r w:rsidR="00DB39A5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контакт: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57600C" w:rsidRPr="005C1C5F" w:rsidRDefault="00076E63" w:rsidP="0059596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</w:tc>
      </w:tr>
      <w:tr w:rsidR="0059596C" w:rsidRPr="0087692D" w:rsidTr="006614E8">
        <w:tc>
          <w:tcPr>
            <w:tcW w:w="5114" w:type="dxa"/>
            <w:tcBorders>
              <w:top w:val="nil"/>
              <w:bottom w:val="nil"/>
              <w:right w:val="single" w:sz="12" w:space="0" w:color="auto"/>
            </w:tcBorders>
          </w:tcPr>
          <w:p w:rsidR="0059596C" w:rsidRPr="00581AC8" w:rsidRDefault="0059596C" w:rsidP="0059596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Огнян Петков – главен експерт в дирекция „Животновъдство“, Министе</w:t>
            </w:r>
            <w:r w:rsidR="002F515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рство на земеделието и храните;</w:t>
            </w:r>
          </w:p>
        </w:tc>
        <w:tc>
          <w:tcPr>
            <w:tcW w:w="4809" w:type="dxa"/>
            <w:tcBorders>
              <w:top w:val="nil"/>
              <w:left w:val="single" w:sz="12" w:space="0" w:color="auto"/>
              <w:bottom w:val="nil"/>
            </w:tcBorders>
          </w:tcPr>
          <w:p w:rsidR="0059596C" w:rsidRPr="00581AC8" w:rsidRDefault="0059596C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2613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+359298511324 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br/>
            </w:r>
            <w:hyperlink r:id="rId12" w:history="1">
              <w:r w:rsidRPr="00501DD1">
                <w:rPr>
                  <w:rStyle w:val="Hyperlink"/>
                  <w:lang w:val="bg-BG"/>
                </w:rPr>
                <w:t>ОР</w:t>
              </w:r>
              <w:r w:rsidRPr="00501DD1">
                <w:rPr>
                  <w:rStyle w:val="Hyperlink"/>
                </w:rPr>
                <w:t>etkov</w:t>
              </w:r>
              <w:r w:rsidRPr="00501DD1">
                <w:rPr>
                  <w:rStyle w:val="Hyperlink"/>
                  <w:lang w:val="bg-BG"/>
                </w:rPr>
                <w:t>@</w:t>
              </w:r>
              <w:r w:rsidRPr="00501DD1">
                <w:rPr>
                  <w:rStyle w:val="Hyperlink"/>
                </w:rPr>
                <w:t>mzh</w:t>
              </w:r>
              <w:r w:rsidRPr="00501DD1">
                <w:rPr>
                  <w:rStyle w:val="Hyperlink"/>
                  <w:lang w:val="bg-BG"/>
                </w:rPr>
                <w:t>.</w:t>
              </w:r>
              <w:r w:rsidRPr="00501DD1">
                <w:rPr>
                  <w:rStyle w:val="Hyperlink"/>
                </w:rPr>
                <w:t>government</w:t>
              </w:r>
              <w:r w:rsidRPr="00501DD1">
                <w:rPr>
                  <w:rStyle w:val="Hyperlink"/>
                  <w:lang w:val="bg-BG"/>
                </w:rPr>
                <w:t>.</w:t>
              </w:r>
              <w:r w:rsidRPr="00501DD1">
                <w:rPr>
                  <w:rStyle w:val="Hyperlink"/>
                </w:rPr>
                <w:t>bg</w:t>
              </w:r>
            </w:hyperlink>
            <w:r>
              <w:rPr>
                <w:lang w:val="bg-BG"/>
              </w:rPr>
              <w:t>;</w:t>
            </w:r>
          </w:p>
        </w:tc>
      </w:tr>
      <w:tr w:rsidR="0059596C" w:rsidRPr="0087692D" w:rsidTr="006614E8">
        <w:tc>
          <w:tcPr>
            <w:tcW w:w="511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59596C" w:rsidRPr="00581AC8" w:rsidRDefault="0059596C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Юлия Илиева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главен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експерт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дирекция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Животновъдство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 и храните</w:t>
            </w:r>
          </w:p>
        </w:tc>
        <w:tc>
          <w:tcPr>
            <w:tcW w:w="480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9596C" w:rsidRDefault="0059596C" w:rsidP="0059596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+359</w:t>
            </w:r>
            <w:r w:rsidRPr="00E2613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298511325;</w:t>
            </w:r>
          </w:p>
          <w:p w:rsidR="0059596C" w:rsidRPr="00581AC8" w:rsidRDefault="00D942B7" w:rsidP="0059596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hyperlink r:id="rId13" w:history="1">
              <w:r w:rsidR="0059596C" w:rsidRPr="00F456CF">
                <w:rPr>
                  <w:rStyle w:val="Hyperlink"/>
                </w:rPr>
                <w:t>YIlieva</w:t>
              </w:r>
              <w:r w:rsidR="0059596C" w:rsidRPr="00E2613B">
                <w:rPr>
                  <w:rStyle w:val="Hyperlink"/>
                  <w:lang w:val="bg-BG"/>
                </w:rPr>
                <w:t>@</w:t>
              </w:r>
              <w:r w:rsidR="0059596C" w:rsidRPr="00F456CF">
                <w:rPr>
                  <w:rStyle w:val="Hyperlink"/>
                </w:rPr>
                <w:t>mzh</w:t>
              </w:r>
              <w:r w:rsidR="0059596C" w:rsidRPr="00E2613B">
                <w:rPr>
                  <w:rStyle w:val="Hyperlink"/>
                  <w:lang w:val="bg-BG"/>
                </w:rPr>
                <w:t>.</w:t>
              </w:r>
              <w:r w:rsidR="0059596C" w:rsidRPr="00F456CF">
                <w:rPr>
                  <w:rStyle w:val="Hyperlink"/>
                </w:rPr>
                <w:t>government</w:t>
              </w:r>
              <w:r w:rsidR="0059596C" w:rsidRPr="00E2613B">
                <w:rPr>
                  <w:rStyle w:val="Hyperlink"/>
                  <w:lang w:val="bg-BG"/>
                </w:rPr>
                <w:t>.</w:t>
              </w:r>
              <w:r w:rsidR="0059596C" w:rsidRPr="00F456CF">
                <w:rPr>
                  <w:rStyle w:val="Hyperlink"/>
                </w:rPr>
                <w:t>bg</w:t>
              </w:r>
            </w:hyperlink>
          </w:p>
        </w:tc>
      </w:tr>
      <w:tr w:rsidR="000F1532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16328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474FC3" w:rsidRPr="00581AC8" w:rsidRDefault="00DF6200" w:rsidP="0059596C">
            <w:pPr>
              <w:spacing w:before="120" w:after="12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Необходимост от </w:t>
            </w:r>
            <w:r w:rsidR="0087692D" w:rsidRP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привеждането на разпоредбите </w:t>
            </w:r>
            <w:r w:rsid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87692D" w:rsidRP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Тарифа</w:t>
            </w:r>
            <w:r w:rsid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87692D" w:rsidRP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таксите, които се събират за обучение за придобиване на правоспособност за класификатор на кланични трупове по скалата EUROP </w:t>
            </w:r>
            <w:r w:rsid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(Тарифата) </w:t>
            </w:r>
            <w:r w:rsidR="0087692D" w:rsidRP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съответствие със Закона за въвеждане на еврото в Република България</w:t>
            </w:r>
            <w:r w:rsid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87692D" w:rsidRPr="0087692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87692D" w:rsidRDefault="00385A2F" w:rsidP="0087692D">
            <w:pPr>
              <w:pStyle w:val="ListParagraph"/>
              <w:numPr>
                <w:ilvl w:val="1"/>
                <w:numId w:val="34"/>
              </w:numPr>
              <w:spacing w:after="0" w:line="28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876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:rsidR="0087692D" w:rsidRPr="0087692D" w:rsidRDefault="0087692D" w:rsidP="0059596C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876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Законът за въвеждане на еврото в Република България е приет през 2024 г. Със закона се уреждат принципите, правилата и процедурите за въвеждане на еврото като парична единица на Република България, като се осигурява безпрепятственото приемане на единната европейска валута при условия на прозрачност и информираност спрямо процеса. В изпълнение на законовите разпоредби, трябва да се осъществят подготвителните дейности, необходими за гарантирането на практическата и техническата готовност на страната ни за членството в еврозоната.</w:t>
            </w:r>
          </w:p>
          <w:p w:rsidR="0087692D" w:rsidRPr="0087692D" w:rsidRDefault="0087692D" w:rsidP="0059596C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876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В допълнение, на 26 юли 2024 г. Народното събрание прие Решение за ускоряване и завършване на процеса по практическата подготовка за приемане на еврото в Република България (</w:t>
            </w:r>
            <w:r w:rsidR="0059596C" w:rsidRPr="00876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обн</w:t>
            </w:r>
            <w:r w:rsidRPr="00876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., ДВ, бр. 64 от 2024 г.).</w:t>
            </w:r>
          </w:p>
          <w:p w:rsidR="0087692D" w:rsidRPr="0087692D" w:rsidRDefault="0087692D" w:rsidP="0059596C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876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С оглед възложените в т. 2.2 от Решението на Народното събрание задължения на </w:t>
            </w:r>
            <w:r w:rsidRPr="00876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lastRenderedPageBreak/>
              <w:t>институциите за осигуряване на правната и институционална сигурност на бизнеса и гражданите, е необходимо да се има предвид, че съобразно принципа на приемственост и автоматично превалутиране на суми от левове в евро, уреден в чл. 11 от Закона за въвеждане на еврото в Република България, стойностите, посочени в левове в съществуващите правни инструменти, се считат за стойности в евро при прилагане на официалния валутен курс и правилата за превалутиране и закръгляване по чл. 12 и 13 от същия закон.</w:t>
            </w:r>
          </w:p>
          <w:p w:rsidR="00D942B7" w:rsidRDefault="0087692D" w:rsidP="00D942B7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876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Съгласно § 6, ал. 1, т. 2 от преходните и заключителни разпоредби към Закона за въвеждане на еврото в Република България, държавните органи и органите на местното самоуправление приемат в 6-месечен срок от влизането в сила на закона изменения и допълнения в подзаконови нормативни актове, необходими за изпълнението му във връзка с въвеждане на еврото като парична единица на Република България. В изпълнение на разпоредбата на § 6, ал. 2 от преходните и заключителни разпоредби към същия закон, измененията и допълненията в актовете по ал. 1, т. 2 влизат в сила от датата на въвеждане на еврото в Република България.</w:t>
            </w:r>
          </w:p>
          <w:p w:rsidR="00D942B7" w:rsidRDefault="00530006" w:rsidP="00D942B7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22D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На 04.06.2025 г. се оповестиха двата конвергентни доклада на Република България, одобрени съответно от Европейската комисия и Европейската централна банка. Европейската комисия в доклада за конвергенцията за 2025 г. стига до заключението, че България изпълнява условията за приемане на единната валута.</w:t>
            </w:r>
          </w:p>
          <w:p w:rsidR="00B22D29" w:rsidRPr="00B22D29" w:rsidRDefault="004D3610" w:rsidP="00D942B7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На 08.07.2025 г. Съветът на Европейския съюз</w:t>
            </w:r>
            <w:r w:rsidR="00B22D29" w:rsidRPr="00B22D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(ЕС) </w:t>
            </w:r>
            <w:r w:rsidR="00B22D29" w:rsidRPr="00B22D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изменение на Регламент (ЕО) № 974/98 по отношение на въвеждането на еврото в България (OВ L, 2025/1408, 14.7.2025 г.) и Регламент (ЕС) 2025/1409 на Съвета от 8 юли 2025 година за изменение на Регламент (ЕО) № 2866/98 по отношение на валутния курс към еврото за България (OВ L, 2025/1409, 14.7.2025 г.).</w:t>
            </w:r>
          </w:p>
          <w:p w:rsidR="00530006" w:rsidRPr="00D942B7" w:rsidRDefault="00B22D29" w:rsidP="00D942B7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B22D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От 1 януари 2026 г. Република България официално ще приеме еврото и ще бъде 21-вият член на еврозоната.</w:t>
            </w:r>
          </w:p>
          <w:p w:rsidR="006A2145" w:rsidRDefault="006A2145" w:rsidP="0059596C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С оглед на гореизложен</w:t>
            </w:r>
            <w:r w:rsidR="004E25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ото е необходимо приемане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на </w:t>
            </w:r>
            <w:r w:rsidRPr="006A21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Постановление на Министерския съвет за изменение на Тарифа</w:t>
            </w:r>
            <w:r w:rsidR="004E25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та</w:t>
            </w:r>
            <w:r w:rsidRPr="006A21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за таксите, които се събират за обучение за придобиване на правоспособност за класификатор на кланични трупове по скалата EUROP, одобрена с Постановление № 206 на Министерския съвет от 2011 г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.</w:t>
            </w:r>
          </w:p>
          <w:p w:rsidR="006A2145" w:rsidRPr="0087692D" w:rsidRDefault="004E25CA" w:rsidP="0059596C">
            <w:pPr>
              <w:pStyle w:val="ListParagraph"/>
              <w:spacing w:after="0" w:line="288" w:lineRule="auto"/>
              <w:ind w:left="0"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В допълнение, с</w:t>
            </w:r>
            <w:r w:rsidR="006A21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а</w:t>
            </w:r>
            <w:r w:rsidR="006A21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на </w:t>
            </w:r>
            <w:r w:rsidR="006A2145" w:rsidRPr="006A21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Постановление на Министерския съвет за изменение на Тарифа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та следва да се прецизират</w:t>
            </w:r>
            <w:r w:rsidR="006A21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разпоредби във връзка с актуализация на заглавието на Закона за прилагане на Общата организация на пазарите на земеделски продукти на Евр</w:t>
            </w:r>
            <w:r w:rsidR="00E04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опейския съюз, както и</w:t>
            </w:r>
            <w:r w:rsidR="006A21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в </w:t>
            </w:r>
            <w:r w:rsidR="00E04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самото наименование на</w:t>
            </w:r>
            <w:r w:rsidR="006A21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Т</w:t>
            </w:r>
            <w:r w:rsidR="00E04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арифата терминът „скалата </w:t>
            </w:r>
            <w:r w:rsidR="00E04C61" w:rsidRPr="00E04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EUROP</w:t>
            </w:r>
            <w:r w:rsidR="00E04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“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да се</w:t>
            </w:r>
            <w:r w:rsidR="00A34A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заменен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и</w:t>
            </w:r>
            <w:r w:rsidR="00E04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със „</w:t>
            </w:r>
            <w:r w:rsidR="0042315D" w:rsidRPr="006C4F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скàлите</w:t>
            </w:r>
            <w:r w:rsidR="00E04C61" w:rsidRPr="00E04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на Съюза“</w:t>
            </w:r>
            <w:r w:rsidR="00E04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. </w:t>
            </w:r>
            <w:r w:rsidR="00A34A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Последното е с оглед прилагането на </w:t>
            </w:r>
            <w:r w:rsidR="006C4F44" w:rsidRPr="00A87B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Регламент за изпълнение (ЕС) 2017/1184 на Комисията от 20 април 2017 година за определяне на правила за прилагането на Регламент (ЕС) № 1308/2013 на Европейския парламент и на Съвета </w:t>
            </w:r>
            <w:r w:rsidR="00E0459C" w:rsidRPr="00A87B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по отношение на скàлите на Съюза за класификация на кланични трупове на говеда, свине и овце и по отношение на отчитането на пазарните цени на някои категории кланични трупове и живи животни (OB L</w:t>
            </w:r>
            <w:r w:rsidR="002D3447" w:rsidRPr="00A87B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,</w:t>
            </w:r>
            <w:r w:rsidR="00E0459C" w:rsidRPr="00A87B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171, 4.7.2017 г.) </w:t>
            </w:r>
            <w:r w:rsidR="006C4F44" w:rsidRPr="00A87B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и Делегиран регламент (ЕС) 2017/1182 на Комисията от 20 април 2017 година за допълване на Регламент (ЕС) № 1308/2013 на Европейския парламент и на Съвета по отношение на скàлите на Съюза за класификация на кланични трупове на говеда, свине и овце</w:t>
            </w:r>
            <w:r w:rsidR="004B2984" w:rsidRPr="00A87B14">
              <w:rPr>
                <w:lang w:val="bg-BG"/>
              </w:rPr>
              <w:t xml:space="preserve"> </w:t>
            </w:r>
            <w:r w:rsidR="004B2984" w:rsidRPr="00A87B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и по отношение на отчитането на пазарните цени на някои </w:t>
            </w:r>
            <w:r w:rsidR="004B2984" w:rsidRPr="00A87B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lastRenderedPageBreak/>
              <w:t>категории кланични трупове и живи животни (OB L</w:t>
            </w:r>
            <w:r w:rsidR="002D3447" w:rsidRPr="00A87B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, 171,</w:t>
            </w:r>
            <w:r w:rsidR="004B2984" w:rsidRPr="00A87B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4.7.2017 г.)</w:t>
            </w:r>
            <w:r w:rsidR="004231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, в които</w:t>
            </w:r>
            <w:r w:rsidR="006C4F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 w:rsidR="004B29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вече з</w:t>
            </w:r>
            <w:r w:rsidR="006C4F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а класификацията на кланичните трупове се ползва понятието „по </w:t>
            </w:r>
            <w:r w:rsidR="006C4F44" w:rsidRPr="006C4F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скàлите</w:t>
            </w:r>
            <w:r w:rsidR="006C4F44" w:rsidRPr="006C4F44">
              <w:rPr>
                <w:lang w:val="bg-BG"/>
              </w:rPr>
              <w:t xml:space="preserve"> </w:t>
            </w:r>
            <w:r w:rsidR="006C4F44" w:rsidRPr="006C4F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на Съюза</w:t>
            </w:r>
            <w:r w:rsidR="006C4F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“, а не „по </w:t>
            </w:r>
            <w:r w:rsidR="006C4F44" w:rsidRPr="006C4F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скалата EUROP</w:t>
            </w:r>
            <w:r w:rsidR="006C4F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“.</w:t>
            </w:r>
          </w:p>
          <w:p w:rsidR="00076E63" w:rsidRPr="00581AC8" w:rsidRDefault="00076E63" w:rsidP="009B0327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</w:t>
            </w:r>
            <w:r w:rsidRPr="00581AC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bg-BG"/>
              </w:rPr>
              <w:t>технологични възможности (например съвместни инспекции между няколко органа и др.).</w:t>
            </w:r>
          </w:p>
          <w:p w:rsidR="002954D9" w:rsidRDefault="002954D9" w:rsidP="0059596C">
            <w:pPr>
              <w:spacing w:after="12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е възможно проблемът </w:t>
            </w:r>
            <w:r w:rsidRPr="00295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 се реши в рамките на съществуващото законодателство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тъй като определените в Тарифата такси в лева следва да се адаптират </w:t>
            </w:r>
            <w:r w:rsidRPr="00295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оглед </w:t>
            </w:r>
            <w:r w:rsidRPr="002954D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въвеждането на еврото като официална парична единица в Република България</w:t>
            </w:r>
            <w:r w:rsidR="000D35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076E63" w:rsidRPr="00581AC8" w:rsidRDefault="00076E63" w:rsidP="009B0327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 w:rsidRPr="00581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а/</w:t>
            </w:r>
            <w:r w:rsidR="009D4DA5" w:rsidRPr="00581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проблем</w:t>
            </w:r>
            <w:r w:rsidRPr="00581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ите.</w:t>
            </w:r>
          </w:p>
          <w:p w:rsidR="005B6BF4" w:rsidRPr="00581AC8" w:rsidRDefault="000D35A4" w:rsidP="0059596C">
            <w:pPr>
              <w:spacing w:after="12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Приемането на </w:t>
            </w:r>
            <w:r w:rsidRPr="000D35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0D35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Постановление на Министерския съвет за изменение на </w:t>
            </w:r>
            <w:r w:rsidR="00442C77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Тарифата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 в изпълнение на </w:t>
            </w:r>
            <w:r w:rsidRPr="000D35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Закона за въвеждане на еврото в Република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който изисква привеждането на подзаконовите нормативни актове в съответствие с изискванията на закона.</w:t>
            </w:r>
          </w:p>
          <w:p w:rsidR="00076E63" w:rsidRDefault="00076E63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581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актове</w:t>
            </w:r>
            <w:r w:rsidRPr="00581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от правото на ЕС.</w:t>
            </w:r>
          </w:p>
          <w:p w:rsidR="003B21E0" w:rsidRPr="003B21E0" w:rsidRDefault="003B21E0" w:rsidP="00D942B7">
            <w:pPr>
              <w:spacing w:after="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3B21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Приемането на проекта на Постановление на Министерския съвет за изменение на Тарифата е в изпълнение на Закона за въвеждане на еврото в Република България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. С</w:t>
            </w:r>
            <w:r w:rsidRPr="003B21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ъгласно § 6, ал. 1, т. 2 от преходните и заключителни разпоредби към Закона за въвеждане на еврото в Република България, държавните органи и органите на местното самоуправление следва да приемат в 6-месечен срок от влизането в сила на закона изменения и допълнения в подзаконови нормативни актове, необходими за изпълнението му във връзка с въвеждане на еврото като парична единица на Република България.</w:t>
            </w:r>
            <w:r w:rsidRPr="00D942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 w:rsidRPr="003B21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В изпълнение на разпоредбата на § 6, ал. 2 от преходните и заключителни разпоредби към същия закон, измененията и допълненията в актовете по ал. 1, т. 2 влизат в сила от датата на въвеждане на еврото в Република България.</w:t>
            </w:r>
          </w:p>
          <w:p w:rsidR="00E3651B" w:rsidRPr="00E3651B" w:rsidRDefault="003B21E0" w:rsidP="00D942B7">
            <w:pPr>
              <w:spacing w:after="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На 08.07.202</w:t>
            </w:r>
            <w:r w:rsidR="000132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5 г. Съветът на ЕС</w:t>
            </w:r>
            <w:r w:rsidR="00E3651B" w:rsidRPr="00E365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прие Решение (ЕС) 2025/1407 на Съвета от 8 юли 2025 година относно приемането на еврото от България, считано от 1 януари 2026 г., Регламент (ЕС) 2025/1408 на Съвета от 8 юли 2025 година за изменение на Регламент (ЕО) № 974/98 по отношение на въвеждането на еврото в България и Регламент (ЕС) 2025/1409 на Съвета от 8 юли 2025 година за изменение на Регламент (ЕО) № 2866/98 по отношение на валутния курс към еврото за България.</w:t>
            </w:r>
          </w:p>
          <w:p w:rsidR="00076E63" w:rsidRPr="00581AC8" w:rsidRDefault="00076E63" w:rsidP="009B0327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</w:t>
            </w:r>
            <w:r w:rsidR="005F5510" w:rsidRPr="00581A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и какви са резултатите от тях?</w:t>
            </w:r>
          </w:p>
          <w:p w:rsidR="0099403C" w:rsidRPr="00581AC8" w:rsidRDefault="009D4A74" w:rsidP="0059596C">
            <w:pPr>
              <w:spacing w:before="120" w:after="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са 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извършвани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2B03E4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оследващи оценки на нормативния акт и анализ на изпълнението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политиката</w:t>
            </w:r>
            <w:r w:rsidR="009F2C71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0F1532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B1D72" w:rsidRPr="000F24CF" w:rsidRDefault="0059596C" w:rsidP="0059596C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2. </w:t>
            </w:r>
            <w:r w:rsidR="000B1D72" w:rsidRPr="000F2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Цели:</w:t>
            </w:r>
          </w:p>
          <w:p w:rsidR="000F24CF" w:rsidRPr="000F24CF" w:rsidRDefault="000F24CF" w:rsidP="0059596C">
            <w:pPr>
              <w:spacing w:before="120" w:after="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С приемането на проекта на </w:t>
            </w:r>
            <w:r w:rsidRPr="006A21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Постановление на Министерския съвет за изменение на Тарифа</w:t>
            </w:r>
            <w:r w:rsidR="00B032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та</w:t>
            </w:r>
            <w:r w:rsidRPr="006A21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за таксите, които се събират за обучение </w:t>
            </w:r>
            <w:r w:rsidRPr="000F24C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за придобиване на правоспособност за класификатор на кланични трупове по скалата EUROP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 w:rsidRPr="000F24C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 цели</w:t>
            </w:r>
            <w:r w:rsidR="007855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привеждането на разпоредбите </w:t>
            </w:r>
            <w:r w:rsidR="007855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на</w:t>
            </w:r>
            <w:r w:rsidRPr="000F24C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нормативния акт в съответствие със Закона за въвеждане на еврото в Република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0B1D72" w:rsidRPr="00581AC8" w:rsidRDefault="000B1D72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определените цели за решаване на проблема/проблемите, по възможно най-конкретен и измерим начин, включително индикативен график за тяхното постигане. Целите е необходимо да са насочени към решаването на проблема/проблемите и да съответстват на действащите стратегически документи.</w:t>
            </w:r>
          </w:p>
        </w:tc>
      </w:tr>
      <w:tr w:rsidR="000F1532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581AC8" w:rsidRDefault="00076E63" w:rsidP="009B0327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3. </w:t>
            </w:r>
            <w:r w:rsidR="007108A0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="00FD20E7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</w:t>
            </w:r>
          </w:p>
          <w:p w:rsidR="00990780" w:rsidRDefault="008331A4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A169C9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земеделието и храните</w:t>
            </w:r>
            <w:r w:rsidR="009C43DA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  <w:r w:rsidR="00A169C9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C55F43" w:rsidRPr="008331A4" w:rsidRDefault="008331A4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Селскостопанска академия и университети, провеждащи обучение за класификатор на кланични трупове на говеда, свине и овце по скàлите на Съюза </w:t>
            </w:r>
            <w:r w:rsidR="005959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55F43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 бр</w:t>
            </w:r>
            <w:r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.;</w:t>
            </w:r>
          </w:p>
          <w:p w:rsidR="00C55F43" w:rsidRPr="005B65B8" w:rsidRDefault="008331A4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C55F43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Кланици</w:t>
            </w:r>
            <w:r w:rsidR="005B65B8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към настоящия момент в страната ни има 14 бр. кланици,</w:t>
            </w:r>
            <w:r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извършващи класификация на кланични трупове;</w:t>
            </w:r>
          </w:p>
          <w:p w:rsidR="008331A4" w:rsidRPr="005B65B8" w:rsidRDefault="008331A4" w:rsidP="008331A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945C24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Физически лица</w:t>
            </w:r>
            <w:r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945C24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25790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желаещи да</w:t>
            </w:r>
            <w:r w:rsidR="005079A3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преминат обучение за придобиване на правоспособност за</w:t>
            </w:r>
            <w:r w:rsidR="00A25790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079A3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класификатор</w:t>
            </w:r>
            <w:r w:rsidR="00E03D39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кланични трупове на говеда, свине и овце</w:t>
            </w:r>
            <w:r w:rsidR="00336A6C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скàлите на Съюза</w:t>
            </w:r>
            <w:r w:rsidR="008341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959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="005B65B8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прилагането на класификацията на кланични трупове в страната ни, от 2006 г. до настоящия момент са обучени </w:t>
            </w:r>
            <w:r w:rsidR="008341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общо </w:t>
            </w:r>
            <w:r w:rsidR="005B65B8"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104 бр. лица, в т.ч. и служители от системата на Министерството на земеделието и храните. </w:t>
            </w:r>
            <w:r w:rsidRPr="005B65B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076E63" w:rsidRPr="00581AC8" w:rsidRDefault="00076E63" w:rsidP="008331A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всички потенциални за</w:t>
            </w:r>
            <w:r w:rsidR="00E653D3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интересовани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  <w:r w:rsidR="0060089B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страни/групи заинтересовани страни 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и/или 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я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т</w:t>
            </w:r>
            <w:r w:rsidR="0060089B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а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ще окаж</w:t>
            </w:r>
            <w:r w:rsidR="0060089B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ат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F1532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0F1532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:rsidR="00B37251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  <w:r w:rsidR="003A5F53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1B391C" w:rsidRPr="00581AC8" w:rsidRDefault="00FF1E41" w:rsidP="00FF1E41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 </w:t>
            </w:r>
            <w:r w:rsidR="003813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бъде нарушен </w:t>
            </w:r>
            <w:r w:rsidR="00381361" w:rsidRPr="003813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Закона за въвеждане на еврото в Република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076E63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:rsidR="00076E63" w:rsidRPr="00581AC8" w:rsidRDefault="00FF1E41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такива въздействия. </w:t>
            </w:r>
            <w:r w:rsidR="00E75B8E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563506" w:rsidRPr="00581AC8" w:rsidRDefault="00076E63" w:rsidP="009B0327">
            <w:pPr>
              <w:spacing w:after="120" w:line="288" w:lineRule="auto"/>
              <w:ind w:firstLine="4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(върху всяка за</w:t>
            </w:r>
            <w:r w:rsidR="00E653D3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интересована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страна/група за</w:t>
            </w:r>
            <w:r w:rsidR="00E653D3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интересовани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страни)</w:t>
            </w:r>
          </w:p>
          <w:p w:rsidR="00076E63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:rsidR="00AC2EE1" w:rsidRDefault="00AC2EE1" w:rsidP="009B0327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Нарушение на </w:t>
            </w:r>
            <w:r w:rsidR="00D716C0" w:rsidRPr="00D716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Закона за въвеждане на еврото в Република България</w:t>
            </w:r>
            <w:r w:rsidR="00D716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076E63" w:rsidRPr="00581AC8" w:rsidRDefault="00076E63" w:rsidP="009B0327">
            <w:pPr>
              <w:spacing w:after="120" w:line="288" w:lineRule="auto"/>
              <w:ind w:firstLine="4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</w:t>
            </w:r>
            <w:r w:rsidR="00E653D3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върху всяка заинтересована страна/група заинтересовани страни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)</w:t>
            </w:r>
          </w:p>
          <w:p w:rsidR="00076E63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:rsidR="00193B68" w:rsidRPr="002B59E9" w:rsidRDefault="00FE21D8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B59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79010A" w:rsidRPr="002B59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специфи</w:t>
            </w:r>
            <w:r w:rsidR="002B59E9" w:rsidRPr="002B59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чни въздействия</w:t>
            </w:r>
            <w:r w:rsidR="0079010A" w:rsidRPr="002B59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C52AFA" w:rsidRPr="002B59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79010A" w:rsidRDefault="00076E63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:rsidR="007C28F2" w:rsidRPr="00581AC8" w:rsidRDefault="007C28F2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Pr="007C28F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въздействия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върху </w:t>
            </w:r>
            <w:r w:rsidRPr="007C28F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малките и средните предприятия.</w:t>
            </w:r>
          </w:p>
          <w:p w:rsidR="00076E63" w:rsidRPr="00581AC8" w:rsidRDefault="00076E63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</w:p>
          <w:p w:rsidR="0079010A" w:rsidRPr="00581AC8" w:rsidRDefault="002B59E9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79010A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дминистративната тежест не се променя.</w:t>
            </w:r>
          </w:p>
          <w:p w:rsidR="00076E63" w:rsidRPr="00581AC8" w:rsidRDefault="0078311F" w:rsidP="009B0327">
            <w:pPr>
              <w:spacing w:after="120" w:line="288" w:lineRule="auto"/>
              <w:ind w:firstLine="48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1.1. </w:t>
            </w:r>
            <w:r w:rsidR="00076E63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ючително</w:t>
            </w:r>
            <w:r w:rsidR="00076E63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  <w:r w:rsidR="00E653D3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върху всяка заинтересована страна/група заинтересовани страни</w:t>
            </w:r>
            <w:r w:rsidR="00076E63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:rsidR="00F04B4E" w:rsidRPr="00581AC8" w:rsidRDefault="0078311F" w:rsidP="00E73E99">
            <w:pPr>
              <w:spacing w:after="0" w:line="288" w:lineRule="auto"/>
              <w:ind w:firstLine="48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lastRenderedPageBreak/>
              <w:t xml:space="preserve">1.2. </w:t>
            </w:r>
            <w:r w:rsidR="00F04B4E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:rsidR="00B72B15" w:rsidRPr="00581AC8" w:rsidRDefault="00B72B15" w:rsidP="00E73E99">
            <w:pPr>
              <w:spacing w:after="0" w:line="288" w:lineRule="auto"/>
              <w:ind w:firstLine="48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:rsidR="00E44DE0" w:rsidRPr="00C408A7" w:rsidRDefault="00E44DE0" w:rsidP="00E73E9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2</w:t>
            </w:r>
            <w:r w:rsidR="0079010A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14026D" w:rsidRPr="00581AC8">
              <w:rPr>
                <w:lang w:val="bg-BG"/>
              </w:rPr>
              <w:t xml:space="preserve"> </w:t>
            </w:r>
            <w:r w:rsidR="00725168" w:rsidRPr="00C408A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Приемане на</w:t>
            </w:r>
            <w:r w:rsidR="0014026D" w:rsidRPr="00C408A7">
              <w:rPr>
                <w:b/>
                <w:lang w:val="bg-BG"/>
              </w:rPr>
              <w:t xml:space="preserve"> </w:t>
            </w:r>
            <w:r w:rsidR="00C408A7" w:rsidRPr="00C40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bg-BG"/>
              </w:rPr>
              <w:t>проект на Постановление на Министерския съвет за изменение на Тарифа</w:t>
            </w:r>
            <w:r w:rsidR="00E94A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bg-BG"/>
              </w:rPr>
              <w:t>та</w:t>
            </w:r>
            <w:r w:rsidR="00C408A7" w:rsidRPr="00C40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bg-BG"/>
              </w:rPr>
              <w:t xml:space="preserve"> за таксите, които се събират за обучение за придобиване на правоспособност за класификатор на кланични трупове по скалата EUROP</w:t>
            </w:r>
            <w:r w:rsidR="00C408A7" w:rsidRPr="00C40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. </w:t>
            </w:r>
          </w:p>
          <w:p w:rsidR="00E44DE0" w:rsidRPr="00581AC8" w:rsidRDefault="00E44DE0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:rsidR="00A9580F" w:rsidRDefault="00D7605C" w:rsidP="00830CDD">
            <w:pPr>
              <w:spacing w:after="12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</w:t>
            </w:r>
            <w:r w:rsidR="00830C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приемането на 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предложения </w:t>
            </w:r>
            <w:r w:rsidR="00830C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D102AD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роект на Постановление на Министерския съвет за </w:t>
            </w:r>
            <w:r w:rsidR="00116C26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изменение </w:t>
            </w:r>
            <w:r w:rsidR="00830C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Тарифата </w:t>
            </w:r>
            <w:r w:rsidR="00830CDD" w:rsidRPr="00830C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бъдат изпълнени изискванията на</w:t>
            </w:r>
            <w:r w:rsidR="004A118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9580F" w:rsidRPr="004A118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Закона за въвеждане на еврото в Република </w:t>
            </w:r>
            <w:r w:rsidR="00A9580F" w:rsidRPr="00F50F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България във връзка с</w:t>
            </w:r>
            <w:r w:rsidR="00F50F5B" w:rsidRPr="00F50F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Решение (ЕС) 2025/1407 на Съвета от 8 юли 2025 година относно приемането на еврото от Бълга</w:t>
            </w:r>
            <w:r w:rsidR="00F50F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рия, считано от 1 януари 2026 г</w:t>
            </w:r>
            <w:r w:rsidR="004A1184" w:rsidRPr="004A118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:rsidR="00E44DE0" w:rsidRPr="00581AC8" w:rsidRDefault="00E44DE0" w:rsidP="00830CDD">
            <w:pPr>
              <w:spacing w:after="120" w:line="288" w:lineRule="auto"/>
              <w:ind w:firstLine="48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(върху всяка заинтересована страна/група заинтересовани страни)</w:t>
            </w:r>
          </w:p>
          <w:p w:rsidR="00E44DE0" w:rsidRPr="00581AC8" w:rsidRDefault="00E44DE0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:rsidR="00CA4BA5" w:rsidRDefault="00066EA6" w:rsidP="00D942B7">
            <w:pPr>
              <w:spacing w:after="0" w:line="288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</w:t>
            </w:r>
            <w:r w:rsidR="001F5C9F" w:rsidRPr="001F5C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A4BA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отрицателни</w:t>
            </w:r>
            <w:r w:rsidR="001F5C9F" w:rsidRPr="001F5C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въздействия.</w:t>
            </w:r>
            <w:r w:rsidR="001F5C9F" w:rsidRPr="001F5C9F" w:rsidDel="001F5C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E44DE0" w:rsidRPr="00581AC8" w:rsidRDefault="00E44DE0" w:rsidP="00CA4BA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(върху всяка заинтересована страна/група заинтересовани страни)</w:t>
            </w:r>
          </w:p>
          <w:p w:rsidR="00E44DE0" w:rsidRPr="00581AC8" w:rsidRDefault="00E44DE0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:rsidR="004108C9" w:rsidRPr="00581AC8" w:rsidRDefault="004108C9" w:rsidP="00D942B7">
            <w:pPr>
              <w:spacing w:before="120" w:after="12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Не са идентифицирани специфични въздействия.</w:t>
            </w:r>
          </w:p>
          <w:p w:rsidR="00587015" w:rsidRDefault="00E44DE0" w:rsidP="009B03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  <w:p w:rsidR="007C28F2" w:rsidRDefault="007C28F2" w:rsidP="00D942B7">
            <w:pPr>
              <w:spacing w:after="0" w:line="288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C28F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въздействия върху малките и средните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4108C9" w:rsidRDefault="00E44DE0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C20F34" w:rsidRPr="00C20F34" w:rsidRDefault="00C20F34" w:rsidP="00D942B7">
            <w:pPr>
              <w:spacing w:before="120" w:after="120" w:line="288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Административната тежест не се променя.</w:t>
            </w:r>
          </w:p>
          <w:p w:rsidR="006C55C9" w:rsidRPr="00581AC8" w:rsidRDefault="006C55C9" w:rsidP="00E73E99">
            <w:pPr>
              <w:spacing w:after="0" w:line="288" w:lineRule="auto"/>
              <w:ind w:firstLine="4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:rsidR="006C55C9" w:rsidRPr="00581AC8" w:rsidRDefault="006C55C9" w:rsidP="009B0327">
            <w:pPr>
              <w:pStyle w:val="ListParagraph"/>
              <w:numPr>
                <w:ilvl w:val="1"/>
                <w:numId w:val="26"/>
              </w:numPr>
              <w:spacing w:after="120" w:line="28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:rsidR="00651913" w:rsidRPr="0064241A" w:rsidRDefault="007F438F" w:rsidP="0064241A">
            <w:pPr>
              <w:pStyle w:val="ListParagraph"/>
              <w:numPr>
                <w:ilvl w:val="1"/>
                <w:numId w:val="26"/>
              </w:numPr>
              <w:spacing w:after="120" w:line="28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0F1532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:rsidR="00076E63" w:rsidRPr="00581AC8" w:rsidRDefault="00064387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:rsidR="004E4FD6" w:rsidRPr="00581AC8" w:rsidRDefault="00EB734A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проблема</w:t>
            </w:r>
            <w:r w:rsidR="00E44DE0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tbl>
            <w:tblPr>
              <w:tblW w:w="755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"/>
              <w:gridCol w:w="2414"/>
              <w:gridCol w:w="2126"/>
              <w:gridCol w:w="2126"/>
            </w:tblGrid>
            <w:tr w:rsidR="008F7388" w:rsidRPr="00581AC8" w:rsidTr="004C65AC">
              <w:trPr>
                <w:trHeight w:val="20"/>
                <w:jc w:val="center"/>
              </w:trPr>
              <w:tc>
                <w:tcPr>
                  <w:tcW w:w="33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D9D9D9"/>
                </w:tcPr>
                <w:p w:rsidR="008F7388" w:rsidRPr="00581AC8" w:rsidRDefault="008F7388" w:rsidP="009B0327">
                  <w:pPr>
                    <w:widowControl w:val="0"/>
                    <w:spacing w:after="0" w:line="288" w:lineRule="auto"/>
                    <w:ind w:firstLine="482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F7388" w:rsidRPr="00581AC8" w:rsidRDefault="008F7388" w:rsidP="0059596C">
                  <w:pPr>
                    <w:widowControl w:val="0"/>
                    <w:spacing w:after="0" w:line="288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  <w:t>Вариант 1</w:t>
                  </w:r>
                  <w:r w:rsidR="004C65AC" w:rsidRPr="00581AC8"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  <w:br/>
                  </w:r>
                  <w:r w:rsidRPr="00581AC8"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  <w:t>„Без действие“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F7388" w:rsidRPr="00581AC8" w:rsidRDefault="008F7388" w:rsidP="0059596C">
                  <w:pPr>
                    <w:widowControl w:val="0"/>
                    <w:spacing w:after="0" w:line="288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b/>
                      <w:lang w:val="bg-BG"/>
                    </w:rPr>
                    <w:t>Вариант 2</w:t>
                  </w:r>
                </w:p>
              </w:tc>
            </w:tr>
            <w:tr w:rsidR="008F7388" w:rsidRPr="00581AC8" w:rsidTr="0059596C">
              <w:trPr>
                <w:trHeight w:val="804"/>
                <w:jc w:val="center"/>
              </w:trPr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8F7388" w:rsidRPr="00581AC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11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11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11"/>
                      <w:lang w:val="bg-BG"/>
                    </w:rPr>
                    <w:t>Висока</w:t>
                  </w:r>
                </w:p>
              </w:tc>
            </w:tr>
            <w:tr w:rsidR="008F7388" w:rsidRPr="00581AC8" w:rsidTr="0059596C">
              <w:trPr>
                <w:trHeight w:val="843"/>
                <w:jc w:val="center"/>
              </w:trPr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7388" w:rsidRPr="00581AC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firstLine="482"/>
                    <w:jc w:val="center"/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  <w:t>Цел 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11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11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11"/>
                      <w:lang w:val="bg-BG"/>
                    </w:rPr>
                    <w:t>Висока</w:t>
                  </w:r>
                </w:p>
              </w:tc>
            </w:tr>
            <w:tr w:rsidR="008F7388" w:rsidRPr="00581AC8" w:rsidTr="0059596C">
              <w:trPr>
                <w:trHeight w:val="754"/>
                <w:jc w:val="center"/>
              </w:trPr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8F7388" w:rsidRPr="00581AC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lastRenderedPageBreak/>
                    <w:t>Ефикасност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11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lang w:val="bg-BG"/>
                    </w:rPr>
                    <w:t>Висока</w:t>
                  </w:r>
                </w:p>
              </w:tc>
            </w:tr>
            <w:tr w:rsidR="008F7388" w:rsidRPr="00581AC8" w:rsidTr="0059596C">
              <w:trPr>
                <w:trHeight w:val="680"/>
                <w:jc w:val="center"/>
              </w:trPr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F7388" w:rsidRPr="00581AC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  <w:t>Цел 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51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11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lang w:val="bg-BG"/>
                    </w:rPr>
                    <w:t>Висока</w:t>
                  </w:r>
                </w:p>
              </w:tc>
            </w:tr>
            <w:tr w:rsidR="008F7388" w:rsidRPr="00581AC8" w:rsidTr="0059596C">
              <w:trPr>
                <w:trHeight w:val="806"/>
                <w:jc w:val="center"/>
              </w:trPr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8F7388" w:rsidRPr="00581AC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lang w:val="bg-BG"/>
                    </w:rPr>
                    <w:t>Висока</w:t>
                  </w:r>
                </w:p>
              </w:tc>
            </w:tr>
            <w:tr w:rsidR="008F7388" w:rsidRPr="00581AC8" w:rsidTr="0059596C">
              <w:trPr>
                <w:trHeight w:val="847"/>
                <w:jc w:val="center"/>
              </w:trPr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F7388" w:rsidRPr="00581AC8" w:rsidRDefault="008F7388" w:rsidP="009B032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ind w:left="113" w:firstLine="482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w w:val="105"/>
                      <w:lang w:val="bg-BG"/>
                    </w:rPr>
                    <w:t>Цел 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7388" w:rsidRPr="00581AC8" w:rsidRDefault="008F7388" w:rsidP="0059596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lang w:val="bg-BG"/>
                    </w:rPr>
                  </w:pPr>
                  <w:r w:rsidRPr="00581AC8">
                    <w:rPr>
                      <w:rFonts w:ascii="Times New Roman" w:eastAsia="Times New Roman" w:hAnsi="Times New Roman" w:cs="Times New Roman"/>
                      <w:lang w:val="bg-BG"/>
                    </w:rPr>
                    <w:t>Висока</w:t>
                  </w:r>
                </w:p>
              </w:tc>
            </w:tr>
          </w:tbl>
          <w:p w:rsidR="00A779BE" w:rsidRPr="00581AC8" w:rsidRDefault="00224E1F" w:rsidP="009B0327">
            <w:pPr>
              <w:pStyle w:val="ListParagraph"/>
              <w:numPr>
                <w:ilvl w:val="1"/>
                <w:numId w:val="27"/>
              </w:num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Сравнете вариантите чрез сравняване на ключовите им положителни и отрицателни въздействия.</w:t>
            </w:r>
            <w:r w:rsidRPr="00581AC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</w:t>
            </w:r>
          </w:p>
          <w:p w:rsidR="005479B4" w:rsidRDefault="00EF6330" w:rsidP="0059596C">
            <w:pPr>
              <w:spacing w:before="40" w:after="4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Сравнението по критериите </w:t>
            </w:r>
            <w:r w:rsidR="004C65AC" w:rsidRPr="00581AC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–</w:t>
            </w:r>
            <w:r w:rsidRPr="00581AC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ефективност, ефикасност и съгласуваност на двата предложени варианта показва, че пр</w:t>
            </w:r>
            <w:r w:rsidR="008F7388" w:rsidRPr="00581AC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и прилагане на Вариант 2 ще бъдат постигнати заложените</w:t>
            </w:r>
            <w:r w:rsidRPr="00581AC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цел</w:t>
            </w:r>
            <w:r w:rsidR="008F7388" w:rsidRPr="00581AC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и</w:t>
            </w:r>
            <w:r w:rsidR="00C20F3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.</w:t>
            </w:r>
            <w:r w:rsidRPr="00581AC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</w:t>
            </w:r>
          </w:p>
          <w:p w:rsidR="00FB4146" w:rsidRPr="00C20F34" w:rsidRDefault="00C20F34" w:rsidP="00F50F5B">
            <w:pPr>
              <w:spacing w:before="40" w:after="4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Приемането на</w:t>
            </w:r>
            <w:r w:rsidRPr="00C20F3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а</w:t>
            </w:r>
            <w:r w:rsidRPr="00C20F3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на Постановление на Министерския съвет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а изменение на Тарифата (</w:t>
            </w:r>
            <w:r w:rsidRPr="00C20F3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вариант 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ще осигури</w:t>
            </w:r>
            <w:r w:rsidRPr="00C20F3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изпълнени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е</w:t>
            </w:r>
            <w:r w:rsidRPr="00C20F3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 </w:t>
            </w:r>
            <w:r w:rsidR="00030E5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на </w:t>
            </w:r>
            <w:r w:rsidRPr="00C20F3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 xml:space="preserve">изискванията на Закона за въвеждане на еврото в Република България във връзка с </w:t>
            </w:r>
            <w:r w:rsidR="00F50F5B" w:rsidRPr="00F50F5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EFEFE"/>
                <w:lang w:val="bg-BG"/>
              </w:rPr>
              <w:t>Решение (ЕС) 2025/1407 на Съвета от 8 юли 2025 година относно приемането на еврото от България, считано от 1 януари 2026 г.</w:t>
            </w:r>
          </w:p>
        </w:tc>
      </w:tr>
      <w:tr w:rsidR="000F1532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581AC8" w:rsidRDefault="00076E63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:rsidR="00C20F34" w:rsidRDefault="00076E63" w:rsidP="00C20F34">
            <w:pPr>
              <w:spacing w:before="8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</w:t>
            </w:r>
            <w:r w:rsidR="00856CC5"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Проблема</w:t>
            </w: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Вариант </w:t>
            </w:r>
            <w:r w:rsidR="00F41D5F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="0014026D" w:rsidRPr="00581AC8">
              <w:rPr>
                <w:lang w:val="bg-BG"/>
              </w:rPr>
              <w:t xml:space="preserve"> </w:t>
            </w:r>
            <w:r w:rsidR="0059596C">
              <w:rPr>
                <w:lang w:val="bg-BG"/>
              </w:rPr>
              <w:t>–</w:t>
            </w:r>
            <w:r w:rsidR="00C20F34">
              <w:rPr>
                <w:lang w:val="bg-BG"/>
              </w:rPr>
              <w:t xml:space="preserve"> </w:t>
            </w:r>
            <w:r w:rsidR="00725168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Приемане</w:t>
            </w:r>
            <w:r w:rsidR="00725168" w:rsidRPr="00581AC8">
              <w:rPr>
                <w:lang w:val="bg-BG"/>
              </w:rPr>
              <w:t xml:space="preserve"> </w:t>
            </w:r>
            <w:r w:rsidR="00881D39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="0014026D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20F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</w:t>
            </w:r>
            <w:r w:rsidR="00C20F34" w:rsidRPr="00C20F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Постановление на Министерския съвет за изменение на Тарифа</w:t>
            </w:r>
            <w:r w:rsidR="00B0324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C20F34" w:rsidRPr="00C20F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таксите, които се събират за обучение за придобиване на правоспособност за класификатор на кланични </w:t>
            </w:r>
            <w:r w:rsidR="00C20F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трупове по скалата EUROP. </w:t>
            </w:r>
          </w:p>
          <w:p w:rsidR="0078311F" w:rsidRPr="00581AC8" w:rsidRDefault="001138D1" w:rsidP="00C20F34">
            <w:pPr>
              <w:spacing w:before="80"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препоръчителните варианти за решаване на поставения проблем/</w:t>
            </w:r>
            <w:r w:rsidR="00064CC7"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проблем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и.</w:t>
            </w:r>
          </w:p>
        </w:tc>
      </w:tr>
      <w:tr w:rsidR="000F1532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76E63" w:rsidRPr="00581AC8" w:rsidRDefault="00076E63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:rsidR="00076E63" w:rsidRPr="00581AC8" w:rsidRDefault="00076E63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object w:dxaOrig="225" w:dyaOrig="225">
                <v:shape id="_x0000_i1064" type="#_x0000_t75" style="width:108.3pt;height:18.15pt" o:ole="">
                  <v:imagedata r:id="rId14" o:title=""/>
                </v:shape>
                <w:control r:id="rId15" w:name="OptionButton3" w:shapeid="_x0000_i1064"/>
              </w:object>
            </w:r>
          </w:p>
          <w:p w:rsidR="00076E63" w:rsidRPr="00581AC8" w:rsidRDefault="00076E63" w:rsidP="009B03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object w:dxaOrig="225" w:dyaOrig="225">
                <v:shape id="_x0000_i1066" type="#_x0000_t75" style="width:108.3pt;height:18.15pt" o:ole="">
                  <v:imagedata r:id="rId16" o:title=""/>
                </v:shape>
                <w:control r:id="rId17" w:name="OptionButton4" w:shapeid="_x0000_i1066"/>
              </w:object>
            </w:r>
          </w:p>
          <w:p w:rsidR="00076E63" w:rsidRPr="00581AC8" w:rsidRDefault="00076E63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object w:dxaOrig="225" w:dyaOrig="225">
                <v:shape id="_x0000_i1068" type="#_x0000_t75" style="width:108.3pt;height:18.15pt" o:ole="">
                  <v:imagedata r:id="rId18" o:title=""/>
                </v:shape>
                <w:control r:id="rId19" w:name="OptionButton5" w:shapeid="_x0000_i1068"/>
              </w:object>
            </w:r>
          </w:p>
          <w:p w:rsidR="001A467D" w:rsidRPr="00581AC8" w:rsidRDefault="001A467D" w:rsidP="009B0327">
            <w:pPr>
              <w:spacing w:after="120"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1.1. Изборът следва да е съотносим с посочените специфични въздействия на препоръчителния вариант за решаване на всеки проблем.</w:t>
            </w:r>
          </w:p>
          <w:p w:rsidR="005479B4" w:rsidRPr="00C20F34" w:rsidRDefault="001A467D" w:rsidP="00C20F34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1.2. Ако се предвижда въвеждането на такса,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</w:p>
        </w:tc>
      </w:tr>
      <w:tr w:rsidR="000369DF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D243C" w:rsidRPr="00581AC8" w:rsidRDefault="000369DF" w:rsidP="009B0327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:rsidR="000369DF" w:rsidRPr="00581AC8" w:rsidRDefault="000369DF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>
                <v:shape id="_x0000_i1070" type="#_x0000_t75" style="width:108.3pt;height:18.15pt" o:ole="">
                  <v:imagedata r:id="rId20" o:title=""/>
                </v:shape>
                <w:control r:id="rId21" w:name="OptionButton181" w:shapeid="_x0000_i1070"/>
              </w:object>
            </w:r>
          </w:p>
          <w:p w:rsidR="000369DF" w:rsidRPr="00581AC8" w:rsidRDefault="000369DF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2" type="#_x0000_t75" style="width:108.3pt;height:18.15pt" o:ole="">
                  <v:imagedata r:id="rId22" o:title=""/>
                </v:shape>
                <w:control r:id="rId23" w:name="OptionButton191" w:shapeid="_x0000_i1072"/>
              </w:object>
            </w:r>
          </w:p>
          <w:p w:rsidR="00D2502E" w:rsidRPr="00581AC8" w:rsidRDefault="000369DF" w:rsidP="0059596C">
            <w:pPr>
              <w:spacing w:after="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въвеждат нови регулаторни режими</w:t>
            </w:r>
            <w:r w:rsidR="009C41A8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както и не се з</w:t>
            </w:r>
            <w:r w:rsidR="003F140E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асягат вече съществуващи такива</w:t>
            </w:r>
            <w:r w:rsidR="009C41A8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:rsidR="0058375D" w:rsidRPr="00C20F34" w:rsidRDefault="000369DF" w:rsidP="009B0327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Изборът следва да е съотносим с посочените специфични въздействия на избрания вариант.</w:t>
            </w:r>
          </w:p>
          <w:p w:rsidR="000369DF" w:rsidRPr="00581AC8" w:rsidRDefault="000369DF" w:rsidP="009B0327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lastRenderedPageBreak/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:rsidR="000369DF" w:rsidRPr="00581AC8" w:rsidRDefault="000369DF" w:rsidP="009B0327">
            <w:pPr>
              <w:pStyle w:val="ListParagraph"/>
              <w:numPr>
                <w:ilvl w:val="1"/>
                <w:numId w:val="29"/>
              </w:numPr>
              <w:spacing w:before="120" w:after="0" w:line="288" w:lineRule="auto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:rsidR="00D97D76" w:rsidRPr="00581AC8" w:rsidRDefault="000369DF" w:rsidP="009B0327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:rsidR="00752385" w:rsidRDefault="000369DF" w:rsidP="00752385">
            <w:pPr>
              <w:pStyle w:val="ListParagraph"/>
              <w:numPr>
                <w:ilvl w:val="1"/>
                <w:numId w:val="29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:rsidR="00752385" w:rsidRPr="00752385" w:rsidRDefault="00752385" w:rsidP="00186A9E">
            <w:pPr>
              <w:spacing w:after="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5238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Проектът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налага </w:t>
            </w:r>
            <w:r w:rsidRPr="0075238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 бъде нотифициран по реда на Директива (ЕС) 2015/1535 на Европейския парламент и на Съвета от 9 септември 2015 година, установяваща процедура за предоставянето на информация в сферата на техническите регламенти и правила относно услугите на информационното общество.</w:t>
            </w:r>
          </w:p>
          <w:p w:rsidR="0061068B" w:rsidRPr="007C28F2" w:rsidRDefault="000369DF" w:rsidP="007C28F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1.6. В случай че се изменят регулаторни режими или административни услуги, посочете промяната.</w:t>
            </w:r>
          </w:p>
        </w:tc>
      </w:tr>
      <w:tr w:rsidR="000369DF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581AC8" w:rsidRDefault="000369DF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:rsidR="000369DF" w:rsidRPr="00581AC8" w:rsidRDefault="000369DF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>
                <v:shape id="_x0000_i1074" type="#_x0000_t75" style="width:108.3pt;height:18.15pt" o:ole="">
                  <v:imagedata r:id="rId20" o:title=""/>
                </v:shape>
                <w:control r:id="rId24" w:name="OptionButton18" w:shapeid="_x0000_i1074"/>
              </w:object>
            </w:r>
          </w:p>
          <w:p w:rsidR="000369DF" w:rsidRPr="00581AC8" w:rsidRDefault="000369DF" w:rsidP="009B03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6" type="#_x0000_t75" style="width:108.3pt;height:18.15pt" o:ole="">
                  <v:imagedata r:id="rId25" o:title=""/>
                </v:shape>
                <w:control r:id="rId26" w:name="OptionButton19" w:shapeid="_x0000_i1076"/>
              </w:object>
            </w:r>
          </w:p>
          <w:p w:rsidR="000369DF" w:rsidRPr="00581AC8" w:rsidRDefault="000369DF" w:rsidP="009B0327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  <w:p w:rsidR="00384091" w:rsidRPr="00581AC8" w:rsidRDefault="00A121F6" w:rsidP="0059596C">
            <w:pPr>
              <w:spacing w:before="40" w:after="4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се създават нови регистри, както и не </w:t>
            </w:r>
            <w:r w:rsidR="00FD20E7"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 засягат съществуващи такива.</w:t>
            </w:r>
          </w:p>
        </w:tc>
      </w:tr>
      <w:tr w:rsidR="000369DF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581AC8" w:rsidRDefault="000369DF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6.4. По какъв начин препоръчителният вариант въздейства върху микро-, малките и средните предприятия (МСП)</w:t>
            </w:r>
            <w:r w:rsidRPr="00581AC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:rsidR="000369DF" w:rsidRPr="00581AC8" w:rsidRDefault="000369DF" w:rsidP="009B0327">
            <w:pPr>
              <w:spacing w:after="0" w:line="288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581AC8">
              <w:rPr>
                <w:rFonts w:ascii="Calibri" w:eastAsia="MS Mincho" w:hAnsi="Calibri" w:cs="MS Mincho"/>
                <w:sz w:val="24"/>
                <w:szCs w:val="24"/>
              </w:rPr>
              <w:object w:dxaOrig="225" w:dyaOrig="225">
                <v:shape id="_x0000_i1078" type="#_x0000_t75" style="width:259.2pt;height:18.15pt" o:ole="">
                  <v:imagedata r:id="rId27" o:title=""/>
                </v:shape>
                <w:control r:id="rId28" w:name="OptionButton6" w:shapeid="_x0000_i1078"/>
              </w:object>
            </w:r>
          </w:p>
          <w:p w:rsidR="000369DF" w:rsidRPr="00581AC8" w:rsidRDefault="000369DF" w:rsidP="009B0327">
            <w:pPr>
              <w:spacing w:after="0" w:line="288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581AC8">
              <w:rPr>
                <w:rFonts w:ascii="Calibri" w:eastAsia="MS Mincho" w:hAnsi="Calibri" w:cs="MS Mincho"/>
                <w:sz w:val="24"/>
                <w:szCs w:val="24"/>
              </w:rPr>
              <w:object w:dxaOrig="225" w:dyaOrig="225">
                <v:shape id="_x0000_i1080" type="#_x0000_t75" style="width:161.55pt;height:18.15pt" o:ole="">
                  <v:imagedata r:id="rId29" o:title=""/>
                </v:shape>
                <w:control r:id="rId30" w:name="OptionButton7" w:shapeid="_x0000_i1080"/>
              </w:object>
            </w:r>
          </w:p>
          <w:p w:rsidR="00887605" w:rsidRDefault="00374DFC" w:rsidP="00887605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</w:t>
            </w:r>
            <w:r w:rsidRPr="00374D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 окаже въздействие върху малките и средните предприятия.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0369DF" w:rsidRPr="00581AC8" w:rsidRDefault="000369DF" w:rsidP="00887605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зборът следва да е съотносим с посочените специфични въздействия на препоръчителния вариант.</w:t>
            </w:r>
          </w:p>
        </w:tc>
      </w:tr>
      <w:tr w:rsidR="000369DF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581AC8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:rsidR="000369DF" w:rsidRPr="00581AC8" w:rsidRDefault="000369DF" w:rsidP="00D942B7">
            <w:pPr>
              <w:spacing w:before="120" w:after="12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</w:t>
            </w:r>
            <w:r w:rsidR="0088760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рискове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:rsidR="000369DF" w:rsidRPr="00581AC8" w:rsidRDefault="000369DF" w:rsidP="009B0327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</w:tc>
      </w:tr>
      <w:tr w:rsidR="000369DF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581AC8" w:rsidRDefault="000369DF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:rsidR="000369DF" w:rsidRPr="004B5BAB" w:rsidRDefault="000369DF" w:rsidP="004B5BA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2" type="#_x0000_t75" style="width:499pt;height:18.15pt" o:ole="">
                  <v:imagedata r:id="rId31" o:title=""/>
                </v:shape>
                <w:control r:id="rId32" w:name="OptionButton13" w:shapeid="_x0000_i1082"/>
              </w:object>
            </w: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:rsidR="002150AB" w:rsidRPr="005D380E" w:rsidRDefault="000369DF" w:rsidP="00D942B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object w:dxaOrig="225" w:dyaOrig="225">
                <v:shape id="_x0000_i1084" type="#_x0000_t75" style="width:502.75pt;height:18.15pt" o:ole="">
                  <v:imagedata r:id="rId33" o:title=""/>
                </v:shape>
                <w:control r:id="rId34" w:name="OptionButton15" w:shapeid="_x0000_i1084"/>
              </w:object>
            </w:r>
            <w:r w:rsidR="002150AB" w:rsidRPr="00265B4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основание чл. 26, ал. 3 и 4 от Закона за нормативните актове проектът на Постановление </w:t>
            </w:r>
            <w:r w:rsidR="002150AB" w:rsidRPr="00BB19F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Министерския съвет за изменение на Тарифа</w:t>
            </w:r>
            <w:r w:rsidR="005959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2150AB" w:rsidRPr="00BB19F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таксите, които се събират за обучение за придобиване на правоспособност за класификатор на кланични трупове по скалата EUROP </w:t>
            </w:r>
            <w:r w:rsidR="00215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щ</w:t>
            </w:r>
            <w:r w:rsidR="002150AB" w:rsidRPr="00265B4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 </w:t>
            </w:r>
            <w:r w:rsidR="00215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бъде </w:t>
            </w:r>
            <w:r w:rsidR="002150AB" w:rsidRPr="00265B4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публикуван на интернет страницата на Министерството на земеделието и храните и на Портала за обществени консултации със срок за предложения и становища 30 дни. </w:t>
            </w:r>
          </w:p>
          <w:p w:rsidR="00B50272" w:rsidRPr="00581AC8" w:rsidRDefault="002150AB" w:rsidP="0059596C">
            <w:pPr>
              <w:spacing w:before="120" w:after="12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15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 чл. 26, ал. 5 от Закона за нормативните актове справката за отразяване на постъпилите предложения и становища от проведената обществена консултация по проекта, заедно с обосн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овка за неприетите предложения</w:t>
            </w:r>
            <w:r w:rsidR="005959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бъде</w:t>
            </w:r>
            <w:r w:rsidRPr="00215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публикувана на интернет страницата на Министерството на земеделието и храните и на Портала за обществени консултации.</w:t>
            </w:r>
          </w:p>
          <w:p w:rsidR="000369DF" w:rsidRPr="00581AC8" w:rsidRDefault="000369DF" w:rsidP="009B0327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369DF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581AC8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8. Приемането на нормативния акт произтича ли от правото на Европейския съюз?</w:t>
            </w:r>
          </w:p>
          <w:p w:rsidR="000369DF" w:rsidRPr="00581AC8" w:rsidRDefault="000369DF" w:rsidP="009B0327">
            <w:pPr>
              <w:spacing w:before="120" w:after="120" w:line="288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581AC8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>
                <v:shape id="_x0000_i1086" type="#_x0000_t75" style="width:108.3pt;height:18.15pt" o:ole="">
                  <v:imagedata r:id="rId35" o:title=""/>
                </v:shape>
                <w:control r:id="rId36" w:name="OptionButton9" w:shapeid="_x0000_i1086"/>
              </w:object>
            </w:r>
          </w:p>
          <w:p w:rsidR="000369DF" w:rsidRPr="00581AC8" w:rsidRDefault="000369DF" w:rsidP="009B0327">
            <w:pPr>
              <w:spacing w:before="120" w:after="120" w:line="288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581AC8">
              <w:rPr>
                <w:rFonts w:ascii="MS Mincho" w:eastAsia="MS Mincho" w:hAnsi="MS Mincho" w:cs="MS Mincho"/>
                <w:sz w:val="24"/>
                <w:szCs w:val="24"/>
              </w:rPr>
              <w:object w:dxaOrig="225" w:dyaOrig="225">
                <v:shape id="_x0000_i1088" type="#_x0000_t75" style="width:108.3pt;height:18.15pt" o:ole="">
                  <v:imagedata r:id="rId22" o:title=""/>
                </v:shape>
                <w:control r:id="rId37" w:name="OptionButton10" w:shapeid="_x0000_i1088"/>
              </w:object>
            </w:r>
          </w:p>
          <w:p w:rsidR="000369DF" w:rsidRPr="00581AC8" w:rsidRDefault="000369DF" w:rsidP="003A24F7">
            <w:pPr>
              <w:spacing w:after="120"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0369DF" w:rsidRDefault="000369DF" w:rsidP="002150AB">
            <w:pPr>
              <w:spacing w:after="120" w:line="288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1.2. Изборът трябва да съответства на посоченото в раздел 1, съгласно неговата т. 1.5.</w:t>
            </w:r>
            <w:r w:rsidRPr="00581AC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</w:p>
          <w:p w:rsidR="00F50F5B" w:rsidRDefault="00F50F5B" w:rsidP="00F50F5B">
            <w:pPr>
              <w:spacing w:after="12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F50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Приемането на проекта на Постановление на Министерския съвет за изменение на Тарифата е в изпълнение на Закона за въвеждане на еврото в Република България.</w:t>
            </w:r>
          </w:p>
          <w:p w:rsidR="00494029" w:rsidRPr="00186A9E" w:rsidRDefault="00F50F5B" w:rsidP="00CE1C4F">
            <w:pPr>
              <w:spacing w:after="120" w:line="288" w:lineRule="auto"/>
              <w:ind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 w:rsidRPr="00F50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На 08.07.202</w:t>
            </w:r>
            <w:r w:rsidR="00A76E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5 г. Съветът на ЕС</w:t>
            </w:r>
            <w:r w:rsidRPr="00F50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прие Решение (ЕС) 2025/1407 на Съвета от 8 юли 2025 година относно приемането на еврото от България, считано от 1 януари 2026 г., Регламент (ЕС) 2025/1408 на Съвета от 8 юли 2025 година за изменение на Регламент (ЕО) № 974/98 по отношение на въвеждането на еврото в България и Регламент (ЕС) 2025/1409 на Съвета от 8 юли 2025 година за изменение на Регламент (ЕО) № 2866/98 по отношение на валут</w:t>
            </w:r>
            <w:r w:rsidR="00CE1C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ния курс към еврото за България.</w:t>
            </w:r>
          </w:p>
        </w:tc>
      </w:tr>
      <w:tr w:rsidR="000369DF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581AC8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Изисква ли се извършване на цялостна предварителна оценка на въздействието поради очаквани значителни последици?</w:t>
            </w:r>
          </w:p>
          <w:p w:rsidR="000369DF" w:rsidRPr="00581AC8" w:rsidRDefault="000369DF" w:rsidP="009B0327">
            <w:pPr>
              <w:spacing w:before="120" w:after="120" w:line="288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581AC8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>
                <v:shape id="_x0000_i1090" type="#_x0000_t75" style="width:108.3pt;height:18.15pt" o:ole="">
                  <v:imagedata r:id="rId20" o:title=""/>
                </v:shape>
                <w:control r:id="rId38" w:name="OptionButton20" w:shapeid="_x0000_i1090"/>
              </w:object>
            </w:r>
          </w:p>
          <w:p w:rsidR="000369DF" w:rsidRPr="00581AC8" w:rsidRDefault="000369DF" w:rsidP="009B0327">
            <w:pPr>
              <w:spacing w:before="120" w:after="120" w:line="288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581AC8">
              <w:rPr>
                <w:rFonts w:ascii="Hebar" w:eastAsia="Times New Roman" w:hAnsi="Hebar" w:cs="Segoe UI Symbol"/>
                <w:b/>
                <w:sz w:val="24"/>
                <w:szCs w:val="24"/>
              </w:rPr>
              <w:object w:dxaOrig="225" w:dyaOrig="225">
                <v:shape id="_x0000_i1092" type="#_x0000_t75" style="width:108.3pt;height:18.15pt" o:ole="">
                  <v:imagedata r:id="rId25" o:title=""/>
                </v:shape>
                <w:control r:id="rId39" w:name="OptionButton21" w:shapeid="_x0000_i1092"/>
              </w:object>
            </w:r>
          </w:p>
          <w:p w:rsidR="000369DF" w:rsidRPr="00581AC8" w:rsidRDefault="000369DF" w:rsidP="009B0327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369DF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369DF" w:rsidRPr="00581AC8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:rsidR="000369DF" w:rsidRPr="00581AC8" w:rsidRDefault="000369DF" w:rsidP="00581AC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Приложете необходимата допълнителна информация и документи.</w:t>
            </w:r>
          </w:p>
          <w:p w:rsidR="001E586D" w:rsidRPr="00581AC8" w:rsidRDefault="001E586D" w:rsidP="00581AC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bg-BG"/>
              </w:rPr>
            </w:pPr>
          </w:p>
        </w:tc>
      </w:tr>
      <w:tr w:rsidR="000369DF" w:rsidRPr="00D942B7" w:rsidTr="006614E8"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3345E" w:rsidRDefault="000369DF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:rsidR="00E60073" w:rsidRPr="00B22D29" w:rsidRDefault="00E60073" w:rsidP="00E6007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22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- </w:t>
            </w:r>
            <w:r w:rsidRPr="00B22D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Решение (ЕС) 2025/1407 на Съвета от 8 юли 2025 година относно приемането на еврото от България, считано от 1 </w:t>
            </w:r>
            <w:r w:rsidR="000C568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януари 2026 г.;</w:t>
            </w:r>
          </w:p>
          <w:p w:rsidR="00B721A9" w:rsidRPr="00B22D29" w:rsidRDefault="00B721A9" w:rsidP="00E6007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22D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Регламент (ЕС) 2025/1408 на Съвета от 8 юли 2025 година за изменение на Регламент (ЕО) № 974/98 по отношение на въвеждането на еврото в България;</w:t>
            </w:r>
          </w:p>
          <w:p w:rsidR="00B721A9" w:rsidRPr="00E60073" w:rsidRDefault="00B721A9" w:rsidP="00E60073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22D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- Регламент (ЕС) 2025/1409 на Съвета от 8 юли 2025 година за изменение на Регламент (ЕО) № 2866/98 по отношение на валутния курс към еврото за България;</w:t>
            </w:r>
          </w:p>
          <w:p w:rsidR="00B65D54" w:rsidRPr="0083345E" w:rsidRDefault="0083345E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- </w:t>
            </w:r>
            <w:bookmarkStart w:id="0" w:name="_GoBack"/>
            <w:bookmarkEnd w:id="0"/>
            <w:r w:rsidR="00AD3D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Закон</w:t>
            </w:r>
            <w:r w:rsidR="00B65D54" w:rsidRPr="008769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за въвеждане на еврото в Република България</w:t>
            </w:r>
            <w:r w:rsidR="00B65D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;</w:t>
            </w:r>
          </w:p>
          <w:p w:rsidR="005C74EE" w:rsidRDefault="005C74EE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- </w:t>
            </w:r>
            <w:r w:rsidRPr="005C74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на Народното събрание </w:t>
            </w:r>
            <w:r w:rsidR="009D3C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от</w:t>
            </w:r>
            <w:r w:rsidRPr="005C74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26.07.2024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 w:rsidRPr="005C74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г.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 w:rsidRPr="005C74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за ускоряване и завършване на процеса по практическата подготовка за приемане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на еврото в Република България;</w:t>
            </w:r>
          </w:p>
          <w:p w:rsidR="00B65D54" w:rsidRDefault="00B65D54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- Закон</w:t>
            </w:r>
            <w:r w:rsidRPr="00B65D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за прилагане на Общата организация на пазарите на земеделс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ки продукти на Европейския съюз;</w:t>
            </w:r>
          </w:p>
          <w:p w:rsidR="00B65D54" w:rsidRDefault="00B65D54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-</w:t>
            </w:r>
            <w:r w:rsidRPr="00B65D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Регламент за изпълнение (ЕС) 2017/1184 на Комисията от 20 април 2017 година за определяне на правила за прилагането на Регламент (ЕС) № 1308/2013 на Европейския парламент и на Съвета по отношение на скàлите на Съюза за класификация на кланични трупове на говеда, свине и овце и по отношение на отчитането на пазарните цени на някои категории кланични трупове и живи животни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;</w:t>
            </w:r>
          </w:p>
          <w:p w:rsidR="00B65D54" w:rsidRPr="00581AC8" w:rsidRDefault="00B65D54" w:rsidP="009B032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-</w:t>
            </w:r>
            <w:r w:rsidRPr="00B65D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Делегиран регламент (ЕС) 2017/1182 на Комисията от 20 април 2017 година за допълване на Регламент (ЕС) № 1308/2013 на Европейския парламент и на Съвета по отношение на скàлите на Съюза за класификация на кланични трупове на говеда, свине и овце и по отношение на отчитането на пазарните цени на някои категории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кланични трупове и живи животни.</w:t>
            </w:r>
          </w:p>
          <w:p w:rsidR="006D6468" w:rsidRPr="00581AC8" w:rsidRDefault="000369DF" w:rsidP="009B0327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</w:tc>
      </w:tr>
      <w:tr w:rsidR="000369DF" w:rsidRPr="00581AC8" w:rsidTr="006614E8">
        <w:tc>
          <w:tcPr>
            <w:tcW w:w="9923" w:type="dxa"/>
            <w:gridSpan w:val="2"/>
            <w:tcBorders>
              <w:top w:val="single" w:sz="12" w:space="0" w:color="auto"/>
            </w:tcBorders>
          </w:tcPr>
          <w:p w:rsidR="008E6FC9" w:rsidRPr="00581AC8" w:rsidRDefault="000369DF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:rsidR="000369DF" w:rsidRPr="00581AC8" w:rsidRDefault="005F5510" w:rsidP="009B032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Име и длъжност:</w:t>
            </w:r>
          </w:p>
          <w:p w:rsidR="000369DF" w:rsidRPr="00581AC8" w:rsidRDefault="000369DF" w:rsidP="009B03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Д-р </w:t>
            </w:r>
            <w:r w:rsidR="00093A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Деница Динчева</w:t>
            </w:r>
            <w:r w:rsidR="00D716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-</w:t>
            </w:r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директор на</w:t>
            </w:r>
            <w:r w:rsidR="00D716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дирекция „Животновъдство“, Министерство на земеделието и храните.</w:t>
            </w:r>
          </w:p>
          <w:p w:rsidR="00C0710F" w:rsidRPr="00581AC8" w:rsidRDefault="00C0710F" w:rsidP="009B03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184DC9" w:rsidRPr="003E1DDA" w:rsidRDefault="00D942B7" w:rsidP="003E1DD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bg-BG"/>
              </w:rPr>
              <w:pict>
                <v:shape id="_x0000_i1059" type="#_x0000_t75" alt="Microsoft Office Signature Line..." style="width:190.95pt;height:100.8pt">
                  <v:imagedata r:id="rId40" o:title=""/>
                  <o:lock v:ext="edit" ungrouping="t" rotation="t" cropping="t" verticies="t" text="t" grouping="t"/>
                  <o:signatureline v:ext="edit" id="{012887DA-153C-438C-B711-B64FB0C78971}" provid="{00000000-0000-0000-0000-000000000000}" o:suggestedsigner="д-р Деница Динчева" o:suggestedsigner2="Директор" issignatureline="t"/>
                </v:shape>
              </w:pict>
            </w:r>
          </w:p>
        </w:tc>
      </w:tr>
    </w:tbl>
    <w:p w:rsidR="0099403C" w:rsidRPr="00581AC8" w:rsidRDefault="0099403C" w:rsidP="0071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sectPr w:rsidR="0099403C" w:rsidRPr="00581AC8" w:rsidSect="00E5386F">
      <w:headerReference w:type="even" r:id="rId41"/>
      <w:footerReference w:type="default" r:id="rId42"/>
      <w:headerReference w:type="first" r:id="rId43"/>
      <w:pgSz w:w="11906" w:h="16838" w:code="9"/>
      <w:pgMar w:top="1021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8E" w:rsidRDefault="002B298E">
      <w:pPr>
        <w:spacing w:after="0" w:line="240" w:lineRule="auto"/>
      </w:pPr>
      <w:r>
        <w:separator/>
      </w:r>
    </w:p>
  </w:endnote>
  <w:endnote w:type="continuationSeparator" w:id="0">
    <w:p w:rsidR="002B298E" w:rsidRDefault="002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ba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8E" w:rsidRPr="0014689E" w:rsidRDefault="002B298E" w:rsidP="00E1147B">
    <w:pPr>
      <w:pStyle w:val="Footer"/>
      <w:spacing w:before="120"/>
      <w:jc w:val="right"/>
      <w:rPr>
        <w:rFonts w:ascii="Times New Roman" w:hAnsi="Times New Roman"/>
        <w:sz w:val="20"/>
        <w:szCs w:val="20"/>
      </w:rPr>
    </w:pPr>
    <w:r w:rsidRPr="0014689E">
      <w:rPr>
        <w:rFonts w:ascii="Times New Roman" w:hAnsi="Times New Roman"/>
        <w:sz w:val="20"/>
        <w:szCs w:val="20"/>
      </w:rPr>
      <w:fldChar w:fldCharType="begin"/>
    </w:r>
    <w:r w:rsidRPr="0014689E">
      <w:rPr>
        <w:rFonts w:ascii="Times New Roman" w:hAnsi="Times New Roman"/>
        <w:sz w:val="20"/>
        <w:szCs w:val="20"/>
      </w:rPr>
      <w:instrText xml:space="preserve"> PAGE   \* MERGEFORMAT </w:instrText>
    </w:r>
    <w:r w:rsidRPr="0014689E">
      <w:rPr>
        <w:rFonts w:ascii="Times New Roman" w:hAnsi="Times New Roman"/>
        <w:sz w:val="20"/>
        <w:szCs w:val="20"/>
      </w:rPr>
      <w:fldChar w:fldCharType="separate"/>
    </w:r>
    <w:r w:rsidR="00D942B7">
      <w:rPr>
        <w:rFonts w:ascii="Times New Roman" w:hAnsi="Times New Roman"/>
        <w:noProof/>
        <w:sz w:val="20"/>
        <w:szCs w:val="20"/>
      </w:rPr>
      <w:t>7</w:t>
    </w:r>
    <w:r w:rsidRPr="0014689E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8E" w:rsidRDefault="002B298E">
      <w:pPr>
        <w:spacing w:after="0" w:line="240" w:lineRule="auto"/>
      </w:pPr>
      <w:r>
        <w:separator/>
      </w:r>
    </w:p>
  </w:footnote>
  <w:footnote w:type="continuationSeparator" w:id="0">
    <w:p w:rsidR="002B298E" w:rsidRDefault="002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8E" w:rsidRDefault="002B298E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2B298E" w:rsidRDefault="002B2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8E" w:rsidRPr="00FD20E7" w:rsidRDefault="002B298E" w:rsidP="00FD20E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hAnsi="Times New Roman" w:cs="Times New Roman"/>
        <w:sz w:val="20"/>
        <w:szCs w:val="20"/>
        <w:lang w:val="bg-BG"/>
      </w:rPr>
    </w:pPr>
    <w:r w:rsidRPr="00FD20E7">
      <w:rPr>
        <w:rFonts w:ascii="Times New Roman" w:hAnsi="Times New Roman" w:cs="Times New Roman"/>
        <w:sz w:val="20"/>
        <w:szCs w:val="20"/>
        <w:lang w:val="bg-BG"/>
      </w:rPr>
      <w:t>Класификация на информацията:</w:t>
    </w:r>
  </w:p>
  <w:p w:rsidR="002B298E" w:rsidRPr="00FD20E7" w:rsidRDefault="002B298E" w:rsidP="00FD20E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hAnsi="Times New Roman" w:cs="Times New Roman"/>
        <w:sz w:val="20"/>
        <w:szCs w:val="20"/>
        <w:lang w:val="bg-BG"/>
      </w:rPr>
    </w:pPr>
    <w:r w:rsidRPr="00FD20E7">
      <w:rPr>
        <w:rFonts w:ascii="Times New Roman" w:hAnsi="Times New Roman" w:cs="Times New Roman"/>
        <w:sz w:val="20"/>
        <w:szCs w:val="20"/>
        <w:lang w:val="bg-BG"/>
      </w:rPr>
      <w:t xml:space="preserve">Ниво </w:t>
    </w:r>
    <w:r>
      <w:rPr>
        <w:rFonts w:ascii="Times New Roman" w:hAnsi="Times New Roman" w:cs="Times New Roman"/>
        <w:sz w:val="20"/>
        <w:szCs w:val="20"/>
        <w:lang w:val="bg-BG"/>
      </w:rPr>
      <w:t>0</w:t>
    </w:r>
    <w:r w:rsidRPr="00FD20E7">
      <w:rPr>
        <w:rFonts w:ascii="Times New Roman" w:hAnsi="Times New Roman" w:cs="Times New Roman"/>
        <w:sz w:val="20"/>
        <w:szCs w:val="20"/>
        <w:lang w:val="bg-BG"/>
      </w:rPr>
      <w:t>, TLP-</w:t>
    </w:r>
    <w:r w:rsidRPr="00FD20E7">
      <w:rPr>
        <w:rFonts w:ascii="Times New Roman" w:hAnsi="Times New Roman" w:cs="Times New Roman"/>
        <w:sz w:val="20"/>
        <w:szCs w:val="20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4FA"/>
    <w:multiLevelType w:val="hybridMultilevel"/>
    <w:tmpl w:val="12F22B82"/>
    <w:lvl w:ilvl="0" w:tplc="53BCDC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C83"/>
    <w:multiLevelType w:val="hybridMultilevel"/>
    <w:tmpl w:val="501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5998"/>
    <w:multiLevelType w:val="hybridMultilevel"/>
    <w:tmpl w:val="4036AF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1E38"/>
    <w:multiLevelType w:val="multilevel"/>
    <w:tmpl w:val="F5181B4A"/>
    <w:lvl w:ilvl="0">
      <w:start w:val="1"/>
      <w:numFmt w:val="bullet"/>
      <w:suff w:val="space"/>
      <w:lvlText w:val=""/>
      <w:lvlJc w:val="left"/>
      <w:pPr>
        <w:ind w:left="56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0BAC67BF"/>
    <w:multiLevelType w:val="multilevel"/>
    <w:tmpl w:val="F3FE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E26134"/>
    <w:multiLevelType w:val="hybridMultilevel"/>
    <w:tmpl w:val="B3F680CA"/>
    <w:lvl w:ilvl="0" w:tplc="D700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81583"/>
    <w:multiLevelType w:val="multilevel"/>
    <w:tmpl w:val="D422A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E15503E"/>
    <w:multiLevelType w:val="hybridMultilevel"/>
    <w:tmpl w:val="0DC216BA"/>
    <w:lvl w:ilvl="0" w:tplc="C47A1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9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0" w15:restartNumberingAfterBreak="0">
    <w:nsid w:val="29C81084"/>
    <w:multiLevelType w:val="multilevel"/>
    <w:tmpl w:val="4A309600"/>
    <w:lvl w:ilvl="0">
      <w:start w:val="1"/>
      <w:numFmt w:val="bullet"/>
      <w:suff w:val="space"/>
      <w:lvlText w:val=""/>
      <w:lvlJc w:val="left"/>
      <w:pPr>
        <w:ind w:left="56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B2828"/>
    <w:multiLevelType w:val="hybridMultilevel"/>
    <w:tmpl w:val="BA04B5D6"/>
    <w:lvl w:ilvl="0" w:tplc="7D942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14" w15:restartNumberingAfterBreak="0">
    <w:nsid w:val="414816E6"/>
    <w:multiLevelType w:val="multilevel"/>
    <w:tmpl w:val="49CA219C"/>
    <w:lvl w:ilvl="0">
      <w:start w:val="1"/>
      <w:numFmt w:val="bullet"/>
      <w:suff w:val="space"/>
      <w:lvlText w:val=""/>
      <w:lvlJc w:val="left"/>
      <w:pPr>
        <w:ind w:left="51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468ED"/>
    <w:multiLevelType w:val="multilevel"/>
    <w:tmpl w:val="37B8DEC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7" w15:restartNumberingAfterBreak="0">
    <w:nsid w:val="45260D9B"/>
    <w:multiLevelType w:val="hybridMultilevel"/>
    <w:tmpl w:val="3A22911E"/>
    <w:lvl w:ilvl="0" w:tplc="040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9" w15:restartNumberingAfterBreak="0">
    <w:nsid w:val="475B33EF"/>
    <w:multiLevelType w:val="multilevel"/>
    <w:tmpl w:val="995A8E3C"/>
    <w:lvl w:ilvl="0">
      <w:numFmt w:val="bullet"/>
      <w:suff w:val="space"/>
      <w:lvlText w:val="-"/>
      <w:lvlJc w:val="left"/>
      <w:pPr>
        <w:ind w:left="56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16D57"/>
    <w:multiLevelType w:val="hybridMultilevel"/>
    <w:tmpl w:val="425878D8"/>
    <w:lvl w:ilvl="0" w:tplc="EA10F02A"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 w15:restartNumberingAfterBreak="0">
    <w:nsid w:val="4AFB5494"/>
    <w:multiLevelType w:val="hybridMultilevel"/>
    <w:tmpl w:val="300804C2"/>
    <w:lvl w:ilvl="0" w:tplc="BB8C7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6FA4"/>
    <w:multiLevelType w:val="hybridMultilevel"/>
    <w:tmpl w:val="D856F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A2A04"/>
    <w:multiLevelType w:val="multilevel"/>
    <w:tmpl w:val="75CC7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1F4A5E"/>
    <w:multiLevelType w:val="hybridMultilevel"/>
    <w:tmpl w:val="12D0F9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D4B6F"/>
    <w:multiLevelType w:val="multilevel"/>
    <w:tmpl w:val="1C400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0"/>
      </w:rPr>
    </w:lvl>
  </w:abstractNum>
  <w:abstractNum w:abstractNumId="27" w15:restartNumberingAfterBreak="0">
    <w:nsid w:val="632A0984"/>
    <w:multiLevelType w:val="multilevel"/>
    <w:tmpl w:val="D422A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2242625"/>
    <w:multiLevelType w:val="multilevel"/>
    <w:tmpl w:val="24BC9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0"/>
      </w:rPr>
    </w:lvl>
  </w:abstractNum>
  <w:abstractNum w:abstractNumId="29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30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31" w15:restartNumberingAfterBreak="0">
    <w:nsid w:val="7C25632A"/>
    <w:multiLevelType w:val="hybridMultilevel"/>
    <w:tmpl w:val="1BDC25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17AB9"/>
    <w:multiLevelType w:val="hybridMultilevel"/>
    <w:tmpl w:val="1EBA23BE"/>
    <w:lvl w:ilvl="0" w:tplc="31CE1E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30D1D"/>
    <w:multiLevelType w:val="hybridMultilevel"/>
    <w:tmpl w:val="66BCC0E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3"/>
  </w:num>
  <w:num w:numId="4">
    <w:abstractNumId w:val="18"/>
  </w:num>
  <w:num w:numId="5">
    <w:abstractNumId w:val="16"/>
  </w:num>
  <w:num w:numId="6">
    <w:abstractNumId w:val="8"/>
  </w:num>
  <w:num w:numId="7">
    <w:abstractNumId w:val="9"/>
  </w:num>
  <w:num w:numId="8">
    <w:abstractNumId w:val="23"/>
  </w:num>
  <w:num w:numId="9">
    <w:abstractNumId w:val="11"/>
  </w:num>
  <w:num w:numId="10">
    <w:abstractNumId w:val="0"/>
  </w:num>
  <w:num w:numId="11">
    <w:abstractNumId w:val="2"/>
  </w:num>
  <w:num w:numId="12">
    <w:abstractNumId w:val="17"/>
  </w:num>
  <w:num w:numId="13">
    <w:abstractNumId w:val="14"/>
  </w:num>
  <w:num w:numId="14">
    <w:abstractNumId w:val="25"/>
  </w:num>
  <w:num w:numId="15">
    <w:abstractNumId w:val="31"/>
  </w:num>
  <w:num w:numId="16">
    <w:abstractNumId w:val="3"/>
  </w:num>
  <w:num w:numId="17">
    <w:abstractNumId w:val="20"/>
  </w:num>
  <w:num w:numId="18">
    <w:abstractNumId w:val="33"/>
  </w:num>
  <w:num w:numId="19">
    <w:abstractNumId w:val="21"/>
  </w:num>
  <w:num w:numId="20">
    <w:abstractNumId w:val="5"/>
  </w:num>
  <w:num w:numId="21">
    <w:abstractNumId w:val="22"/>
  </w:num>
  <w:num w:numId="22">
    <w:abstractNumId w:val="7"/>
  </w:num>
  <w:num w:numId="23">
    <w:abstractNumId w:val="12"/>
  </w:num>
  <w:num w:numId="24">
    <w:abstractNumId w:val="19"/>
  </w:num>
  <w:num w:numId="25">
    <w:abstractNumId w:val="10"/>
  </w:num>
  <w:num w:numId="26">
    <w:abstractNumId w:val="4"/>
  </w:num>
  <w:num w:numId="27">
    <w:abstractNumId w:val="28"/>
  </w:num>
  <w:num w:numId="28">
    <w:abstractNumId w:val="26"/>
  </w:num>
  <w:num w:numId="29">
    <w:abstractNumId w:val="24"/>
  </w:num>
  <w:num w:numId="30">
    <w:abstractNumId w:val="1"/>
  </w:num>
  <w:num w:numId="31">
    <w:abstractNumId w:val="32"/>
  </w:num>
  <w:num w:numId="32">
    <w:abstractNumId w:val="6"/>
  </w:num>
  <w:num w:numId="33">
    <w:abstractNumId w:val="27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84"/>
    <w:rsid w:val="00000756"/>
    <w:rsid w:val="00000F8C"/>
    <w:rsid w:val="00002C2B"/>
    <w:rsid w:val="00004A78"/>
    <w:rsid w:val="00004B97"/>
    <w:rsid w:val="0001053D"/>
    <w:rsid w:val="0001320D"/>
    <w:rsid w:val="0001358E"/>
    <w:rsid w:val="0001463C"/>
    <w:rsid w:val="00015CD1"/>
    <w:rsid w:val="00020A78"/>
    <w:rsid w:val="00020D2D"/>
    <w:rsid w:val="00020EB1"/>
    <w:rsid w:val="00021647"/>
    <w:rsid w:val="00022B42"/>
    <w:rsid w:val="00024F19"/>
    <w:rsid w:val="00025A4B"/>
    <w:rsid w:val="000262EB"/>
    <w:rsid w:val="0002752A"/>
    <w:rsid w:val="00027C61"/>
    <w:rsid w:val="0003028C"/>
    <w:rsid w:val="00030E51"/>
    <w:rsid w:val="00034656"/>
    <w:rsid w:val="000351A6"/>
    <w:rsid w:val="00035F5A"/>
    <w:rsid w:val="000369DF"/>
    <w:rsid w:val="0004044F"/>
    <w:rsid w:val="0004055D"/>
    <w:rsid w:val="00042D08"/>
    <w:rsid w:val="00043075"/>
    <w:rsid w:val="0004541B"/>
    <w:rsid w:val="00047230"/>
    <w:rsid w:val="000512BE"/>
    <w:rsid w:val="000516CC"/>
    <w:rsid w:val="000529B6"/>
    <w:rsid w:val="0006030F"/>
    <w:rsid w:val="00060841"/>
    <w:rsid w:val="0006334C"/>
    <w:rsid w:val="00063946"/>
    <w:rsid w:val="00063B20"/>
    <w:rsid w:val="00064387"/>
    <w:rsid w:val="00064CC7"/>
    <w:rsid w:val="00066EA6"/>
    <w:rsid w:val="000705DC"/>
    <w:rsid w:val="0007497F"/>
    <w:rsid w:val="0007525E"/>
    <w:rsid w:val="00075355"/>
    <w:rsid w:val="00075395"/>
    <w:rsid w:val="00076E63"/>
    <w:rsid w:val="00077FE5"/>
    <w:rsid w:val="00080329"/>
    <w:rsid w:val="00083A26"/>
    <w:rsid w:val="00087633"/>
    <w:rsid w:val="00090069"/>
    <w:rsid w:val="00091548"/>
    <w:rsid w:val="000918BC"/>
    <w:rsid w:val="00093AAC"/>
    <w:rsid w:val="00095A35"/>
    <w:rsid w:val="00097219"/>
    <w:rsid w:val="000A01DE"/>
    <w:rsid w:val="000A10BE"/>
    <w:rsid w:val="000A1BC7"/>
    <w:rsid w:val="000A2E06"/>
    <w:rsid w:val="000A5339"/>
    <w:rsid w:val="000B075C"/>
    <w:rsid w:val="000B1D72"/>
    <w:rsid w:val="000B34C4"/>
    <w:rsid w:val="000B379E"/>
    <w:rsid w:val="000C0DD1"/>
    <w:rsid w:val="000C19EE"/>
    <w:rsid w:val="000C47DE"/>
    <w:rsid w:val="000C568A"/>
    <w:rsid w:val="000C572F"/>
    <w:rsid w:val="000C769C"/>
    <w:rsid w:val="000C7EAF"/>
    <w:rsid w:val="000D001C"/>
    <w:rsid w:val="000D0D15"/>
    <w:rsid w:val="000D1FA0"/>
    <w:rsid w:val="000D35A4"/>
    <w:rsid w:val="000D41F2"/>
    <w:rsid w:val="000E047A"/>
    <w:rsid w:val="000E3325"/>
    <w:rsid w:val="000E5B95"/>
    <w:rsid w:val="000E76A7"/>
    <w:rsid w:val="000F1532"/>
    <w:rsid w:val="000F24CF"/>
    <w:rsid w:val="000F54B3"/>
    <w:rsid w:val="000F5DB5"/>
    <w:rsid w:val="000F669B"/>
    <w:rsid w:val="0010218B"/>
    <w:rsid w:val="00103FFD"/>
    <w:rsid w:val="00104427"/>
    <w:rsid w:val="001138D1"/>
    <w:rsid w:val="00116C26"/>
    <w:rsid w:val="001239CA"/>
    <w:rsid w:val="00126F56"/>
    <w:rsid w:val="001275D5"/>
    <w:rsid w:val="00131D1E"/>
    <w:rsid w:val="001327B1"/>
    <w:rsid w:val="001328BF"/>
    <w:rsid w:val="00133640"/>
    <w:rsid w:val="00134631"/>
    <w:rsid w:val="00134906"/>
    <w:rsid w:val="001366CF"/>
    <w:rsid w:val="0014026D"/>
    <w:rsid w:val="001409C4"/>
    <w:rsid w:val="0014263C"/>
    <w:rsid w:val="0014349A"/>
    <w:rsid w:val="0014689E"/>
    <w:rsid w:val="00147398"/>
    <w:rsid w:val="00151B83"/>
    <w:rsid w:val="00153946"/>
    <w:rsid w:val="00153E3B"/>
    <w:rsid w:val="00154605"/>
    <w:rsid w:val="00156B63"/>
    <w:rsid w:val="00160BD3"/>
    <w:rsid w:val="00161532"/>
    <w:rsid w:val="001645BB"/>
    <w:rsid w:val="00174192"/>
    <w:rsid w:val="001777A4"/>
    <w:rsid w:val="00181035"/>
    <w:rsid w:val="00184DC9"/>
    <w:rsid w:val="00184FA7"/>
    <w:rsid w:val="00186A9E"/>
    <w:rsid w:val="00187AD0"/>
    <w:rsid w:val="00187D2F"/>
    <w:rsid w:val="00187F53"/>
    <w:rsid w:val="00193313"/>
    <w:rsid w:val="00193B68"/>
    <w:rsid w:val="001A467D"/>
    <w:rsid w:val="001A66CA"/>
    <w:rsid w:val="001B026D"/>
    <w:rsid w:val="001B391C"/>
    <w:rsid w:val="001B4737"/>
    <w:rsid w:val="001B7C20"/>
    <w:rsid w:val="001B7CC2"/>
    <w:rsid w:val="001C1540"/>
    <w:rsid w:val="001C22F6"/>
    <w:rsid w:val="001C257A"/>
    <w:rsid w:val="001C27C1"/>
    <w:rsid w:val="001C34C0"/>
    <w:rsid w:val="001D019A"/>
    <w:rsid w:val="001E0779"/>
    <w:rsid w:val="001E244F"/>
    <w:rsid w:val="001E324E"/>
    <w:rsid w:val="001E44FB"/>
    <w:rsid w:val="001E586D"/>
    <w:rsid w:val="001E7FF1"/>
    <w:rsid w:val="001F05EA"/>
    <w:rsid w:val="001F09C3"/>
    <w:rsid w:val="001F293E"/>
    <w:rsid w:val="001F5C9F"/>
    <w:rsid w:val="001F7AF0"/>
    <w:rsid w:val="002041C5"/>
    <w:rsid w:val="002064C6"/>
    <w:rsid w:val="00206F33"/>
    <w:rsid w:val="00210693"/>
    <w:rsid w:val="0021124F"/>
    <w:rsid w:val="002114B8"/>
    <w:rsid w:val="00213618"/>
    <w:rsid w:val="00213D64"/>
    <w:rsid w:val="002150AB"/>
    <w:rsid w:val="002166E6"/>
    <w:rsid w:val="002177EE"/>
    <w:rsid w:val="00217A5C"/>
    <w:rsid w:val="00220B93"/>
    <w:rsid w:val="00224E1F"/>
    <w:rsid w:val="002268DC"/>
    <w:rsid w:val="002365E1"/>
    <w:rsid w:val="00241FDB"/>
    <w:rsid w:val="00255C52"/>
    <w:rsid w:val="00263298"/>
    <w:rsid w:val="00263DBC"/>
    <w:rsid w:val="00264125"/>
    <w:rsid w:val="00265B4F"/>
    <w:rsid w:val="002743D8"/>
    <w:rsid w:val="00277BDF"/>
    <w:rsid w:val="002821E2"/>
    <w:rsid w:val="002829EE"/>
    <w:rsid w:val="00284CDA"/>
    <w:rsid w:val="00291195"/>
    <w:rsid w:val="0029176D"/>
    <w:rsid w:val="00291E82"/>
    <w:rsid w:val="00293DCB"/>
    <w:rsid w:val="00293F7A"/>
    <w:rsid w:val="002954D9"/>
    <w:rsid w:val="002A1FFE"/>
    <w:rsid w:val="002B03E4"/>
    <w:rsid w:val="002B298E"/>
    <w:rsid w:val="002B344D"/>
    <w:rsid w:val="002B59E9"/>
    <w:rsid w:val="002B6E1F"/>
    <w:rsid w:val="002C21C3"/>
    <w:rsid w:val="002C7952"/>
    <w:rsid w:val="002D03F2"/>
    <w:rsid w:val="002D333C"/>
    <w:rsid w:val="002D3447"/>
    <w:rsid w:val="002D4991"/>
    <w:rsid w:val="002D4B2E"/>
    <w:rsid w:val="002D5066"/>
    <w:rsid w:val="002D5548"/>
    <w:rsid w:val="002E0807"/>
    <w:rsid w:val="002E48B9"/>
    <w:rsid w:val="002E4C24"/>
    <w:rsid w:val="002E72FE"/>
    <w:rsid w:val="002F01D2"/>
    <w:rsid w:val="002F12D8"/>
    <w:rsid w:val="002F277B"/>
    <w:rsid w:val="002F4035"/>
    <w:rsid w:val="002F5150"/>
    <w:rsid w:val="002F54C6"/>
    <w:rsid w:val="002F6E62"/>
    <w:rsid w:val="002F7C12"/>
    <w:rsid w:val="00303577"/>
    <w:rsid w:val="00303838"/>
    <w:rsid w:val="00304047"/>
    <w:rsid w:val="003041B2"/>
    <w:rsid w:val="00305535"/>
    <w:rsid w:val="003076FF"/>
    <w:rsid w:val="00310009"/>
    <w:rsid w:val="003110A0"/>
    <w:rsid w:val="00312550"/>
    <w:rsid w:val="00312925"/>
    <w:rsid w:val="003134BA"/>
    <w:rsid w:val="00313A3B"/>
    <w:rsid w:val="00321420"/>
    <w:rsid w:val="003225E3"/>
    <w:rsid w:val="003226FF"/>
    <w:rsid w:val="0032335A"/>
    <w:rsid w:val="00325DAF"/>
    <w:rsid w:val="00326457"/>
    <w:rsid w:val="003304A8"/>
    <w:rsid w:val="003359A1"/>
    <w:rsid w:val="00336A6C"/>
    <w:rsid w:val="00345D54"/>
    <w:rsid w:val="0034619C"/>
    <w:rsid w:val="003474CF"/>
    <w:rsid w:val="00347FA3"/>
    <w:rsid w:val="003525AC"/>
    <w:rsid w:val="003525F6"/>
    <w:rsid w:val="00356D20"/>
    <w:rsid w:val="00357E2C"/>
    <w:rsid w:val="003612DF"/>
    <w:rsid w:val="00361942"/>
    <w:rsid w:val="003627E7"/>
    <w:rsid w:val="0036590C"/>
    <w:rsid w:val="003665C3"/>
    <w:rsid w:val="003666FB"/>
    <w:rsid w:val="003667DE"/>
    <w:rsid w:val="003669F8"/>
    <w:rsid w:val="00370EE8"/>
    <w:rsid w:val="00372A2A"/>
    <w:rsid w:val="00374DFC"/>
    <w:rsid w:val="00375D92"/>
    <w:rsid w:val="0037652D"/>
    <w:rsid w:val="00376898"/>
    <w:rsid w:val="00381361"/>
    <w:rsid w:val="00384091"/>
    <w:rsid w:val="00385A2F"/>
    <w:rsid w:val="003904E2"/>
    <w:rsid w:val="00392BC6"/>
    <w:rsid w:val="003971CD"/>
    <w:rsid w:val="003A1ED8"/>
    <w:rsid w:val="003A24F7"/>
    <w:rsid w:val="003A5F53"/>
    <w:rsid w:val="003A6132"/>
    <w:rsid w:val="003B0A4E"/>
    <w:rsid w:val="003B0EEF"/>
    <w:rsid w:val="003B1067"/>
    <w:rsid w:val="003B21E0"/>
    <w:rsid w:val="003B571B"/>
    <w:rsid w:val="003B60DC"/>
    <w:rsid w:val="003B6105"/>
    <w:rsid w:val="003B7E92"/>
    <w:rsid w:val="003C0084"/>
    <w:rsid w:val="003C124D"/>
    <w:rsid w:val="003C15B6"/>
    <w:rsid w:val="003C3A1C"/>
    <w:rsid w:val="003C4EA9"/>
    <w:rsid w:val="003C5FAD"/>
    <w:rsid w:val="003D4BB5"/>
    <w:rsid w:val="003E0DE3"/>
    <w:rsid w:val="003E1DDA"/>
    <w:rsid w:val="003E692F"/>
    <w:rsid w:val="003E6C62"/>
    <w:rsid w:val="003F0FFC"/>
    <w:rsid w:val="003F140E"/>
    <w:rsid w:val="003F498A"/>
    <w:rsid w:val="00401AB9"/>
    <w:rsid w:val="004054A0"/>
    <w:rsid w:val="00406D5C"/>
    <w:rsid w:val="004108C9"/>
    <w:rsid w:val="0041282B"/>
    <w:rsid w:val="00413BB8"/>
    <w:rsid w:val="00413D4E"/>
    <w:rsid w:val="00414C0A"/>
    <w:rsid w:val="00416D83"/>
    <w:rsid w:val="0042315D"/>
    <w:rsid w:val="004250FF"/>
    <w:rsid w:val="00425D26"/>
    <w:rsid w:val="00426FD6"/>
    <w:rsid w:val="004310A2"/>
    <w:rsid w:val="0043304E"/>
    <w:rsid w:val="004376B8"/>
    <w:rsid w:val="00442C77"/>
    <w:rsid w:val="00442DCE"/>
    <w:rsid w:val="00446049"/>
    <w:rsid w:val="004502EB"/>
    <w:rsid w:val="00450409"/>
    <w:rsid w:val="00455F03"/>
    <w:rsid w:val="004576F8"/>
    <w:rsid w:val="00460EF3"/>
    <w:rsid w:val="00461D32"/>
    <w:rsid w:val="00465FA4"/>
    <w:rsid w:val="00466B80"/>
    <w:rsid w:val="004675B6"/>
    <w:rsid w:val="004713D1"/>
    <w:rsid w:val="0047299E"/>
    <w:rsid w:val="00474889"/>
    <w:rsid w:val="00474FC3"/>
    <w:rsid w:val="00476291"/>
    <w:rsid w:val="004765E5"/>
    <w:rsid w:val="00480F0F"/>
    <w:rsid w:val="00485A97"/>
    <w:rsid w:val="004873F4"/>
    <w:rsid w:val="00490C0D"/>
    <w:rsid w:val="00494029"/>
    <w:rsid w:val="0049729C"/>
    <w:rsid w:val="004A1184"/>
    <w:rsid w:val="004A5578"/>
    <w:rsid w:val="004A5DAF"/>
    <w:rsid w:val="004B106C"/>
    <w:rsid w:val="004B2984"/>
    <w:rsid w:val="004B33A8"/>
    <w:rsid w:val="004B3B2C"/>
    <w:rsid w:val="004B5097"/>
    <w:rsid w:val="004B5BAB"/>
    <w:rsid w:val="004B6F88"/>
    <w:rsid w:val="004C5E39"/>
    <w:rsid w:val="004C6002"/>
    <w:rsid w:val="004C65AC"/>
    <w:rsid w:val="004C7EFC"/>
    <w:rsid w:val="004D0525"/>
    <w:rsid w:val="004D12DE"/>
    <w:rsid w:val="004D14E4"/>
    <w:rsid w:val="004D3610"/>
    <w:rsid w:val="004D4136"/>
    <w:rsid w:val="004D53B5"/>
    <w:rsid w:val="004D5840"/>
    <w:rsid w:val="004D6E17"/>
    <w:rsid w:val="004E25CA"/>
    <w:rsid w:val="004E4FD6"/>
    <w:rsid w:val="004E7331"/>
    <w:rsid w:val="004F1C8E"/>
    <w:rsid w:val="004F3D0C"/>
    <w:rsid w:val="004F6002"/>
    <w:rsid w:val="00503482"/>
    <w:rsid w:val="00506731"/>
    <w:rsid w:val="00507921"/>
    <w:rsid w:val="005079A3"/>
    <w:rsid w:val="005105B7"/>
    <w:rsid w:val="00512211"/>
    <w:rsid w:val="00514C3F"/>
    <w:rsid w:val="005159C5"/>
    <w:rsid w:val="005166EB"/>
    <w:rsid w:val="005204C5"/>
    <w:rsid w:val="00522E90"/>
    <w:rsid w:val="005262D2"/>
    <w:rsid w:val="00526EE5"/>
    <w:rsid w:val="00530006"/>
    <w:rsid w:val="005305F7"/>
    <w:rsid w:val="00530DA3"/>
    <w:rsid w:val="00531226"/>
    <w:rsid w:val="00531379"/>
    <w:rsid w:val="00533F2B"/>
    <w:rsid w:val="00534850"/>
    <w:rsid w:val="00534B19"/>
    <w:rsid w:val="00535238"/>
    <w:rsid w:val="00535D74"/>
    <w:rsid w:val="00540A7A"/>
    <w:rsid w:val="0054466D"/>
    <w:rsid w:val="005479B4"/>
    <w:rsid w:val="0055113D"/>
    <w:rsid w:val="00552F1D"/>
    <w:rsid w:val="005577F3"/>
    <w:rsid w:val="0056036F"/>
    <w:rsid w:val="00562435"/>
    <w:rsid w:val="00563506"/>
    <w:rsid w:val="005640E5"/>
    <w:rsid w:val="00565D38"/>
    <w:rsid w:val="005664A9"/>
    <w:rsid w:val="005676ED"/>
    <w:rsid w:val="0057600C"/>
    <w:rsid w:val="005804BB"/>
    <w:rsid w:val="00581AC8"/>
    <w:rsid w:val="00581B35"/>
    <w:rsid w:val="00581F3D"/>
    <w:rsid w:val="0058375D"/>
    <w:rsid w:val="00583CDF"/>
    <w:rsid w:val="00584289"/>
    <w:rsid w:val="00587015"/>
    <w:rsid w:val="00591F6C"/>
    <w:rsid w:val="00592C1F"/>
    <w:rsid w:val="00592DE9"/>
    <w:rsid w:val="00593A91"/>
    <w:rsid w:val="0059497C"/>
    <w:rsid w:val="0059596C"/>
    <w:rsid w:val="00595B7A"/>
    <w:rsid w:val="005A31CB"/>
    <w:rsid w:val="005A3206"/>
    <w:rsid w:val="005A3681"/>
    <w:rsid w:val="005B0BA2"/>
    <w:rsid w:val="005B1109"/>
    <w:rsid w:val="005B5B11"/>
    <w:rsid w:val="005B65B8"/>
    <w:rsid w:val="005B6BF4"/>
    <w:rsid w:val="005B76B3"/>
    <w:rsid w:val="005B7721"/>
    <w:rsid w:val="005C1180"/>
    <w:rsid w:val="005C1C5F"/>
    <w:rsid w:val="005C408F"/>
    <w:rsid w:val="005C4270"/>
    <w:rsid w:val="005C5043"/>
    <w:rsid w:val="005C68B4"/>
    <w:rsid w:val="005C74EE"/>
    <w:rsid w:val="005D380E"/>
    <w:rsid w:val="005E0842"/>
    <w:rsid w:val="005E27E4"/>
    <w:rsid w:val="005E3850"/>
    <w:rsid w:val="005E4D88"/>
    <w:rsid w:val="005F5029"/>
    <w:rsid w:val="005F5510"/>
    <w:rsid w:val="0060089B"/>
    <w:rsid w:val="00601D16"/>
    <w:rsid w:val="006025DC"/>
    <w:rsid w:val="00603926"/>
    <w:rsid w:val="00603EDA"/>
    <w:rsid w:val="006065DE"/>
    <w:rsid w:val="0061068B"/>
    <w:rsid w:val="00610D50"/>
    <w:rsid w:val="00613C21"/>
    <w:rsid w:val="00616951"/>
    <w:rsid w:val="006177F2"/>
    <w:rsid w:val="006279BC"/>
    <w:rsid w:val="00635B50"/>
    <w:rsid w:val="006368A2"/>
    <w:rsid w:val="00640355"/>
    <w:rsid w:val="00640EED"/>
    <w:rsid w:val="0064241A"/>
    <w:rsid w:val="0065001B"/>
    <w:rsid w:val="00651913"/>
    <w:rsid w:val="00652F45"/>
    <w:rsid w:val="0066094D"/>
    <w:rsid w:val="006614E8"/>
    <w:rsid w:val="00662986"/>
    <w:rsid w:val="00666655"/>
    <w:rsid w:val="0067018C"/>
    <w:rsid w:val="00680934"/>
    <w:rsid w:val="00680F20"/>
    <w:rsid w:val="0068182F"/>
    <w:rsid w:val="00682B33"/>
    <w:rsid w:val="00690693"/>
    <w:rsid w:val="00692B47"/>
    <w:rsid w:val="00696018"/>
    <w:rsid w:val="00696E70"/>
    <w:rsid w:val="00697115"/>
    <w:rsid w:val="00697DFE"/>
    <w:rsid w:val="00697E4E"/>
    <w:rsid w:val="006A005B"/>
    <w:rsid w:val="006A072A"/>
    <w:rsid w:val="006A2145"/>
    <w:rsid w:val="006B439A"/>
    <w:rsid w:val="006C357F"/>
    <w:rsid w:val="006C3F61"/>
    <w:rsid w:val="006C43D2"/>
    <w:rsid w:val="006C4F44"/>
    <w:rsid w:val="006C55C9"/>
    <w:rsid w:val="006C5776"/>
    <w:rsid w:val="006D4C19"/>
    <w:rsid w:val="006D52D6"/>
    <w:rsid w:val="006D6468"/>
    <w:rsid w:val="006D675D"/>
    <w:rsid w:val="006D7984"/>
    <w:rsid w:val="006D7ACC"/>
    <w:rsid w:val="006E778D"/>
    <w:rsid w:val="006E7BD6"/>
    <w:rsid w:val="006F310B"/>
    <w:rsid w:val="006F4B26"/>
    <w:rsid w:val="006F59B1"/>
    <w:rsid w:val="006F6829"/>
    <w:rsid w:val="007026A1"/>
    <w:rsid w:val="00702A3C"/>
    <w:rsid w:val="00704FB4"/>
    <w:rsid w:val="00705811"/>
    <w:rsid w:val="00705887"/>
    <w:rsid w:val="00707D7C"/>
    <w:rsid w:val="007108A0"/>
    <w:rsid w:val="00712802"/>
    <w:rsid w:val="007135BD"/>
    <w:rsid w:val="00715390"/>
    <w:rsid w:val="007212EC"/>
    <w:rsid w:val="00723477"/>
    <w:rsid w:val="00725168"/>
    <w:rsid w:val="00725468"/>
    <w:rsid w:val="0072548F"/>
    <w:rsid w:val="00725534"/>
    <w:rsid w:val="00732996"/>
    <w:rsid w:val="00732CCD"/>
    <w:rsid w:val="00733510"/>
    <w:rsid w:val="007337A2"/>
    <w:rsid w:val="00741855"/>
    <w:rsid w:val="00745327"/>
    <w:rsid w:val="00747D75"/>
    <w:rsid w:val="00752385"/>
    <w:rsid w:val="00756152"/>
    <w:rsid w:val="0076243A"/>
    <w:rsid w:val="00762757"/>
    <w:rsid w:val="00763ACB"/>
    <w:rsid w:val="00767AFD"/>
    <w:rsid w:val="00773BC3"/>
    <w:rsid w:val="0077617B"/>
    <w:rsid w:val="00776C63"/>
    <w:rsid w:val="007807BD"/>
    <w:rsid w:val="00780BDE"/>
    <w:rsid w:val="00781986"/>
    <w:rsid w:val="0078311F"/>
    <w:rsid w:val="00784799"/>
    <w:rsid w:val="00785146"/>
    <w:rsid w:val="0078555B"/>
    <w:rsid w:val="007867D5"/>
    <w:rsid w:val="00786CB2"/>
    <w:rsid w:val="007871AC"/>
    <w:rsid w:val="007872D6"/>
    <w:rsid w:val="00787354"/>
    <w:rsid w:val="0079010A"/>
    <w:rsid w:val="00790895"/>
    <w:rsid w:val="00792C39"/>
    <w:rsid w:val="00794150"/>
    <w:rsid w:val="00795CAC"/>
    <w:rsid w:val="007A0F81"/>
    <w:rsid w:val="007A467C"/>
    <w:rsid w:val="007B0166"/>
    <w:rsid w:val="007B10CA"/>
    <w:rsid w:val="007B54D8"/>
    <w:rsid w:val="007B6102"/>
    <w:rsid w:val="007B66D4"/>
    <w:rsid w:val="007C0706"/>
    <w:rsid w:val="007C28F2"/>
    <w:rsid w:val="007C63CA"/>
    <w:rsid w:val="007C707C"/>
    <w:rsid w:val="007D027C"/>
    <w:rsid w:val="007D1778"/>
    <w:rsid w:val="007D2D7D"/>
    <w:rsid w:val="007D30A6"/>
    <w:rsid w:val="007D6E8A"/>
    <w:rsid w:val="007E0EE2"/>
    <w:rsid w:val="007E1F15"/>
    <w:rsid w:val="007E2A4F"/>
    <w:rsid w:val="007E2E03"/>
    <w:rsid w:val="007E3D3F"/>
    <w:rsid w:val="007E3E00"/>
    <w:rsid w:val="007E7994"/>
    <w:rsid w:val="007F0157"/>
    <w:rsid w:val="007F1783"/>
    <w:rsid w:val="007F2C53"/>
    <w:rsid w:val="007F438F"/>
    <w:rsid w:val="007F72CA"/>
    <w:rsid w:val="0080240D"/>
    <w:rsid w:val="00812F5A"/>
    <w:rsid w:val="00813DE5"/>
    <w:rsid w:val="00816328"/>
    <w:rsid w:val="00820F1E"/>
    <w:rsid w:val="00824152"/>
    <w:rsid w:val="00827017"/>
    <w:rsid w:val="0083090F"/>
    <w:rsid w:val="00830CDD"/>
    <w:rsid w:val="008331A4"/>
    <w:rsid w:val="0083345E"/>
    <w:rsid w:val="008341FB"/>
    <w:rsid w:val="008445EC"/>
    <w:rsid w:val="00856CC5"/>
    <w:rsid w:val="00862B0F"/>
    <w:rsid w:val="00863C0A"/>
    <w:rsid w:val="0086583E"/>
    <w:rsid w:val="00867B0B"/>
    <w:rsid w:val="008702D4"/>
    <w:rsid w:val="00872262"/>
    <w:rsid w:val="00876542"/>
    <w:rsid w:val="0087692D"/>
    <w:rsid w:val="00876990"/>
    <w:rsid w:val="00880774"/>
    <w:rsid w:val="00881D39"/>
    <w:rsid w:val="00884982"/>
    <w:rsid w:val="00885C37"/>
    <w:rsid w:val="00887605"/>
    <w:rsid w:val="00890396"/>
    <w:rsid w:val="00894FDB"/>
    <w:rsid w:val="00897972"/>
    <w:rsid w:val="008A236E"/>
    <w:rsid w:val="008A2A56"/>
    <w:rsid w:val="008A5B7C"/>
    <w:rsid w:val="008B2142"/>
    <w:rsid w:val="008B4566"/>
    <w:rsid w:val="008B7040"/>
    <w:rsid w:val="008C01D3"/>
    <w:rsid w:val="008C2DFE"/>
    <w:rsid w:val="008C5DE9"/>
    <w:rsid w:val="008D088B"/>
    <w:rsid w:val="008D1524"/>
    <w:rsid w:val="008D220B"/>
    <w:rsid w:val="008D3BAE"/>
    <w:rsid w:val="008D4006"/>
    <w:rsid w:val="008D5CC8"/>
    <w:rsid w:val="008D6369"/>
    <w:rsid w:val="008E3952"/>
    <w:rsid w:val="008E60D0"/>
    <w:rsid w:val="008E6502"/>
    <w:rsid w:val="008E6FC9"/>
    <w:rsid w:val="008F0DF9"/>
    <w:rsid w:val="008F7388"/>
    <w:rsid w:val="008F7A6A"/>
    <w:rsid w:val="00900CF3"/>
    <w:rsid w:val="00901697"/>
    <w:rsid w:val="00903C72"/>
    <w:rsid w:val="00904842"/>
    <w:rsid w:val="00905C9F"/>
    <w:rsid w:val="009118D4"/>
    <w:rsid w:val="009126A2"/>
    <w:rsid w:val="009133B5"/>
    <w:rsid w:val="00914157"/>
    <w:rsid w:val="00917BFC"/>
    <w:rsid w:val="00920093"/>
    <w:rsid w:val="009216F8"/>
    <w:rsid w:val="00923E6E"/>
    <w:rsid w:val="0092697A"/>
    <w:rsid w:val="00927B23"/>
    <w:rsid w:val="009307A6"/>
    <w:rsid w:val="00943D6C"/>
    <w:rsid w:val="009455C8"/>
    <w:rsid w:val="00945C24"/>
    <w:rsid w:val="009469D2"/>
    <w:rsid w:val="00946EB7"/>
    <w:rsid w:val="0095053D"/>
    <w:rsid w:val="00950A72"/>
    <w:rsid w:val="00950FF7"/>
    <w:rsid w:val="009512C1"/>
    <w:rsid w:val="00953644"/>
    <w:rsid w:val="00953A7A"/>
    <w:rsid w:val="00953BC1"/>
    <w:rsid w:val="009546F1"/>
    <w:rsid w:val="00956638"/>
    <w:rsid w:val="00966BCB"/>
    <w:rsid w:val="00970CED"/>
    <w:rsid w:val="00970F77"/>
    <w:rsid w:val="009722E2"/>
    <w:rsid w:val="00976793"/>
    <w:rsid w:val="00983C57"/>
    <w:rsid w:val="0098424B"/>
    <w:rsid w:val="009853EC"/>
    <w:rsid w:val="009859C1"/>
    <w:rsid w:val="00985FFF"/>
    <w:rsid w:val="00986CB2"/>
    <w:rsid w:val="009877F6"/>
    <w:rsid w:val="00987B3F"/>
    <w:rsid w:val="00990780"/>
    <w:rsid w:val="0099403C"/>
    <w:rsid w:val="00995DEE"/>
    <w:rsid w:val="00997D30"/>
    <w:rsid w:val="009A2324"/>
    <w:rsid w:val="009A2FD7"/>
    <w:rsid w:val="009A6294"/>
    <w:rsid w:val="009A7C24"/>
    <w:rsid w:val="009B0327"/>
    <w:rsid w:val="009B13A5"/>
    <w:rsid w:val="009B69FA"/>
    <w:rsid w:val="009C1A83"/>
    <w:rsid w:val="009C1BE5"/>
    <w:rsid w:val="009C3B1C"/>
    <w:rsid w:val="009C41A8"/>
    <w:rsid w:val="009C424F"/>
    <w:rsid w:val="009C43DA"/>
    <w:rsid w:val="009C63A8"/>
    <w:rsid w:val="009D0458"/>
    <w:rsid w:val="009D0499"/>
    <w:rsid w:val="009D097A"/>
    <w:rsid w:val="009D0F60"/>
    <w:rsid w:val="009D3CA3"/>
    <w:rsid w:val="009D3F6E"/>
    <w:rsid w:val="009D4A74"/>
    <w:rsid w:val="009D4DA5"/>
    <w:rsid w:val="009E0E82"/>
    <w:rsid w:val="009E3D87"/>
    <w:rsid w:val="009F1D17"/>
    <w:rsid w:val="009F27CD"/>
    <w:rsid w:val="009F2C71"/>
    <w:rsid w:val="009F4535"/>
    <w:rsid w:val="009F52CF"/>
    <w:rsid w:val="009F6EED"/>
    <w:rsid w:val="009F72B0"/>
    <w:rsid w:val="00A00077"/>
    <w:rsid w:val="00A01079"/>
    <w:rsid w:val="00A037EA"/>
    <w:rsid w:val="00A07716"/>
    <w:rsid w:val="00A102CA"/>
    <w:rsid w:val="00A11541"/>
    <w:rsid w:val="00A121F6"/>
    <w:rsid w:val="00A14DEE"/>
    <w:rsid w:val="00A15221"/>
    <w:rsid w:val="00A169C9"/>
    <w:rsid w:val="00A16D17"/>
    <w:rsid w:val="00A22D76"/>
    <w:rsid w:val="00A2374E"/>
    <w:rsid w:val="00A23FD8"/>
    <w:rsid w:val="00A2445E"/>
    <w:rsid w:val="00A25507"/>
    <w:rsid w:val="00A25790"/>
    <w:rsid w:val="00A27951"/>
    <w:rsid w:val="00A30402"/>
    <w:rsid w:val="00A30454"/>
    <w:rsid w:val="00A31F4A"/>
    <w:rsid w:val="00A325F6"/>
    <w:rsid w:val="00A326E1"/>
    <w:rsid w:val="00A33477"/>
    <w:rsid w:val="00A3417B"/>
    <w:rsid w:val="00A34A1E"/>
    <w:rsid w:val="00A36B54"/>
    <w:rsid w:val="00A42E2C"/>
    <w:rsid w:val="00A4480D"/>
    <w:rsid w:val="00A50FF2"/>
    <w:rsid w:val="00A515D6"/>
    <w:rsid w:val="00A5212C"/>
    <w:rsid w:val="00A52749"/>
    <w:rsid w:val="00A53583"/>
    <w:rsid w:val="00A54EB5"/>
    <w:rsid w:val="00A55D39"/>
    <w:rsid w:val="00A55F24"/>
    <w:rsid w:val="00A56005"/>
    <w:rsid w:val="00A57955"/>
    <w:rsid w:val="00A60151"/>
    <w:rsid w:val="00A60622"/>
    <w:rsid w:val="00A60A2E"/>
    <w:rsid w:val="00A656FB"/>
    <w:rsid w:val="00A6753A"/>
    <w:rsid w:val="00A70F1B"/>
    <w:rsid w:val="00A76E52"/>
    <w:rsid w:val="00A7766A"/>
    <w:rsid w:val="00A779BE"/>
    <w:rsid w:val="00A801DB"/>
    <w:rsid w:val="00A830D0"/>
    <w:rsid w:val="00A84E64"/>
    <w:rsid w:val="00A87B14"/>
    <w:rsid w:val="00A90080"/>
    <w:rsid w:val="00A9072C"/>
    <w:rsid w:val="00A91CFF"/>
    <w:rsid w:val="00A9495D"/>
    <w:rsid w:val="00A9580F"/>
    <w:rsid w:val="00A95D55"/>
    <w:rsid w:val="00A9777C"/>
    <w:rsid w:val="00AA32F4"/>
    <w:rsid w:val="00AA3939"/>
    <w:rsid w:val="00AA6B37"/>
    <w:rsid w:val="00AA724B"/>
    <w:rsid w:val="00AB054D"/>
    <w:rsid w:val="00AB32DE"/>
    <w:rsid w:val="00AB5FC9"/>
    <w:rsid w:val="00AB6DBB"/>
    <w:rsid w:val="00AC15E6"/>
    <w:rsid w:val="00AC1904"/>
    <w:rsid w:val="00AC2EE1"/>
    <w:rsid w:val="00AC4CF7"/>
    <w:rsid w:val="00AC594D"/>
    <w:rsid w:val="00AC7293"/>
    <w:rsid w:val="00AD2983"/>
    <w:rsid w:val="00AD3D96"/>
    <w:rsid w:val="00AE0393"/>
    <w:rsid w:val="00AE6C2C"/>
    <w:rsid w:val="00AE7698"/>
    <w:rsid w:val="00AF3121"/>
    <w:rsid w:val="00AF44A9"/>
    <w:rsid w:val="00AF4F1D"/>
    <w:rsid w:val="00AF7EA6"/>
    <w:rsid w:val="00B01622"/>
    <w:rsid w:val="00B03246"/>
    <w:rsid w:val="00B132C1"/>
    <w:rsid w:val="00B135FF"/>
    <w:rsid w:val="00B141C8"/>
    <w:rsid w:val="00B162FF"/>
    <w:rsid w:val="00B16C46"/>
    <w:rsid w:val="00B22D29"/>
    <w:rsid w:val="00B23E47"/>
    <w:rsid w:val="00B27B14"/>
    <w:rsid w:val="00B27B83"/>
    <w:rsid w:val="00B30754"/>
    <w:rsid w:val="00B31F8E"/>
    <w:rsid w:val="00B324A5"/>
    <w:rsid w:val="00B37251"/>
    <w:rsid w:val="00B50272"/>
    <w:rsid w:val="00B51128"/>
    <w:rsid w:val="00B51FEB"/>
    <w:rsid w:val="00B536CB"/>
    <w:rsid w:val="00B56B12"/>
    <w:rsid w:val="00B57CE7"/>
    <w:rsid w:val="00B60583"/>
    <w:rsid w:val="00B60A10"/>
    <w:rsid w:val="00B62EB9"/>
    <w:rsid w:val="00B646B9"/>
    <w:rsid w:val="00B65D54"/>
    <w:rsid w:val="00B65DDD"/>
    <w:rsid w:val="00B7034F"/>
    <w:rsid w:val="00B721A9"/>
    <w:rsid w:val="00B722F7"/>
    <w:rsid w:val="00B72B15"/>
    <w:rsid w:val="00B7415B"/>
    <w:rsid w:val="00B7475D"/>
    <w:rsid w:val="00B747A0"/>
    <w:rsid w:val="00B76019"/>
    <w:rsid w:val="00B821A2"/>
    <w:rsid w:val="00B82658"/>
    <w:rsid w:val="00B83E79"/>
    <w:rsid w:val="00B8669C"/>
    <w:rsid w:val="00B87784"/>
    <w:rsid w:val="00B90016"/>
    <w:rsid w:val="00B93758"/>
    <w:rsid w:val="00B94096"/>
    <w:rsid w:val="00B94D5F"/>
    <w:rsid w:val="00B96345"/>
    <w:rsid w:val="00B964D9"/>
    <w:rsid w:val="00BA7391"/>
    <w:rsid w:val="00BB19F9"/>
    <w:rsid w:val="00BB5801"/>
    <w:rsid w:val="00BB6ECD"/>
    <w:rsid w:val="00BB71E0"/>
    <w:rsid w:val="00BC3D58"/>
    <w:rsid w:val="00BC6411"/>
    <w:rsid w:val="00BC66B3"/>
    <w:rsid w:val="00BD0160"/>
    <w:rsid w:val="00BD3A61"/>
    <w:rsid w:val="00BD3F5A"/>
    <w:rsid w:val="00BD4D40"/>
    <w:rsid w:val="00BD5B0B"/>
    <w:rsid w:val="00BD65F2"/>
    <w:rsid w:val="00BE0305"/>
    <w:rsid w:val="00BE2AD7"/>
    <w:rsid w:val="00BE4F78"/>
    <w:rsid w:val="00BE7DC7"/>
    <w:rsid w:val="00BF17CD"/>
    <w:rsid w:val="00BF523A"/>
    <w:rsid w:val="00BF6724"/>
    <w:rsid w:val="00C00F37"/>
    <w:rsid w:val="00C0106A"/>
    <w:rsid w:val="00C02F30"/>
    <w:rsid w:val="00C03DE6"/>
    <w:rsid w:val="00C0710F"/>
    <w:rsid w:val="00C130FC"/>
    <w:rsid w:val="00C1582D"/>
    <w:rsid w:val="00C17E31"/>
    <w:rsid w:val="00C20F34"/>
    <w:rsid w:val="00C22E00"/>
    <w:rsid w:val="00C2544D"/>
    <w:rsid w:val="00C257E7"/>
    <w:rsid w:val="00C26629"/>
    <w:rsid w:val="00C30DE0"/>
    <w:rsid w:val="00C31670"/>
    <w:rsid w:val="00C34E82"/>
    <w:rsid w:val="00C40028"/>
    <w:rsid w:val="00C40785"/>
    <w:rsid w:val="00C408A7"/>
    <w:rsid w:val="00C40BCF"/>
    <w:rsid w:val="00C415C0"/>
    <w:rsid w:val="00C41C47"/>
    <w:rsid w:val="00C42FB0"/>
    <w:rsid w:val="00C460F0"/>
    <w:rsid w:val="00C47411"/>
    <w:rsid w:val="00C52AFA"/>
    <w:rsid w:val="00C55F43"/>
    <w:rsid w:val="00C607BC"/>
    <w:rsid w:val="00C60B50"/>
    <w:rsid w:val="00C61D63"/>
    <w:rsid w:val="00C649EE"/>
    <w:rsid w:val="00C726AB"/>
    <w:rsid w:val="00C731E0"/>
    <w:rsid w:val="00C742B6"/>
    <w:rsid w:val="00C74AA4"/>
    <w:rsid w:val="00C74CE4"/>
    <w:rsid w:val="00C75CBC"/>
    <w:rsid w:val="00C817D6"/>
    <w:rsid w:val="00C82622"/>
    <w:rsid w:val="00C845DA"/>
    <w:rsid w:val="00C85B38"/>
    <w:rsid w:val="00C92ED3"/>
    <w:rsid w:val="00C93DF1"/>
    <w:rsid w:val="00C95017"/>
    <w:rsid w:val="00C97B5C"/>
    <w:rsid w:val="00CA200A"/>
    <w:rsid w:val="00CA2C93"/>
    <w:rsid w:val="00CA4BA5"/>
    <w:rsid w:val="00CA52EE"/>
    <w:rsid w:val="00CA61A3"/>
    <w:rsid w:val="00CA7944"/>
    <w:rsid w:val="00CB0798"/>
    <w:rsid w:val="00CB3948"/>
    <w:rsid w:val="00CB3E07"/>
    <w:rsid w:val="00CB5F69"/>
    <w:rsid w:val="00CB6129"/>
    <w:rsid w:val="00CB67AA"/>
    <w:rsid w:val="00CC104A"/>
    <w:rsid w:val="00CC3AD2"/>
    <w:rsid w:val="00CC5965"/>
    <w:rsid w:val="00CC7673"/>
    <w:rsid w:val="00CD2A99"/>
    <w:rsid w:val="00CD35C8"/>
    <w:rsid w:val="00CD665C"/>
    <w:rsid w:val="00CD717E"/>
    <w:rsid w:val="00CE09E6"/>
    <w:rsid w:val="00CE1C4F"/>
    <w:rsid w:val="00CE412E"/>
    <w:rsid w:val="00CE78F3"/>
    <w:rsid w:val="00CF4555"/>
    <w:rsid w:val="00CF5887"/>
    <w:rsid w:val="00CF59A7"/>
    <w:rsid w:val="00CF7EC2"/>
    <w:rsid w:val="00D02343"/>
    <w:rsid w:val="00D03F73"/>
    <w:rsid w:val="00D04AAA"/>
    <w:rsid w:val="00D04BFC"/>
    <w:rsid w:val="00D04FEA"/>
    <w:rsid w:val="00D058A2"/>
    <w:rsid w:val="00D075B6"/>
    <w:rsid w:val="00D102AD"/>
    <w:rsid w:val="00D127F3"/>
    <w:rsid w:val="00D13F82"/>
    <w:rsid w:val="00D171D7"/>
    <w:rsid w:val="00D2020C"/>
    <w:rsid w:val="00D203A6"/>
    <w:rsid w:val="00D21D3E"/>
    <w:rsid w:val="00D2502E"/>
    <w:rsid w:val="00D26818"/>
    <w:rsid w:val="00D32BE0"/>
    <w:rsid w:val="00D342A7"/>
    <w:rsid w:val="00D4094D"/>
    <w:rsid w:val="00D40BF3"/>
    <w:rsid w:val="00D4494D"/>
    <w:rsid w:val="00D50CDB"/>
    <w:rsid w:val="00D52B91"/>
    <w:rsid w:val="00D5478B"/>
    <w:rsid w:val="00D55B6D"/>
    <w:rsid w:val="00D62BE4"/>
    <w:rsid w:val="00D6333A"/>
    <w:rsid w:val="00D638A0"/>
    <w:rsid w:val="00D671FA"/>
    <w:rsid w:val="00D716C0"/>
    <w:rsid w:val="00D74963"/>
    <w:rsid w:val="00D7535B"/>
    <w:rsid w:val="00D7605C"/>
    <w:rsid w:val="00D82CFD"/>
    <w:rsid w:val="00D82F87"/>
    <w:rsid w:val="00D834DB"/>
    <w:rsid w:val="00D850EE"/>
    <w:rsid w:val="00D90D13"/>
    <w:rsid w:val="00D942B7"/>
    <w:rsid w:val="00D946FE"/>
    <w:rsid w:val="00D978D1"/>
    <w:rsid w:val="00D97D76"/>
    <w:rsid w:val="00DA45B1"/>
    <w:rsid w:val="00DA4C52"/>
    <w:rsid w:val="00DB39A5"/>
    <w:rsid w:val="00DB47F4"/>
    <w:rsid w:val="00DB5149"/>
    <w:rsid w:val="00DB71AC"/>
    <w:rsid w:val="00DB7515"/>
    <w:rsid w:val="00DC40C6"/>
    <w:rsid w:val="00DC4370"/>
    <w:rsid w:val="00DC487F"/>
    <w:rsid w:val="00DC7E55"/>
    <w:rsid w:val="00DD42A0"/>
    <w:rsid w:val="00DD691B"/>
    <w:rsid w:val="00DD72A3"/>
    <w:rsid w:val="00DD7581"/>
    <w:rsid w:val="00DD78E7"/>
    <w:rsid w:val="00DD7F40"/>
    <w:rsid w:val="00DE13B3"/>
    <w:rsid w:val="00DE2C48"/>
    <w:rsid w:val="00DE5D14"/>
    <w:rsid w:val="00DE7987"/>
    <w:rsid w:val="00DF1502"/>
    <w:rsid w:val="00DF4A28"/>
    <w:rsid w:val="00DF52B4"/>
    <w:rsid w:val="00DF6200"/>
    <w:rsid w:val="00DF7645"/>
    <w:rsid w:val="00E014A2"/>
    <w:rsid w:val="00E03D39"/>
    <w:rsid w:val="00E0433C"/>
    <w:rsid w:val="00E0459C"/>
    <w:rsid w:val="00E04C61"/>
    <w:rsid w:val="00E06177"/>
    <w:rsid w:val="00E1147B"/>
    <w:rsid w:val="00E14711"/>
    <w:rsid w:val="00E1520F"/>
    <w:rsid w:val="00E15294"/>
    <w:rsid w:val="00E16148"/>
    <w:rsid w:val="00E16D01"/>
    <w:rsid w:val="00E1751F"/>
    <w:rsid w:val="00E2171D"/>
    <w:rsid w:val="00E233C3"/>
    <w:rsid w:val="00E2532E"/>
    <w:rsid w:val="00E2613B"/>
    <w:rsid w:val="00E264BE"/>
    <w:rsid w:val="00E3034E"/>
    <w:rsid w:val="00E3651B"/>
    <w:rsid w:val="00E37096"/>
    <w:rsid w:val="00E415A7"/>
    <w:rsid w:val="00E41A5C"/>
    <w:rsid w:val="00E44DE0"/>
    <w:rsid w:val="00E468D9"/>
    <w:rsid w:val="00E477D1"/>
    <w:rsid w:val="00E516BD"/>
    <w:rsid w:val="00E5203A"/>
    <w:rsid w:val="00E52C2C"/>
    <w:rsid w:val="00E5386F"/>
    <w:rsid w:val="00E55817"/>
    <w:rsid w:val="00E60073"/>
    <w:rsid w:val="00E60131"/>
    <w:rsid w:val="00E653D3"/>
    <w:rsid w:val="00E65509"/>
    <w:rsid w:val="00E67C9D"/>
    <w:rsid w:val="00E72FA6"/>
    <w:rsid w:val="00E73E99"/>
    <w:rsid w:val="00E75B8E"/>
    <w:rsid w:val="00E8301D"/>
    <w:rsid w:val="00E87F0D"/>
    <w:rsid w:val="00E90255"/>
    <w:rsid w:val="00E9296D"/>
    <w:rsid w:val="00E9323F"/>
    <w:rsid w:val="00E93D52"/>
    <w:rsid w:val="00E94A03"/>
    <w:rsid w:val="00E95410"/>
    <w:rsid w:val="00EA19A0"/>
    <w:rsid w:val="00EA1A3B"/>
    <w:rsid w:val="00EA3841"/>
    <w:rsid w:val="00EB4DB8"/>
    <w:rsid w:val="00EB5464"/>
    <w:rsid w:val="00EB58E4"/>
    <w:rsid w:val="00EB734A"/>
    <w:rsid w:val="00EB7787"/>
    <w:rsid w:val="00EB7DBD"/>
    <w:rsid w:val="00EC208E"/>
    <w:rsid w:val="00EC262D"/>
    <w:rsid w:val="00EC3F3B"/>
    <w:rsid w:val="00EC5951"/>
    <w:rsid w:val="00EC5994"/>
    <w:rsid w:val="00ED243C"/>
    <w:rsid w:val="00ED2C2B"/>
    <w:rsid w:val="00ED3A83"/>
    <w:rsid w:val="00ED4563"/>
    <w:rsid w:val="00ED51EF"/>
    <w:rsid w:val="00ED79EA"/>
    <w:rsid w:val="00EE3C17"/>
    <w:rsid w:val="00EE418C"/>
    <w:rsid w:val="00EE4CEB"/>
    <w:rsid w:val="00EE52AB"/>
    <w:rsid w:val="00EE7354"/>
    <w:rsid w:val="00EE783F"/>
    <w:rsid w:val="00EF0058"/>
    <w:rsid w:val="00EF051B"/>
    <w:rsid w:val="00EF1C8F"/>
    <w:rsid w:val="00EF26DE"/>
    <w:rsid w:val="00EF32AD"/>
    <w:rsid w:val="00EF574D"/>
    <w:rsid w:val="00EF6330"/>
    <w:rsid w:val="00EF7B0E"/>
    <w:rsid w:val="00F00DCB"/>
    <w:rsid w:val="00F01FA6"/>
    <w:rsid w:val="00F03387"/>
    <w:rsid w:val="00F04B4E"/>
    <w:rsid w:val="00F1456E"/>
    <w:rsid w:val="00F16E3F"/>
    <w:rsid w:val="00F200F0"/>
    <w:rsid w:val="00F23492"/>
    <w:rsid w:val="00F25DE8"/>
    <w:rsid w:val="00F322C0"/>
    <w:rsid w:val="00F35B03"/>
    <w:rsid w:val="00F362D0"/>
    <w:rsid w:val="00F37BB6"/>
    <w:rsid w:val="00F41D5F"/>
    <w:rsid w:val="00F4352B"/>
    <w:rsid w:val="00F45CAA"/>
    <w:rsid w:val="00F469B7"/>
    <w:rsid w:val="00F47A51"/>
    <w:rsid w:val="00F5071F"/>
    <w:rsid w:val="00F50F5B"/>
    <w:rsid w:val="00F513FE"/>
    <w:rsid w:val="00F51681"/>
    <w:rsid w:val="00F51B07"/>
    <w:rsid w:val="00F56B7A"/>
    <w:rsid w:val="00F61F0A"/>
    <w:rsid w:val="00F67CC7"/>
    <w:rsid w:val="00F720A3"/>
    <w:rsid w:val="00F77D32"/>
    <w:rsid w:val="00F8508C"/>
    <w:rsid w:val="00F87F7B"/>
    <w:rsid w:val="00F96992"/>
    <w:rsid w:val="00F97AFA"/>
    <w:rsid w:val="00FA2F5A"/>
    <w:rsid w:val="00FA52DF"/>
    <w:rsid w:val="00FA6DAF"/>
    <w:rsid w:val="00FA6E28"/>
    <w:rsid w:val="00FB04BA"/>
    <w:rsid w:val="00FB3BF1"/>
    <w:rsid w:val="00FB3F18"/>
    <w:rsid w:val="00FB4146"/>
    <w:rsid w:val="00FB7547"/>
    <w:rsid w:val="00FC2D8D"/>
    <w:rsid w:val="00FC38BB"/>
    <w:rsid w:val="00FC4097"/>
    <w:rsid w:val="00FC6FAA"/>
    <w:rsid w:val="00FC7773"/>
    <w:rsid w:val="00FD20E7"/>
    <w:rsid w:val="00FD2630"/>
    <w:rsid w:val="00FD3EA1"/>
    <w:rsid w:val="00FE21D8"/>
    <w:rsid w:val="00FE3165"/>
    <w:rsid w:val="00FE3AD4"/>
    <w:rsid w:val="00FE48B3"/>
    <w:rsid w:val="00FE55C5"/>
    <w:rsid w:val="00FE7840"/>
    <w:rsid w:val="00FF1E41"/>
    <w:rsid w:val="00FF2747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F32B593"/>
  <w15:docId w15:val="{17EFB8F4-56C3-4EFE-8B8E-97B543E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A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A2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03EDA"/>
  </w:style>
  <w:style w:type="character" w:styleId="FollowedHyperlink">
    <w:name w:val="FollowedHyperlink"/>
    <w:basedOn w:val="DefaultParagraphFont"/>
    <w:uiPriority w:val="99"/>
    <w:semiHidden/>
    <w:unhideWhenUsed/>
    <w:rsid w:val="00B5112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24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Ilieva@mzh.government.bg" TargetMode="External"/><Relationship Id="rId18" Type="http://schemas.openxmlformats.org/officeDocument/2006/relationships/image" Target="media/image5.wmf"/><Relationship Id="rId26" Type="http://schemas.openxmlformats.org/officeDocument/2006/relationships/control" Target="activeX/activeX9.xml"/><Relationship Id="rId39" Type="http://schemas.openxmlformats.org/officeDocument/2006/relationships/control" Target="activeX/activeX17.xml"/><Relationship Id="rId21" Type="http://schemas.openxmlformats.org/officeDocument/2006/relationships/control" Target="activeX/activeX6.xml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image" Target="media/image14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image" Target="media/image11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1.xml"/><Relationship Id="rId35" Type="http://schemas.openxmlformats.org/officeDocument/2006/relationships/image" Target="media/image13.wmf"/><Relationship Id="rId43" Type="http://schemas.openxmlformats.org/officeDocument/2006/relationships/header" Target="header2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&#1054;&#1056;etkov@mzh.government.bg" TargetMode="External"/><Relationship Id="rId17" Type="http://schemas.openxmlformats.org/officeDocument/2006/relationships/control" Target="activeX/activeX4.xml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6.xml"/><Relationship Id="rId20" Type="http://schemas.openxmlformats.org/officeDocument/2006/relationships/image" Target="media/image6.wmf"/><Relationship Id="rId41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E5A92wDgi5AGWNVXiyE01cnFsgYp4DNX7SKmPNqEi5Y=</DigestValue>
    </Reference>
    <Reference Type="http://www.w3.org/2000/09/xmldsig#Object" URI="#idOfficeObject">
      <DigestMethod Algorithm="http://www.w3.org/2001/04/xmlenc#sha256"/>
      <DigestValue>CYOCu/W2G4zTzegvYqTs3lLHGBVoShpUgufE5/SuVEc=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jZlwdxkLaNvLZqupI57TgRnh/eW4L8HuElhNLmCOM7k=</DigestValue>
    </Reference>
    <Reference Type="http://www.w3.org/2000/09/xmldsig#Object" URI="#idValidSigLnImg">
      <DigestMethod Algorithm="http://www.w3.org/2001/04/xmlenc#sha256"/>
      <DigestValue>1Dk9ZAfvv5TK3K2Ra26X4tOgBrb5kG1nB2Zmeiw/geE=</DigestValue>
    </Reference>
    <Reference Type="http://www.w3.org/2000/09/xmldsig#Object" URI="#idInvalidSigLnImg">
      <DigestMethod Algorithm="http://www.w3.org/2001/04/xmlenc#sha256"/>
      <DigestValue>QixXA4vZ+aicgo22pxM7bomB3y/4BbmFr+T1K7TEmsE=</DigestValue>
    </Reference>
  </SignedInfo>
  <SignatureValue>jrQltMoiS8/bMvHyDb6ROXMCfPaacowwmXmGrAwX4sxLgW7m0iMRrT1GWPc3YFe/GDNn2xDPmrFf
+qCn+0G0n9ReXoPsZED43aP6SM/t/KsiIUn9pK0fbt/5AbBYp9N7HjvPp6tcdglo0eRMkdU6bELv
3UMUu3DExfzaQzWsr5prPnQV1p+STRRxTrYPA0gxbaS+rgEqGG8T2r+qMqGt71g2YAlWBQmTAbsK
1TLTGuLwC/gNZa6uy5mFiU7JtcfjcwqQBfhF4uM/keJ1KQdZn1Yw+Yh9ExxL0masED4tv32gv5XL
7p1ei/JzMdDsyg+kVs2S8472Y+tO5LnlZawlIA==</SignatureValue>
  <KeyInfo>
    <X509Data>
      <X509Certificate>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RKwa2U4+vybX8mxjY15dXxdmnrQ3SKQHl941RSqeMvM=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vdG4nJMJbLWxiED/9q+G5k0234ZIF+oIyErqoUjhtnI=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ALsjd8rEElrRwfJI+qc3KRm6AjV9c4cFv2bODrlESxY=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QYRgK79p2bulP/Sgp2XIxgSFcFjLb5wqTsU/04CnAhA=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myXc/tORC3mfhHc9h5VGbdiIvBQ+QS3gztvDPV/o9KA=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y6ajxDkp5C+UFcsX8lYIMkvgDswmMAAVPCnTUfNYMNU=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ZFHVhMd0+ST/Yr3MXIqbBnMn7fDyDD/JcMznrQ0sLIk=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8x51Hb0IaJH7YiNuaYv+W/ltg4B67iGXGIkzDmQR20Q=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rF5lS6AJ0gAQBw3yfKDKpjEw940cgzMu+g21jTkHmoY=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RbswRJbOVDLWtaCVsbrwPGUaK/oFoTS+ZOPDeBiVaDo=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4p8b0vnTzcSmoqL5BD9+OKaAAh23RMABvhLJ2EozaQA=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A1PFJfwb0YAogdgwE7sekuwBpQ4y8HjXYoMch/BTjt4=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hLJNKz97G/oX02GSF61AEZHMo/6HlKE6hiXNn+OTbnk=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fhi+g+1EPnMvEK5F6XL5WU70V2jKAoF4EC0H/Zjg2Hg=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F+ikrvb/4LkbZPD9xDzCIAZ+xnL5O0jFiNfAxA7+b0k=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mJ82xAH4Wq1ph/1BhQ7S4UBBtSNINq5P+JCXJVvZu2M=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RPv+RYuYEHjAcprbWPR1M3pe5dXT5ONLW72j7zIAwAA=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51nNkSJR0rcu2xibvzOnGfWA146GDvyahUKE2dazCDc=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EQgAddj9VA+NRqzdZw2wCkA9G99bPbFO1Wzdo3Audow=</DigestValue>
      </Reference>
      <Reference URI="/word/endnotes.xml?ContentType=application/vnd.openxmlformats-officedocument.wordprocessingml.endnotes+xml">
        <DigestMethod Algorithm="http://www.w3.org/2001/04/xmlenc#sha256"/>
        <DigestValue>egF38PbW4d2YLp2b7VQiEE8oYsHqeQZ0CFhX4qnSqp0=</DigestValue>
      </Reference>
      <Reference URI="/word/fontTable.xml?ContentType=application/vnd.openxmlformats-officedocument.wordprocessingml.fontTable+xml">
        <DigestMethod Algorithm="http://www.w3.org/2001/04/xmlenc#sha256"/>
        <DigestValue>hR1BzCe5zWV6x/rjguiN3RBqmTIMUm3oD7s+S1bhi2c=</DigestValue>
      </Reference>
      <Reference URI="/word/footer1.xml?ContentType=application/vnd.openxmlformats-officedocument.wordprocessingml.footer+xml">
        <DigestMethod Algorithm="http://www.w3.org/2001/04/xmlenc#sha256"/>
        <DigestValue>xFj3oVRXGmB+v+7hGSVd4hVdFl9PTx6QAasbfI+Rxh4=</DigestValue>
      </Reference>
      <Reference URI="/word/footnotes.xml?ContentType=application/vnd.openxmlformats-officedocument.wordprocessingml.footnotes+xml">
        <DigestMethod Algorithm="http://www.w3.org/2001/04/xmlenc#sha256"/>
        <DigestValue>X69f4hLDFPSYnrS7ePjXjQFWkGU2bcTvTPqAJn2tfGY=</DigestValue>
      </Reference>
      <Reference URI="/word/header1.xml?ContentType=application/vnd.openxmlformats-officedocument.wordprocessingml.header+xml">
        <DigestMethod Algorithm="http://www.w3.org/2001/04/xmlenc#sha256"/>
        <DigestValue>nvHoagzUCLYNIkwTRZD8MYUS92KEeUwqVA1KcBHvymE=</DigestValue>
      </Reference>
      <Reference URI="/word/header2.xml?ContentType=application/vnd.openxmlformats-officedocument.wordprocessingml.header+xml">
        <DigestMethod Algorithm="http://www.w3.org/2001/04/xmlenc#sha256"/>
        <DigestValue>Daa4SeGghi6urVOsbzXx8Ab64XEJxls/AZmH+ZiWj/A=</DigestValue>
      </Reference>
      <Reference URI="/word/media/image1.wmf?ContentType=image/x-wmf">
        <DigestMethod Algorithm="http://www.w3.org/2001/04/xmlenc#sha256"/>
        <DigestValue>HTzawgu/gesIoX2BVBqPtbXo9eCheWTAhp63LSbnyFo=</DigestValue>
      </Reference>
      <Reference URI="/word/media/image10.wmf?ContentType=image/x-wmf">
        <DigestMethod Algorithm="http://www.w3.org/2001/04/xmlenc#sha256"/>
        <DigestValue>JvZaVnpSzavTwbWyMgfX32/JqBg2vF8A4p5JZEH3zXY=</DigestValue>
      </Reference>
      <Reference URI="/word/media/image11.wmf?ContentType=image/x-wmf">
        <DigestMethod Algorithm="http://www.w3.org/2001/04/xmlenc#sha256"/>
        <DigestValue>NFMoFArjwXkeQUIerGaGR960740P/c/U76c+McXppj4=</DigestValue>
      </Reference>
      <Reference URI="/word/media/image12.wmf?ContentType=image/x-wmf">
        <DigestMethod Algorithm="http://www.w3.org/2001/04/xmlenc#sha256"/>
        <DigestValue>nGd4wSxXYidyujrQjtSm7hkWDG73G1eLXpfxB49pvgA=</DigestValue>
      </Reference>
      <Reference URI="/word/media/image13.wmf?ContentType=image/x-wmf">
        <DigestMethod Algorithm="http://www.w3.org/2001/04/xmlenc#sha256"/>
        <DigestValue>nSF9eO8ODTKuMB7azWckVAUiUuKcFBEKdOtkAWnE1Zw=</DigestValue>
      </Reference>
      <Reference URI="/word/media/image14.emf?ContentType=image/x-emf">
        <DigestMethod Algorithm="http://www.w3.org/2001/04/xmlenc#sha256"/>
        <DigestValue>Z6FLd4jWxoIz2PjoPIiYOBgsiXxTmKHzHniuzGdldck=</DigestValue>
      </Reference>
      <Reference URI="/word/media/image2.wmf?ContentType=image/x-wmf">
        <DigestMethod Algorithm="http://www.w3.org/2001/04/xmlenc#sha256"/>
        <DigestValue>SOpVEvetuzYCLJH+HJ1001J9fKdPW+7VV2aM3OOLyNg=</DigestValue>
      </Reference>
      <Reference URI="/word/media/image3.wmf?ContentType=image/x-wmf">
        <DigestMethod Algorithm="http://www.w3.org/2001/04/xmlenc#sha256"/>
        <DigestValue>4W1o5JvlPiJpoQvZJLmG972RpZ+Z2LLFQ0Geyj7cAk0=</DigestValue>
      </Reference>
      <Reference URI="/word/media/image4.wmf?ContentType=image/x-wmf">
        <DigestMethod Algorithm="http://www.w3.org/2001/04/xmlenc#sha256"/>
        <DigestValue>LdrkbtFlPTClFTEk526UeTWjfnn8tePyHPF3rdBDZMk=</DigestValue>
      </Reference>
      <Reference URI="/word/media/image5.wmf?ContentType=image/x-wmf">
        <DigestMethod Algorithm="http://www.w3.org/2001/04/xmlenc#sha256"/>
        <DigestValue>PrI8KsQ7uFUQxwAkmWV8i8FAjfrEkz96oJoYceDPrz8=</DigestValue>
      </Reference>
      <Reference URI="/word/media/image6.wmf?ContentType=image/x-wmf">
        <DigestMethod Algorithm="http://www.w3.org/2001/04/xmlenc#sha256"/>
        <DigestValue>ik/xgayLFvfIuKTW9d0iMY2ufAqy+fSNNeV7jM6UE/c=</DigestValue>
      </Reference>
      <Reference URI="/word/media/image7.wmf?ContentType=image/x-wmf">
        <DigestMethod Algorithm="http://www.w3.org/2001/04/xmlenc#sha256"/>
        <DigestValue>Dbhr/6sHwN7XYJr9U8VqSZErBpKgSZExbvqjKoJax9s=</DigestValue>
      </Reference>
      <Reference URI="/word/media/image8.wmf?ContentType=image/x-wmf">
        <DigestMethod Algorithm="http://www.w3.org/2001/04/xmlenc#sha256"/>
        <DigestValue>5XiinGHii/fn7u/lEM+GLXD11ywMIUx3DBnWPUtatyQ=</DigestValue>
      </Reference>
      <Reference URI="/word/media/image9.wmf?ContentType=image/x-wmf">
        <DigestMethod Algorithm="http://www.w3.org/2001/04/xmlenc#sha256"/>
        <DigestValue>iL1AkbyD1yYJOqazBj5hQmt7rxz6ourXIh9DB0QmNbI=</DigestValue>
      </Reference>
      <Reference URI="/word/numbering.xml?ContentType=application/vnd.openxmlformats-officedocument.wordprocessingml.numbering+xml">
        <DigestMethod Algorithm="http://www.w3.org/2001/04/xmlenc#sha256"/>
        <DigestValue>RP9L2EXXGeWK3ue0bm3NxN3lq3EdLQDYFAipaDUWUeE=</DigestValue>
      </Reference>
      <Reference URI="/word/settings.xml?ContentType=application/vnd.openxmlformats-officedocument.wordprocessingml.settings+xml">
        <DigestMethod Algorithm="http://www.w3.org/2001/04/xmlenc#sha256"/>
        <DigestValue>YgOQJlJb3Q/in7C3m2Howb98+QhcNM6V0qPmHQcO3eA=</DigestValue>
      </Reference>
      <Reference URI="/word/styles.xml?ContentType=application/vnd.openxmlformats-officedocument.wordprocessingml.styles+xml">
        <DigestMethod Algorithm="http://www.w3.org/2001/04/xmlenc#sha256"/>
        <DigestValue>IDSdUladV6rlmcPbniuWKdjOPGizXaGejh7xbw7kRrA=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nFkrcGgM3R6xrOHqMTEDn9mvOd3/oxqzo4bzP6byWKE=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2025-07-25T08:11:17Z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{012887DA-153C-438C-B711-B64FB0C78971}</SetupID>
          <SignatureText>Деница Динчева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2025-07-25T08:11:17Z</xd:SigningTime>
          <xd:SigningCertificate>
            <xd:Cert>
              <xd:CertDigest>
                <DigestMethod Algorithm="http://www.w3.org/2001/04/xmlenc#sha256"/>
                <DigestValue>eWspdVUlH1uo23zAgE5MGxxxAhm6+6hRvnEoqUJxkfg=</DigestValue>
              </xd:CertDigest>
              <xd:IssuerSerial>
                <X509IssuerName>C=BG, L=Sofia, O=Information Services JSC, OID.2.5.4.97=NTRBG-831641791, CN=StampIT Global Qualified CA</X509IssuerName>
                <X509SerialNumber>7883540037753325599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lBsAAK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AIDUQbSX1EG7AAAABAAAAAwAAABMAAAAAAAAAAAAAAAAAAAA//////////9kAAAAMgA1AC4AN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e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kAAAASAAAACUAAAAMAAAABAAAAFQAAACgAAAAKgAAADMAAACiAAAARwAAAAEAAAAAgNRBtJfUQSoAAAAzAAAADgAAAEwAAAAAAAAAAAAAAAAAAAD//////////2gAAAAUBDUEPQQ4BEYEMAQgABQEOAQ9BEcENQQyBDAECwAAAAgAAAAJAAAACQAAAAoAAAAIAAAABAAAAAsAAAAJAAAACQAAAAkAAAAI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eAAAAFwAAAABAAAAAIDUQbSX1EEKAAAAUAAAABIAAABMAAAAAAAAAAAAAAAAAAAA//////////9wAAAANAQtAEAEIAAUBDUEPQQ4BEYEMAQgABQEOAQ9BEcENQQyBDAEBgAAAAQAAAAHAAAAAwAAAAgAAAAGAAAABwAAAAcAAAAHAAAABgAAAAMAAAAIAAAABwAAAAcAAAAH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</Object>
  <Object Id="idInvalidSigLnImg">AQAAAGwAAAAAAAAAAAAAAP8AAAB/AAAAAAAAAAAAAACQGgAASg0AACBFTUYAAAEAMB8AAL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e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kAAAASAAAACUAAAAMAAAABAAAAFQAAACgAAAAKgAAADMAAACiAAAARwAAAAEAAAAAgNRBtJfUQSoAAAAzAAAADgAAAEwAAAAAAAAAAAAAAAAAAAD//////////2gAAAAUBDUEPQQ4BEYEMAQgABQEOAQ9BEcENQQyBDAECwAAAAgAAAAJAAAACQAAAAoAAAAIAAAABAAAAAsAAAAJAAAACQAAAAkAAAAI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eAAAAFwAAAABAAAAAIDUQbSX1EEKAAAAUAAAABIAAABMAAAAAAAAAAAAAAAAAAAA//////////9wAAAANAQtAEAEIAAUBDUEPQQ4BEYEMAQgABQEOAQ9BEcENQQyBDAEBgAAAAQAAAAHAAAAAwAAAAgAAAAGAAAABwAAAAcAAAAHAAAABgAAAAMAAAAIAAAABwAAAAcAAAAH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2B0A7-14B8-4BD5-A29E-C6381CC4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3278</Words>
  <Characters>18689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IsIv</dc:creator>
  <cp:lastModifiedBy>Mariya Voikova</cp:lastModifiedBy>
  <cp:revision>41</cp:revision>
  <cp:lastPrinted>2024-11-22T11:08:00Z</cp:lastPrinted>
  <dcterms:created xsi:type="dcterms:W3CDTF">2025-06-18T14:10:00Z</dcterms:created>
  <dcterms:modified xsi:type="dcterms:W3CDTF">2025-07-23T13:07:00Z</dcterms:modified>
</cp:coreProperties>
</file>