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3686" w14:textId="77777777" w:rsidR="00C86F16" w:rsidRPr="00023257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  <w:r w:rsidRPr="006D581A">
        <w:rPr>
          <w:rFonts w:ascii="Verdana" w:hAnsi="Verdana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A2CDCF3" wp14:editId="0EBEEDFD">
            <wp:simplePos x="0" y="0"/>
            <wp:positionH relativeFrom="column">
              <wp:posOffset>2335199</wp:posOffset>
            </wp:positionH>
            <wp:positionV relativeFrom="paragraph">
              <wp:posOffset>-169327</wp:posOffset>
            </wp:positionV>
            <wp:extent cx="1243330" cy="1199515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57E34" w14:textId="77777777" w:rsidR="00C86F16" w:rsidRPr="006D581A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0ED794B1" w14:textId="7C117EEE" w:rsidR="00C86F16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463F5B4F" w14:textId="77777777" w:rsidR="00023257" w:rsidRPr="006D581A" w:rsidRDefault="00023257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7F701141" w14:textId="77777777" w:rsidR="00C86F16" w:rsidRPr="00023257" w:rsidRDefault="00C86F16" w:rsidP="00023257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hAnsi="Verdana"/>
          <w:noProof/>
          <w:sz w:val="20"/>
          <w:szCs w:val="20"/>
          <w:lang w:val="bg-BG" w:eastAsia="bg-BG"/>
        </w:rPr>
      </w:pPr>
    </w:p>
    <w:p w14:paraId="0952EB58" w14:textId="77777777" w:rsidR="00C86F16" w:rsidRPr="006D581A" w:rsidRDefault="00C86F16" w:rsidP="00C86F16">
      <w:pPr>
        <w:keepNext/>
        <w:spacing w:after="0" w:line="240" w:lineRule="auto"/>
        <w:jc w:val="center"/>
        <w:outlineLvl w:val="0"/>
        <w:rPr>
          <w:rFonts w:ascii="Verdana" w:hAnsi="Verdana" w:cs="Verdana"/>
          <w:spacing w:val="40"/>
          <w:kern w:val="32"/>
          <w:sz w:val="36"/>
          <w:szCs w:val="36"/>
          <w:lang w:val="bg-BG" w:eastAsia="bg-BG"/>
        </w:rPr>
      </w:pPr>
      <w:r w:rsidRPr="006D581A">
        <w:rPr>
          <w:rFonts w:ascii="Verdana" w:hAnsi="Verdana" w:cs="Verdana"/>
          <w:spacing w:val="40"/>
          <w:kern w:val="32"/>
          <w:sz w:val="36"/>
          <w:szCs w:val="36"/>
          <w:lang w:val="bg-BG" w:eastAsia="bg-BG"/>
        </w:rPr>
        <w:t>РЕПУБЛИКА БЪЛГАРИЯ</w:t>
      </w:r>
    </w:p>
    <w:p w14:paraId="4D1B44D7" w14:textId="77777777" w:rsidR="00C86F16" w:rsidRPr="006D581A" w:rsidRDefault="00C86F16" w:rsidP="00C86F1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30"/>
          <w:szCs w:val="30"/>
          <w:lang w:val="bg-BG" w:eastAsia="bg-BG"/>
        </w:rPr>
      </w:pPr>
      <w:r w:rsidRPr="006D581A">
        <w:rPr>
          <w:rFonts w:ascii="Verdana" w:hAnsi="Verdana" w:cs="Verdana"/>
          <w:spacing w:val="40"/>
          <w:sz w:val="30"/>
          <w:szCs w:val="30"/>
          <w:lang w:val="bg-BG" w:eastAsia="bg-BG"/>
        </w:rPr>
        <w:t>Министър на земеделието и храните</w:t>
      </w:r>
    </w:p>
    <w:p w14:paraId="7C81B581" w14:textId="77777777" w:rsidR="006C12FB" w:rsidRPr="00023257" w:rsidRDefault="006C12FB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14:paraId="40FCBF8E" w14:textId="77777777" w:rsidR="00AF1072" w:rsidRPr="00023257" w:rsidRDefault="00AF1072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14:paraId="171D231B" w14:textId="1347B523" w:rsidR="00AC7993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ДО</w:t>
      </w:r>
    </w:p>
    <w:p w14:paraId="53D8856B" w14:textId="77777777" w:rsidR="00AC7993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МИНИСТЕРСКИЯ СЪВЕТ</w:t>
      </w:r>
    </w:p>
    <w:p w14:paraId="34834612" w14:textId="77777777" w:rsidR="00EF3B0A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НА РЕПУБЛИКА БЪЛГАРИЯ</w:t>
      </w:r>
    </w:p>
    <w:p w14:paraId="2B23DF1B" w14:textId="5C72A6BD" w:rsidR="006C12FB" w:rsidRPr="00274BEB" w:rsidRDefault="006C12FB" w:rsidP="00274BEB">
      <w:pPr>
        <w:keepNext/>
        <w:spacing w:after="0" w:line="360" w:lineRule="auto"/>
        <w:outlineLvl w:val="0"/>
        <w:rPr>
          <w:rFonts w:ascii="Verdana" w:hAnsi="Verdana"/>
          <w:b/>
          <w:bCs/>
          <w:spacing w:val="90"/>
          <w:kern w:val="32"/>
          <w:sz w:val="20"/>
          <w:szCs w:val="20"/>
          <w:lang w:val="bg-BG" w:eastAsia="bg-BG"/>
        </w:rPr>
      </w:pPr>
    </w:p>
    <w:p w14:paraId="576918F8" w14:textId="522C1DFB" w:rsidR="00D40E52" w:rsidRPr="00274BEB" w:rsidRDefault="00D40E52" w:rsidP="00274BEB">
      <w:pPr>
        <w:keepNext/>
        <w:spacing w:after="0" w:line="360" w:lineRule="auto"/>
        <w:outlineLvl w:val="0"/>
        <w:rPr>
          <w:rFonts w:ascii="Verdana" w:hAnsi="Verdana"/>
          <w:b/>
          <w:bCs/>
          <w:spacing w:val="90"/>
          <w:kern w:val="32"/>
          <w:sz w:val="20"/>
          <w:szCs w:val="20"/>
          <w:lang w:val="bg-BG" w:eastAsia="bg-BG"/>
        </w:rPr>
      </w:pPr>
    </w:p>
    <w:p w14:paraId="1A32DBFD" w14:textId="77777777" w:rsidR="00AC7993" w:rsidRPr="00C86F16" w:rsidRDefault="00AC7993" w:rsidP="00274BEB">
      <w:pPr>
        <w:keepNext/>
        <w:spacing w:after="0" w:line="360" w:lineRule="auto"/>
        <w:jc w:val="center"/>
        <w:outlineLvl w:val="0"/>
        <w:rPr>
          <w:rFonts w:ascii="Verdana" w:hAnsi="Verdana"/>
          <w:b/>
          <w:bCs/>
          <w:spacing w:val="90"/>
          <w:kern w:val="32"/>
          <w:sz w:val="24"/>
          <w:szCs w:val="24"/>
          <w:lang w:val="bg-BG" w:eastAsia="bg-BG"/>
        </w:rPr>
      </w:pPr>
      <w:r w:rsidRPr="00C86F16">
        <w:rPr>
          <w:rFonts w:ascii="Verdana" w:hAnsi="Verdana"/>
          <w:b/>
          <w:bCs/>
          <w:spacing w:val="90"/>
          <w:kern w:val="32"/>
          <w:sz w:val="24"/>
          <w:szCs w:val="24"/>
          <w:lang w:val="bg-BG" w:eastAsia="bg-BG"/>
        </w:rPr>
        <w:t>ДОКЛАД</w:t>
      </w:r>
    </w:p>
    <w:p w14:paraId="2C2E2FD6" w14:textId="77777777" w:rsidR="00AC7993" w:rsidRPr="00C86F16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smallCaps/>
          <w:sz w:val="20"/>
          <w:szCs w:val="20"/>
          <w:lang w:val="bg-BG" w:eastAsia="bg-BG"/>
        </w:rPr>
      </w:pPr>
      <w:r w:rsidRPr="00C86F16">
        <w:rPr>
          <w:rFonts w:ascii="Verdana" w:hAnsi="Verdana"/>
          <w:smallCaps/>
          <w:sz w:val="20"/>
          <w:szCs w:val="20"/>
          <w:lang w:val="bg-BG" w:eastAsia="bg-BG"/>
        </w:rPr>
        <w:t>от</w:t>
      </w:r>
      <w:r w:rsidR="000302A2" w:rsidRPr="00C86F16">
        <w:rPr>
          <w:rFonts w:ascii="Verdana" w:hAnsi="Verdana"/>
          <w:smallCaps/>
          <w:sz w:val="20"/>
          <w:szCs w:val="20"/>
          <w:lang w:val="bg-BG" w:eastAsia="bg-BG"/>
        </w:rPr>
        <w:t xml:space="preserve"> д-р </w:t>
      </w:r>
      <w:r w:rsidR="002E6615" w:rsidRPr="00C86F16">
        <w:rPr>
          <w:rFonts w:ascii="Verdana" w:hAnsi="Verdana"/>
          <w:smallCaps/>
          <w:sz w:val="20"/>
          <w:szCs w:val="20"/>
          <w:lang w:val="bg-BG" w:eastAsia="bg-BG"/>
        </w:rPr>
        <w:t xml:space="preserve">Георги Тахов </w:t>
      </w:r>
      <w:r w:rsidR="00804836" w:rsidRPr="00C86F16">
        <w:rPr>
          <w:rFonts w:ascii="Verdana" w:hAnsi="Verdana"/>
          <w:smallCaps/>
          <w:sz w:val="20"/>
          <w:szCs w:val="20"/>
          <w:lang w:val="bg-BG" w:eastAsia="bg-BG"/>
        </w:rPr>
        <w:t>–</w:t>
      </w:r>
      <w:r w:rsidRPr="00C86F16">
        <w:rPr>
          <w:rFonts w:ascii="Verdana" w:hAnsi="Verdana"/>
          <w:smallCaps/>
          <w:sz w:val="20"/>
          <w:szCs w:val="20"/>
          <w:lang w:val="bg-BG" w:eastAsia="bg-BG"/>
        </w:rPr>
        <w:t xml:space="preserve"> министър </w:t>
      </w:r>
      <w:r w:rsidR="00341C8B" w:rsidRPr="00C86F16">
        <w:rPr>
          <w:rFonts w:ascii="Verdana" w:hAnsi="Verdana"/>
          <w:smallCaps/>
          <w:sz w:val="20"/>
          <w:szCs w:val="20"/>
          <w:lang w:val="bg-BG" w:eastAsia="bg-BG"/>
        </w:rPr>
        <w:t>на земеделието</w:t>
      </w:r>
      <w:r w:rsidR="00385FB7" w:rsidRPr="00C86F16">
        <w:rPr>
          <w:rFonts w:ascii="Verdana" w:hAnsi="Verdana"/>
          <w:smallCaps/>
          <w:sz w:val="20"/>
          <w:szCs w:val="20"/>
          <w:lang w:val="bg-BG" w:eastAsia="bg-BG"/>
        </w:rPr>
        <w:t xml:space="preserve"> и храните</w:t>
      </w:r>
    </w:p>
    <w:p w14:paraId="02EDDDB1" w14:textId="70606D0F" w:rsidR="006C12FB" w:rsidRPr="00274BEB" w:rsidRDefault="006C12FB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  <w:lang w:val="bg-BG" w:eastAsia="bg-BG"/>
        </w:rPr>
      </w:pPr>
    </w:p>
    <w:p w14:paraId="74CE4631" w14:textId="24357C83" w:rsidR="00D40E52" w:rsidRPr="00274BEB" w:rsidRDefault="00D40E52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  <w:lang w:val="bg-BG" w:eastAsia="bg-BG"/>
        </w:rPr>
      </w:pPr>
    </w:p>
    <w:p w14:paraId="7A5E8492" w14:textId="7B583F9A" w:rsidR="00AC7993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ind w:left="1247" w:hanging="1247"/>
        <w:jc w:val="both"/>
        <w:rPr>
          <w:rFonts w:ascii="Verdana" w:hAnsi="Verdana"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Относно</w:t>
      </w:r>
      <w:r w:rsidRPr="00274BEB">
        <w:rPr>
          <w:rFonts w:ascii="Verdana" w:hAnsi="Verdana"/>
          <w:b/>
          <w:sz w:val="20"/>
          <w:szCs w:val="20"/>
          <w:lang w:val="bg-BG" w:eastAsia="bg-BG"/>
        </w:rPr>
        <w:t>:</w:t>
      </w:r>
      <w:r w:rsidR="00B97FC3" w:rsidRPr="00274BEB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4B5369" w:rsidRPr="00274BEB">
        <w:rPr>
          <w:rFonts w:ascii="Verdana" w:hAnsi="Verdana"/>
          <w:sz w:val="20"/>
          <w:szCs w:val="20"/>
          <w:lang w:val="bg-BG" w:eastAsia="bg-BG"/>
        </w:rPr>
        <w:t xml:space="preserve">Проект на Постановление на Министерския съвет за изменение на </w:t>
      </w:r>
      <w:r w:rsidR="009200C5" w:rsidRPr="00274BEB">
        <w:rPr>
          <w:rFonts w:ascii="Verdana" w:hAnsi="Verdana"/>
          <w:sz w:val="20"/>
          <w:szCs w:val="20"/>
          <w:lang w:val="bg-BG" w:eastAsia="bg-BG"/>
        </w:rPr>
        <w:t>Тарифа</w:t>
      </w:r>
      <w:r w:rsidR="00AD4D2F">
        <w:rPr>
          <w:rFonts w:ascii="Verdana" w:hAnsi="Verdana"/>
          <w:sz w:val="20"/>
          <w:szCs w:val="20"/>
          <w:lang w:val="bg-BG" w:eastAsia="bg-BG"/>
        </w:rPr>
        <w:t>та</w:t>
      </w:r>
      <w:r w:rsidR="009200C5" w:rsidRPr="00274BEB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50A6" w:rsidRPr="006150A6">
        <w:rPr>
          <w:rFonts w:ascii="Verdana" w:hAnsi="Verdana"/>
          <w:sz w:val="20"/>
          <w:szCs w:val="20"/>
          <w:lang w:val="bg-BG" w:eastAsia="bg-BG"/>
        </w:rPr>
        <w:t>за таксите, които се събират за обучение за придобиване на правоспособност за класификатор на кл</w:t>
      </w:r>
      <w:r w:rsidR="00C86F16">
        <w:rPr>
          <w:rFonts w:ascii="Verdana" w:hAnsi="Verdana"/>
          <w:sz w:val="20"/>
          <w:szCs w:val="20"/>
          <w:lang w:val="bg-BG" w:eastAsia="bg-BG"/>
        </w:rPr>
        <w:t>анични трупове по скалата EUROP</w:t>
      </w:r>
      <w:r w:rsidR="00C86F16">
        <w:rPr>
          <w:rFonts w:ascii="Verdana" w:hAnsi="Verdana"/>
          <w:spacing w:val="4"/>
          <w:sz w:val="20"/>
          <w:szCs w:val="20"/>
          <w:lang w:val="bg-BG" w:eastAsia="bg-BG"/>
        </w:rPr>
        <w:t xml:space="preserve">, </w:t>
      </w:r>
      <w:r w:rsidR="00C86F16" w:rsidRPr="00D164E5">
        <w:rPr>
          <w:rFonts w:ascii="Verdana" w:hAnsi="Verdana"/>
          <w:spacing w:val="4"/>
          <w:sz w:val="20"/>
          <w:szCs w:val="20"/>
          <w:lang w:val="bg-BG" w:eastAsia="bg-BG"/>
        </w:rPr>
        <w:t>одобрена с Постановление № 206 на Министерския съвет от</w:t>
      </w:r>
      <w:r w:rsidR="00C86F16">
        <w:rPr>
          <w:rFonts w:ascii="Verdana" w:hAnsi="Verdana"/>
          <w:spacing w:val="4"/>
          <w:sz w:val="20"/>
          <w:szCs w:val="20"/>
          <w:lang w:val="bg-BG" w:eastAsia="bg-BG"/>
        </w:rPr>
        <w:t xml:space="preserve"> 2011 г.</w:t>
      </w:r>
    </w:p>
    <w:p w14:paraId="7CA92A92" w14:textId="72642488" w:rsidR="006C12FB" w:rsidRPr="00274BEB" w:rsidRDefault="006C12FB" w:rsidP="00274BEB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14:paraId="06DA5851" w14:textId="77777777" w:rsidR="00DD77AF" w:rsidRPr="00274BEB" w:rsidRDefault="00DD77AF" w:rsidP="00274BEB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14:paraId="00D31E86" w14:textId="77777777" w:rsidR="00AC7993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14:paraId="3E46BB58" w14:textId="6F65056D" w:rsidR="00AC7993" w:rsidRDefault="00AC7993" w:rsidP="00C86F16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14:paraId="3A8DEF72" w14:textId="27BF9B13" w:rsidR="009C6C4F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bCs/>
          <w:iCs/>
          <w:spacing w:val="4"/>
          <w:sz w:val="20"/>
          <w:szCs w:val="20"/>
          <w:lang w:val="bg-BG"/>
        </w:rPr>
      </w:pPr>
      <w:r w:rsidRPr="00274BEB">
        <w:rPr>
          <w:rFonts w:ascii="Verdana" w:hAnsi="Verdana"/>
          <w:spacing w:val="4"/>
          <w:sz w:val="20"/>
          <w:szCs w:val="20"/>
          <w:lang w:val="bg-BG" w:eastAsia="bg-BG"/>
        </w:rPr>
        <w:t>На основание чл. 31, ал. 2 от Устройствения правилник на Министерския съвет и на неговата администрация, внасям за разглеждане о</w:t>
      </w:r>
      <w:r w:rsidR="00B97FC3" w:rsidRPr="00274BEB">
        <w:rPr>
          <w:rFonts w:ascii="Verdana" w:hAnsi="Verdana"/>
          <w:spacing w:val="4"/>
          <w:sz w:val="20"/>
          <w:szCs w:val="20"/>
          <w:lang w:val="bg-BG" w:eastAsia="bg-BG"/>
        </w:rPr>
        <w:t xml:space="preserve">т Министерския съвет </w:t>
      </w:r>
      <w:r w:rsidR="004B5369" w:rsidRPr="00274BEB">
        <w:rPr>
          <w:rFonts w:ascii="Verdana" w:hAnsi="Verdana"/>
          <w:spacing w:val="4"/>
          <w:sz w:val="20"/>
          <w:szCs w:val="20"/>
          <w:lang w:val="bg-BG" w:eastAsia="bg-BG"/>
        </w:rPr>
        <w:t xml:space="preserve">проект на Постановление на Министерския съвет за изменение </w:t>
      </w:r>
      <w:r w:rsidR="006150A6" w:rsidRPr="006150A6">
        <w:rPr>
          <w:rFonts w:ascii="Verdana" w:hAnsi="Verdana"/>
          <w:spacing w:val="4"/>
          <w:sz w:val="20"/>
          <w:szCs w:val="20"/>
          <w:lang w:val="bg-BG" w:eastAsia="bg-BG"/>
        </w:rPr>
        <w:t>на Тарифа</w:t>
      </w:r>
      <w:r w:rsidR="00AD4D2F">
        <w:rPr>
          <w:rFonts w:ascii="Verdana" w:hAnsi="Verdana"/>
          <w:spacing w:val="4"/>
          <w:sz w:val="20"/>
          <w:szCs w:val="20"/>
          <w:lang w:val="bg-BG" w:eastAsia="bg-BG"/>
        </w:rPr>
        <w:t>та</w:t>
      </w:r>
      <w:r w:rsidR="006150A6" w:rsidRPr="006150A6">
        <w:rPr>
          <w:rFonts w:ascii="Verdana" w:hAnsi="Verdana"/>
          <w:spacing w:val="4"/>
          <w:sz w:val="20"/>
          <w:szCs w:val="20"/>
          <w:lang w:val="bg-BG" w:eastAsia="bg-BG"/>
        </w:rPr>
        <w:t xml:space="preserve"> за таксите, които се събират за обучение за придобиване на правоспособност за класификатор на кланични трупове по скалата EUROP</w:t>
      </w:r>
      <w:r w:rsidR="00D164E5">
        <w:rPr>
          <w:rFonts w:ascii="Verdana" w:hAnsi="Verdana"/>
          <w:spacing w:val="4"/>
          <w:sz w:val="20"/>
          <w:szCs w:val="20"/>
          <w:lang w:val="bg-BG" w:eastAsia="bg-BG"/>
        </w:rPr>
        <w:t xml:space="preserve">, </w:t>
      </w:r>
      <w:r w:rsidR="00D164E5" w:rsidRPr="00D164E5">
        <w:rPr>
          <w:rFonts w:ascii="Verdana" w:hAnsi="Verdana"/>
          <w:spacing w:val="4"/>
          <w:sz w:val="20"/>
          <w:szCs w:val="20"/>
          <w:lang w:val="bg-BG" w:eastAsia="bg-BG"/>
        </w:rPr>
        <w:t>одобрена с Постановление № 206 на Министерския съвет от</w:t>
      </w:r>
      <w:r w:rsidR="00D164E5">
        <w:rPr>
          <w:rFonts w:ascii="Verdana" w:hAnsi="Verdana"/>
          <w:spacing w:val="4"/>
          <w:sz w:val="20"/>
          <w:szCs w:val="20"/>
          <w:lang w:val="bg-BG" w:eastAsia="bg-BG"/>
        </w:rPr>
        <w:t xml:space="preserve"> </w:t>
      </w:r>
      <w:r w:rsidR="008A6F9B">
        <w:rPr>
          <w:rFonts w:ascii="Verdana" w:hAnsi="Verdana"/>
          <w:spacing w:val="4"/>
          <w:sz w:val="20"/>
          <w:szCs w:val="20"/>
          <w:lang w:val="bg-BG" w:eastAsia="bg-BG"/>
        </w:rPr>
        <w:t>2011 г</w:t>
      </w:r>
      <w:r w:rsidR="00D164E5" w:rsidRPr="00D164E5">
        <w:rPr>
          <w:rFonts w:ascii="Verdana" w:hAnsi="Verdana"/>
          <w:spacing w:val="4"/>
          <w:sz w:val="20"/>
          <w:szCs w:val="20"/>
          <w:lang w:val="bg-BG" w:eastAsia="bg-BG"/>
        </w:rPr>
        <w:t>.</w:t>
      </w:r>
    </w:p>
    <w:p w14:paraId="7227AA80" w14:textId="77777777" w:rsidR="00AF2347" w:rsidRPr="00274BEB" w:rsidRDefault="00AF2347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</w:p>
    <w:p w14:paraId="76C4D247" w14:textId="77777777" w:rsidR="00CB24DC" w:rsidRPr="00274BEB" w:rsidRDefault="00CB24DC" w:rsidP="00274BEB">
      <w:pPr>
        <w:spacing w:after="0" w:line="360" w:lineRule="auto"/>
        <w:ind w:firstLine="709"/>
        <w:rPr>
          <w:rFonts w:ascii="Verdana" w:hAnsi="Verdana"/>
          <w:b/>
          <w:sz w:val="20"/>
          <w:szCs w:val="20"/>
          <w:highlight w:val="white"/>
          <w:shd w:val="clear" w:color="auto" w:fill="FEFEFE"/>
          <w:lang w:val="bg-BG"/>
        </w:rPr>
      </w:pPr>
      <w:r w:rsidRPr="00274BE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Причини, които налагат приемането на акта</w:t>
      </w:r>
    </w:p>
    <w:p w14:paraId="1FFFA7AA" w14:textId="77777777" w:rsidR="006150A6" w:rsidRPr="006150A6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6150A6">
        <w:rPr>
          <w:rFonts w:ascii="Verdana" w:hAnsi="Verdana"/>
          <w:sz w:val="20"/>
          <w:szCs w:val="20"/>
          <w:lang w:val="bg-BG"/>
        </w:rPr>
        <w:t xml:space="preserve"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</w:t>
      </w:r>
      <w:r w:rsidRPr="006150A6">
        <w:rPr>
          <w:rFonts w:ascii="Verdana" w:hAnsi="Verdana"/>
          <w:sz w:val="20"/>
          <w:szCs w:val="20"/>
          <w:lang w:val="bg-BG"/>
        </w:rPr>
        <w:lastRenderedPageBreak/>
        <w:t>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</w:r>
    </w:p>
    <w:p w14:paraId="2DCFFAA1" w14:textId="2B365DA7" w:rsidR="006150A6" w:rsidRPr="006150A6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6150A6">
        <w:rPr>
          <w:rFonts w:ascii="Verdana" w:hAnsi="Verdana"/>
          <w:sz w:val="20"/>
          <w:szCs w:val="20"/>
          <w:lang w:val="bg-BG"/>
        </w:rPr>
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</w:r>
      <w:r w:rsidR="00023257" w:rsidRPr="006150A6">
        <w:rPr>
          <w:rFonts w:ascii="Verdana" w:hAnsi="Verdana"/>
          <w:sz w:val="20"/>
          <w:szCs w:val="20"/>
          <w:lang w:val="bg-BG"/>
        </w:rPr>
        <w:t>обн</w:t>
      </w:r>
      <w:r w:rsidRPr="006150A6">
        <w:rPr>
          <w:rFonts w:ascii="Verdana" w:hAnsi="Verdana"/>
          <w:sz w:val="20"/>
          <w:szCs w:val="20"/>
          <w:lang w:val="bg-BG"/>
        </w:rPr>
        <w:t>., ДВ, бр. 64 от 2024 г.).</w:t>
      </w:r>
    </w:p>
    <w:p w14:paraId="1ECEAC1C" w14:textId="77777777" w:rsidR="006150A6" w:rsidRPr="006150A6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6150A6">
        <w:rPr>
          <w:rFonts w:ascii="Verdana" w:hAnsi="Verdana"/>
          <w:sz w:val="20"/>
          <w:szCs w:val="20"/>
          <w:lang w:val="bg-BG"/>
        </w:rPr>
        <w:t>С оглед възложените в т. 2.2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 съобразно принципа на приемственост и автоматично превалутиране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превалутиране и закръгляване по чл. 12 и 13 от същия закон.</w:t>
      </w:r>
    </w:p>
    <w:p w14:paraId="79AD7BCB" w14:textId="77777777" w:rsidR="006150A6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6150A6">
        <w:rPr>
          <w:rFonts w:ascii="Verdana" w:hAnsi="Verdana"/>
          <w:sz w:val="20"/>
          <w:szCs w:val="20"/>
          <w:lang w:val="bg-BG"/>
        </w:rPr>
        <w:t>Съгласно § 6, ал. 1, т. 2 от преходните и заключителни разпоредби към Закона за въвеждане на еврото в Република България, държавните органи и органите на местното самоуправление приемат в 6-месечен срок от влизането в сила на закона изменения и допълнения в подзаконови нормативни актове, необходими за изпълнението му във връзка с въвеждане на еврото като парична единица на Република България. В изпълнение на разпоредбата на § 6, ал. 2 от преходните и заключителни разпоредби към същия закон, измененията и допълненията в актовете по ал. 1, т. 2 влизат в сила от датата на въвеждане на еврото в Република България.</w:t>
      </w:r>
    </w:p>
    <w:p w14:paraId="30C9DD07" w14:textId="1F00684F" w:rsidR="00440067" w:rsidRPr="007B5BEA" w:rsidRDefault="00B14B27" w:rsidP="00440067">
      <w:pPr>
        <w:spacing w:after="0" w:line="360" w:lineRule="auto"/>
        <w:ind w:firstLine="709"/>
        <w:jc w:val="both"/>
        <w:rPr>
          <w:rFonts w:ascii="Verdana" w:hAnsi="Verdana"/>
          <w:iCs/>
          <w:sz w:val="20"/>
          <w:szCs w:val="20"/>
          <w:lang w:val="bg-BG"/>
        </w:rPr>
      </w:pPr>
      <w:r w:rsidRPr="007B5BEA">
        <w:rPr>
          <w:rFonts w:ascii="Verdana" w:hAnsi="Verdana"/>
          <w:iCs/>
          <w:sz w:val="20"/>
          <w:szCs w:val="20"/>
          <w:lang w:val="bg-BG"/>
        </w:rPr>
        <w:t xml:space="preserve">На </w:t>
      </w:r>
      <w:r w:rsidR="00CD5A51" w:rsidRPr="007B5BEA">
        <w:rPr>
          <w:rFonts w:ascii="Verdana" w:hAnsi="Verdana"/>
          <w:iCs/>
          <w:sz w:val="20"/>
          <w:szCs w:val="20"/>
          <w:lang w:val="bg-BG"/>
        </w:rPr>
        <w:t>0</w:t>
      </w:r>
      <w:bookmarkStart w:id="0" w:name="_GoBack"/>
      <w:bookmarkEnd w:id="0"/>
      <w:r w:rsidR="00CD5A51" w:rsidRPr="007B5BEA">
        <w:rPr>
          <w:rFonts w:ascii="Verdana" w:hAnsi="Verdana"/>
          <w:iCs/>
          <w:sz w:val="20"/>
          <w:szCs w:val="20"/>
          <w:lang w:val="bg-BG"/>
        </w:rPr>
        <w:t>4.06.</w:t>
      </w:r>
      <w:r w:rsidRPr="007B5BEA">
        <w:rPr>
          <w:rFonts w:ascii="Verdana" w:hAnsi="Verdana"/>
          <w:iCs/>
          <w:sz w:val="20"/>
          <w:szCs w:val="20"/>
          <w:lang w:val="bg-BG"/>
        </w:rPr>
        <w:t>2025 г. се оповестиха</w:t>
      </w:r>
      <w:r w:rsidR="00440067" w:rsidRPr="007B5BEA">
        <w:rPr>
          <w:rFonts w:ascii="Verdana" w:hAnsi="Verdana"/>
          <w:iCs/>
          <w:sz w:val="20"/>
          <w:szCs w:val="20"/>
          <w:lang w:val="bg-BG"/>
        </w:rPr>
        <w:t xml:space="preserve"> двата конвергентни доклада на Република България, одобрени съответно от Европейската комисия и Европейската централна банка. Европейската комисия в доклада за конвергенцията за 2025 г. стига до заключението, че България изпълнява условията за приемане на единната валута. </w:t>
      </w:r>
    </w:p>
    <w:p w14:paraId="0B44ED25" w14:textId="62F2A8DD" w:rsidR="007B5BEA" w:rsidRPr="007B5BEA" w:rsidRDefault="007B5BEA" w:rsidP="007B5BEA">
      <w:pPr>
        <w:spacing w:after="0" w:line="360" w:lineRule="auto"/>
        <w:ind w:firstLine="709"/>
        <w:jc w:val="both"/>
        <w:rPr>
          <w:rFonts w:ascii="Verdana" w:hAnsi="Verdana"/>
          <w:iCs/>
          <w:sz w:val="20"/>
          <w:szCs w:val="20"/>
          <w:lang w:val="bg-BG"/>
        </w:rPr>
      </w:pPr>
      <w:r>
        <w:rPr>
          <w:rFonts w:ascii="Verdana" w:hAnsi="Verdana"/>
          <w:iCs/>
          <w:sz w:val="20"/>
          <w:szCs w:val="20"/>
          <w:lang w:val="bg-BG"/>
        </w:rPr>
        <w:t>На 08.07.2025 г. Съветът на Европейския съюз</w:t>
      </w:r>
      <w:r w:rsidRPr="007B5BEA">
        <w:rPr>
          <w:rFonts w:ascii="Verdana" w:hAnsi="Verdana"/>
          <w:iCs/>
          <w:sz w:val="20"/>
          <w:szCs w:val="20"/>
          <w:lang w:val="bg-BG"/>
        </w:rPr>
        <w:t xml:space="preserve">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</w:r>
    </w:p>
    <w:p w14:paraId="137198F9" w14:textId="6E4A4B54" w:rsidR="007B5BEA" w:rsidRPr="005B5B91" w:rsidRDefault="007B5BEA" w:rsidP="007B5BEA">
      <w:pPr>
        <w:spacing w:after="0" w:line="360" w:lineRule="auto"/>
        <w:ind w:firstLine="709"/>
        <w:jc w:val="both"/>
        <w:rPr>
          <w:rFonts w:ascii="Verdana" w:hAnsi="Verdana"/>
          <w:iCs/>
          <w:sz w:val="20"/>
          <w:szCs w:val="20"/>
          <w:highlight w:val="yellow"/>
          <w:lang w:val="bg-BG"/>
        </w:rPr>
      </w:pPr>
      <w:r w:rsidRPr="007B5BEA">
        <w:rPr>
          <w:rFonts w:ascii="Verdana" w:hAnsi="Verdana"/>
          <w:iCs/>
          <w:sz w:val="20"/>
          <w:szCs w:val="20"/>
          <w:lang w:val="bg-BG"/>
        </w:rPr>
        <w:t>От 1 януари 2026 г. Република България официално ще приеме еврото и ще бъде 21-вият член на еврозоната.</w:t>
      </w:r>
    </w:p>
    <w:p w14:paraId="0F7321D8" w14:textId="226DEC88" w:rsidR="006150A6" w:rsidRPr="006150A6" w:rsidRDefault="006150A6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6150A6">
        <w:rPr>
          <w:rFonts w:ascii="Verdana" w:hAnsi="Verdana"/>
          <w:sz w:val="20"/>
          <w:szCs w:val="20"/>
          <w:lang w:val="bg-BG"/>
        </w:rPr>
        <w:t>С оглед на гореизложеното е изготвен проект на Постановление на Министерския съвет за изменение на Тарифа</w:t>
      </w:r>
      <w:r w:rsidR="00394B4F">
        <w:rPr>
          <w:rFonts w:ascii="Verdana" w:hAnsi="Verdana"/>
          <w:sz w:val="20"/>
          <w:szCs w:val="20"/>
          <w:lang w:val="bg-BG"/>
        </w:rPr>
        <w:t>та</w:t>
      </w:r>
      <w:r w:rsidRPr="006150A6">
        <w:rPr>
          <w:rFonts w:ascii="Verdana" w:hAnsi="Verdana"/>
          <w:sz w:val="20"/>
          <w:szCs w:val="20"/>
          <w:lang w:val="bg-BG"/>
        </w:rPr>
        <w:t xml:space="preserve"> за таксите, които се събират за обучение за придобиване на правоспособност за класификатор на кланични трупове </w:t>
      </w:r>
      <w:r w:rsidRPr="006150A6">
        <w:rPr>
          <w:rFonts w:ascii="Verdana" w:hAnsi="Verdana"/>
          <w:sz w:val="20"/>
          <w:szCs w:val="20"/>
          <w:lang w:val="bg-BG"/>
        </w:rPr>
        <w:lastRenderedPageBreak/>
        <w:t xml:space="preserve">по скалата EUROP, одобрена с Постановление № 206 на Министерския съвет от </w:t>
      </w:r>
      <w:r w:rsidR="00391418">
        <w:rPr>
          <w:rFonts w:ascii="Verdana" w:hAnsi="Verdana"/>
          <w:sz w:val="20"/>
          <w:szCs w:val="20"/>
          <w:lang w:val="bg-BG"/>
        </w:rPr>
        <w:br/>
      </w:r>
      <w:r w:rsidRPr="006150A6">
        <w:rPr>
          <w:rFonts w:ascii="Verdana" w:hAnsi="Verdana"/>
          <w:sz w:val="20"/>
          <w:szCs w:val="20"/>
          <w:lang w:val="bg-BG"/>
        </w:rPr>
        <w:t>2011 г.</w:t>
      </w:r>
      <w:r w:rsidR="008C04E1" w:rsidRPr="008C04E1">
        <w:rPr>
          <w:lang w:val="bg-BG"/>
        </w:rPr>
        <w:t xml:space="preserve"> </w:t>
      </w:r>
      <w:r w:rsidR="008C04E1">
        <w:rPr>
          <w:rFonts w:ascii="Verdana" w:hAnsi="Verdana"/>
          <w:sz w:val="20"/>
          <w:szCs w:val="20"/>
          <w:lang w:val="bg-BG"/>
        </w:rPr>
        <w:t>В предложения проект на</w:t>
      </w:r>
      <w:r w:rsidR="008C04E1" w:rsidRPr="008C04E1">
        <w:rPr>
          <w:rFonts w:ascii="Verdana" w:hAnsi="Verdana"/>
          <w:sz w:val="20"/>
          <w:szCs w:val="20"/>
          <w:lang w:val="bg-BG"/>
        </w:rPr>
        <w:t xml:space="preserve"> нормативен акт посочените суми в лева са превалутирани в евро при прилагане на официалния валутен курс.</w:t>
      </w:r>
    </w:p>
    <w:p w14:paraId="19C9214C" w14:textId="196A63AE" w:rsidR="006150A6" w:rsidRPr="00C86F16" w:rsidRDefault="008C04E1" w:rsidP="006150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 допълнение, в</w:t>
      </w:r>
      <w:r w:rsidR="006150A6" w:rsidRPr="006150A6">
        <w:rPr>
          <w:rFonts w:ascii="Verdana" w:hAnsi="Verdana"/>
          <w:sz w:val="20"/>
          <w:szCs w:val="20"/>
          <w:lang w:val="bg-BG"/>
        </w:rPr>
        <w:t xml:space="preserve"> проект</w:t>
      </w:r>
      <w:r>
        <w:rPr>
          <w:rFonts w:ascii="Verdana" w:hAnsi="Verdana"/>
          <w:sz w:val="20"/>
          <w:szCs w:val="20"/>
          <w:lang w:val="bg-BG"/>
        </w:rPr>
        <w:t>а</w:t>
      </w:r>
      <w:r w:rsidR="006150A6" w:rsidRPr="006150A6">
        <w:rPr>
          <w:rFonts w:ascii="Verdana" w:hAnsi="Verdana"/>
          <w:sz w:val="20"/>
          <w:szCs w:val="20"/>
          <w:lang w:val="bg-BG"/>
        </w:rPr>
        <w:t xml:space="preserve"> на Постановление на Министерския съвет за изменение на Тарифата са прецизирани разпоредби във връзка с актуализация на заглавието на Закона за прилагане на Общата организация на пазарите на земеделски продукти на Европейския съюз, както и в самото наименование</w:t>
      </w:r>
      <w:r w:rsidR="00C86F16">
        <w:rPr>
          <w:rFonts w:ascii="Verdana" w:hAnsi="Verdana"/>
          <w:sz w:val="20"/>
          <w:szCs w:val="20"/>
          <w:lang w:val="bg-BG"/>
        </w:rPr>
        <w:t xml:space="preserve"> на Тарифата терминът „скалата </w:t>
      </w:r>
      <w:r w:rsidR="006150A6" w:rsidRPr="006150A6">
        <w:rPr>
          <w:rFonts w:ascii="Verdana" w:hAnsi="Verdana"/>
          <w:sz w:val="20"/>
          <w:szCs w:val="20"/>
          <w:lang w:val="bg-BG"/>
        </w:rPr>
        <w:t xml:space="preserve">EUROP“ е заменен със „скàлите на Съюза“. Последното е с оглед прилагането на </w:t>
      </w:r>
      <w:r w:rsidR="006150A6" w:rsidRPr="00C86F16">
        <w:rPr>
          <w:rFonts w:ascii="Verdana" w:hAnsi="Verdana"/>
          <w:sz w:val="20"/>
          <w:szCs w:val="20"/>
          <w:lang w:val="bg-BG"/>
        </w:rPr>
        <w:t xml:space="preserve">Регламент за изпълнение (ЕС) 2017/1184 на Комисията от 20 април 2017 година за определяне на правила за прилагането на Регламент (ЕС) </w:t>
      </w:r>
      <w:r w:rsidR="00C86F16">
        <w:rPr>
          <w:rFonts w:ascii="Verdana" w:hAnsi="Verdana"/>
          <w:sz w:val="20"/>
          <w:szCs w:val="20"/>
          <w:lang w:val="bg-BG"/>
        </w:rPr>
        <w:br/>
      </w:r>
      <w:r w:rsidR="006150A6" w:rsidRPr="00C86F16">
        <w:rPr>
          <w:rFonts w:ascii="Verdana" w:hAnsi="Verdana"/>
          <w:sz w:val="20"/>
          <w:szCs w:val="20"/>
          <w:lang w:val="bg-BG"/>
        </w:rPr>
        <w:t>№ 1308/2013 на Европейския парламент и на Съвета по отношение на скàлите на Съюза за класификация на кланични трупове на говеда, свине и овце и по отношение на отчитането на пазарните цени на някои категории кланични трупове и живи животни (OB L</w:t>
      </w:r>
      <w:r w:rsidR="00214D46">
        <w:rPr>
          <w:rFonts w:ascii="Verdana" w:hAnsi="Verdana"/>
          <w:sz w:val="20"/>
          <w:szCs w:val="20"/>
          <w:lang w:val="bg-BG"/>
        </w:rPr>
        <w:t>,</w:t>
      </w:r>
      <w:r w:rsidR="006150A6" w:rsidRPr="00C86F16">
        <w:rPr>
          <w:rFonts w:ascii="Verdana" w:hAnsi="Verdana"/>
          <w:sz w:val="20"/>
          <w:szCs w:val="20"/>
          <w:lang w:val="bg-BG"/>
        </w:rPr>
        <w:t xml:space="preserve"> 171, 4.7.2017 г.) и Делегиран регламент (ЕС) 2017/1182 на Комисията от 20 април 2017 година за допълване на Регламент (ЕС) № 1308/2013 на Европейския парламент и на Съвета по отношение на скàлите на Съюза за класификация на кланични трупове на говеда, свине и овце и по отношение на отчитането на пазарните цени на някои категории кланични тру</w:t>
      </w:r>
      <w:r w:rsidR="008811EB">
        <w:rPr>
          <w:rFonts w:ascii="Verdana" w:hAnsi="Verdana"/>
          <w:sz w:val="20"/>
          <w:szCs w:val="20"/>
          <w:lang w:val="bg-BG"/>
        </w:rPr>
        <w:t>пове и живи животни (OB L</w:t>
      </w:r>
      <w:r w:rsidR="00214D46">
        <w:rPr>
          <w:rFonts w:ascii="Verdana" w:hAnsi="Verdana"/>
          <w:sz w:val="20"/>
          <w:szCs w:val="20"/>
          <w:lang w:val="bg-BG"/>
        </w:rPr>
        <w:t>,</w:t>
      </w:r>
      <w:r w:rsidR="008811EB">
        <w:rPr>
          <w:rFonts w:ascii="Verdana" w:hAnsi="Verdana"/>
          <w:sz w:val="20"/>
          <w:szCs w:val="20"/>
          <w:lang w:val="bg-BG"/>
        </w:rPr>
        <w:t xml:space="preserve"> 171,</w:t>
      </w:r>
      <w:r w:rsidR="006150A6" w:rsidRPr="00C86F16">
        <w:rPr>
          <w:rFonts w:ascii="Verdana" w:hAnsi="Verdana"/>
          <w:sz w:val="20"/>
          <w:szCs w:val="20"/>
          <w:lang w:val="bg-BG"/>
        </w:rPr>
        <w:t xml:space="preserve"> 4.7.2017 г.), в които вече за класификацията на кланичните трупове се ползва понятието „по скàлите на Съюза“, а не „по скалата EUROP“.</w:t>
      </w:r>
    </w:p>
    <w:p w14:paraId="7E72FEBF" w14:textId="77777777" w:rsidR="009C1674" w:rsidRPr="00274BEB" w:rsidRDefault="009C1674" w:rsidP="00274B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6C15FCFB" w14:textId="19BA9EB7" w:rsidR="00CB24DC" w:rsidRPr="00274BEB" w:rsidRDefault="00CB24DC" w:rsidP="00274BEB">
      <w:pPr>
        <w:spacing w:after="0"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274BE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Цели</w:t>
      </w:r>
    </w:p>
    <w:p w14:paraId="27679312" w14:textId="14B1313C" w:rsidR="008F033E" w:rsidRPr="00274BEB" w:rsidRDefault="008F033E" w:rsidP="00274BEB">
      <w:pPr>
        <w:spacing w:after="0" w:line="360" w:lineRule="auto"/>
        <w:ind w:firstLine="709"/>
        <w:jc w:val="both"/>
        <w:rPr>
          <w:rFonts w:ascii="Verdana" w:hAnsi="Verdana"/>
          <w:spacing w:val="4"/>
          <w:sz w:val="20"/>
          <w:szCs w:val="20"/>
          <w:lang w:val="bg-BG" w:eastAsia="bg-BG"/>
        </w:rPr>
      </w:pPr>
      <w:r w:rsidRPr="00274BEB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С приемането на </w:t>
      </w:r>
      <w:r w:rsidR="007F6B24" w:rsidRPr="007F6B24">
        <w:rPr>
          <w:rFonts w:ascii="Verdana" w:hAnsi="Verdana"/>
          <w:sz w:val="20"/>
          <w:szCs w:val="20"/>
          <w:shd w:val="clear" w:color="auto" w:fill="FEFEFE"/>
          <w:lang w:val="bg-BG"/>
        </w:rPr>
        <w:t>проект</w:t>
      </w:r>
      <w:r w:rsidR="007F6B24">
        <w:rPr>
          <w:rFonts w:ascii="Verdana" w:hAnsi="Verdana"/>
          <w:sz w:val="20"/>
          <w:szCs w:val="20"/>
          <w:shd w:val="clear" w:color="auto" w:fill="FEFEFE"/>
          <w:lang w:val="bg-BG"/>
        </w:rPr>
        <w:t>а</w:t>
      </w:r>
      <w:r w:rsidR="007F6B24" w:rsidRPr="007F6B2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на Постановление на Министерския съвет за изменение на Тарифа</w:t>
      </w:r>
      <w:r w:rsidR="00394B4F">
        <w:rPr>
          <w:rFonts w:ascii="Verdana" w:hAnsi="Verdana"/>
          <w:sz w:val="20"/>
          <w:szCs w:val="20"/>
          <w:shd w:val="clear" w:color="auto" w:fill="FEFEFE"/>
          <w:lang w:val="bg-BG"/>
        </w:rPr>
        <w:t>та</w:t>
      </w:r>
      <w:r w:rsidR="007F6B24" w:rsidRPr="007F6B2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за таксите, които се събират за обучение за придобиване на правоспособност за класификатор на кланични трупове по скалата EUROP се цели</w:t>
      </w:r>
      <w:r w:rsidR="00CF393F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привеждането на разпоредбите на</w:t>
      </w:r>
      <w:r w:rsidR="007F6B24" w:rsidRPr="007F6B2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нормативния акт в съответствие със Закона за въвеждане на еврото в Република България.</w:t>
      </w:r>
      <w:r w:rsidR="007F6B2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</w:p>
    <w:p w14:paraId="2449B1D8" w14:textId="77777777" w:rsidR="008F033E" w:rsidRPr="00023257" w:rsidRDefault="008F033E" w:rsidP="00274BEB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14:paraId="1A4943C8" w14:textId="77777777" w:rsidR="00CB24DC" w:rsidRPr="00274BEB" w:rsidRDefault="00CB24DC" w:rsidP="00274BEB">
      <w:pPr>
        <w:widowControl w:val="0"/>
        <w:spacing w:after="0"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274BE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Очаквани резултати от прилагането на акта</w:t>
      </w:r>
    </w:p>
    <w:p w14:paraId="287DA9D6" w14:textId="56F725CA" w:rsidR="008F033E" w:rsidRPr="00274BEB" w:rsidRDefault="007F6B24" w:rsidP="007F6B24">
      <w:pPr>
        <w:widowControl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F6B24">
        <w:rPr>
          <w:rFonts w:ascii="Verdana" w:hAnsi="Verdana"/>
          <w:sz w:val="20"/>
          <w:szCs w:val="20"/>
          <w:lang w:val="bg-BG"/>
        </w:rPr>
        <w:t xml:space="preserve">С приемането на проекта на </w:t>
      </w:r>
      <w:r w:rsidR="00A11617">
        <w:rPr>
          <w:rFonts w:ascii="Verdana" w:hAnsi="Verdana"/>
          <w:sz w:val="20"/>
          <w:szCs w:val="20"/>
          <w:lang w:val="bg-BG"/>
        </w:rPr>
        <w:t>нормативен</w:t>
      </w:r>
      <w:r w:rsidR="00664929">
        <w:rPr>
          <w:rFonts w:ascii="Verdana" w:hAnsi="Verdana"/>
          <w:sz w:val="20"/>
          <w:szCs w:val="20"/>
          <w:lang w:val="bg-BG"/>
        </w:rPr>
        <w:t xml:space="preserve"> акт </w:t>
      </w:r>
      <w:r w:rsidRPr="007F6B24">
        <w:rPr>
          <w:rFonts w:ascii="Verdana" w:hAnsi="Verdana"/>
          <w:sz w:val="20"/>
          <w:szCs w:val="20"/>
          <w:lang w:val="bg-BG"/>
        </w:rPr>
        <w:t xml:space="preserve">ще се създаде възможност за </w:t>
      </w:r>
      <w:r w:rsidR="00664929">
        <w:rPr>
          <w:rFonts w:ascii="Verdana" w:hAnsi="Verdana"/>
          <w:sz w:val="20"/>
          <w:szCs w:val="20"/>
          <w:lang w:val="bg-BG"/>
        </w:rPr>
        <w:t xml:space="preserve"> събиране на таксите</w:t>
      </w:r>
      <w:r w:rsidR="00664929" w:rsidRPr="007F6B24">
        <w:rPr>
          <w:rFonts w:ascii="Verdana" w:hAnsi="Verdana"/>
          <w:sz w:val="20"/>
          <w:szCs w:val="20"/>
          <w:lang w:val="bg-BG"/>
        </w:rPr>
        <w:t xml:space="preserve"> за обучение за придобиване на правоспособност за клас</w:t>
      </w:r>
      <w:r w:rsidR="008E7EB6">
        <w:rPr>
          <w:rFonts w:ascii="Verdana" w:hAnsi="Verdana"/>
          <w:sz w:val="20"/>
          <w:szCs w:val="20"/>
          <w:lang w:val="bg-BG"/>
        </w:rPr>
        <w:t xml:space="preserve">ификатор на кланични трупове </w:t>
      </w:r>
      <w:r w:rsidR="008E7EB6" w:rsidRPr="008E7EB6">
        <w:rPr>
          <w:rFonts w:ascii="Verdana" w:hAnsi="Verdana"/>
          <w:sz w:val="20"/>
          <w:szCs w:val="20"/>
          <w:lang w:val="bg-BG"/>
        </w:rPr>
        <w:t xml:space="preserve">по скàлите на Съюза </w:t>
      </w:r>
      <w:r w:rsidRPr="007F6B24">
        <w:rPr>
          <w:rFonts w:ascii="Verdana" w:hAnsi="Verdana"/>
          <w:sz w:val="20"/>
          <w:szCs w:val="20"/>
          <w:lang w:val="bg-BG"/>
        </w:rPr>
        <w:t>в съответствие с приетия Закон за въвеждане на еврото в Република България</w:t>
      </w:r>
      <w:r w:rsidR="004072BA">
        <w:rPr>
          <w:rFonts w:ascii="Verdana" w:hAnsi="Verdana"/>
          <w:sz w:val="20"/>
          <w:szCs w:val="20"/>
          <w:lang w:val="bg-BG"/>
        </w:rPr>
        <w:t xml:space="preserve"> с оглед членството на страната ни в еврозоната</w:t>
      </w:r>
      <w:r w:rsidRPr="007F6B24">
        <w:rPr>
          <w:rFonts w:ascii="Verdana" w:hAnsi="Verdana"/>
          <w:sz w:val="20"/>
          <w:szCs w:val="20"/>
          <w:lang w:val="bg-BG"/>
        </w:rPr>
        <w:t>.</w:t>
      </w:r>
      <w:r>
        <w:rPr>
          <w:rFonts w:ascii="Verdana" w:hAnsi="Verdana"/>
          <w:sz w:val="20"/>
          <w:szCs w:val="20"/>
          <w:lang w:val="bg-BG"/>
        </w:rPr>
        <w:t xml:space="preserve"> </w:t>
      </w:r>
    </w:p>
    <w:p w14:paraId="6ED6172D" w14:textId="77777777" w:rsidR="007F67D8" w:rsidRPr="00274BEB" w:rsidRDefault="007F67D8" w:rsidP="00274BEB">
      <w:pPr>
        <w:widowControl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142F0B1E" w14:textId="77777777" w:rsidR="00CB24DC" w:rsidRPr="00274BEB" w:rsidRDefault="00CB24DC" w:rsidP="00023257">
      <w:pPr>
        <w:widowControl w:val="0"/>
        <w:spacing w:after="0"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274BE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14:paraId="2F1B86D1" w14:textId="77777777" w:rsidR="00B61BE6" w:rsidRDefault="00B61BE6" w:rsidP="00B61BE6">
      <w:pPr>
        <w:widowControl w:val="0"/>
        <w:tabs>
          <w:tab w:val="left" w:pos="9356"/>
        </w:tabs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274BEB">
        <w:rPr>
          <w:rFonts w:ascii="Verdana" w:hAnsi="Verdana"/>
          <w:color w:val="000000" w:themeColor="text1"/>
          <w:sz w:val="20"/>
          <w:szCs w:val="20"/>
          <w:lang w:val="bg-BG" w:eastAsia="bg-BG"/>
        </w:rPr>
        <w:t>Проектът не предвижда разходването на допълнителни средства от бюджета на Министерство на земеделието и храните.</w:t>
      </w:r>
    </w:p>
    <w:p w14:paraId="4E0FC456" w14:textId="77777777" w:rsidR="00B61BE6" w:rsidRPr="00274BEB" w:rsidRDefault="00B61BE6" w:rsidP="00B61BE6">
      <w:pPr>
        <w:widowControl w:val="0"/>
        <w:tabs>
          <w:tab w:val="left" w:pos="9356"/>
        </w:tabs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FB479D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За приемането на проекта на акт не са необходими допълнителни </w:t>
      </w:r>
      <w:r w:rsidRPr="00FB479D">
        <w:rPr>
          <w:rFonts w:ascii="Verdana" w:hAnsi="Verdana"/>
          <w:color w:val="000000" w:themeColor="text1"/>
          <w:sz w:val="20"/>
          <w:szCs w:val="20"/>
          <w:lang w:val="bg-BG" w:eastAsia="bg-BG"/>
        </w:rPr>
        <w:lastRenderedPageBreak/>
        <w:t>разходи/трансфери и други плащания по бюджета на Министерството на земеделието и храните.</w:t>
      </w:r>
    </w:p>
    <w:p w14:paraId="4DEBEADD" w14:textId="113ED98D" w:rsidR="00B61BE6" w:rsidRPr="00B61BE6" w:rsidRDefault="00B61BE6" w:rsidP="00B61BE6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274BEB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Приложеният проект на акт не води до въздействие върху </w:t>
      </w:r>
      <w:r w:rsidRPr="00B61BE6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държавния бюджет, поради което е приложена финансова обосновка, съгласно чл. 35, ал. 1, т. 4, </w:t>
      </w:r>
      <w:r w:rsidR="00D25236">
        <w:rPr>
          <w:rFonts w:ascii="Verdana" w:hAnsi="Verdana"/>
          <w:sz w:val="20"/>
          <w:szCs w:val="20"/>
          <w:lang w:val="bg-BG" w:eastAsia="bg-BG"/>
        </w:rPr>
        <w:t>б.</w:t>
      </w:r>
      <w:r w:rsidRPr="00B61BE6">
        <w:rPr>
          <w:rFonts w:ascii="Verdana" w:hAnsi="Verdana"/>
          <w:sz w:val="20"/>
          <w:szCs w:val="20"/>
          <w:lang w:val="bg-BG" w:eastAsia="bg-BG"/>
        </w:rPr>
        <w:t xml:space="preserve"> „б" </w:t>
      </w:r>
      <w:r w:rsidRPr="00B61BE6">
        <w:rPr>
          <w:rFonts w:ascii="Verdana" w:hAnsi="Verdana"/>
          <w:sz w:val="20"/>
          <w:szCs w:val="20"/>
          <w:shd w:val="clear" w:color="auto" w:fill="FEFEFE"/>
          <w:lang w:val="bg-BG"/>
        </w:rPr>
        <w:t>от Устройствения правилник на Министерския съвет и на неговата администрация.</w:t>
      </w:r>
    </w:p>
    <w:p w14:paraId="6E9DEF08" w14:textId="77777777" w:rsidR="00B61BE6" w:rsidRPr="00B61BE6" w:rsidRDefault="00B61BE6" w:rsidP="00B61BE6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B61BE6">
        <w:rPr>
          <w:rFonts w:ascii="Verdana" w:hAnsi="Verdana"/>
          <w:sz w:val="20"/>
          <w:szCs w:val="20"/>
          <w:lang w:val="bg-BG"/>
        </w:rPr>
        <w:t>За изпълнението на проекта на акт не са необходими допълнителни разходи/трансфери/други плащания по бюджета на Министерството на земеделието и храните за 2025 г. и следващите бюджетни години.</w:t>
      </w:r>
    </w:p>
    <w:p w14:paraId="3BE80270" w14:textId="77777777" w:rsidR="00B61BE6" w:rsidRPr="00B61BE6" w:rsidRDefault="00B61BE6" w:rsidP="00B61BE6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B61BE6">
        <w:rPr>
          <w:rFonts w:ascii="Verdana" w:hAnsi="Verdana"/>
          <w:sz w:val="20"/>
          <w:szCs w:val="20"/>
          <w:lang w:val="bg-BG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14:paraId="77FA8519" w14:textId="77777777" w:rsidR="00F545CC" w:rsidRPr="00274BEB" w:rsidRDefault="00F545CC" w:rsidP="00274BEB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  <w:highlight w:val="yellow"/>
          <w:lang w:val="bg-BG"/>
        </w:rPr>
      </w:pPr>
    </w:p>
    <w:p w14:paraId="60D0F589" w14:textId="77777777" w:rsidR="00FF2380" w:rsidRPr="00274BEB" w:rsidRDefault="00FF2380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  <w:r w:rsidRPr="00274BEB">
        <w:rPr>
          <w:rFonts w:ascii="Verdana" w:eastAsia="Courier New" w:hAnsi="Verdana"/>
          <w:b/>
          <w:sz w:val="20"/>
          <w:szCs w:val="20"/>
          <w:lang w:val="bg-BG"/>
        </w:rPr>
        <w:t>Анализ за съответствие с правото на Европейския съюз</w:t>
      </w:r>
    </w:p>
    <w:p w14:paraId="4B686083" w14:textId="339A045D" w:rsidR="00590AD5" w:rsidRPr="00274BEB" w:rsidRDefault="00590AD5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274BEB">
        <w:rPr>
          <w:rFonts w:ascii="Verdana" w:hAnsi="Verdana"/>
          <w:sz w:val="20"/>
          <w:szCs w:val="20"/>
          <w:lang w:val="bg-BG" w:eastAsia="bg-BG"/>
        </w:rPr>
        <w:t xml:space="preserve">С </w:t>
      </w:r>
      <w:r w:rsidR="00125B11" w:rsidRPr="00274BEB">
        <w:rPr>
          <w:rFonts w:ascii="Verdana" w:hAnsi="Verdana"/>
          <w:sz w:val="20"/>
          <w:szCs w:val="20"/>
          <w:lang w:val="bg-BG" w:eastAsia="bg-BG"/>
        </w:rPr>
        <w:t xml:space="preserve">проекта </w:t>
      </w:r>
      <w:r w:rsidRPr="00274BEB">
        <w:rPr>
          <w:rFonts w:ascii="Verdana" w:hAnsi="Verdana"/>
          <w:sz w:val="20"/>
          <w:szCs w:val="20"/>
          <w:lang w:val="bg-BG" w:eastAsia="bg-BG"/>
        </w:rPr>
        <w:t>не се транспонират актове на институции на Европейския съюз, поради което не е и</w:t>
      </w:r>
      <w:r w:rsidR="008355FF">
        <w:rPr>
          <w:rFonts w:ascii="Verdana" w:hAnsi="Verdana"/>
          <w:sz w:val="20"/>
          <w:szCs w:val="20"/>
          <w:lang w:val="bg-BG" w:eastAsia="bg-BG"/>
        </w:rPr>
        <w:t>зготвена таблица н</w:t>
      </w:r>
      <w:r w:rsidRPr="00274BEB">
        <w:rPr>
          <w:rFonts w:ascii="Verdana" w:hAnsi="Verdana"/>
          <w:sz w:val="20"/>
          <w:szCs w:val="20"/>
          <w:lang w:val="bg-BG" w:eastAsia="bg-BG"/>
        </w:rPr>
        <w:t>а съответствието с правото на Европейския съюз.</w:t>
      </w:r>
    </w:p>
    <w:p w14:paraId="7E4B4FF6" w14:textId="77777777" w:rsidR="005D0167" w:rsidRPr="00274BEB" w:rsidRDefault="005D0167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</w:p>
    <w:p w14:paraId="2A47906C" w14:textId="77777777" w:rsidR="00FF2380" w:rsidRPr="00274BEB" w:rsidRDefault="00FF2380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/>
          <w:b/>
          <w:sz w:val="20"/>
          <w:szCs w:val="20"/>
          <w:lang w:val="bg-BG"/>
        </w:rPr>
      </w:pPr>
      <w:r w:rsidRPr="00274BEB">
        <w:rPr>
          <w:rFonts w:ascii="Verdana" w:eastAsia="Courier New" w:hAnsi="Verdana"/>
          <w:b/>
          <w:sz w:val="20"/>
          <w:szCs w:val="20"/>
          <w:lang w:val="bg-BG"/>
        </w:rPr>
        <w:t>Информация за проведените обществени консултации</w:t>
      </w:r>
    </w:p>
    <w:p w14:paraId="167C430C" w14:textId="333D7B43" w:rsidR="006C5FFA" w:rsidRPr="00274BEB" w:rsidRDefault="006C5FFA" w:rsidP="00274BEB">
      <w:pPr>
        <w:spacing w:after="0" w:line="360" w:lineRule="auto"/>
        <w:ind w:firstLine="709"/>
        <w:jc w:val="both"/>
        <w:rPr>
          <w:rFonts w:ascii="Verdana" w:hAnsi="Verdana" w:cs="Verdana"/>
          <w:sz w:val="20"/>
          <w:szCs w:val="20"/>
          <w:lang w:val="bg-BG"/>
        </w:rPr>
      </w:pPr>
      <w:r w:rsidRPr="00274BEB">
        <w:rPr>
          <w:rFonts w:ascii="Verdana" w:hAnsi="Verdana" w:cs="Verdana"/>
          <w:sz w:val="20"/>
          <w:szCs w:val="20"/>
          <w:lang w:val="bg-BG"/>
        </w:rPr>
        <w:t>На основание чл. 26, ал. 3 и 4 от Закон</w:t>
      </w:r>
      <w:r w:rsidR="008355FF">
        <w:rPr>
          <w:rFonts w:ascii="Verdana" w:hAnsi="Verdana" w:cs="Verdana"/>
          <w:sz w:val="20"/>
          <w:szCs w:val="20"/>
          <w:lang w:val="bg-BG"/>
        </w:rPr>
        <w:t>а за нормативните актове проекта</w:t>
      </w:r>
      <w:r w:rsidRPr="00274BEB">
        <w:rPr>
          <w:rFonts w:ascii="Verdana" w:hAnsi="Verdana" w:cs="Verdana"/>
          <w:sz w:val="20"/>
          <w:szCs w:val="20"/>
          <w:lang w:val="bg-BG"/>
        </w:rPr>
        <w:t xml:space="preserve"> на постановление</w:t>
      </w:r>
      <w:r w:rsidR="00080EE8" w:rsidRPr="00274BEB">
        <w:rPr>
          <w:rFonts w:ascii="Verdana" w:hAnsi="Verdana" w:cs="Verdana"/>
          <w:sz w:val="20"/>
          <w:szCs w:val="20"/>
          <w:lang w:val="bg-BG"/>
        </w:rPr>
        <w:t>,</w:t>
      </w:r>
      <w:r w:rsidR="000314AF" w:rsidRPr="00274BEB">
        <w:rPr>
          <w:rFonts w:ascii="Verdana" w:hAnsi="Verdana" w:cs="Verdana"/>
          <w:sz w:val="20"/>
          <w:szCs w:val="20"/>
          <w:lang w:val="bg-BG"/>
        </w:rPr>
        <w:t xml:space="preserve"> </w:t>
      </w:r>
      <w:r w:rsidR="008355FF">
        <w:rPr>
          <w:rFonts w:ascii="Verdana" w:hAnsi="Verdana" w:cs="Verdana"/>
          <w:sz w:val="20"/>
          <w:szCs w:val="20"/>
          <w:lang w:val="bg-BG"/>
        </w:rPr>
        <w:t>доклада</w:t>
      </w:r>
      <w:r w:rsidRPr="00274BEB">
        <w:rPr>
          <w:rFonts w:ascii="Verdana" w:hAnsi="Verdana" w:cs="Verdana"/>
          <w:sz w:val="20"/>
          <w:szCs w:val="20"/>
          <w:lang w:val="bg-BG"/>
        </w:rPr>
        <w:t xml:space="preserve"> (мотивите)</w:t>
      </w:r>
      <w:r w:rsidR="000314AF" w:rsidRPr="00274BEB">
        <w:rPr>
          <w:rFonts w:ascii="Verdana" w:hAnsi="Verdana" w:cs="Verdana"/>
          <w:sz w:val="20"/>
          <w:szCs w:val="20"/>
          <w:lang w:val="bg-BG"/>
        </w:rPr>
        <w:t>,</w:t>
      </w:r>
      <w:r w:rsidRPr="00274BEB">
        <w:rPr>
          <w:rFonts w:ascii="Verdana" w:hAnsi="Verdana" w:cs="Verdana"/>
          <w:sz w:val="20"/>
          <w:szCs w:val="20"/>
          <w:lang w:val="bg-BG"/>
        </w:rPr>
        <w:t xml:space="preserve"> частичната предварителната оценка на </w:t>
      </w:r>
      <w:r w:rsidR="00A42DA9" w:rsidRPr="00274BEB">
        <w:rPr>
          <w:rFonts w:ascii="Verdana" w:hAnsi="Verdana" w:cs="Verdana"/>
          <w:sz w:val="20"/>
          <w:szCs w:val="20"/>
          <w:lang w:val="bg-BG"/>
        </w:rPr>
        <w:t xml:space="preserve">въздействието </w:t>
      </w:r>
      <w:r w:rsidR="000314AF" w:rsidRPr="00274BEB">
        <w:rPr>
          <w:rFonts w:ascii="Verdana" w:hAnsi="Verdana" w:cs="Verdana"/>
          <w:sz w:val="20"/>
          <w:szCs w:val="20"/>
          <w:lang w:val="bg-BG"/>
        </w:rPr>
        <w:t>и становището на дирекция „</w:t>
      </w:r>
      <w:r w:rsidR="00C86F16">
        <w:rPr>
          <w:rFonts w:ascii="Verdana" w:hAnsi="Verdana" w:cs="Verdana"/>
          <w:sz w:val="20"/>
          <w:szCs w:val="20"/>
          <w:lang w:val="bg-BG"/>
        </w:rPr>
        <w:t xml:space="preserve">Координация и </w:t>
      </w:r>
      <w:r w:rsidR="00C86F16" w:rsidRPr="00274BEB">
        <w:rPr>
          <w:rFonts w:ascii="Verdana" w:hAnsi="Verdana" w:cs="Verdana"/>
          <w:sz w:val="20"/>
          <w:szCs w:val="20"/>
          <w:lang w:val="bg-BG"/>
        </w:rPr>
        <w:t xml:space="preserve">модернизация </w:t>
      </w:r>
      <w:r w:rsidR="000314AF" w:rsidRPr="00274BEB">
        <w:rPr>
          <w:rFonts w:ascii="Verdana" w:hAnsi="Verdana" w:cs="Verdana"/>
          <w:sz w:val="20"/>
          <w:szCs w:val="20"/>
          <w:lang w:val="bg-BG"/>
        </w:rPr>
        <w:t>на администрацията</w:t>
      </w:r>
      <w:r w:rsidR="00276CE5" w:rsidRPr="00274BEB">
        <w:rPr>
          <w:rFonts w:ascii="Verdana" w:hAnsi="Verdana"/>
          <w:sz w:val="20"/>
          <w:szCs w:val="20"/>
          <w:lang w:val="bg-BG"/>
        </w:rPr>
        <w:t>“</w:t>
      </w:r>
      <w:r w:rsidR="000314AF" w:rsidRPr="00274BEB">
        <w:rPr>
          <w:rFonts w:ascii="Verdana" w:hAnsi="Verdana" w:cs="Verdana"/>
          <w:sz w:val="20"/>
          <w:szCs w:val="20"/>
          <w:lang w:val="bg-BG"/>
        </w:rPr>
        <w:t xml:space="preserve"> в администрацията на Министерския съвет </w:t>
      </w:r>
      <w:r w:rsidRPr="00274BEB">
        <w:rPr>
          <w:rFonts w:ascii="Verdana" w:hAnsi="Verdana" w:cs="Verdana"/>
          <w:sz w:val="20"/>
          <w:szCs w:val="20"/>
          <w:lang w:val="bg-BG"/>
        </w:rPr>
        <w:t>са публикувани на интернет страницата на Министерството на земеделието</w:t>
      </w:r>
      <w:r w:rsidR="006E2AD1" w:rsidRPr="00274BEB">
        <w:rPr>
          <w:rFonts w:ascii="Verdana" w:hAnsi="Verdana" w:cs="Verdana"/>
          <w:sz w:val="20"/>
          <w:szCs w:val="20"/>
          <w:lang w:val="bg-BG"/>
        </w:rPr>
        <w:t xml:space="preserve"> </w:t>
      </w:r>
      <w:r w:rsidR="00385FB7" w:rsidRPr="00274BEB">
        <w:rPr>
          <w:rFonts w:ascii="Verdana" w:hAnsi="Verdana" w:cs="Verdana"/>
          <w:sz w:val="20"/>
          <w:szCs w:val="20"/>
          <w:lang w:val="bg-BG"/>
        </w:rPr>
        <w:t xml:space="preserve">и храните </w:t>
      </w:r>
      <w:r w:rsidRPr="00274BEB">
        <w:rPr>
          <w:rFonts w:ascii="Verdana" w:hAnsi="Verdana" w:cs="Verdana"/>
          <w:sz w:val="20"/>
          <w:szCs w:val="20"/>
          <w:lang w:val="bg-BG"/>
        </w:rPr>
        <w:t>и на Портала за обществени консултации със срок за предложения и становища</w:t>
      </w:r>
      <w:r w:rsidR="000314AF" w:rsidRPr="00274BEB">
        <w:rPr>
          <w:rFonts w:ascii="Verdana" w:hAnsi="Verdana" w:cs="Verdana"/>
          <w:sz w:val="20"/>
          <w:szCs w:val="20"/>
          <w:lang w:val="bg-BG"/>
        </w:rPr>
        <w:t xml:space="preserve"> </w:t>
      </w:r>
      <w:r w:rsidRPr="00274BEB">
        <w:rPr>
          <w:rFonts w:ascii="Verdana" w:hAnsi="Verdana" w:cs="Verdana"/>
          <w:sz w:val="20"/>
          <w:szCs w:val="20"/>
          <w:lang w:val="bg-BG"/>
        </w:rPr>
        <w:t xml:space="preserve">30 дни. </w:t>
      </w:r>
    </w:p>
    <w:p w14:paraId="7623B0F1" w14:textId="46211F1A" w:rsidR="00D26BAF" w:rsidRPr="00274BEB" w:rsidRDefault="006C5FFA" w:rsidP="007F6B2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274BEB">
        <w:rPr>
          <w:rFonts w:ascii="Verdana" w:hAnsi="Verdana"/>
          <w:sz w:val="20"/>
          <w:szCs w:val="20"/>
          <w:lang w:val="bg-BG"/>
        </w:rPr>
        <w:t xml:space="preserve">В съответствие с изискванията на чл. 26, ал. 5 от Закона за нормативните актове </w:t>
      </w:r>
      <w:r w:rsidR="007F6B24" w:rsidRPr="007F6B24">
        <w:rPr>
          <w:rFonts w:ascii="Verdana" w:hAnsi="Verdana"/>
          <w:sz w:val="20"/>
          <w:szCs w:val="20"/>
          <w:lang w:val="bg-BG"/>
        </w:rPr>
        <w:t>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консултации.</w:t>
      </w:r>
      <w:r w:rsidR="007F6B24">
        <w:rPr>
          <w:rFonts w:ascii="Verdana" w:hAnsi="Verdana"/>
          <w:sz w:val="20"/>
          <w:szCs w:val="20"/>
          <w:lang w:val="bg-BG"/>
        </w:rPr>
        <w:t xml:space="preserve"> </w:t>
      </w:r>
    </w:p>
    <w:p w14:paraId="74D6F2F2" w14:textId="77777777" w:rsidR="001B62ED" w:rsidRDefault="001B62ED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7136B55B" w14:textId="77777777" w:rsidR="001D7C91" w:rsidRPr="00274BEB" w:rsidRDefault="008A769A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 w:eastAsia="bg-BG"/>
        </w:rPr>
      </w:pPr>
      <w:r w:rsidRPr="00274BEB">
        <w:rPr>
          <w:rFonts w:ascii="Verdana" w:hAnsi="Verdana"/>
          <w:sz w:val="20"/>
          <w:szCs w:val="20"/>
          <w:lang w:val="bg-BG" w:eastAsia="bg-BG"/>
        </w:rPr>
        <w:t xml:space="preserve">Проектът на постановление на Министерския съвет е 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бележки и предложения са отразени. </w:t>
      </w:r>
    </w:p>
    <w:p w14:paraId="087CD2AD" w14:textId="77777777" w:rsidR="009B27BC" w:rsidRDefault="009B27BC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14:paraId="22FAA86A" w14:textId="77777777" w:rsidR="005B5410" w:rsidRPr="008A6F9B" w:rsidRDefault="005B5410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14:paraId="386348EB" w14:textId="77777777" w:rsidR="00AC7993" w:rsidRPr="00274BEB" w:rsidRDefault="00AC7993" w:rsidP="00274BE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14:paraId="53F13157" w14:textId="77777777" w:rsidR="00F56111" w:rsidRPr="00274BEB" w:rsidRDefault="00AC7993" w:rsidP="00C86F16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274BEB"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14:paraId="66FECBDE" w14:textId="2CB48CBF" w:rsidR="00944CF7" w:rsidRPr="00274BEB" w:rsidRDefault="00AC7993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pacing w:val="4"/>
          <w:sz w:val="20"/>
          <w:szCs w:val="20"/>
          <w:highlight w:val="yellow"/>
          <w:lang w:val="bg-BG"/>
        </w:rPr>
      </w:pPr>
      <w:r w:rsidRPr="00274BEB">
        <w:rPr>
          <w:rFonts w:ascii="Verdana" w:hAnsi="Verdana"/>
          <w:sz w:val="20"/>
          <w:szCs w:val="20"/>
          <w:lang w:val="bg-BG" w:eastAsia="bg-BG"/>
        </w:rPr>
        <w:t>Във връзка с гореизложеното и на основание чл. 8, ал. 1 от Устройствения правилник на Министерския съвет и на неговата администрация предлагам Министерския съвет д</w:t>
      </w:r>
      <w:r w:rsidR="00C6775C" w:rsidRPr="00274BEB">
        <w:rPr>
          <w:rFonts w:ascii="Verdana" w:hAnsi="Verdana"/>
          <w:sz w:val="20"/>
          <w:szCs w:val="20"/>
          <w:lang w:val="bg-BG" w:eastAsia="bg-BG"/>
        </w:rPr>
        <w:t xml:space="preserve">а приеме предложения </w:t>
      </w:r>
      <w:r w:rsidR="00125B11" w:rsidRPr="00274BEB">
        <w:rPr>
          <w:rFonts w:ascii="Verdana" w:hAnsi="Verdana"/>
          <w:sz w:val="20"/>
          <w:szCs w:val="20"/>
          <w:lang w:val="bg-BG" w:eastAsia="bg-BG"/>
        </w:rPr>
        <w:t xml:space="preserve">проект на Постановление на </w:t>
      </w:r>
      <w:r w:rsidR="00125B11" w:rsidRPr="00274BEB">
        <w:rPr>
          <w:rFonts w:ascii="Verdana" w:hAnsi="Verdana"/>
          <w:sz w:val="20"/>
          <w:szCs w:val="20"/>
          <w:lang w:val="bg-BG" w:eastAsia="bg-BG"/>
        </w:rPr>
        <w:lastRenderedPageBreak/>
        <w:t xml:space="preserve">Министерския съвет за изменение </w:t>
      </w:r>
      <w:r w:rsidR="008343C6">
        <w:rPr>
          <w:rFonts w:ascii="Verdana" w:hAnsi="Verdana"/>
          <w:sz w:val="20"/>
          <w:szCs w:val="20"/>
          <w:lang w:val="bg-BG" w:eastAsia="bg-BG"/>
        </w:rPr>
        <w:t xml:space="preserve">на </w:t>
      </w:r>
      <w:r w:rsidR="008343C6" w:rsidRPr="008343C6">
        <w:rPr>
          <w:rFonts w:ascii="Verdana" w:hAnsi="Verdana"/>
          <w:sz w:val="20"/>
          <w:szCs w:val="20"/>
          <w:lang w:val="bg-BG" w:eastAsia="bg-BG"/>
        </w:rPr>
        <w:t>Тарифа</w:t>
      </w:r>
      <w:r w:rsidR="00394B4F">
        <w:rPr>
          <w:rFonts w:ascii="Verdana" w:hAnsi="Verdana"/>
          <w:sz w:val="20"/>
          <w:szCs w:val="20"/>
          <w:lang w:val="bg-BG" w:eastAsia="bg-BG"/>
        </w:rPr>
        <w:t>та</w:t>
      </w:r>
      <w:r w:rsidR="008343C6" w:rsidRPr="008343C6">
        <w:rPr>
          <w:rFonts w:ascii="Verdana" w:hAnsi="Verdana"/>
          <w:sz w:val="20"/>
          <w:szCs w:val="20"/>
          <w:lang w:val="bg-BG" w:eastAsia="bg-BG"/>
        </w:rPr>
        <w:t xml:space="preserve"> за таксите, които се събират за обучение за придобиване на правоспособност за класификатор на кланични трупове по скалата EUROP</w:t>
      </w:r>
      <w:r w:rsidR="00D164E5">
        <w:rPr>
          <w:rFonts w:ascii="Verdana" w:hAnsi="Verdana"/>
          <w:sz w:val="20"/>
          <w:szCs w:val="20"/>
          <w:lang w:val="bg-BG" w:eastAsia="bg-BG"/>
        </w:rPr>
        <w:t>,</w:t>
      </w:r>
      <w:r w:rsidR="00D164E5" w:rsidRPr="00D164E5">
        <w:rPr>
          <w:lang w:val="bg-BG"/>
        </w:rPr>
        <w:t xml:space="preserve"> </w:t>
      </w:r>
      <w:r w:rsidR="00D164E5" w:rsidRPr="00D164E5">
        <w:rPr>
          <w:rFonts w:ascii="Verdana" w:hAnsi="Verdana"/>
          <w:sz w:val="20"/>
          <w:szCs w:val="20"/>
          <w:lang w:val="bg-BG" w:eastAsia="bg-BG"/>
        </w:rPr>
        <w:t xml:space="preserve">одобрена с Постановление № 206 на Министерския съвет от </w:t>
      </w:r>
      <w:r w:rsidR="00C86F16">
        <w:rPr>
          <w:rFonts w:ascii="Verdana" w:hAnsi="Verdana"/>
          <w:sz w:val="20"/>
          <w:szCs w:val="20"/>
          <w:lang w:val="bg-BG" w:eastAsia="bg-BG"/>
        </w:rPr>
        <w:br/>
      </w:r>
      <w:r w:rsidR="00D164E5" w:rsidRPr="00D164E5">
        <w:rPr>
          <w:rFonts w:ascii="Verdana" w:hAnsi="Verdana"/>
          <w:sz w:val="20"/>
          <w:szCs w:val="20"/>
          <w:lang w:val="bg-BG" w:eastAsia="bg-BG"/>
        </w:rPr>
        <w:t xml:space="preserve">2011 г. </w:t>
      </w:r>
    </w:p>
    <w:p w14:paraId="2CDAC143" w14:textId="77777777" w:rsidR="00372C9F" w:rsidRPr="00274BEB" w:rsidRDefault="00372C9F" w:rsidP="00274B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tbl>
      <w:tblPr>
        <w:tblW w:w="8397" w:type="dxa"/>
        <w:tblInd w:w="817" w:type="dxa"/>
        <w:tblLook w:val="01E0" w:firstRow="1" w:lastRow="1" w:firstColumn="1" w:lastColumn="1" w:noHBand="0" w:noVBand="0"/>
      </w:tblPr>
      <w:tblGrid>
        <w:gridCol w:w="1843"/>
        <w:gridCol w:w="6554"/>
      </w:tblGrid>
      <w:tr w:rsidR="00241DA7" w:rsidRPr="00391418" w14:paraId="105E4CA1" w14:textId="77777777" w:rsidTr="00023257">
        <w:tc>
          <w:tcPr>
            <w:tcW w:w="1843" w:type="dxa"/>
          </w:tcPr>
          <w:p w14:paraId="43CAA45D" w14:textId="2DF739FF" w:rsidR="00241DA7" w:rsidRPr="00274BEB" w:rsidRDefault="008343C6" w:rsidP="00274B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Приложения</w:t>
            </w:r>
            <w:r w:rsidR="00241DA7" w:rsidRPr="00274BEB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 xml:space="preserve">: </w:t>
            </w:r>
          </w:p>
        </w:tc>
        <w:tc>
          <w:tcPr>
            <w:tcW w:w="6554" w:type="dxa"/>
          </w:tcPr>
          <w:p w14:paraId="207422D3" w14:textId="1AE378E4" w:rsidR="00900990" w:rsidRPr="00274BEB" w:rsidRDefault="00125B11" w:rsidP="008343C6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274BEB">
              <w:rPr>
                <w:sz w:val="20"/>
                <w:szCs w:val="20"/>
              </w:rPr>
              <w:t xml:space="preserve">Проект на Постановление на Министерския съвет за изменение на </w:t>
            </w:r>
            <w:r w:rsidR="008343C6" w:rsidRPr="008343C6">
              <w:rPr>
                <w:sz w:val="20"/>
                <w:szCs w:val="20"/>
              </w:rPr>
              <w:t>Тарифа</w:t>
            </w:r>
            <w:r w:rsidR="00394B4F">
              <w:rPr>
                <w:sz w:val="20"/>
                <w:szCs w:val="20"/>
              </w:rPr>
              <w:t>та</w:t>
            </w:r>
            <w:r w:rsidR="008343C6" w:rsidRPr="008343C6">
              <w:rPr>
                <w:sz w:val="20"/>
                <w:szCs w:val="20"/>
              </w:rPr>
              <w:t xml:space="preserve"> за таксите, които се събират за обучение за придобиване на правоспособност за класификатор на кланични трупове по скалата EUROP</w:t>
            </w:r>
            <w:r w:rsidR="00900990" w:rsidRPr="00274BEB">
              <w:rPr>
                <w:sz w:val="20"/>
                <w:szCs w:val="20"/>
              </w:rPr>
              <w:t>;</w:t>
            </w:r>
          </w:p>
          <w:p w14:paraId="30B10E9D" w14:textId="77777777" w:rsidR="00365C1E" w:rsidRDefault="00365C1E" w:rsidP="00274BEB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274BEB">
              <w:rPr>
                <w:sz w:val="20"/>
                <w:szCs w:val="20"/>
              </w:rPr>
              <w:t>Частична предварителна оценка на въздействието</w:t>
            </w:r>
            <w:r w:rsidR="00B50993" w:rsidRPr="00274BEB">
              <w:rPr>
                <w:sz w:val="20"/>
                <w:szCs w:val="20"/>
              </w:rPr>
              <w:t>;</w:t>
            </w:r>
          </w:p>
          <w:p w14:paraId="68E5A348" w14:textId="4B3A4B84" w:rsidR="00706252" w:rsidRPr="006D581A" w:rsidRDefault="00706252" w:rsidP="00706252">
            <w:pPr>
              <w:pStyle w:val="ListParagraph"/>
              <w:numPr>
                <w:ilvl w:val="0"/>
                <w:numId w:val="7"/>
              </w:numPr>
              <w:overflowPunct w:val="0"/>
              <w:spacing w:line="348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Становище на</w:t>
            </w:r>
            <w:r w:rsidRPr="006D581A">
              <w:rPr>
                <w:sz w:val="20"/>
                <w:szCs w:val="20"/>
              </w:rPr>
              <w:t xml:space="preserve"> дирекция „</w:t>
            </w:r>
            <w:r w:rsidR="00C86F16">
              <w:rPr>
                <w:sz w:val="20"/>
                <w:szCs w:val="20"/>
              </w:rPr>
              <w:t xml:space="preserve">Координация и </w:t>
            </w:r>
            <w:r w:rsidR="00C86F16" w:rsidRPr="006D581A">
              <w:rPr>
                <w:sz w:val="20"/>
                <w:szCs w:val="20"/>
              </w:rPr>
              <w:t xml:space="preserve">модернизация </w:t>
            </w:r>
            <w:r w:rsidRPr="006D581A">
              <w:rPr>
                <w:sz w:val="20"/>
                <w:szCs w:val="20"/>
              </w:rPr>
              <w:t xml:space="preserve">на администрацията“ </w:t>
            </w:r>
            <w:r>
              <w:rPr>
                <w:sz w:val="20"/>
                <w:szCs w:val="20"/>
              </w:rPr>
              <w:t>в</w:t>
            </w:r>
            <w:r w:rsidRPr="006D581A">
              <w:rPr>
                <w:sz w:val="20"/>
                <w:szCs w:val="20"/>
              </w:rPr>
              <w:t xml:space="preserve"> Министерск</w:t>
            </w:r>
            <w:r w:rsidRPr="000E5FD1">
              <w:rPr>
                <w:sz w:val="20"/>
                <w:szCs w:val="20"/>
              </w:rPr>
              <w:t xml:space="preserve">ия </w:t>
            </w:r>
            <w:r w:rsidRPr="006D581A">
              <w:rPr>
                <w:sz w:val="20"/>
                <w:szCs w:val="20"/>
              </w:rPr>
              <w:t>съвет;</w:t>
            </w:r>
          </w:p>
          <w:p w14:paraId="41E28257" w14:textId="77777777" w:rsidR="002124CF" w:rsidRPr="00274BEB" w:rsidRDefault="00811DA1" w:rsidP="00274BEB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274BEB">
              <w:rPr>
                <w:sz w:val="20"/>
                <w:szCs w:val="20"/>
              </w:rPr>
              <w:t>Финансова обосновка;</w:t>
            </w:r>
          </w:p>
          <w:p w14:paraId="6C3C6830" w14:textId="77777777" w:rsidR="00274BEB" w:rsidRPr="00274BEB" w:rsidRDefault="00274BEB" w:rsidP="00274BEB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274BEB">
              <w:rPr>
                <w:sz w:val="20"/>
                <w:szCs w:val="20"/>
              </w:rPr>
              <w:t>Справка за отразяване на становищата, постъпили по реда на чл. 32 – 34 от Устройствения правилник на Министерския съвет и на неговата администрация;</w:t>
            </w:r>
          </w:p>
          <w:p w14:paraId="6475E063" w14:textId="77777777" w:rsidR="00274BEB" w:rsidRPr="00274BEB" w:rsidRDefault="00274BEB" w:rsidP="00274BEB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274BEB">
              <w:rPr>
                <w:sz w:val="20"/>
                <w:szCs w:val="20"/>
              </w:rPr>
              <w:t>Постъпили становища;</w:t>
            </w:r>
          </w:p>
          <w:p w14:paraId="5B30174C" w14:textId="77777777" w:rsidR="008343C6" w:rsidRPr="008343C6" w:rsidRDefault="008343C6" w:rsidP="008343C6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8343C6">
              <w:rPr>
                <w:sz w:val="20"/>
                <w:szCs w:val="20"/>
              </w:rPr>
              <w:t>Справка за отразяване на постъпилите предложения и становища от обществената консултация;</w:t>
            </w:r>
          </w:p>
          <w:p w14:paraId="5568E2EA" w14:textId="77777777" w:rsidR="008343C6" w:rsidRDefault="008343C6" w:rsidP="008343C6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8343C6">
              <w:rPr>
                <w:sz w:val="20"/>
                <w:szCs w:val="20"/>
              </w:rPr>
              <w:t>Постъпили предложения и становища от проведената обществена консултация</w:t>
            </w:r>
            <w:r>
              <w:rPr>
                <w:sz w:val="20"/>
                <w:szCs w:val="20"/>
              </w:rPr>
              <w:t>;</w:t>
            </w:r>
          </w:p>
          <w:p w14:paraId="087F2294" w14:textId="2756423B" w:rsidR="002124CF" w:rsidRPr="00C86F16" w:rsidRDefault="00274BEB" w:rsidP="00C86F16">
            <w:pPr>
              <w:pStyle w:val="ListParagraph"/>
              <w:numPr>
                <w:ilvl w:val="0"/>
                <w:numId w:val="7"/>
              </w:numPr>
              <w:overflowPunct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274BEB">
              <w:rPr>
                <w:sz w:val="20"/>
                <w:szCs w:val="20"/>
              </w:rPr>
              <w:t>Проект на съобщение за средствата за масово осведомяване.</w:t>
            </w:r>
            <w:r w:rsidR="00C86F16" w:rsidRPr="00C86F16">
              <w:rPr>
                <w:sz w:val="20"/>
                <w:szCs w:val="20"/>
              </w:rPr>
              <w:t xml:space="preserve"> </w:t>
            </w:r>
          </w:p>
        </w:tc>
      </w:tr>
    </w:tbl>
    <w:p w14:paraId="0CAE6D32" w14:textId="33D611CF" w:rsidR="00C22A0D" w:rsidRPr="00274BEB" w:rsidRDefault="00C22A0D" w:rsidP="0027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081A0E7E" w14:textId="77777777" w:rsidR="00D26BAF" w:rsidRPr="00274BEB" w:rsidRDefault="00D26BAF" w:rsidP="0027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</w:p>
    <w:p w14:paraId="74C22FDB" w14:textId="0FF39D13" w:rsidR="00080EE8" w:rsidRPr="00274BEB" w:rsidRDefault="00391418" w:rsidP="0027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highlight w:val="yellow"/>
          <w:lang w:val="bg-BG" w:eastAsia="bg-BG"/>
        </w:rPr>
      </w:pPr>
      <w:r>
        <w:rPr>
          <w:rFonts w:ascii="Verdana" w:hAnsi="Verdana"/>
          <w:sz w:val="20"/>
          <w:szCs w:val="20"/>
          <w:highlight w:val="yellow"/>
          <w:lang w:val="bg-BG" w:eastAsia="bg-BG"/>
        </w:rPr>
        <w:pict w14:anchorId="0FDDA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5.25pt">
            <v:imagedata r:id="rId9" o:title=""/>
            <o:lock v:ext="edit" ungrouping="t" rotation="t" cropping="t" verticies="t" text="t" grouping="t"/>
            <o:signatureline v:ext="edit" id="{77C125CB-2589-4C63-A6E2-B4A2936E6A75}" provid="{00000000-0000-0000-0000-000000000000}" o:suggestedsigner="Д-Р ГЕОРГИ ТАХОВ" o:suggestedsigner2="Министър" issignatureline="t"/>
          </v:shape>
        </w:pict>
      </w:r>
    </w:p>
    <w:sectPr w:rsidR="00080EE8" w:rsidRPr="00274BEB" w:rsidSect="009274CD"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CEBE" w14:textId="77777777" w:rsidR="00F673B8" w:rsidRDefault="00F673B8">
      <w:r>
        <w:separator/>
      </w:r>
    </w:p>
  </w:endnote>
  <w:endnote w:type="continuationSeparator" w:id="0">
    <w:p w14:paraId="36363BD6" w14:textId="77777777" w:rsidR="00F673B8" w:rsidRDefault="00F6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64825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15ADACB9" w14:textId="2BB4AB8D" w:rsidR="00784705" w:rsidRPr="00E53711" w:rsidRDefault="00784705" w:rsidP="000D52AE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E53711">
          <w:rPr>
            <w:rFonts w:ascii="Verdana" w:hAnsi="Verdana"/>
            <w:sz w:val="16"/>
            <w:szCs w:val="16"/>
          </w:rPr>
          <w:fldChar w:fldCharType="begin"/>
        </w:r>
        <w:r w:rsidRPr="00E5371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E53711">
          <w:rPr>
            <w:rFonts w:ascii="Verdana" w:hAnsi="Verdana"/>
            <w:sz w:val="16"/>
            <w:szCs w:val="16"/>
          </w:rPr>
          <w:fldChar w:fldCharType="separate"/>
        </w:r>
        <w:r w:rsidR="00391418">
          <w:rPr>
            <w:rFonts w:ascii="Verdana" w:hAnsi="Verdana"/>
            <w:noProof/>
            <w:sz w:val="16"/>
            <w:szCs w:val="16"/>
          </w:rPr>
          <w:t>3</w:t>
        </w:r>
        <w:r w:rsidRPr="00E53711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F7E30" w14:textId="77777777" w:rsidR="00F673B8" w:rsidRDefault="00F673B8">
      <w:r>
        <w:separator/>
      </w:r>
    </w:p>
  </w:footnote>
  <w:footnote w:type="continuationSeparator" w:id="0">
    <w:p w14:paraId="45C3DCA9" w14:textId="77777777" w:rsidR="00F673B8" w:rsidRDefault="00F6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CEA6" w14:textId="77777777" w:rsidR="00784705" w:rsidRDefault="00784705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>Класификация на информацията:</w:t>
    </w:r>
  </w:p>
  <w:p w14:paraId="48FB8055" w14:textId="77777777" w:rsidR="00784705" w:rsidRPr="00A270DB" w:rsidRDefault="00784705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 xml:space="preserve">Ниво </w:t>
    </w:r>
    <w:r>
      <w:rPr>
        <w:rFonts w:ascii="Verdana" w:hAnsi="Verdana"/>
        <w:sz w:val="16"/>
        <w:szCs w:val="16"/>
        <w:lang w:val="bg-BG"/>
      </w:rPr>
      <w:t>0</w:t>
    </w:r>
    <w:r w:rsidRPr="00A270DB">
      <w:rPr>
        <w:rFonts w:ascii="Verdana" w:hAnsi="Verdana"/>
        <w:sz w:val="16"/>
        <w:szCs w:val="16"/>
        <w:lang w:val="bg-BG"/>
      </w:rPr>
      <w:t>, TLP-</w:t>
    </w:r>
    <w:r>
      <w:rPr>
        <w:rFonts w:ascii="Verdana" w:hAnsi="Verdana"/>
        <w:sz w:val="16"/>
        <w:szCs w:val="16"/>
      </w:rPr>
      <w:t>WHITE</w:t>
    </w:r>
  </w:p>
  <w:p w14:paraId="73772866" w14:textId="77777777" w:rsidR="00784705" w:rsidRPr="003A0C39" w:rsidRDefault="00784705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D77"/>
    <w:multiLevelType w:val="hybridMultilevel"/>
    <w:tmpl w:val="48AEA3A8"/>
    <w:lvl w:ilvl="0" w:tplc="2AAA09E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48113B"/>
    <w:multiLevelType w:val="multilevel"/>
    <w:tmpl w:val="834A54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4B2C0B"/>
    <w:multiLevelType w:val="hybridMultilevel"/>
    <w:tmpl w:val="879A84EE"/>
    <w:lvl w:ilvl="0" w:tplc="32BE2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A613E"/>
    <w:multiLevelType w:val="multilevel"/>
    <w:tmpl w:val="871803AA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B0C4B"/>
    <w:multiLevelType w:val="hybridMultilevel"/>
    <w:tmpl w:val="5566B5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97D5560"/>
    <w:multiLevelType w:val="hybridMultilevel"/>
    <w:tmpl w:val="28ACC06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6E76E7"/>
    <w:multiLevelType w:val="multilevel"/>
    <w:tmpl w:val="FCA608E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2E21693"/>
    <w:multiLevelType w:val="hybridMultilevel"/>
    <w:tmpl w:val="FC829464"/>
    <w:lvl w:ilvl="0" w:tplc="E08C1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93"/>
    <w:rsid w:val="00001B0B"/>
    <w:rsid w:val="00001BD6"/>
    <w:rsid w:val="00003FD8"/>
    <w:rsid w:val="00005ADF"/>
    <w:rsid w:val="0000631B"/>
    <w:rsid w:val="0000722E"/>
    <w:rsid w:val="0001012C"/>
    <w:rsid w:val="00015496"/>
    <w:rsid w:val="00017FD2"/>
    <w:rsid w:val="00022EE7"/>
    <w:rsid w:val="000230A2"/>
    <w:rsid w:val="00023257"/>
    <w:rsid w:val="000302A2"/>
    <w:rsid w:val="000314AF"/>
    <w:rsid w:val="00032291"/>
    <w:rsid w:val="00032852"/>
    <w:rsid w:val="00032F22"/>
    <w:rsid w:val="00035390"/>
    <w:rsid w:val="00035E9E"/>
    <w:rsid w:val="00036942"/>
    <w:rsid w:val="0004464A"/>
    <w:rsid w:val="000448E9"/>
    <w:rsid w:val="000455EF"/>
    <w:rsid w:val="0005493D"/>
    <w:rsid w:val="00063A43"/>
    <w:rsid w:val="00063AC5"/>
    <w:rsid w:val="000661F8"/>
    <w:rsid w:val="00067751"/>
    <w:rsid w:val="00067DF6"/>
    <w:rsid w:val="000713CA"/>
    <w:rsid w:val="00071E16"/>
    <w:rsid w:val="00072443"/>
    <w:rsid w:val="00073ACA"/>
    <w:rsid w:val="00074844"/>
    <w:rsid w:val="00080EE8"/>
    <w:rsid w:val="00081403"/>
    <w:rsid w:val="00081789"/>
    <w:rsid w:val="00085CB8"/>
    <w:rsid w:val="0008685D"/>
    <w:rsid w:val="00086B05"/>
    <w:rsid w:val="000A2A83"/>
    <w:rsid w:val="000A46A0"/>
    <w:rsid w:val="000A4A9D"/>
    <w:rsid w:val="000A4D3E"/>
    <w:rsid w:val="000B18EF"/>
    <w:rsid w:val="000B3E2A"/>
    <w:rsid w:val="000C09AB"/>
    <w:rsid w:val="000C0A3A"/>
    <w:rsid w:val="000C3131"/>
    <w:rsid w:val="000C4476"/>
    <w:rsid w:val="000C586C"/>
    <w:rsid w:val="000C7C91"/>
    <w:rsid w:val="000D0CF8"/>
    <w:rsid w:val="000D17A2"/>
    <w:rsid w:val="000D5089"/>
    <w:rsid w:val="000D52AE"/>
    <w:rsid w:val="000E4044"/>
    <w:rsid w:val="000E5FD1"/>
    <w:rsid w:val="000E74BB"/>
    <w:rsid w:val="000F1F75"/>
    <w:rsid w:val="000F29C2"/>
    <w:rsid w:val="000F2EC8"/>
    <w:rsid w:val="000F33BD"/>
    <w:rsid w:val="000F6474"/>
    <w:rsid w:val="00100FB8"/>
    <w:rsid w:val="00107FB9"/>
    <w:rsid w:val="0011068A"/>
    <w:rsid w:val="00112703"/>
    <w:rsid w:val="001130B9"/>
    <w:rsid w:val="00114569"/>
    <w:rsid w:val="0012034D"/>
    <w:rsid w:val="001217E8"/>
    <w:rsid w:val="00122043"/>
    <w:rsid w:val="00123BFC"/>
    <w:rsid w:val="0012577F"/>
    <w:rsid w:val="001257A6"/>
    <w:rsid w:val="00125B11"/>
    <w:rsid w:val="001342D6"/>
    <w:rsid w:val="00137254"/>
    <w:rsid w:val="001410E3"/>
    <w:rsid w:val="00153F3E"/>
    <w:rsid w:val="00162DB6"/>
    <w:rsid w:val="00163C9B"/>
    <w:rsid w:val="001656AE"/>
    <w:rsid w:val="00165F08"/>
    <w:rsid w:val="0016637C"/>
    <w:rsid w:val="00166DFA"/>
    <w:rsid w:val="00170FE9"/>
    <w:rsid w:val="001711F2"/>
    <w:rsid w:val="001728C9"/>
    <w:rsid w:val="001732A1"/>
    <w:rsid w:val="00173FC7"/>
    <w:rsid w:val="0018054A"/>
    <w:rsid w:val="001834C8"/>
    <w:rsid w:val="001920CE"/>
    <w:rsid w:val="00193583"/>
    <w:rsid w:val="0019649A"/>
    <w:rsid w:val="001974DD"/>
    <w:rsid w:val="001A0705"/>
    <w:rsid w:val="001A14F2"/>
    <w:rsid w:val="001A2767"/>
    <w:rsid w:val="001A3374"/>
    <w:rsid w:val="001A3723"/>
    <w:rsid w:val="001A407C"/>
    <w:rsid w:val="001A60FA"/>
    <w:rsid w:val="001A64D4"/>
    <w:rsid w:val="001B3775"/>
    <w:rsid w:val="001B503E"/>
    <w:rsid w:val="001B60BC"/>
    <w:rsid w:val="001B62ED"/>
    <w:rsid w:val="001B687C"/>
    <w:rsid w:val="001C155C"/>
    <w:rsid w:val="001C55E0"/>
    <w:rsid w:val="001C63C2"/>
    <w:rsid w:val="001D0CF6"/>
    <w:rsid w:val="001D3B8A"/>
    <w:rsid w:val="001D5099"/>
    <w:rsid w:val="001D5746"/>
    <w:rsid w:val="001D6B43"/>
    <w:rsid w:val="001D7C91"/>
    <w:rsid w:val="001E55A0"/>
    <w:rsid w:val="001F34B4"/>
    <w:rsid w:val="0020000C"/>
    <w:rsid w:val="002055E7"/>
    <w:rsid w:val="0020746E"/>
    <w:rsid w:val="00211D52"/>
    <w:rsid w:val="002124CF"/>
    <w:rsid w:val="00212C58"/>
    <w:rsid w:val="00212CB1"/>
    <w:rsid w:val="00214D46"/>
    <w:rsid w:val="00216125"/>
    <w:rsid w:val="00217FD6"/>
    <w:rsid w:val="002224AF"/>
    <w:rsid w:val="002224B6"/>
    <w:rsid w:val="002235C8"/>
    <w:rsid w:val="00226756"/>
    <w:rsid w:val="002302B8"/>
    <w:rsid w:val="00233B6E"/>
    <w:rsid w:val="00235436"/>
    <w:rsid w:val="00235E05"/>
    <w:rsid w:val="0023792E"/>
    <w:rsid w:val="00240219"/>
    <w:rsid w:val="00241DA7"/>
    <w:rsid w:val="00242468"/>
    <w:rsid w:val="00244FD2"/>
    <w:rsid w:val="002462C7"/>
    <w:rsid w:val="00247138"/>
    <w:rsid w:val="00252297"/>
    <w:rsid w:val="00257E7F"/>
    <w:rsid w:val="002634EC"/>
    <w:rsid w:val="00267DC8"/>
    <w:rsid w:val="002701C3"/>
    <w:rsid w:val="002740F8"/>
    <w:rsid w:val="002742F4"/>
    <w:rsid w:val="00274BEB"/>
    <w:rsid w:val="00276CE5"/>
    <w:rsid w:val="002835E3"/>
    <w:rsid w:val="00283945"/>
    <w:rsid w:val="00287BB0"/>
    <w:rsid w:val="002916F3"/>
    <w:rsid w:val="002944BA"/>
    <w:rsid w:val="002947D8"/>
    <w:rsid w:val="002A15FF"/>
    <w:rsid w:val="002A7C86"/>
    <w:rsid w:val="002A7DCF"/>
    <w:rsid w:val="002C0ECD"/>
    <w:rsid w:val="002C1A38"/>
    <w:rsid w:val="002C2B9E"/>
    <w:rsid w:val="002C5798"/>
    <w:rsid w:val="002C641A"/>
    <w:rsid w:val="002C665E"/>
    <w:rsid w:val="002C70F3"/>
    <w:rsid w:val="002C7552"/>
    <w:rsid w:val="002D01FF"/>
    <w:rsid w:val="002D04F7"/>
    <w:rsid w:val="002D749B"/>
    <w:rsid w:val="002E5135"/>
    <w:rsid w:val="002E6615"/>
    <w:rsid w:val="002E77AE"/>
    <w:rsid w:val="002F61BE"/>
    <w:rsid w:val="002F71EF"/>
    <w:rsid w:val="00300632"/>
    <w:rsid w:val="00300A36"/>
    <w:rsid w:val="00302315"/>
    <w:rsid w:val="0030402F"/>
    <w:rsid w:val="0030534C"/>
    <w:rsid w:val="0030683B"/>
    <w:rsid w:val="00310511"/>
    <w:rsid w:val="00311444"/>
    <w:rsid w:val="00313348"/>
    <w:rsid w:val="003140AE"/>
    <w:rsid w:val="0031558C"/>
    <w:rsid w:val="00316D6E"/>
    <w:rsid w:val="00316E5E"/>
    <w:rsid w:val="0032532E"/>
    <w:rsid w:val="003266E6"/>
    <w:rsid w:val="0032676C"/>
    <w:rsid w:val="0032709D"/>
    <w:rsid w:val="003278A3"/>
    <w:rsid w:val="003331E6"/>
    <w:rsid w:val="003337B6"/>
    <w:rsid w:val="00341C8B"/>
    <w:rsid w:val="00344473"/>
    <w:rsid w:val="003454C2"/>
    <w:rsid w:val="0035003B"/>
    <w:rsid w:val="003525DF"/>
    <w:rsid w:val="00361C2A"/>
    <w:rsid w:val="0036298A"/>
    <w:rsid w:val="003658B1"/>
    <w:rsid w:val="00365C1E"/>
    <w:rsid w:val="00372B90"/>
    <w:rsid w:val="00372C9F"/>
    <w:rsid w:val="00375ACA"/>
    <w:rsid w:val="00383118"/>
    <w:rsid w:val="0038366D"/>
    <w:rsid w:val="003836F4"/>
    <w:rsid w:val="0038573B"/>
    <w:rsid w:val="00385FB7"/>
    <w:rsid w:val="00391418"/>
    <w:rsid w:val="00392BF3"/>
    <w:rsid w:val="00394326"/>
    <w:rsid w:val="00394B4F"/>
    <w:rsid w:val="003A030E"/>
    <w:rsid w:val="003A0C39"/>
    <w:rsid w:val="003A3DEB"/>
    <w:rsid w:val="003B05BA"/>
    <w:rsid w:val="003B0C22"/>
    <w:rsid w:val="003B459E"/>
    <w:rsid w:val="003B4646"/>
    <w:rsid w:val="003B4675"/>
    <w:rsid w:val="003B5360"/>
    <w:rsid w:val="003B6FA8"/>
    <w:rsid w:val="003C0522"/>
    <w:rsid w:val="003C3D08"/>
    <w:rsid w:val="003D12AC"/>
    <w:rsid w:val="003D1D90"/>
    <w:rsid w:val="003E16DC"/>
    <w:rsid w:val="003E303C"/>
    <w:rsid w:val="003E50B9"/>
    <w:rsid w:val="003E7541"/>
    <w:rsid w:val="003F0A57"/>
    <w:rsid w:val="003F29DE"/>
    <w:rsid w:val="003F6818"/>
    <w:rsid w:val="00400439"/>
    <w:rsid w:val="004024D3"/>
    <w:rsid w:val="004025FE"/>
    <w:rsid w:val="004054CC"/>
    <w:rsid w:val="004064F4"/>
    <w:rsid w:val="00406798"/>
    <w:rsid w:val="004072BA"/>
    <w:rsid w:val="00407D42"/>
    <w:rsid w:val="0041317A"/>
    <w:rsid w:val="00421321"/>
    <w:rsid w:val="00426E82"/>
    <w:rsid w:val="0042738B"/>
    <w:rsid w:val="004339E5"/>
    <w:rsid w:val="00440067"/>
    <w:rsid w:val="004418A4"/>
    <w:rsid w:val="00443B5A"/>
    <w:rsid w:val="00444238"/>
    <w:rsid w:val="00452CC0"/>
    <w:rsid w:val="00453BA8"/>
    <w:rsid w:val="00457C78"/>
    <w:rsid w:val="004659A1"/>
    <w:rsid w:val="00470E3D"/>
    <w:rsid w:val="004719CD"/>
    <w:rsid w:val="00475D0F"/>
    <w:rsid w:val="00475DFD"/>
    <w:rsid w:val="00482FAB"/>
    <w:rsid w:val="00483434"/>
    <w:rsid w:val="00483A2A"/>
    <w:rsid w:val="0048496F"/>
    <w:rsid w:val="00485153"/>
    <w:rsid w:val="004A41A2"/>
    <w:rsid w:val="004A5B1C"/>
    <w:rsid w:val="004A6F13"/>
    <w:rsid w:val="004B5369"/>
    <w:rsid w:val="004B631F"/>
    <w:rsid w:val="004B6AC6"/>
    <w:rsid w:val="004B7B83"/>
    <w:rsid w:val="004D256E"/>
    <w:rsid w:val="004D3739"/>
    <w:rsid w:val="004D6551"/>
    <w:rsid w:val="004E2091"/>
    <w:rsid w:val="004E260D"/>
    <w:rsid w:val="004E36CB"/>
    <w:rsid w:val="004E415B"/>
    <w:rsid w:val="004F6DB0"/>
    <w:rsid w:val="00501D05"/>
    <w:rsid w:val="005046E9"/>
    <w:rsid w:val="00511796"/>
    <w:rsid w:val="00515555"/>
    <w:rsid w:val="00516F97"/>
    <w:rsid w:val="005218F4"/>
    <w:rsid w:val="005257AD"/>
    <w:rsid w:val="00530DE7"/>
    <w:rsid w:val="0053415F"/>
    <w:rsid w:val="00536D23"/>
    <w:rsid w:val="00542EDC"/>
    <w:rsid w:val="00543A83"/>
    <w:rsid w:val="00544947"/>
    <w:rsid w:val="00544C86"/>
    <w:rsid w:val="00553495"/>
    <w:rsid w:val="00555F86"/>
    <w:rsid w:val="0056138B"/>
    <w:rsid w:val="005613FC"/>
    <w:rsid w:val="00561C9D"/>
    <w:rsid w:val="005621F7"/>
    <w:rsid w:val="00565147"/>
    <w:rsid w:val="0057034E"/>
    <w:rsid w:val="00572941"/>
    <w:rsid w:val="00577D3E"/>
    <w:rsid w:val="00577D9C"/>
    <w:rsid w:val="00590AD5"/>
    <w:rsid w:val="00590F22"/>
    <w:rsid w:val="005927A7"/>
    <w:rsid w:val="0059438B"/>
    <w:rsid w:val="00595AF5"/>
    <w:rsid w:val="005976B6"/>
    <w:rsid w:val="00597E32"/>
    <w:rsid w:val="005A030A"/>
    <w:rsid w:val="005A1751"/>
    <w:rsid w:val="005A276D"/>
    <w:rsid w:val="005A29A4"/>
    <w:rsid w:val="005A3C7B"/>
    <w:rsid w:val="005B43C2"/>
    <w:rsid w:val="005B5410"/>
    <w:rsid w:val="005B5B91"/>
    <w:rsid w:val="005C048C"/>
    <w:rsid w:val="005C1E04"/>
    <w:rsid w:val="005C2FA1"/>
    <w:rsid w:val="005C3E39"/>
    <w:rsid w:val="005C4E36"/>
    <w:rsid w:val="005C5B89"/>
    <w:rsid w:val="005C705A"/>
    <w:rsid w:val="005D0167"/>
    <w:rsid w:val="005E19B9"/>
    <w:rsid w:val="005E1C81"/>
    <w:rsid w:val="005E6B0A"/>
    <w:rsid w:val="005E7035"/>
    <w:rsid w:val="005E7670"/>
    <w:rsid w:val="005F0E66"/>
    <w:rsid w:val="005F16B6"/>
    <w:rsid w:val="005F49F1"/>
    <w:rsid w:val="006038CB"/>
    <w:rsid w:val="00605ED1"/>
    <w:rsid w:val="00607B57"/>
    <w:rsid w:val="006124BD"/>
    <w:rsid w:val="00614E2B"/>
    <w:rsid w:val="006150A6"/>
    <w:rsid w:val="00620983"/>
    <w:rsid w:val="006214D0"/>
    <w:rsid w:val="00626587"/>
    <w:rsid w:val="00633F7E"/>
    <w:rsid w:val="00640E05"/>
    <w:rsid w:val="00643606"/>
    <w:rsid w:val="0064555E"/>
    <w:rsid w:val="00646AEA"/>
    <w:rsid w:val="00653B3F"/>
    <w:rsid w:val="0065616F"/>
    <w:rsid w:val="0065753B"/>
    <w:rsid w:val="00663C73"/>
    <w:rsid w:val="00664929"/>
    <w:rsid w:val="00670E33"/>
    <w:rsid w:val="0067362E"/>
    <w:rsid w:val="0067750A"/>
    <w:rsid w:val="00681826"/>
    <w:rsid w:val="00683316"/>
    <w:rsid w:val="00684C84"/>
    <w:rsid w:val="00686456"/>
    <w:rsid w:val="0069408A"/>
    <w:rsid w:val="0069483F"/>
    <w:rsid w:val="006A3A4D"/>
    <w:rsid w:val="006A55D3"/>
    <w:rsid w:val="006B170A"/>
    <w:rsid w:val="006B1790"/>
    <w:rsid w:val="006B4C68"/>
    <w:rsid w:val="006B4D7B"/>
    <w:rsid w:val="006B5561"/>
    <w:rsid w:val="006C12FB"/>
    <w:rsid w:val="006C2535"/>
    <w:rsid w:val="006C293F"/>
    <w:rsid w:val="006C5775"/>
    <w:rsid w:val="006C5FFA"/>
    <w:rsid w:val="006D1761"/>
    <w:rsid w:val="006D3CEC"/>
    <w:rsid w:val="006D539F"/>
    <w:rsid w:val="006D581A"/>
    <w:rsid w:val="006E1D5F"/>
    <w:rsid w:val="006E2AD1"/>
    <w:rsid w:val="006E2F04"/>
    <w:rsid w:val="006E312E"/>
    <w:rsid w:val="006E4B08"/>
    <w:rsid w:val="006E5F34"/>
    <w:rsid w:val="006E6117"/>
    <w:rsid w:val="006F5E42"/>
    <w:rsid w:val="00700D09"/>
    <w:rsid w:val="00701078"/>
    <w:rsid w:val="0070219C"/>
    <w:rsid w:val="00702377"/>
    <w:rsid w:val="00702EBE"/>
    <w:rsid w:val="00706252"/>
    <w:rsid w:val="00707F87"/>
    <w:rsid w:val="00713B81"/>
    <w:rsid w:val="0071483C"/>
    <w:rsid w:val="007159D0"/>
    <w:rsid w:val="00716501"/>
    <w:rsid w:val="00721B3F"/>
    <w:rsid w:val="0072374D"/>
    <w:rsid w:val="00723F17"/>
    <w:rsid w:val="007241C0"/>
    <w:rsid w:val="00727487"/>
    <w:rsid w:val="00731B12"/>
    <w:rsid w:val="00732C67"/>
    <w:rsid w:val="007338D3"/>
    <w:rsid w:val="007373FE"/>
    <w:rsid w:val="00740841"/>
    <w:rsid w:val="00744413"/>
    <w:rsid w:val="00746955"/>
    <w:rsid w:val="00746FD7"/>
    <w:rsid w:val="00750D43"/>
    <w:rsid w:val="00751267"/>
    <w:rsid w:val="00751351"/>
    <w:rsid w:val="007550BC"/>
    <w:rsid w:val="00755B02"/>
    <w:rsid w:val="00757581"/>
    <w:rsid w:val="007644FE"/>
    <w:rsid w:val="007650C7"/>
    <w:rsid w:val="00771C2B"/>
    <w:rsid w:val="00773738"/>
    <w:rsid w:val="00773E77"/>
    <w:rsid w:val="00776A3C"/>
    <w:rsid w:val="00777F6C"/>
    <w:rsid w:val="007836F3"/>
    <w:rsid w:val="00783C65"/>
    <w:rsid w:val="00783DD2"/>
    <w:rsid w:val="00784705"/>
    <w:rsid w:val="00791964"/>
    <w:rsid w:val="00792022"/>
    <w:rsid w:val="00793146"/>
    <w:rsid w:val="00794309"/>
    <w:rsid w:val="00796F24"/>
    <w:rsid w:val="007972FF"/>
    <w:rsid w:val="007A0580"/>
    <w:rsid w:val="007A0EE5"/>
    <w:rsid w:val="007A140A"/>
    <w:rsid w:val="007A1B07"/>
    <w:rsid w:val="007B4099"/>
    <w:rsid w:val="007B539C"/>
    <w:rsid w:val="007B5BEA"/>
    <w:rsid w:val="007B74E2"/>
    <w:rsid w:val="007B7D64"/>
    <w:rsid w:val="007C06AF"/>
    <w:rsid w:val="007C3326"/>
    <w:rsid w:val="007D0499"/>
    <w:rsid w:val="007D66E4"/>
    <w:rsid w:val="007D673B"/>
    <w:rsid w:val="007D770B"/>
    <w:rsid w:val="007E0223"/>
    <w:rsid w:val="007E080D"/>
    <w:rsid w:val="007E0941"/>
    <w:rsid w:val="007E295E"/>
    <w:rsid w:val="007F0310"/>
    <w:rsid w:val="007F2038"/>
    <w:rsid w:val="007F3496"/>
    <w:rsid w:val="007F67D8"/>
    <w:rsid w:val="007F67F1"/>
    <w:rsid w:val="007F6B24"/>
    <w:rsid w:val="008039FE"/>
    <w:rsid w:val="008042E9"/>
    <w:rsid w:val="00804639"/>
    <w:rsid w:val="00804836"/>
    <w:rsid w:val="0080646C"/>
    <w:rsid w:val="00811DA1"/>
    <w:rsid w:val="00825E46"/>
    <w:rsid w:val="0083113D"/>
    <w:rsid w:val="00831990"/>
    <w:rsid w:val="008343C6"/>
    <w:rsid w:val="00834EC0"/>
    <w:rsid w:val="008350F3"/>
    <w:rsid w:val="008355FF"/>
    <w:rsid w:val="0083785C"/>
    <w:rsid w:val="00844B83"/>
    <w:rsid w:val="00845C88"/>
    <w:rsid w:val="00847761"/>
    <w:rsid w:val="0085132B"/>
    <w:rsid w:val="008547AC"/>
    <w:rsid w:val="00857372"/>
    <w:rsid w:val="00857A1F"/>
    <w:rsid w:val="00861788"/>
    <w:rsid w:val="0086215C"/>
    <w:rsid w:val="00863587"/>
    <w:rsid w:val="008811EB"/>
    <w:rsid w:val="008911D2"/>
    <w:rsid w:val="008955F0"/>
    <w:rsid w:val="008A01F9"/>
    <w:rsid w:val="008A0F6D"/>
    <w:rsid w:val="008A26B6"/>
    <w:rsid w:val="008A6EF2"/>
    <w:rsid w:val="008A6F9B"/>
    <w:rsid w:val="008A769A"/>
    <w:rsid w:val="008B34FA"/>
    <w:rsid w:val="008B6386"/>
    <w:rsid w:val="008C04E1"/>
    <w:rsid w:val="008C3D90"/>
    <w:rsid w:val="008C438F"/>
    <w:rsid w:val="008C5449"/>
    <w:rsid w:val="008C54FE"/>
    <w:rsid w:val="008D05E1"/>
    <w:rsid w:val="008D56C1"/>
    <w:rsid w:val="008D65D4"/>
    <w:rsid w:val="008E0973"/>
    <w:rsid w:val="008E3570"/>
    <w:rsid w:val="008E7EB6"/>
    <w:rsid w:val="008F033E"/>
    <w:rsid w:val="008F3EA7"/>
    <w:rsid w:val="008F5D28"/>
    <w:rsid w:val="0090034F"/>
    <w:rsid w:val="00900990"/>
    <w:rsid w:val="009030E9"/>
    <w:rsid w:val="009063CC"/>
    <w:rsid w:val="009071BC"/>
    <w:rsid w:val="009125B0"/>
    <w:rsid w:val="009144B8"/>
    <w:rsid w:val="009200C5"/>
    <w:rsid w:val="0092556C"/>
    <w:rsid w:val="009274CD"/>
    <w:rsid w:val="00932673"/>
    <w:rsid w:val="00932FEE"/>
    <w:rsid w:val="00940CF4"/>
    <w:rsid w:val="00944CF7"/>
    <w:rsid w:val="00945E6C"/>
    <w:rsid w:val="00947E2D"/>
    <w:rsid w:val="00950308"/>
    <w:rsid w:val="009559A4"/>
    <w:rsid w:val="009611AC"/>
    <w:rsid w:val="00961200"/>
    <w:rsid w:val="009619DD"/>
    <w:rsid w:val="00964405"/>
    <w:rsid w:val="009676FB"/>
    <w:rsid w:val="00972C40"/>
    <w:rsid w:val="00981DB9"/>
    <w:rsid w:val="00982CBD"/>
    <w:rsid w:val="00986C72"/>
    <w:rsid w:val="00991454"/>
    <w:rsid w:val="00997503"/>
    <w:rsid w:val="009976A3"/>
    <w:rsid w:val="009A1D24"/>
    <w:rsid w:val="009A6F50"/>
    <w:rsid w:val="009A7C24"/>
    <w:rsid w:val="009B27BC"/>
    <w:rsid w:val="009B4084"/>
    <w:rsid w:val="009B5B86"/>
    <w:rsid w:val="009B6BE4"/>
    <w:rsid w:val="009B6C1E"/>
    <w:rsid w:val="009C1674"/>
    <w:rsid w:val="009C2B6C"/>
    <w:rsid w:val="009C3124"/>
    <w:rsid w:val="009C46A6"/>
    <w:rsid w:val="009C68FD"/>
    <w:rsid w:val="009C6BEE"/>
    <w:rsid w:val="009C6C4F"/>
    <w:rsid w:val="009D7143"/>
    <w:rsid w:val="009D78CE"/>
    <w:rsid w:val="009E019A"/>
    <w:rsid w:val="009E6EE2"/>
    <w:rsid w:val="009E7432"/>
    <w:rsid w:val="009F729E"/>
    <w:rsid w:val="009F769F"/>
    <w:rsid w:val="00A00760"/>
    <w:rsid w:val="00A01026"/>
    <w:rsid w:val="00A11617"/>
    <w:rsid w:val="00A1236B"/>
    <w:rsid w:val="00A15C64"/>
    <w:rsid w:val="00A17BAB"/>
    <w:rsid w:val="00A2061C"/>
    <w:rsid w:val="00A20680"/>
    <w:rsid w:val="00A2195A"/>
    <w:rsid w:val="00A310CD"/>
    <w:rsid w:val="00A31483"/>
    <w:rsid w:val="00A33DEF"/>
    <w:rsid w:val="00A378B8"/>
    <w:rsid w:val="00A413A1"/>
    <w:rsid w:val="00A42928"/>
    <w:rsid w:val="00A42DA9"/>
    <w:rsid w:val="00A43979"/>
    <w:rsid w:val="00A445D2"/>
    <w:rsid w:val="00A450E2"/>
    <w:rsid w:val="00A513CE"/>
    <w:rsid w:val="00A51BEA"/>
    <w:rsid w:val="00A538FB"/>
    <w:rsid w:val="00A54BD2"/>
    <w:rsid w:val="00A579C4"/>
    <w:rsid w:val="00A6058E"/>
    <w:rsid w:val="00A6080C"/>
    <w:rsid w:val="00A63D8D"/>
    <w:rsid w:val="00A64717"/>
    <w:rsid w:val="00A70340"/>
    <w:rsid w:val="00A70374"/>
    <w:rsid w:val="00A70FB4"/>
    <w:rsid w:val="00A71EDA"/>
    <w:rsid w:val="00A76FB2"/>
    <w:rsid w:val="00A77382"/>
    <w:rsid w:val="00A81775"/>
    <w:rsid w:val="00A836C3"/>
    <w:rsid w:val="00A92BB5"/>
    <w:rsid w:val="00A92E24"/>
    <w:rsid w:val="00AA0C08"/>
    <w:rsid w:val="00AA38A0"/>
    <w:rsid w:val="00AA4961"/>
    <w:rsid w:val="00AA4F2E"/>
    <w:rsid w:val="00AA5FC2"/>
    <w:rsid w:val="00AB78D9"/>
    <w:rsid w:val="00AC2DE3"/>
    <w:rsid w:val="00AC421B"/>
    <w:rsid w:val="00AC7993"/>
    <w:rsid w:val="00AD48ED"/>
    <w:rsid w:val="00AD4D2F"/>
    <w:rsid w:val="00AD59D8"/>
    <w:rsid w:val="00AD5F88"/>
    <w:rsid w:val="00AD7ECF"/>
    <w:rsid w:val="00AE36D2"/>
    <w:rsid w:val="00AE46EB"/>
    <w:rsid w:val="00AE493C"/>
    <w:rsid w:val="00AE77C6"/>
    <w:rsid w:val="00AF1072"/>
    <w:rsid w:val="00AF2347"/>
    <w:rsid w:val="00B06D0A"/>
    <w:rsid w:val="00B076B2"/>
    <w:rsid w:val="00B0784D"/>
    <w:rsid w:val="00B10829"/>
    <w:rsid w:val="00B11600"/>
    <w:rsid w:val="00B14B27"/>
    <w:rsid w:val="00B153E6"/>
    <w:rsid w:val="00B15E46"/>
    <w:rsid w:val="00B16ED3"/>
    <w:rsid w:val="00B17A06"/>
    <w:rsid w:val="00B2518A"/>
    <w:rsid w:val="00B26C42"/>
    <w:rsid w:val="00B30DA4"/>
    <w:rsid w:val="00B37548"/>
    <w:rsid w:val="00B426C6"/>
    <w:rsid w:val="00B42C10"/>
    <w:rsid w:val="00B43428"/>
    <w:rsid w:val="00B44A20"/>
    <w:rsid w:val="00B50993"/>
    <w:rsid w:val="00B50D95"/>
    <w:rsid w:val="00B53777"/>
    <w:rsid w:val="00B54F05"/>
    <w:rsid w:val="00B556D0"/>
    <w:rsid w:val="00B578A1"/>
    <w:rsid w:val="00B610E2"/>
    <w:rsid w:val="00B61BE6"/>
    <w:rsid w:val="00B63308"/>
    <w:rsid w:val="00B65A84"/>
    <w:rsid w:val="00B6788B"/>
    <w:rsid w:val="00B70CFB"/>
    <w:rsid w:val="00B71BD9"/>
    <w:rsid w:val="00B73AD3"/>
    <w:rsid w:val="00B77EA2"/>
    <w:rsid w:val="00B826F2"/>
    <w:rsid w:val="00B8442E"/>
    <w:rsid w:val="00B90D7E"/>
    <w:rsid w:val="00B9459C"/>
    <w:rsid w:val="00B9466C"/>
    <w:rsid w:val="00B94D42"/>
    <w:rsid w:val="00B97FC3"/>
    <w:rsid w:val="00BA0AAD"/>
    <w:rsid w:val="00BA6153"/>
    <w:rsid w:val="00BA7811"/>
    <w:rsid w:val="00BB3165"/>
    <w:rsid w:val="00BB5581"/>
    <w:rsid w:val="00BB7BC4"/>
    <w:rsid w:val="00BC5650"/>
    <w:rsid w:val="00BD1BF7"/>
    <w:rsid w:val="00BD29D6"/>
    <w:rsid w:val="00BD62C8"/>
    <w:rsid w:val="00BE0823"/>
    <w:rsid w:val="00BE2E2B"/>
    <w:rsid w:val="00BE3364"/>
    <w:rsid w:val="00BE4138"/>
    <w:rsid w:val="00BE575D"/>
    <w:rsid w:val="00BE6A26"/>
    <w:rsid w:val="00BE7320"/>
    <w:rsid w:val="00BE7843"/>
    <w:rsid w:val="00BF41B0"/>
    <w:rsid w:val="00BF4F67"/>
    <w:rsid w:val="00BF708E"/>
    <w:rsid w:val="00BF7D72"/>
    <w:rsid w:val="00C010C4"/>
    <w:rsid w:val="00C03772"/>
    <w:rsid w:val="00C158FD"/>
    <w:rsid w:val="00C22A0D"/>
    <w:rsid w:val="00C274DD"/>
    <w:rsid w:val="00C34AC3"/>
    <w:rsid w:val="00C36268"/>
    <w:rsid w:val="00C36C7A"/>
    <w:rsid w:val="00C4511B"/>
    <w:rsid w:val="00C512AD"/>
    <w:rsid w:val="00C51FFA"/>
    <w:rsid w:val="00C54CE1"/>
    <w:rsid w:val="00C55878"/>
    <w:rsid w:val="00C55F2F"/>
    <w:rsid w:val="00C5604B"/>
    <w:rsid w:val="00C61472"/>
    <w:rsid w:val="00C62B42"/>
    <w:rsid w:val="00C63BF0"/>
    <w:rsid w:val="00C6775C"/>
    <w:rsid w:val="00C704D3"/>
    <w:rsid w:val="00C72BA1"/>
    <w:rsid w:val="00C73CD7"/>
    <w:rsid w:val="00C74432"/>
    <w:rsid w:val="00C7532D"/>
    <w:rsid w:val="00C76557"/>
    <w:rsid w:val="00C83034"/>
    <w:rsid w:val="00C85699"/>
    <w:rsid w:val="00C86F16"/>
    <w:rsid w:val="00C93A06"/>
    <w:rsid w:val="00C95F2F"/>
    <w:rsid w:val="00CA1091"/>
    <w:rsid w:val="00CA2A54"/>
    <w:rsid w:val="00CA7817"/>
    <w:rsid w:val="00CB001D"/>
    <w:rsid w:val="00CB2399"/>
    <w:rsid w:val="00CB24DC"/>
    <w:rsid w:val="00CB2C7A"/>
    <w:rsid w:val="00CB5CDD"/>
    <w:rsid w:val="00CB731A"/>
    <w:rsid w:val="00CC142D"/>
    <w:rsid w:val="00CC4BAC"/>
    <w:rsid w:val="00CD0252"/>
    <w:rsid w:val="00CD0E70"/>
    <w:rsid w:val="00CD3277"/>
    <w:rsid w:val="00CD5A51"/>
    <w:rsid w:val="00CD6EF0"/>
    <w:rsid w:val="00CD721D"/>
    <w:rsid w:val="00CE34C3"/>
    <w:rsid w:val="00CE68BB"/>
    <w:rsid w:val="00CE6F56"/>
    <w:rsid w:val="00CF1FC6"/>
    <w:rsid w:val="00CF31A5"/>
    <w:rsid w:val="00CF393F"/>
    <w:rsid w:val="00CF51A0"/>
    <w:rsid w:val="00D03ED6"/>
    <w:rsid w:val="00D04387"/>
    <w:rsid w:val="00D05507"/>
    <w:rsid w:val="00D10F96"/>
    <w:rsid w:val="00D11888"/>
    <w:rsid w:val="00D14F87"/>
    <w:rsid w:val="00D164E5"/>
    <w:rsid w:val="00D16F84"/>
    <w:rsid w:val="00D20D7D"/>
    <w:rsid w:val="00D24232"/>
    <w:rsid w:val="00D25236"/>
    <w:rsid w:val="00D26140"/>
    <w:rsid w:val="00D26BAF"/>
    <w:rsid w:val="00D30C2B"/>
    <w:rsid w:val="00D3161E"/>
    <w:rsid w:val="00D32E80"/>
    <w:rsid w:val="00D40E52"/>
    <w:rsid w:val="00D413CA"/>
    <w:rsid w:val="00D435E7"/>
    <w:rsid w:val="00D44A06"/>
    <w:rsid w:val="00D46815"/>
    <w:rsid w:val="00D47653"/>
    <w:rsid w:val="00D510D9"/>
    <w:rsid w:val="00D51846"/>
    <w:rsid w:val="00D53517"/>
    <w:rsid w:val="00D5672F"/>
    <w:rsid w:val="00D56A2B"/>
    <w:rsid w:val="00D60E25"/>
    <w:rsid w:val="00D64D1A"/>
    <w:rsid w:val="00D67BF4"/>
    <w:rsid w:val="00D714B1"/>
    <w:rsid w:val="00D72D6F"/>
    <w:rsid w:val="00D74378"/>
    <w:rsid w:val="00D75B69"/>
    <w:rsid w:val="00D85B2F"/>
    <w:rsid w:val="00D87CAC"/>
    <w:rsid w:val="00D91574"/>
    <w:rsid w:val="00D959CF"/>
    <w:rsid w:val="00D97C6F"/>
    <w:rsid w:val="00DA7E00"/>
    <w:rsid w:val="00DB092B"/>
    <w:rsid w:val="00DB1537"/>
    <w:rsid w:val="00DB2497"/>
    <w:rsid w:val="00DB3CF8"/>
    <w:rsid w:val="00DB60E0"/>
    <w:rsid w:val="00DC2588"/>
    <w:rsid w:val="00DC4A70"/>
    <w:rsid w:val="00DC53C5"/>
    <w:rsid w:val="00DC6FD5"/>
    <w:rsid w:val="00DD2953"/>
    <w:rsid w:val="00DD5AE8"/>
    <w:rsid w:val="00DD6494"/>
    <w:rsid w:val="00DD77AF"/>
    <w:rsid w:val="00DD7D62"/>
    <w:rsid w:val="00DF5B65"/>
    <w:rsid w:val="00DF6AFC"/>
    <w:rsid w:val="00E015EC"/>
    <w:rsid w:val="00E02635"/>
    <w:rsid w:val="00E02ECA"/>
    <w:rsid w:val="00E04CA6"/>
    <w:rsid w:val="00E06973"/>
    <w:rsid w:val="00E100DC"/>
    <w:rsid w:val="00E11F52"/>
    <w:rsid w:val="00E136B3"/>
    <w:rsid w:val="00E136C3"/>
    <w:rsid w:val="00E13FD5"/>
    <w:rsid w:val="00E1403E"/>
    <w:rsid w:val="00E205D7"/>
    <w:rsid w:val="00E26C41"/>
    <w:rsid w:val="00E27251"/>
    <w:rsid w:val="00E31B0F"/>
    <w:rsid w:val="00E32C1E"/>
    <w:rsid w:val="00E348D8"/>
    <w:rsid w:val="00E3507B"/>
    <w:rsid w:val="00E35B9A"/>
    <w:rsid w:val="00E42EF6"/>
    <w:rsid w:val="00E44383"/>
    <w:rsid w:val="00E501A4"/>
    <w:rsid w:val="00E530A5"/>
    <w:rsid w:val="00E53711"/>
    <w:rsid w:val="00E600A8"/>
    <w:rsid w:val="00E62E25"/>
    <w:rsid w:val="00E63071"/>
    <w:rsid w:val="00E63C92"/>
    <w:rsid w:val="00E65E12"/>
    <w:rsid w:val="00E700CC"/>
    <w:rsid w:val="00E74124"/>
    <w:rsid w:val="00E744DB"/>
    <w:rsid w:val="00E7507B"/>
    <w:rsid w:val="00E802D2"/>
    <w:rsid w:val="00E80645"/>
    <w:rsid w:val="00E81F96"/>
    <w:rsid w:val="00E833E5"/>
    <w:rsid w:val="00E836D2"/>
    <w:rsid w:val="00E86B98"/>
    <w:rsid w:val="00EA212D"/>
    <w:rsid w:val="00EA41A9"/>
    <w:rsid w:val="00EB2243"/>
    <w:rsid w:val="00EB2B71"/>
    <w:rsid w:val="00EB6E85"/>
    <w:rsid w:val="00EB75A2"/>
    <w:rsid w:val="00ED0FC8"/>
    <w:rsid w:val="00ED366F"/>
    <w:rsid w:val="00ED53DE"/>
    <w:rsid w:val="00ED5DEE"/>
    <w:rsid w:val="00ED6039"/>
    <w:rsid w:val="00EE7020"/>
    <w:rsid w:val="00EE76A0"/>
    <w:rsid w:val="00EF0B5B"/>
    <w:rsid w:val="00EF1303"/>
    <w:rsid w:val="00EF1395"/>
    <w:rsid w:val="00EF3B0A"/>
    <w:rsid w:val="00EF4AAC"/>
    <w:rsid w:val="00EF51F2"/>
    <w:rsid w:val="00F01D5E"/>
    <w:rsid w:val="00F02F97"/>
    <w:rsid w:val="00F04C44"/>
    <w:rsid w:val="00F067E7"/>
    <w:rsid w:val="00F06BD9"/>
    <w:rsid w:val="00F11E90"/>
    <w:rsid w:val="00F17A62"/>
    <w:rsid w:val="00F20AB2"/>
    <w:rsid w:val="00F214C9"/>
    <w:rsid w:val="00F219CE"/>
    <w:rsid w:val="00F25300"/>
    <w:rsid w:val="00F25751"/>
    <w:rsid w:val="00F272CF"/>
    <w:rsid w:val="00F30CF7"/>
    <w:rsid w:val="00F30E8A"/>
    <w:rsid w:val="00F314B5"/>
    <w:rsid w:val="00F332F1"/>
    <w:rsid w:val="00F37CC5"/>
    <w:rsid w:val="00F40146"/>
    <w:rsid w:val="00F423E6"/>
    <w:rsid w:val="00F52DDE"/>
    <w:rsid w:val="00F53B53"/>
    <w:rsid w:val="00F545CC"/>
    <w:rsid w:val="00F548D8"/>
    <w:rsid w:val="00F56111"/>
    <w:rsid w:val="00F61D8C"/>
    <w:rsid w:val="00F62878"/>
    <w:rsid w:val="00F642D6"/>
    <w:rsid w:val="00F6545C"/>
    <w:rsid w:val="00F673B8"/>
    <w:rsid w:val="00F674C1"/>
    <w:rsid w:val="00F70372"/>
    <w:rsid w:val="00F720E0"/>
    <w:rsid w:val="00F7362F"/>
    <w:rsid w:val="00F85B0B"/>
    <w:rsid w:val="00F90565"/>
    <w:rsid w:val="00F9793F"/>
    <w:rsid w:val="00FA0064"/>
    <w:rsid w:val="00FA2FB3"/>
    <w:rsid w:val="00FA4863"/>
    <w:rsid w:val="00FA72E3"/>
    <w:rsid w:val="00FB08FC"/>
    <w:rsid w:val="00FB3755"/>
    <w:rsid w:val="00FB479D"/>
    <w:rsid w:val="00FB5603"/>
    <w:rsid w:val="00FB6730"/>
    <w:rsid w:val="00FB6C41"/>
    <w:rsid w:val="00FB6ECD"/>
    <w:rsid w:val="00FB7D07"/>
    <w:rsid w:val="00FC12C8"/>
    <w:rsid w:val="00FC2887"/>
    <w:rsid w:val="00FC2EB1"/>
    <w:rsid w:val="00FC3988"/>
    <w:rsid w:val="00FD27FE"/>
    <w:rsid w:val="00FD7759"/>
    <w:rsid w:val="00FD7D2B"/>
    <w:rsid w:val="00FE26C1"/>
    <w:rsid w:val="00FE4C16"/>
    <w:rsid w:val="00FE5843"/>
    <w:rsid w:val="00FE662A"/>
    <w:rsid w:val="00FE6B0C"/>
    <w:rsid w:val="00FE7520"/>
    <w:rsid w:val="00FF2380"/>
    <w:rsid w:val="00FF2D6F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541C8"/>
  <w15:docId w15:val="{50DF879D-9D7A-4B99-AE0F-1DEEB4EB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9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940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9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993"/>
    <w:rPr>
      <w:rFonts w:ascii="Calibri" w:hAnsi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AC7993"/>
    <w:rPr>
      <w:color w:val="0000FF"/>
      <w:u w:val="single"/>
    </w:rPr>
  </w:style>
  <w:style w:type="character" w:customStyle="1" w:styleId="newdocreference1">
    <w:name w:val="newdocreference1"/>
    <w:basedOn w:val="DefaultParagraphFont"/>
    <w:rsid w:val="00AC7993"/>
    <w:rPr>
      <w:i w:val="0"/>
      <w:iCs w:val="0"/>
      <w:color w:val="0000FF"/>
      <w:u w:val="single"/>
    </w:rPr>
  </w:style>
  <w:style w:type="paragraph" w:styleId="BodyText">
    <w:name w:val="Body Text"/>
    <w:basedOn w:val="Normal"/>
    <w:link w:val="BodyTextChar"/>
    <w:rsid w:val="00C74432"/>
    <w:pPr>
      <w:spacing w:after="0" w:line="240" w:lineRule="auto"/>
      <w:jc w:val="center"/>
    </w:pPr>
    <w:rPr>
      <w:rFonts w:ascii="Times New Roman" w:eastAsia="Calibri" w:hAnsi="Times New Roman"/>
      <w:b/>
      <w:bCs/>
      <w:i/>
      <w:iCs/>
      <w:lang w:val="bg-BG"/>
    </w:rPr>
  </w:style>
  <w:style w:type="character" w:customStyle="1" w:styleId="BodyTextChar">
    <w:name w:val="Body Text Char"/>
    <w:basedOn w:val="DefaultParagraphFont"/>
    <w:link w:val="BodyText"/>
    <w:locked/>
    <w:rsid w:val="00C74432"/>
    <w:rPr>
      <w:rFonts w:eastAsia="Calibri"/>
      <w:b/>
      <w:bCs/>
      <w:i/>
      <w:iCs/>
      <w:sz w:val="22"/>
      <w:szCs w:val="22"/>
      <w:lang w:val="bg-BG" w:eastAsia="en-US" w:bidi="ar-SA"/>
    </w:rPr>
  </w:style>
  <w:style w:type="paragraph" w:styleId="BodyTextIndent2">
    <w:name w:val="Body Text Indent 2"/>
    <w:basedOn w:val="Normal"/>
    <w:link w:val="BodyTextIndent2Char"/>
    <w:rsid w:val="00C7443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locked/>
    <w:rsid w:val="00C74432"/>
    <w:rPr>
      <w:rFonts w:eastAsia="Calibri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99"/>
    <w:qFormat/>
    <w:rsid w:val="008048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rsid w:val="0080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4836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4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A4961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B4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26C6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9408A"/>
    <w:rPr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44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469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6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955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6955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C6C6-A57D-4A24-ABBD-A754C04F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mzh</Company>
  <LinksUpToDate>false</LinksUpToDate>
  <CharactersWithSpaces>9802</CharactersWithSpaces>
  <SharedDoc>false</SharedDoc>
  <HLinks>
    <vt:vector size="36" baseType="variant">
      <vt:variant>
        <vt:i4>458771</vt:i4>
      </vt:variant>
      <vt:variant>
        <vt:i4>15</vt:i4>
      </vt:variant>
      <vt:variant>
        <vt:i4>0</vt:i4>
      </vt:variant>
      <vt:variant>
        <vt:i4>5</vt:i4>
      </vt:variant>
      <vt:variant>
        <vt:lpwstr>http://www.mzh.government.bg/</vt:lpwstr>
      </vt:variant>
      <vt:variant>
        <vt:lpwstr/>
      </vt:variant>
      <vt:variant>
        <vt:i4>262216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apis://Base=NARH&amp;DocCode=5384516071&amp;Type=201/</vt:lpwstr>
      </vt:variant>
      <vt:variant>
        <vt:lpwstr/>
      </vt:variant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apis://Base=NARH&amp;DocCode=10900518002&amp;Type=201/</vt:lpwstr>
      </vt:variant>
      <vt:variant>
        <vt:lpwstr/>
      </vt:variant>
      <vt:variant>
        <vt:i4>3080319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apis://Base=NARH&amp;DocCode=10900516034&amp;Type=201/</vt:lpwstr>
      </vt:variant>
      <vt:variant>
        <vt:lpwstr/>
      </vt:variant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apis://Base=NARH&amp;DocCode=10900515030&amp;Type=201/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apis://Base=NARH&amp;DocCode=10900514060&amp;Type=201/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dfileva</dc:creator>
  <cp:keywords/>
  <dc:description/>
  <cp:lastModifiedBy>Mariya Voikova</cp:lastModifiedBy>
  <cp:revision>83</cp:revision>
  <cp:lastPrinted>2024-04-12T10:46:00Z</cp:lastPrinted>
  <dcterms:created xsi:type="dcterms:W3CDTF">2025-05-13T07:09:00Z</dcterms:created>
  <dcterms:modified xsi:type="dcterms:W3CDTF">2025-07-23T13:01:00Z</dcterms:modified>
</cp:coreProperties>
</file>