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5E" w:rsidRPr="0042161C" w:rsidRDefault="00ED305E" w:rsidP="00BD2706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5A82C9F7" wp14:editId="668AFB38">
            <wp:simplePos x="0" y="0"/>
            <wp:positionH relativeFrom="column">
              <wp:posOffset>2327656</wp:posOffset>
            </wp:positionH>
            <wp:positionV relativeFrom="paragraph">
              <wp:posOffset>-394970</wp:posOffset>
            </wp:positionV>
            <wp:extent cx="1243330" cy="11995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05E" w:rsidRPr="00ED305E" w:rsidRDefault="00ED305E" w:rsidP="00BD2706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ED305E" w:rsidRPr="00ED305E" w:rsidRDefault="00ED305E" w:rsidP="00BD2706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ED305E" w:rsidRPr="0042161C" w:rsidRDefault="00ED305E" w:rsidP="00BD2706">
      <w:pPr>
        <w:tabs>
          <w:tab w:val="center" w:pos="4153"/>
          <w:tab w:val="left" w:pos="7230"/>
          <w:tab w:val="left" w:pos="7655"/>
          <w:tab w:val="right" w:pos="8306"/>
        </w:tabs>
        <w:spacing w:after="0" w:line="36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bg-BG" w:eastAsia="bg-BG"/>
        </w:rPr>
      </w:pPr>
    </w:p>
    <w:p w:rsidR="00ED305E" w:rsidRPr="00ED305E" w:rsidRDefault="00ED305E" w:rsidP="00BD2706">
      <w:pPr>
        <w:keepNext/>
        <w:spacing w:after="0" w:line="360" w:lineRule="auto"/>
        <w:jc w:val="center"/>
        <w:outlineLvl w:val="0"/>
        <w:rPr>
          <w:rFonts w:ascii="Verdana" w:eastAsia="Times New Roman" w:hAnsi="Verdana" w:cs="Verdana"/>
          <w:spacing w:val="40"/>
          <w:kern w:val="32"/>
          <w:sz w:val="36"/>
          <w:szCs w:val="36"/>
          <w:lang w:val="bg-BG" w:eastAsia="bg-BG"/>
        </w:rPr>
      </w:pPr>
      <w:r w:rsidRPr="00ED305E">
        <w:rPr>
          <w:rFonts w:ascii="Verdana" w:eastAsia="Times New Roman" w:hAnsi="Verdana" w:cs="Verdana"/>
          <w:spacing w:val="40"/>
          <w:kern w:val="32"/>
          <w:sz w:val="36"/>
          <w:szCs w:val="36"/>
          <w:lang w:val="bg-BG" w:eastAsia="bg-BG"/>
        </w:rPr>
        <w:t>РЕПУБЛИКА БЪЛГАРИЯ</w:t>
      </w:r>
    </w:p>
    <w:p w:rsidR="00ED305E" w:rsidRPr="00ED305E" w:rsidRDefault="00ED305E" w:rsidP="00BD27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Verdana"/>
          <w:sz w:val="30"/>
          <w:szCs w:val="30"/>
          <w:lang w:val="bg-BG" w:eastAsia="bg-BG"/>
        </w:rPr>
      </w:pPr>
      <w:r w:rsidRPr="00ED305E">
        <w:rPr>
          <w:rFonts w:ascii="Verdana" w:eastAsia="Times New Roman" w:hAnsi="Verdana" w:cs="Verdana"/>
          <w:spacing w:val="40"/>
          <w:sz w:val="30"/>
          <w:szCs w:val="30"/>
          <w:lang w:val="bg-BG" w:eastAsia="bg-BG"/>
        </w:rPr>
        <w:t>Министър на земеделието и храните</w:t>
      </w:r>
    </w:p>
    <w:p w:rsidR="00ED305E" w:rsidRPr="00BD2706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1D6755" w:rsidRPr="00BD2706" w:rsidRDefault="001D6755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ED305E" w:rsidRPr="00BD2706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BD2706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ДО</w:t>
      </w:r>
    </w:p>
    <w:p w:rsidR="00ED305E" w:rsidRPr="00BD2706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BD2706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МИНИСТЕРСКИЯ СЪВЕТ</w:t>
      </w:r>
    </w:p>
    <w:p w:rsidR="00ED305E" w:rsidRPr="00BD2706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BD2706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НА РЕПУБЛИКА БЪЛГАРИЯ</w:t>
      </w:r>
    </w:p>
    <w:p w:rsidR="00C2075E" w:rsidRPr="00BD2706" w:rsidRDefault="00C207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1D6755" w:rsidRPr="00BD2706" w:rsidRDefault="001D6755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ED305E" w:rsidRPr="00ED305E" w:rsidRDefault="00ED305E" w:rsidP="00B97333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bCs/>
          <w:spacing w:val="90"/>
          <w:kern w:val="32"/>
          <w:sz w:val="24"/>
          <w:szCs w:val="24"/>
          <w:lang w:val="bg-BG" w:eastAsia="bg-BG"/>
        </w:rPr>
      </w:pPr>
      <w:r w:rsidRPr="00ED305E">
        <w:rPr>
          <w:rFonts w:ascii="Verdana" w:eastAsia="Times New Roman" w:hAnsi="Verdana" w:cs="Times New Roman"/>
          <w:b/>
          <w:bCs/>
          <w:spacing w:val="90"/>
          <w:kern w:val="32"/>
          <w:sz w:val="24"/>
          <w:szCs w:val="24"/>
          <w:lang w:val="bg-BG" w:eastAsia="bg-BG"/>
        </w:rPr>
        <w:t>ДОКЛАД</w:t>
      </w:r>
    </w:p>
    <w:p w:rsidR="00ED305E" w:rsidRPr="00ED305E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smallCaps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b/>
          <w:smallCaps/>
          <w:sz w:val="20"/>
          <w:szCs w:val="20"/>
          <w:lang w:val="bg-BG" w:eastAsia="bg-BG"/>
        </w:rPr>
        <w:t xml:space="preserve">от д-р Георги </w:t>
      </w:r>
      <w:proofErr w:type="spellStart"/>
      <w:r w:rsidRPr="00ED305E">
        <w:rPr>
          <w:rFonts w:ascii="Verdana" w:eastAsia="Times New Roman" w:hAnsi="Verdana" w:cs="Times New Roman"/>
          <w:b/>
          <w:smallCaps/>
          <w:sz w:val="20"/>
          <w:szCs w:val="20"/>
          <w:lang w:val="bg-BG" w:eastAsia="bg-BG"/>
        </w:rPr>
        <w:t>Тахов</w:t>
      </w:r>
      <w:proofErr w:type="spellEnd"/>
      <w:r w:rsidRPr="00ED305E">
        <w:rPr>
          <w:rFonts w:ascii="Verdana" w:eastAsia="Times New Roman" w:hAnsi="Verdana" w:cs="Times New Roman"/>
          <w:b/>
          <w:smallCaps/>
          <w:sz w:val="20"/>
          <w:szCs w:val="20"/>
          <w:lang w:val="bg-BG" w:eastAsia="bg-BG"/>
        </w:rPr>
        <w:t xml:space="preserve"> – министър на земеделието и храните</w:t>
      </w:r>
    </w:p>
    <w:p w:rsidR="00ED305E" w:rsidRPr="00ED305E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0038E0" w:rsidRPr="00152DEE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ind w:left="1247" w:hanging="1247"/>
        <w:jc w:val="both"/>
        <w:rPr>
          <w:rFonts w:ascii="Verdana" w:eastAsia="Times New Roman" w:hAnsi="Verdana" w:cs="Times New Roman"/>
          <w:spacing w:val="-2"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Относно</w:t>
      </w:r>
      <w:r w:rsidRPr="00ED305E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:</w:t>
      </w:r>
      <w:r w:rsidRPr="00ED305E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580B70">
        <w:rPr>
          <w:rFonts w:ascii="Verdana" w:eastAsia="Times New Roman" w:hAnsi="Verdana" w:cs="Times New Roman"/>
          <w:spacing w:val="-2"/>
          <w:sz w:val="20"/>
          <w:szCs w:val="20"/>
          <w:lang w:val="bg-BG" w:eastAsia="bg-BG"/>
        </w:rPr>
        <w:t xml:space="preserve">Проект </w:t>
      </w:r>
      <w:r w:rsidRPr="00152DEE">
        <w:rPr>
          <w:rFonts w:ascii="Verdana" w:eastAsia="Times New Roman" w:hAnsi="Verdana" w:cs="Times New Roman"/>
          <w:spacing w:val="-2"/>
          <w:sz w:val="20"/>
          <w:szCs w:val="20"/>
          <w:lang w:val="bg-BG" w:eastAsia="bg-BG"/>
        </w:rPr>
        <w:t xml:space="preserve">на Постановление на Министерския съвет за изменение на </w:t>
      </w:r>
      <w:r w:rsidR="000038E0" w:rsidRPr="00152DEE">
        <w:rPr>
          <w:rFonts w:ascii="Verdana" w:eastAsia="Times New Roman" w:hAnsi="Verdana" w:cs="Times New Roman"/>
          <w:spacing w:val="-2"/>
          <w:sz w:val="20"/>
          <w:szCs w:val="20"/>
          <w:lang w:val="bg-BG" w:eastAsia="bg-BG"/>
        </w:rPr>
        <w:t>Наредбата за размера на обезщетенията за причинени вреди на рибните ресурси</w:t>
      </w:r>
      <w:r w:rsidR="00580B70" w:rsidRPr="00152DEE">
        <w:rPr>
          <w:rFonts w:ascii="Verdana" w:eastAsia="Times New Roman" w:hAnsi="Verdana" w:cs="Times New Roman"/>
          <w:spacing w:val="-2"/>
          <w:sz w:val="20"/>
          <w:szCs w:val="20"/>
          <w:lang w:val="bg-BG" w:eastAsia="bg-BG"/>
        </w:rPr>
        <w:t>, приета с Постановление № 272 на Министерския съвет от 2001 г.</w:t>
      </w:r>
    </w:p>
    <w:p w:rsidR="00ED305E" w:rsidRPr="00152DEE" w:rsidRDefault="00ED305E" w:rsidP="00B97333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0038E0" w:rsidRPr="00152DEE" w:rsidRDefault="000038E0" w:rsidP="00B97333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ED305E" w:rsidRPr="00ED305E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:rsidR="00ED305E" w:rsidRPr="00ED305E" w:rsidRDefault="00ED305E" w:rsidP="00B97333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:rsidR="000038E0" w:rsidRPr="00580B70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</w:pPr>
      <w:r w:rsidRPr="0042161C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На основание чл. 31, ал. 2 от </w:t>
      </w:r>
      <w:proofErr w:type="spellStart"/>
      <w:r w:rsidRPr="0042161C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Устройствения</w:t>
      </w:r>
      <w:proofErr w:type="spellEnd"/>
      <w:r w:rsidRPr="0042161C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 правилник на Министерския съвет и на неговата </w:t>
      </w:r>
      <w:r w:rsidRPr="00152DEE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администрация</w:t>
      </w:r>
      <w:r w:rsidR="00193681" w:rsidRPr="00152DEE">
        <w:rPr>
          <w:rFonts w:ascii="Verdana" w:eastAsia="Times New Roman" w:hAnsi="Verdana" w:cs="Times New Roman"/>
          <w:spacing w:val="4"/>
          <w:sz w:val="20"/>
          <w:szCs w:val="20"/>
          <w:lang w:eastAsia="bg-BG"/>
        </w:rPr>
        <w:t xml:space="preserve"> </w:t>
      </w:r>
      <w:r w:rsidR="00193681" w:rsidRPr="00152DEE">
        <w:rPr>
          <w:rFonts w:ascii="Verdana" w:eastAsia="Times New Roman" w:hAnsi="Verdana" w:cs="Times New Roman"/>
          <w:sz w:val="20"/>
          <w:szCs w:val="20"/>
          <w:lang w:val="bg-BG"/>
        </w:rPr>
        <w:t xml:space="preserve">и </w:t>
      </w:r>
      <w:r w:rsidR="00193681" w:rsidRPr="00152DEE">
        <w:rPr>
          <w:rFonts w:ascii="Verdana" w:eastAsia="Times New Roman" w:hAnsi="Verdana" w:cs="Times New Roman"/>
          <w:sz w:val="20"/>
          <w:szCs w:val="20"/>
          <w:lang w:val="en"/>
        </w:rPr>
        <w:t>§ 4.</w:t>
      </w:r>
      <w:r w:rsidR="00193681" w:rsidRPr="00152DEE">
        <w:rPr>
          <w:rFonts w:ascii="Verdana" w:eastAsia="Times New Roman" w:hAnsi="Verdana" w:cs="Times New Roman"/>
          <w:sz w:val="20"/>
          <w:szCs w:val="20"/>
          <w:lang w:val="bg-BG"/>
        </w:rPr>
        <w:t xml:space="preserve"> от Преходните и заключителните разпоредби на Закона за рибарството и </w:t>
      </w:r>
      <w:proofErr w:type="spellStart"/>
      <w:r w:rsidR="00193681" w:rsidRPr="00152DEE">
        <w:rPr>
          <w:rFonts w:ascii="Verdana" w:eastAsia="Times New Roman" w:hAnsi="Verdana" w:cs="Times New Roman"/>
          <w:sz w:val="20"/>
          <w:szCs w:val="20"/>
          <w:lang w:val="bg-BG"/>
        </w:rPr>
        <w:t>аквакултурите</w:t>
      </w:r>
      <w:proofErr w:type="spellEnd"/>
      <w:r w:rsidR="00193681" w:rsidRPr="00152DEE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Pr="00152DEE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 внасям </w:t>
      </w:r>
      <w:r w:rsidRPr="0042161C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за разглеждане от Министерския съвет проект на Постано</w:t>
      </w:r>
      <w:r w:rsidR="000038E0" w:rsidRPr="0042161C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вление за</w:t>
      </w:r>
      <w:r w:rsidR="00DA0960" w:rsidRPr="0042161C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 изменение </w:t>
      </w:r>
      <w:bookmarkStart w:id="0" w:name="_GoBack"/>
      <w:bookmarkEnd w:id="0"/>
      <w:r w:rsidR="000038E0" w:rsidRPr="0042161C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на </w:t>
      </w:r>
      <w:r w:rsidR="000038E0" w:rsidRPr="00D47BCF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Наредбата за размера на обезщетенията за причинени вреди на рибните ресурси</w:t>
      </w:r>
      <w:r w:rsidR="0042161C" w:rsidRPr="00D47BCF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, </w:t>
      </w:r>
      <w:r w:rsidR="0042161C" w:rsidRPr="00580B70">
        <w:rPr>
          <w:rFonts w:ascii="Verdana" w:hAnsi="Verdana" w:cs="Times New Roman"/>
          <w:sz w:val="20"/>
          <w:szCs w:val="20"/>
          <w:lang w:val="bg-BG"/>
        </w:rPr>
        <w:t>приета с Постановление № 272 на Министерския съвет от 2001 г. (</w:t>
      </w:r>
      <w:proofErr w:type="spellStart"/>
      <w:r w:rsidR="0042161C" w:rsidRPr="00580B70">
        <w:rPr>
          <w:rFonts w:ascii="Verdana" w:hAnsi="Verdana" w:cs="Times New Roman"/>
          <w:sz w:val="20"/>
          <w:szCs w:val="20"/>
          <w:lang w:val="bg-BG"/>
        </w:rPr>
        <w:t>обн</w:t>
      </w:r>
      <w:proofErr w:type="spellEnd"/>
      <w:r w:rsidR="0042161C" w:rsidRPr="00580B70">
        <w:rPr>
          <w:rFonts w:ascii="Verdana" w:hAnsi="Verdana" w:cs="Times New Roman"/>
          <w:sz w:val="20"/>
          <w:szCs w:val="20"/>
          <w:lang w:val="bg-BG"/>
        </w:rPr>
        <w:t>., ДВ, бр. 106 от</w:t>
      </w:r>
      <w:r w:rsidR="0042161C" w:rsidRPr="00580B70">
        <w:rPr>
          <w:rFonts w:ascii="Verdana" w:hAnsi="Verdana"/>
          <w:sz w:val="20"/>
          <w:szCs w:val="20"/>
          <w:lang w:val="bg-BG"/>
        </w:rPr>
        <w:t xml:space="preserve"> 2001 г.; изм</w:t>
      </w:r>
      <w:r w:rsidR="00E5656A">
        <w:rPr>
          <w:rFonts w:ascii="Verdana" w:hAnsi="Verdana"/>
          <w:sz w:val="20"/>
          <w:szCs w:val="20"/>
          <w:lang w:val="bg-BG"/>
        </w:rPr>
        <w:t>.</w:t>
      </w:r>
      <w:r w:rsidR="0042161C" w:rsidRPr="00580B70">
        <w:rPr>
          <w:rFonts w:ascii="Verdana" w:hAnsi="Verdana" w:cs="Times New Roman"/>
          <w:sz w:val="20"/>
          <w:szCs w:val="20"/>
          <w:lang w:val="bg-BG"/>
        </w:rPr>
        <w:t>, бр. 55 от 2017 г</w:t>
      </w:r>
      <w:r w:rsidR="0042161C" w:rsidRPr="00580B70">
        <w:rPr>
          <w:rFonts w:ascii="Verdana" w:hAnsi="Verdana"/>
          <w:sz w:val="20"/>
          <w:szCs w:val="20"/>
          <w:lang w:val="bg-BG"/>
        </w:rPr>
        <w:t xml:space="preserve">. и </w:t>
      </w:r>
      <w:r w:rsidR="0042161C" w:rsidRPr="00580B70">
        <w:rPr>
          <w:rFonts w:ascii="Verdana" w:hAnsi="Verdana" w:cs="Times New Roman"/>
          <w:sz w:val="20"/>
          <w:szCs w:val="20"/>
          <w:lang w:val="bg-BG"/>
        </w:rPr>
        <w:t>бр. 9 от 2024 г.).</w:t>
      </w:r>
    </w:p>
    <w:p w:rsidR="00ED305E" w:rsidRPr="00B97333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sz w:val="20"/>
          <w:szCs w:val="20"/>
          <w:lang w:val="bg-BG"/>
        </w:rPr>
      </w:pPr>
    </w:p>
    <w:p w:rsidR="00ED305E" w:rsidRPr="00B55322" w:rsidRDefault="00ED305E" w:rsidP="00B97333">
      <w:pPr>
        <w:spacing w:after="0" w:line="360" w:lineRule="auto"/>
        <w:ind w:firstLine="709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B55322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Причини, които налагат приемането на акта</w:t>
      </w:r>
    </w:p>
    <w:p w:rsidR="00964796" w:rsidRPr="00193681" w:rsidRDefault="002C7595" w:rsidP="00B97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</w:pPr>
      <w:r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С предложения проект на </w:t>
      </w:r>
      <w:r w:rsidR="009B3F90"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Постановление на Министерския съвет за</w:t>
      </w:r>
      <w:r w:rsidR="009B3F90" w:rsidRPr="00193681">
        <w:rPr>
          <w:rFonts w:ascii="Verdana" w:eastAsia="Times New Roman" w:hAnsi="Verdana" w:cs="Times New Roman"/>
          <w:spacing w:val="4"/>
          <w:sz w:val="20"/>
          <w:szCs w:val="20"/>
          <w:lang w:eastAsia="bg-BG"/>
        </w:rPr>
        <w:t xml:space="preserve"> </w:t>
      </w:r>
      <w:r w:rsidR="009B3F90"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изменение</w:t>
      </w:r>
      <w:r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 </w:t>
      </w:r>
      <w:r w:rsidR="00611E4D"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на </w:t>
      </w:r>
      <w:r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Наредбата за размера на обезщетенията за причинени вреди на рибните ресурси</w:t>
      </w:r>
      <w:r w:rsidR="00CB3E1F"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 се предлагат промени, </w:t>
      </w:r>
      <w:r w:rsidR="00695961"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свързани </w:t>
      </w:r>
      <w:r w:rsidR="00964796"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с адаптиране на подзаконовата нормативна уредба във връзка </w:t>
      </w:r>
      <w:r w:rsidR="00CB3E1F" w:rsidRPr="00193681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с въвеждането на еврото като парична единица на Република България. </w:t>
      </w:r>
    </w:p>
    <w:p w:rsidR="002C7595" w:rsidRPr="00951253" w:rsidRDefault="00B42049" w:rsidP="00B97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В тази връзка </w:t>
      </w:r>
      <w:r w:rsidR="00964796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е предложено изменение на </w:t>
      </w:r>
      <w:r w:rsidR="00964796" w:rsidRPr="00951253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Приложение</w:t>
      </w:r>
      <w:r w:rsidR="0004490A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>то</w:t>
      </w:r>
      <w:r w:rsidR="00964796" w:rsidRPr="00951253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 към чл. 1 от Наредбата за размера на обезщетенията за причинени вреди на рибните ресурси.</w:t>
      </w:r>
    </w:p>
    <w:p w:rsidR="009339DD" w:rsidRDefault="00812A62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</w:rPr>
      </w:pPr>
      <w:r w:rsidRPr="00585C80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lastRenderedPageBreak/>
        <w:t>Проектът се предлага в изпълнение на стратегическата цел на Република България за присъединяване към еврозоната.</w:t>
      </w:r>
      <w:r w:rsidR="00585C80" w:rsidRPr="00585C80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В контекста на практическата и техническа подготовка за членството на страната в еврозоната</w:t>
      </w:r>
      <w:r w:rsidR="00585C80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се констатира необходимост </w:t>
      </w:r>
      <w:r w:rsidR="00895514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подготвителните и </w:t>
      </w:r>
      <w:proofErr w:type="spellStart"/>
      <w:r w:rsidR="00895514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последващи</w:t>
      </w:r>
      <w:proofErr w:type="spellEnd"/>
      <w:r w:rsidR="00585C80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действия във връзка с въвеждането на еврото, като официална парична единица в България, да бъдат правно уредени в българското законодателство. </w:t>
      </w:r>
    </w:p>
    <w:p w:rsidR="00585C80" w:rsidRDefault="00585C80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Адаптирането на българското законодателство към единната европейска валута и обезпечаването на техническата подготовка по въвеждане на еврото е уредено със Закона за въвеждане на еврото в Република България (ЗВЕРБ). Като част от дейността по подготовката за въвеждане на еврото следва да бъдат извършени и съпътстващи изменения на подзаконовата нормативна рамка. </w:t>
      </w:r>
    </w:p>
    <w:p w:rsidR="00ED305E" w:rsidRDefault="00895514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Следва да се отбележи, че приемането на изменения в подзаконови нормативни актове, необходими за изпълнението на ЗВЕРБ във връзка с въвеждането на еврото като парична единица на Република България е заложено в </w:t>
      </w:r>
      <w:r w:rsidR="00580B70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br/>
      </w:r>
      <w:r w:rsidRPr="00964796">
        <w:rPr>
          <w:rFonts w:ascii="Verdana" w:eastAsia="Times New Roman" w:hAnsi="Verdana" w:cs="Times New Roman"/>
          <w:sz w:val="20"/>
          <w:szCs w:val="20"/>
          <w:lang w:val="en"/>
        </w:rPr>
        <w:t>§</w:t>
      </w:r>
      <w:r>
        <w:rPr>
          <w:rFonts w:ascii="Verdana" w:eastAsia="Times New Roman" w:hAnsi="Verdana" w:cs="Times New Roman"/>
          <w:sz w:val="20"/>
          <w:szCs w:val="20"/>
          <w:lang w:val="bg-BG"/>
        </w:rPr>
        <w:t xml:space="preserve"> 6 на този закон. </w:t>
      </w:r>
    </w:p>
    <w:p w:rsidR="008A5E59" w:rsidRPr="00AE21B6" w:rsidRDefault="008A5E59" w:rsidP="00AE21B6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</w:rPr>
      </w:pPr>
      <w:r>
        <w:rPr>
          <w:rFonts w:ascii="Verdana" w:eastAsia="Times New Roman" w:hAnsi="Verdana" w:cs="Times New Roman"/>
          <w:sz w:val="20"/>
          <w:szCs w:val="20"/>
          <w:lang w:val="bg-BG"/>
        </w:rPr>
        <w:t>На 8 юли са приети</w:t>
      </w:r>
      <w:r w:rsidR="00AE21B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E21B6" w:rsidRPr="00AE21B6">
        <w:rPr>
          <w:rFonts w:ascii="Verdana" w:eastAsia="Times New Roman" w:hAnsi="Verdana" w:cs="Times New Roman"/>
          <w:sz w:val="20"/>
          <w:szCs w:val="20"/>
          <w:lang w:val="bg-BG"/>
        </w:rPr>
        <w:t>Решение (ЕС) 2025/1407 на Съвета от 8 юли 2025 година относно приемането на еврото от Българ</w:t>
      </w:r>
      <w:r w:rsidR="00AE21B6">
        <w:rPr>
          <w:rFonts w:ascii="Verdana" w:eastAsia="Times New Roman" w:hAnsi="Verdana" w:cs="Times New Roman"/>
          <w:sz w:val="20"/>
          <w:szCs w:val="20"/>
          <w:lang w:val="bg-BG"/>
        </w:rPr>
        <w:t>ия, считано от 1 януари 2026 г</w:t>
      </w:r>
      <w:r w:rsidR="00AE21B6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666443" w:rsidRPr="00666443">
        <w:rPr>
          <w:rFonts w:ascii="Verdana" w:eastAsia="Times New Roman" w:hAnsi="Verdana" w:cs="Times New Roman"/>
          <w:sz w:val="20"/>
          <w:szCs w:val="20"/>
        </w:rPr>
        <w:t>(</w:t>
      </w:r>
      <w:r w:rsidR="00666443" w:rsidRPr="00AE21B6">
        <w:rPr>
          <w:rFonts w:ascii="Verdana" w:eastAsia="Times New Roman" w:hAnsi="Verdana" w:cs="Times New Roman"/>
          <w:sz w:val="20"/>
          <w:szCs w:val="20"/>
          <w:lang w:val="bg-BG"/>
        </w:rPr>
        <w:t>OВ L, 2025/1407, 14.7.2025</w:t>
      </w:r>
      <w:r w:rsidR="00666443" w:rsidRPr="00666443">
        <w:rPr>
          <w:rFonts w:ascii="Verdana" w:eastAsia="Times New Roman" w:hAnsi="Verdana" w:cs="Times New Roman"/>
          <w:sz w:val="20"/>
          <w:szCs w:val="20"/>
        </w:rPr>
        <w:t>)</w:t>
      </w:r>
      <w:r w:rsidR="00AE21B6" w:rsidRPr="00AE21B6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="00AE21B6" w:rsidRPr="00AE21B6">
        <w:t xml:space="preserve"> </w:t>
      </w:r>
      <w:r w:rsidR="00AE21B6" w:rsidRPr="00AE21B6">
        <w:rPr>
          <w:rFonts w:ascii="Verdana" w:eastAsia="Times New Roman" w:hAnsi="Verdana" w:cs="Times New Roman"/>
          <w:sz w:val="20"/>
          <w:szCs w:val="20"/>
          <w:lang w:val="bg-BG"/>
        </w:rPr>
        <w:t>Регламент (ЕС) 2025/1408 на Съвета от 8 юли 2025 година за изменение на Регламент (ЕО) № 974/98 по отношение на въвеждането на еврото в България</w:t>
      </w:r>
      <w:r w:rsidR="0005034F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="00666443">
        <w:rPr>
          <w:rFonts w:ascii="Verdana" w:eastAsia="Times New Roman" w:hAnsi="Verdana" w:cs="Times New Roman"/>
          <w:sz w:val="20"/>
          <w:szCs w:val="20"/>
        </w:rPr>
        <w:t>(</w:t>
      </w:r>
      <w:r w:rsidR="00AE21B6" w:rsidRPr="00AE21B6">
        <w:rPr>
          <w:rFonts w:ascii="Verdana" w:eastAsia="Times New Roman" w:hAnsi="Verdana" w:cs="Times New Roman"/>
          <w:sz w:val="20"/>
          <w:szCs w:val="20"/>
          <w:lang w:val="bg-BG"/>
        </w:rPr>
        <w:t>OВ L, 2025/1408, 14.7.2025</w:t>
      </w:r>
      <w:r w:rsidR="00666443">
        <w:rPr>
          <w:rFonts w:ascii="Verdana" w:eastAsia="Times New Roman" w:hAnsi="Verdana" w:cs="Times New Roman"/>
          <w:sz w:val="20"/>
          <w:szCs w:val="20"/>
        </w:rPr>
        <w:t xml:space="preserve">) </w:t>
      </w:r>
      <w:r w:rsidR="00666443">
        <w:rPr>
          <w:rFonts w:ascii="Verdana" w:eastAsia="Times New Roman" w:hAnsi="Verdana" w:cs="Times New Roman"/>
          <w:sz w:val="20"/>
          <w:szCs w:val="20"/>
          <w:lang w:val="bg-BG"/>
        </w:rPr>
        <w:t>и</w:t>
      </w:r>
      <w:r w:rsidR="00A4140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E21B6" w:rsidRPr="00AE21B6">
        <w:rPr>
          <w:rFonts w:ascii="Verdana" w:eastAsia="Times New Roman" w:hAnsi="Verdana" w:cs="Times New Roman"/>
          <w:sz w:val="20"/>
          <w:szCs w:val="20"/>
          <w:lang w:val="bg-BG"/>
        </w:rPr>
        <w:t>Регламент (ЕС) 2025/1409 на Съвета от 8 юли 2025 година за изменение на Регламент (ЕО) № 2866/98 по отношение на валутния курс към еврото за България</w:t>
      </w:r>
      <w:r w:rsidR="0005034F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="00666443">
        <w:rPr>
          <w:rFonts w:ascii="Verdana" w:eastAsia="Times New Roman" w:hAnsi="Verdana" w:cs="Times New Roman"/>
          <w:sz w:val="20"/>
          <w:szCs w:val="20"/>
          <w:lang w:val="bg-BG"/>
        </w:rPr>
        <w:t>(</w:t>
      </w:r>
      <w:r w:rsidR="00AE21B6" w:rsidRPr="00AE21B6">
        <w:rPr>
          <w:rFonts w:ascii="Verdana" w:eastAsia="Times New Roman" w:hAnsi="Verdana" w:cs="Times New Roman"/>
          <w:sz w:val="20"/>
          <w:szCs w:val="20"/>
          <w:lang w:val="bg-BG"/>
        </w:rPr>
        <w:t>OВ L, 2025/1409, 14.7.2025</w:t>
      </w:r>
      <w:r w:rsidR="00666443">
        <w:rPr>
          <w:rFonts w:ascii="Verdana" w:eastAsia="Times New Roman" w:hAnsi="Verdana" w:cs="Times New Roman"/>
          <w:sz w:val="20"/>
          <w:szCs w:val="20"/>
          <w:lang w:val="bg-BG"/>
        </w:rPr>
        <w:t>).</w:t>
      </w:r>
    </w:p>
    <w:p w:rsidR="00653125" w:rsidRPr="00653125" w:rsidRDefault="00653125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p w:rsidR="00ED305E" w:rsidRDefault="00ED305E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ED305E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Цели</w:t>
      </w:r>
    </w:p>
    <w:p w:rsidR="00F428CA" w:rsidRPr="00F428CA" w:rsidRDefault="00996F60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  <w:r w:rsidRPr="00996F60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Целта е съществуващите размери на обезщетения в лева, да бъдат преизчислени в евро</w:t>
      </w:r>
      <w:r w:rsidR="00F428CA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. </w:t>
      </w:r>
    </w:p>
    <w:p w:rsidR="00ED305E" w:rsidRPr="00BD2706" w:rsidRDefault="00ED305E" w:rsidP="00B97333">
      <w:pPr>
        <w:widowControl w:val="0"/>
        <w:spacing w:after="0" w:line="360" w:lineRule="auto"/>
        <w:ind w:firstLine="709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p w:rsidR="005B521C" w:rsidRPr="00ED305E" w:rsidRDefault="00ED305E" w:rsidP="00B97333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ED305E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Очаквани резултати от прилагането на акта</w:t>
      </w:r>
    </w:p>
    <w:p w:rsidR="007243F0" w:rsidRPr="007243F0" w:rsidRDefault="00ED305E" w:rsidP="00B97333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7243F0">
        <w:rPr>
          <w:rFonts w:ascii="Verdana" w:eastAsia="Times New Roman" w:hAnsi="Verdana" w:cs="Times New Roman"/>
          <w:sz w:val="20"/>
          <w:szCs w:val="20"/>
          <w:lang w:val="bg-BG"/>
        </w:rPr>
        <w:t xml:space="preserve">С предложения проект на Постановление на Министерския съвет за изменение </w:t>
      </w:r>
      <w:r w:rsidR="007243F0" w:rsidRPr="007243F0">
        <w:rPr>
          <w:rFonts w:ascii="Verdana" w:eastAsia="Times New Roman" w:hAnsi="Verdana" w:cs="Times New Roman"/>
          <w:sz w:val="20"/>
          <w:szCs w:val="20"/>
          <w:lang w:val="bg-BG"/>
        </w:rPr>
        <w:t>на Наредбата за размера на обезщетенията за причинени вреди на рибните ресурси се очаква да бъдат създадени условия за регламентиране на обществените отношения с цел безпрепятственото преминаване към еврото</w:t>
      </w:r>
      <w:r w:rsidR="007243F0" w:rsidRPr="007243F0">
        <w:rPr>
          <w:rFonts w:ascii="Verdana" w:eastAsia="Times New Roman" w:hAnsi="Verdana" w:cs="Times New Roman"/>
          <w:spacing w:val="4"/>
          <w:sz w:val="20"/>
          <w:szCs w:val="20"/>
          <w:lang w:val="bg-BG" w:eastAsia="bg-BG"/>
        </w:rPr>
        <w:t xml:space="preserve"> като официална парична единица.</w:t>
      </w:r>
    </w:p>
    <w:p w:rsidR="00ED305E" w:rsidRPr="00BD2706" w:rsidRDefault="00ED305E" w:rsidP="00B97333">
      <w:pPr>
        <w:widowControl w:val="0"/>
        <w:spacing w:after="0" w:line="360" w:lineRule="auto"/>
        <w:ind w:firstLine="709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p w:rsidR="00ED305E" w:rsidRPr="00ED305E" w:rsidRDefault="00ED305E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</w:pPr>
      <w:r w:rsidRPr="00ED305E">
        <w:rPr>
          <w:rFonts w:ascii="Verdana" w:eastAsia="Times New Roman" w:hAnsi="Verdana" w:cs="Times New Roman"/>
          <w:b/>
          <w:sz w:val="20"/>
          <w:szCs w:val="20"/>
          <w:shd w:val="clear" w:color="auto" w:fill="FEFEFE"/>
          <w:lang w:val="bg-BG"/>
        </w:rPr>
        <w:t>Финансови и други средства, необходими за прилагането на новата уредба</w:t>
      </w:r>
    </w:p>
    <w:p w:rsidR="00880595" w:rsidRPr="00D47BCF" w:rsidRDefault="00880595" w:rsidP="00B97333">
      <w:pPr>
        <w:pStyle w:val="NormalWeb"/>
        <w:spacing w:line="360" w:lineRule="auto"/>
        <w:ind w:firstLine="720"/>
        <w:rPr>
          <w:rFonts w:ascii="Verdana" w:hAnsi="Verdana"/>
          <w:bCs/>
          <w:color w:val="auto"/>
          <w:sz w:val="20"/>
          <w:szCs w:val="20"/>
        </w:rPr>
      </w:pPr>
      <w:r w:rsidRPr="00D47BCF">
        <w:rPr>
          <w:rFonts w:ascii="Verdana" w:hAnsi="Verdana"/>
          <w:bCs/>
          <w:color w:val="auto"/>
          <w:sz w:val="20"/>
          <w:szCs w:val="20"/>
        </w:rPr>
        <w:t xml:space="preserve">Предложеният проект на акт не води до въздействие върху държавния бюджет, поради което е приложена финансова обосновка съгласно чл. 35, ал. 1, т. 4, буква „б“ от </w:t>
      </w:r>
      <w:proofErr w:type="spellStart"/>
      <w:r w:rsidRPr="00D47BCF">
        <w:rPr>
          <w:rFonts w:ascii="Verdana" w:hAnsi="Verdana"/>
          <w:bCs/>
          <w:color w:val="auto"/>
          <w:sz w:val="20"/>
          <w:szCs w:val="20"/>
        </w:rPr>
        <w:t>Устройствения</w:t>
      </w:r>
      <w:proofErr w:type="spellEnd"/>
      <w:r w:rsidRPr="00D47BCF">
        <w:rPr>
          <w:rFonts w:ascii="Verdana" w:hAnsi="Verdana"/>
          <w:bCs/>
          <w:color w:val="auto"/>
          <w:sz w:val="20"/>
          <w:szCs w:val="20"/>
        </w:rPr>
        <w:t xml:space="preserve"> правилник на Министерския съвет и на неговата администрация. </w:t>
      </w:r>
    </w:p>
    <w:p w:rsidR="00880595" w:rsidRDefault="00880595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063F19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lastRenderedPageBreak/>
        <w:t>За приемането на проект</w:t>
      </w:r>
      <w:r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>а</w:t>
      </w:r>
      <w:r w:rsidRPr="00063F19"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  <w:t xml:space="preserve"> на Постановление на Министерския съвет за изменение </w:t>
      </w:r>
      <w:r w:rsidRPr="00063F19">
        <w:rPr>
          <w:rFonts w:ascii="Verdana" w:eastAsia="Times New Roman" w:hAnsi="Verdana" w:cs="Times New Roman"/>
          <w:sz w:val="20"/>
          <w:szCs w:val="20"/>
          <w:lang w:val="bg-BG"/>
        </w:rPr>
        <w:t xml:space="preserve">на Наредбата за размера на обезщетенията за причинени вреди на рибните ресурси не са необходими допълнителни финансови средства, различни от </w:t>
      </w:r>
      <w:r w:rsidRPr="00B95926">
        <w:rPr>
          <w:rFonts w:ascii="Verdana" w:eastAsia="Times New Roman" w:hAnsi="Verdana" w:cs="Times New Roman"/>
          <w:sz w:val="20"/>
          <w:szCs w:val="20"/>
          <w:lang w:val="bg-BG"/>
        </w:rPr>
        <w:t>тези, осигуряващи прил</w:t>
      </w:r>
      <w:r w:rsidR="00DF438D" w:rsidRPr="00B95926">
        <w:rPr>
          <w:rFonts w:ascii="Verdana" w:eastAsia="Times New Roman" w:hAnsi="Verdana" w:cs="Times New Roman"/>
          <w:sz w:val="20"/>
          <w:szCs w:val="20"/>
          <w:lang w:val="bg-BG"/>
        </w:rPr>
        <w:t>агането на действащата н</w:t>
      </w:r>
      <w:r w:rsidRPr="00B95926">
        <w:rPr>
          <w:rFonts w:ascii="Verdana" w:eastAsia="Times New Roman" w:hAnsi="Verdana" w:cs="Times New Roman"/>
          <w:sz w:val="20"/>
          <w:szCs w:val="20"/>
          <w:lang w:val="bg-BG"/>
        </w:rPr>
        <w:t xml:space="preserve">аредба и няма да доведат до допълнителна финансова тежест за </w:t>
      </w:r>
      <w:r w:rsidR="00B95926" w:rsidRPr="00B95926">
        <w:rPr>
          <w:rFonts w:ascii="Verdana" w:eastAsia="Times New Roman" w:hAnsi="Verdana" w:cs="Times New Roman"/>
          <w:sz w:val="20"/>
          <w:szCs w:val="20"/>
          <w:lang w:val="bg-BG"/>
        </w:rPr>
        <w:t xml:space="preserve">виновните лица при нарушения на чл. 12, ал. 1, чл. 56, 58, 60, 62 – 67, 69 и 70 – 76 от Закона за рибарството и </w:t>
      </w:r>
      <w:proofErr w:type="spellStart"/>
      <w:r w:rsidR="00B95926" w:rsidRPr="00B95926">
        <w:rPr>
          <w:rFonts w:ascii="Verdana" w:eastAsia="Times New Roman" w:hAnsi="Verdana" w:cs="Times New Roman"/>
          <w:sz w:val="20"/>
          <w:szCs w:val="20"/>
          <w:lang w:val="bg-BG"/>
        </w:rPr>
        <w:t>аквакултурите</w:t>
      </w:r>
      <w:proofErr w:type="spellEnd"/>
      <w:r w:rsidRPr="00B95926">
        <w:rPr>
          <w:rFonts w:ascii="Verdana" w:eastAsia="Times New Roman" w:hAnsi="Verdana" w:cs="Times New Roman"/>
          <w:sz w:val="20"/>
          <w:szCs w:val="20"/>
          <w:lang w:val="bg-BG"/>
        </w:rPr>
        <w:t xml:space="preserve">. </w:t>
      </w:r>
    </w:p>
    <w:p w:rsidR="005E361D" w:rsidRPr="00152DEE" w:rsidRDefault="005E361D" w:rsidP="00B9733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trike/>
          <w:sz w:val="20"/>
          <w:szCs w:val="20"/>
          <w:lang w:val="bg-BG"/>
        </w:rPr>
      </w:pPr>
      <w:r w:rsidRPr="005E361D">
        <w:rPr>
          <w:rFonts w:ascii="Verdana" w:eastAsia="Times New Roman" w:hAnsi="Verdana" w:cs="Times New Roman"/>
          <w:sz w:val="20"/>
          <w:szCs w:val="20"/>
          <w:lang w:val="bg-BG"/>
        </w:rPr>
        <w:t xml:space="preserve">За приемането </w:t>
      </w:r>
      <w:r w:rsidRPr="00152DEE">
        <w:rPr>
          <w:rFonts w:ascii="Verdana" w:eastAsia="Times New Roman" w:hAnsi="Verdana" w:cs="Times New Roman"/>
          <w:sz w:val="20"/>
          <w:szCs w:val="20"/>
          <w:lang w:val="bg-BG"/>
        </w:rPr>
        <w:t>на проект на акт не са необходими допълнителни разходи/трансфери и други плащания по бюджета на Министе</w:t>
      </w:r>
      <w:r w:rsidR="00152DEE" w:rsidRPr="00152DEE">
        <w:rPr>
          <w:rFonts w:ascii="Verdana" w:eastAsia="Times New Roman" w:hAnsi="Verdana" w:cs="Times New Roman"/>
          <w:sz w:val="20"/>
          <w:szCs w:val="20"/>
          <w:lang w:val="bg-BG"/>
        </w:rPr>
        <w:t>рство на земеделието и храните.</w:t>
      </w:r>
    </w:p>
    <w:p w:rsidR="00880595" w:rsidRPr="00B95926" w:rsidRDefault="00880595" w:rsidP="00B97333">
      <w:pPr>
        <w:pStyle w:val="NormalWeb"/>
        <w:spacing w:line="360" w:lineRule="auto"/>
        <w:ind w:firstLine="720"/>
        <w:rPr>
          <w:rFonts w:ascii="Verdana" w:hAnsi="Verdana"/>
          <w:bCs/>
          <w:color w:val="auto"/>
          <w:sz w:val="20"/>
          <w:szCs w:val="20"/>
        </w:rPr>
      </w:pPr>
      <w:r w:rsidRPr="00B95926">
        <w:rPr>
          <w:rFonts w:ascii="Verdana" w:hAnsi="Verdana"/>
          <w:bCs/>
          <w:color w:val="auto"/>
          <w:sz w:val="20"/>
          <w:szCs w:val="20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:rsidR="00BD2706" w:rsidRPr="00B97333" w:rsidRDefault="00BD2706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sz w:val="20"/>
          <w:szCs w:val="20"/>
          <w:lang w:val="bg-BG"/>
        </w:rPr>
      </w:pPr>
    </w:p>
    <w:p w:rsidR="00ED305E" w:rsidRPr="00ED305E" w:rsidRDefault="00ED305E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b/>
          <w:sz w:val="20"/>
          <w:szCs w:val="20"/>
          <w:lang w:val="bg-BG"/>
        </w:rPr>
      </w:pPr>
      <w:r w:rsidRPr="00ED305E">
        <w:rPr>
          <w:rFonts w:ascii="Verdana" w:eastAsia="Courier New" w:hAnsi="Verdana" w:cs="Times New Roman"/>
          <w:b/>
          <w:sz w:val="20"/>
          <w:szCs w:val="20"/>
          <w:lang w:val="bg-BG"/>
        </w:rPr>
        <w:t>Анализ за съответствие с правото на Европейския съюз</w:t>
      </w:r>
    </w:p>
    <w:p w:rsidR="00ED305E" w:rsidRPr="00ED305E" w:rsidRDefault="00ED305E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sz w:val="20"/>
          <w:szCs w:val="20"/>
          <w:lang w:val="bg-BG" w:eastAsia="bg-BG"/>
        </w:rPr>
        <w:t>С проекта на Постано</w:t>
      </w:r>
      <w:r w:rsidR="00063F19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вление на Министерския съвет </w:t>
      </w:r>
      <w:r w:rsidRPr="00ED305E">
        <w:rPr>
          <w:rFonts w:ascii="Verdana" w:eastAsia="Times New Roman" w:hAnsi="Verdana" w:cs="Times New Roman"/>
          <w:sz w:val="20"/>
          <w:szCs w:val="20"/>
          <w:lang w:val="bg-BG" w:eastAsia="bg-BG"/>
        </w:rPr>
        <w:t>не се транспонират актове на институции на Европейския съюз, поради което не е изготвена и представена таблица за съответствието с правото на Европейския съюз.</w:t>
      </w:r>
    </w:p>
    <w:p w:rsidR="00ED305E" w:rsidRPr="00B97333" w:rsidRDefault="00ED305E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sz w:val="20"/>
          <w:szCs w:val="20"/>
          <w:lang w:val="bg-BG"/>
        </w:rPr>
      </w:pPr>
    </w:p>
    <w:p w:rsidR="00ED305E" w:rsidRPr="00ED305E" w:rsidRDefault="00ED305E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Courier New" w:hAnsi="Verdana" w:cs="Times New Roman"/>
          <w:b/>
          <w:sz w:val="20"/>
          <w:szCs w:val="20"/>
          <w:lang w:val="bg-BG"/>
        </w:rPr>
      </w:pPr>
      <w:r w:rsidRPr="00ED305E">
        <w:rPr>
          <w:rFonts w:ascii="Verdana" w:eastAsia="Courier New" w:hAnsi="Verdana" w:cs="Times New Roman"/>
          <w:b/>
          <w:sz w:val="20"/>
          <w:szCs w:val="20"/>
          <w:lang w:val="bg-BG"/>
        </w:rPr>
        <w:t>Информация за проведените обществени консултации</w:t>
      </w:r>
    </w:p>
    <w:p w:rsidR="00F3314B" w:rsidRPr="00B50890" w:rsidRDefault="00995F82" w:rsidP="00B97333">
      <w:pPr>
        <w:spacing w:after="0" w:line="360" w:lineRule="auto"/>
        <w:ind w:firstLine="709"/>
        <w:jc w:val="both"/>
        <w:rPr>
          <w:rFonts w:ascii="Verdana" w:eastAsia="Times New Roman" w:hAnsi="Verdana" w:cs="Verdana"/>
          <w:sz w:val="20"/>
          <w:szCs w:val="20"/>
          <w:lang w:val="bg-BG"/>
        </w:rPr>
      </w:pPr>
      <w:r w:rsidRPr="00995F82">
        <w:rPr>
          <w:rFonts w:ascii="Verdana" w:eastAsia="Times New Roman" w:hAnsi="Verdana" w:cs="Verdana"/>
          <w:sz w:val="20"/>
          <w:szCs w:val="20"/>
          <w:lang w:val="bg-BG"/>
        </w:rPr>
        <w:t xml:space="preserve">На основание чл. 26, ал. 3 и 4 от Закона за нормативните актове проекта на постановление, доклада (мотивите), </w:t>
      </w:r>
      <w:r w:rsidRPr="00B95926">
        <w:rPr>
          <w:rFonts w:ascii="Verdana" w:eastAsia="Times New Roman" w:hAnsi="Verdana" w:cs="Verdana"/>
          <w:sz w:val="20"/>
          <w:szCs w:val="20"/>
          <w:lang w:val="bg-BG"/>
        </w:rPr>
        <w:t>частичната предварителната оценка на въздействието и становището на дирекция „</w:t>
      </w:r>
      <w:r w:rsidR="00B97333" w:rsidRPr="00B95926">
        <w:rPr>
          <w:rFonts w:ascii="Verdana" w:eastAsia="Times New Roman" w:hAnsi="Verdana" w:cs="Verdana"/>
          <w:sz w:val="20"/>
          <w:szCs w:val="20"/>
          <w:lang w:val="bg-BG"/>
        </w:rPr>
        <w:t>Координация и м</w:t>
      </w:r>
      <w:r w:rsidRPr="00B95926">
        <w:rPr>
          <w:rFonts w:ascii="Verdana" w:eastAsia="Times New Roman" w:hAnsi="Verdana" w:cs="Verdana"/>
          <w:sz w:val="20"/>
          <w:szCs w:val="20"/>
          <w:lang w:val="bg-BG"/>
        </w:rPr>
        <w:t>одернизация на администрацията“</w:t>
      </w:r>
      <w:r w:rsidRPr="00995F82">
        <w:rPr>
          <w:rFonts w:ascii="Verdana" w:eastAsia="Times New Roman" w:hAnsi="Verdana" w:cs="Verdana"/>
          <w:sz w:val="20"/>
          <w:szCs w:val="20"/>
          <w:lang w:val="bg-BG"/>
        </w:rPr>
        <w:t xml:space="preserve"> в Министерския съвет са публикувани на интернет страницата на Министерството на земеделието и храните и на Портала за обществени консултации със срок за предложения и становища 30 дни</w:t>
      </w:r>
      <w:r w:rsidR="00F3314B" w:rsidRPr="00B50890">
        <w:rPr>
          <w:rFonts w:ascii="Verdana" w:eastAsia="Times New Roman" w:hAnsi="Verdana" w:cs="Verdana"/>
          <w:sz w:val="20"/>
          <w:szCs w:val="20"/>
          <w:lang w:val="bg-BG"/>
        </w:rPr>
        <w:t xml:space="preserve">. </w:t>
      </w:r>
    </w:p>
    <w:p w:rsidR="00F3314B" w:rsidRDefault="00F3314B" w:rsidP="00B973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B50890">
        <w:rPr>
          <w:rFonts w:ascii="Verdana" w:eastAsia="Times New Roman" w:hAnsi="Verdana" w:cs="Times New Roman"/>
          <w:sz w:val="20"/>
          <w:szCs w:val="20"/>
          <w:lang w:val="bg-BG"/>
        </w:rPr>
        <w:t xml:space="preserve">В </w:t>
      </w:r>
      <w:r w:rsidR="00B97333">
        <w:rPr>
          <w:rFonts w:ascii="Verdana" w:eastAsia="Times New Roman" w:hAnsi="Verdana" w:cs="Times New Roman"/>
          <w:sz w:val="20"/>
          <w:szCs w:val="20"/>
          <w:lang w:val="bg-BG"/>
        </w:rPr>
        <w:t xml:space="preserve">изпълнение на </w:t>
      </w:r>
      <w:r w:rsidRPr="00B50890">
        <w:rPr>
          <w:rFonts w:ascii="Verdana" w:eastAsia="Times New Roman" w:hAnsi="Verdana" w:cs="Times New Roman"/>
          <w:sz w:val="20"/>
          <w:szCs w:val="20"/>
          <w:lang w:val="bg-BG"/>
        </w:rPr>
        <w:t>изискванията на чл. 26, ал. 5 от Закона за нормативните актове справката за постъпилите предложения</w:t>
      </w:r>
      <w:r w:rsidR="00B97333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Pr="00B50890">
        <w:rPr>
          <w:rFonts w:ascii="Verdana" w:eastAsia="Times New Roman" w:hAnsi="Verdana" w:cs="Times New Roman"/>
          <w:sz w:val="20"/>
          <w:szCs w:val="20"/>
          <w:lang w:val="bg-BG"/>
        </w:rPr>
        <w:t xml:space="preserve"> заедно с обосновка за неприетите предложения в резултат на проведената обществена консултация</w:t>
      </w:r>
      <w:r w:rsidR="00B97333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Pr="00B50890">
        <w:rPr>
          <w:rFonts w:ascii="Verdana" w:eastAsia="Times New Roman" w:hAnsi="Verdana" w:cs="Times New Roman"/>
          <w:sz w:val="20"/>
          <w:szCs w:val="20"/>
          <w:lang w:val="bg-BG"/>
        </w:rPr>
        <w:t xml:space="preserve"> е публикувана на интернет страницата на Министерството на земеделието и храните и на Портала за обществени консултации.</w:t>
      </w:r>
    </w:p>
    <w:p w:rsidR="00B97333" w:rsidRPr="00B50890" w:rsidRDefault="00B97333" w:rsidP="00B9733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</w:p>
    <w:p w:rsidR="00ED305E" w:rsidRDefault="00F3314B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50890">
        <w:rPr>
          <w:rFonts w:ascii="Verdana" w:eastAsia="Times New Roman" w:hAnsi="Verdana" w:cs="Times New Roman"/>
          <w:sz w:val="20"/>
          <w:szCs w:val="20"/>
          <w:lang w:val="bg-BG" w:eastAsia="bg-BG"/>
        </w:rPr>
        <w:t>Проектът на постановление на Министерския съвет е съгласуван в съответствие с разпоредбите на чл. 32</w:t>
      </w:r>
      <w:r w:rsidR="00B9733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– 34 </w:t>
      </w:r>
      <w:r w:rsidRPr="00B50890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от </w:t>
      </w:r>
      <w:proofErr w:type="spellStart"/>
      <w:r w:rsidRPr="00B50890">
        <w:rPr>
          <w:rFonts w:ascii="Verdana" w:eastAsia="Times New Roman" w:hAnsi="Verdana" w:cs="Times New Roman"/>
          <w:sz w:val="20"/>
          <w:szCs w:val="20"/>
          <w:lang w:val="bg-BG" w:eastAsia="bg-BG"/>
        </w:rPr>
        <w:t>Устройствения</w:t>
      </w:r>
      <w:proofErr w:type="spellEnd"/>
      <w:r w:rsidRPr="00B50890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правилник на Министерския съвет и на неговата администрация. Направените целесъобразни бележки и предложения са отразени.</w:t>
      </w:r>
      <w:r w:rsidRPr="00ED305E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</w:p>
    <w:p w:rsidR="00B97333" w:rsidRPr="00F3314B" w:rsidRDefault="00B97333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ED305E" w:rsidRPr="00ED305E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ГОСПОДИН МИНИСТЪР-ПРЕДСЕДАТЕЛ,</w:t>
      </w:r>
    </w:p>
    <w:p w:rsidR="00ED305E" w:rsidRPr="00ED305E" w:rsidRDefault="00ED305E" w:rsidP="00B97333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>УВАЖАЕМИ ГОСПОЖИ И ГОСПОДА МИНИСТРИ,</w:t>
      </w:r>
    </w:p>
    <w:p w:rsidR="00842045" w:rsidRPr="00152DEE" w:rsidRDefault="00ED305E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ED305E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Във връзка с гореизложеното и на основание чл. 8, ал. 1 от </w:t>
      </w:r>
      <w:proofErr w:type="spellStart"/>
      <w:r w:rsidRPr="00ED305E">
        <w:rPr>
          <w:rFonts w:ascii="Verdana" w:eastAsia="Times New Roman" w:hAnsi="Verdana" w:cs="Times New Roman"/>
          <w:sz w:val="20"/>
          <w:szCs w:val="20"/>
          <w:lang w:val="bg-BG" w:eastAsia="bg-BG"/>
        </w:rPr>
        <w:t>Устройствения</w:t>
      </w:r>
      <w:proofErr w:type="spellEnd"/>
      <w:r w:rsidRPr="00ED305E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правилник на Министерския съвет и на неговата администрация предлагам Министерския съвет да приеме предложения проект на Постановление за изменение </w:t>
      </w:r>
      <w:r w:rsidR="00842045" w:rsidRPr="00152DEE">
        <w:rPr>
          <w:rFonts w:ascii="Verdana" w:eastAsia="Times New Roman" w:hAnsi="Verdana" w:cs="Times New Roman"/>
          <w:sz w:val="20"/>
          <w:szCs w:val="20"/>
          <w:lang w:val="bg-BG"/>
        </w:rPr>
        <w:lastRenderedPageBreak/>
        <w:t>на Наредбата за размера на обезщетенията за причинени вреди на рибните ресурси</w:t>
      </w:r>
      <w:r w:rsidR="00580B70" w:rsidRPr="00152DEE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="00580B70" w:rsidRPr="00152DEE">
        <w:t xml:space="preserve"> </w:t>
      </w:r>
      <w:r w:rsidR="00580B70" w:rsidRPr="00152DEE">
        <w:rPr>
          <w:rFonts w:ascii="Verdana" w:eastAsia="Times New Roman" w:hAnsi="Verdana" w:cs="Times New Roman"/>
          <w:sz w:val="20"/>
          <w:szCs w:val="20"/>
          <w:lang w:val="bg-BG"/>
        </w:rPr>
        <w:t>приета с Постановление № 272 на Министерския съвет от 2001 г.</w:t>
      </w:r>
    </w:p>
    <w:p w:rsidR="00ED305E" w:rsidRPr="00152DEE" w:rsidRDefault="00ED305E" w:rsidP="00B9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highlight w:val="yellow"/>
          <w:lang w:val="bg-BG" w:eastAsia="bg-BG"/>
        </w:rPr>
      </w:pPr>
    </w:p>
    <w:tbl>
      <w:tblPr>
        <w:tblW w:w="8654" w:type="dxa"/>
        <w:tblInd w:w="668" w:type="dxa"/>
        <w:tblLook w:val="01E0" w:firstRow="1" w:lastRow="1" w:firstColumn="1" w:lastColumn="1" w:noHBand="0" w:noVBand="0"/>
      </w:tblPr>
      <w:tblGrid>
        <w:gridCol w:w="1781"/>
        <w:gridCol w:w="6873"/>
      </w:tblGrid>
      <w:tr w:rsidR="00152DEE" w:rsidRPr="00152DEE" w:rsidTr="000050E6">
        <w:tc>
          <w:tcPr>
            <w:tcW w:w="1781" w:type="dxa"/>
          </w:tcPr>
          <w:p w:rsidR="00ED305E" w:rsidRPr="00152DEE" w:rsidRDefault="00ED305E" w:rsidP="00B973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152DE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  <w:t>Приложениe</w:t>
            </w:r>
            <w:proofErr w:type="spellEnd"/>
            <w:r w:rsidRPr="00152DE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  <w:t xml:space="preserve">: </w:t>
            </w:r>
          </w:p>
        </w:tc>
        <w:tc>
          <w:tcPr>
            <w:tcW w:w="6873" w:type="dxa"/>
          </w:tcPr>
          <w:p w:rsidR="00ED305E" w:rsidRPr="00152DEE" w:rsidRDefault="00D33DAC" w:rsidP="00580B7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Проект на Постановление на </w:t>
            </w:r>
            <w:r w:rsidR="00ED305E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Министерския съвет за изменение</w:t>
            </w:r>
            <w:r w:rsidR="00914B32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</w:t>
            </w:r>
            <w:r w:rsidR="00914B32" w:rsidRPr="00152DE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 Наредбата за размера на обезщетенията за причинени вреди на рибните ресурси</w:t>
            </w:r>
            <w:r w:rsidR="00580B70" w:rsidRPr="00152DE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 приета с Постановление № 272 на Министерския съвет от 2001 г.</w:t>
            </w:r>
            <w:r w:rsidR="00ED305E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Частична предварителна оценка на въздействието;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Становище на дирекция „</w:t>
            </w:r>
            <w:r w:rsidR="00B97333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Координация и м</w:t>
            </w: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одернизация на администрацията“ </w:t>
            </w:r>
            <w:r w:rsidR="00B97333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в</w:t>
            </w: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Министерски</w:t>
            </w:r>
            <w:r w:rsidR="00B97333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я</w:t>
            </w: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съвет;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Финансова обосновка;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Справка за отразяване на становищата, постъпили по реда на чл. 32 – 34 от </w:t>
            </w:r>
            <w:proofErr w:type="spellStart"/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Устройствения</w:t>
            </w:r>
            <w:proofErr w:type="spellEnd"/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правилник на Министерския съвет и на неговата администрация;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Постъпили становища;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Справка </w:t>
            </w:r>
            <w:r w:rsidR="00193681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за отразяване на становищата</w:t>
            </w:r>
            <w:r w:rsidR="00193681" w:rsidRPr="00152DEE">
              <w:rPr>
                <w:rFonts w:ascii="Verdana" w:eastAsia="Times New Roman" w:hAnsi="Verdana" w:cs="Verdana"/>
                <w:sz w:val="20"/>
                <w:szCs w:val="20"/>
                <w:lang w:eastAsia="bg-BG"/>
              </w:rPr>
              <w:t xml:space="preserve"> </w:t>
            </w:r>
            <w:r w:rsidR="00193681"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от</w:t>
            </w: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 xml:space="preserve"> проведената обществена консултация;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Постъпили становища и предложения от проведената обществена консултация;</w:t>
            </w:r>
          </w:p>
          <w:p w:rsidR="00ED305E" w:rsidRPr="00152DEE" w:rsidRDefault="00ED305E" w:rsidP="00B9733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</w:pPr>
            <w:r w:rsidRPr="00152DEE">
              <w:rPr>
                <w:rFonts w:ascii="Verdana" w:eastAsia="Times New Roman" w:hAnsi="Verdana" w:cs="Verdana"/>
                <w:sz w:val="20"/>
                <w:szCs w:val="20"/>
                <w:lang w:val="bg-BG" w:eastAsia="bg-BG"/>
              </w:rPr>
              <w:t>Проект на съобщение за средствата за масово осведомяване.</w:t>
            </w:r>
          </w:p>
        </w:tc>
      </w:tr>
    </w:tbl>
    <w:p w:rsidR="00ED305E" w:rsidRDefault="00ED305E" w:rsidP="00B973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highlight w:val="yellow"/>
          <w:lang w:val="bg-BG" w:eastAsia="bg-BG"/>
        </w:rPr>
      </w:pPr>
    </w:p>
    <w:p w:rsidR="00B97333" w:rsidRPr="00ED305E" w:rsidRDefault="00B97333" w:rsidP="00B973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highlight w:val="yellow"/>
          <w:lang w:val="bg-BG" w:eastAsia="bg-BG"/>
        </w:rPr>
      </w:pPr>
    </w:p>
    <w:p w:rsidR="001146BF" w:rsidRPr="00BD2706" w:rsidRDefault="00B930C2" w:rsidP="00B97333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rFonts w:ascii="Verdana" w:hAnsi="Verdana"/>
          <w:sz w:val="20"/>
          <w:szCs w:val="20"/>
          <w:highlight w:val="yellow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0.95pt;height:97.05pt">
            <v:imagedata r:id="rId9" o:title=""/>
            <o:lock v:ext="edit" ungrouping="t" rotation="t" cropping="t" verticies="t" text="t" grouping="t"/>
            <o:signatureline v:ext="edit" id="{35CC1DFF-9E82-4903-856D-7F14E4D7C674}" provid="{00000000-0000-0000-0000-000000000000}" o:suggestedsigner="Д-Р ГЕОРГИ ТАХОВ" o:suggestedsigner2="Министър" issignatureline="t"/>
          </v:shape>
        </w:pict>
      </w:r>
    </w:p>
    <w:sectPr w:rsidR="001146BF" w:rsidRPr="00BD2706" w:rsidSect="00580B70"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38" w:rsidRDefault="00881538">
      <w:pPr>
        <w:spacing w:after="0" w:line="240" w:lineRule="auto"/>
      </w:pPr>
      <w:r>
        <w:separator/>
      </w:r>
    </w:p>
  </w:endnote>
  <w:endnote w:type="continuationSeparator" w:id="0">
    <w:p w:rsidR="00881538" w:rsidRDefault="0088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64825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784705" w:rsidRPr="00E53711" w:rsidRDefault="00ED305E" w:rsidP="000D52AE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E53711">
          <w:rPr>
            <w:rFonts w:ascii="Verdana" w:hAnsi="Verdana"/>
            <w:sz w:val="16"/>
            <w:szCs w:val="16"/>
          </w:rPr>
          <w:fldChar w:fldCharType="begin"/>
        </w:r>
        <w:r w:rsidRPr="00E5371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E53711">
          <w:rPr>
            <w:rFonts w:ascii="Verdana" w:hAnsi="Verdana"/>
            <w:sz w:val="16"/>
            <w:szCs w:val="16"/>
          </w:rPr>
          <w:fldChar w:fldCharType="separate"/>
        </w:r>
        <w:r w:rsidR="00152DEE">
          <w:rPr>
            <w:rFonts w:ascii="Verdana" w:hAnsi="Verdana"/>
            <w:noProof/>
            <w:sz w:val="16"/>
            <w:szCs w:val="16"/>
          </w:rPr>
          <w:t>2</w:t>
        </w:r>
        <w:r w:rsidRPr="00E53711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38" w:rsidRDefault="00881538">
      <w:pPr>
        <w:spacing w:after="0" w:line="240" w:lineRule="auto"/>
      </w:pPr>
      <w:r>
        <w:separator/>
      </w:r>
    </w:p>
  </w:footnote>
  <w:footnote w:type="continuationSeparator" w:id="0">
    <w:p w:rsidR="00881538" w:rsidRDefault="0088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05" w:rsidRDefault="00ED305E" w:rsidP="00163C9B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16"/>
        <w:szCs w:val="16"/>
        <w:lang w:val="bg-BG"/>
      </w:rPr>
    </w:pPr>
    <w:r w:rsidRPr="00A270DB">
      <w:rPr>
        <w:rFonts w:ascii="Verdana" w:hAnsi="Verdana"/>
        <w:sz w:val="16"/>
        <w:szCs w:val="16"/>
        <w:lang w:val="bg-BG"/>
      </w:rPr>
      <w:t>Класификация на информацията:</w:t>
    </w:r>
  </w:p>
  <w:p w:rsidR="00784705" w:rsidRPr="003A0C39" w:rsidRDefault="00ED305E" w:rsidP="00580B70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lang w:val="ru-RU"/>
      </w:rPr>
    </w:pPr>
    <w:r w:rsidRPr="00A270DB">
      <w:rPr>
        <w:rFonts w:ascii="Verdana" w:hAnsi="Verdana"/>
        <w:sz w:val="16"/>
        <w:szCs w:val="16"/>
        <w:lang w:val="bg-BG"/>
      </w:rPr>
      <w:t xml:space="preserve">Ниво </w:t>
    </w:r>
    <w:r>
      <w:rPr>
        <w:rFonts w:ascii="Verdana" w:hAnsi="Verdana"/>
        <w:sz w:val="16"/>
        <w:szCs w:val="16"/>
        <w:lang w:val="bg-BG"/>
      </w:rPr>
      <w:t>0</w:t>
    </w:r>
    <w:r w:rsidRPr="00A270DB">
      <w:rPr>
        <w:rFonts w:ascii="Verdana" w:hAnsi="Verdana"/>
        <w:sz w:val="16"/>
        <w:szCs w:val="16"/>
        <w:lang w:val="bg-BG"/>
      </w:rPr>
      <w:t>, TLP-</w:t>
    </w:r>
    <w:r>
      <w:rPr>
        <w:rFonts w:ascii="Verdana" w:hAnsi="Verdana"/>
        <w:sz w:val="16"/>
        <w:szCs w:val="16"/>
      </w:rPr>
      <w:t>WHITE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D1"/>
    <w:rsid w:val="000038E0"/>
    <w:rsid w:val="0004490A"/>
    <w:rsid w:val="0005034F"/>
    <w:rsid w:val="00063F19"/>
    <w:rsid w:val="00095DDF"/>
    <w:rsid w:val="000E3957"/>
    <w:rsid w:val="000E49BB"/>
    <w:rsid w:val="00134379"/>
    <w:rsid w:val="00152DEE"/>
    <w:rsid w:val="00193681"/>
    <w:rsid w:val="001D6755"/>
    <w:rsid w:val="00234437"/>
    <w:rsid w:val="00281D22"/>
    <w:rsid w:val="002B6132"/>
    <w:rsid w:val="002C7595"/>
    <w:rsid w:val="002E728F"/>
    <w:rsid w:val="00320386"/>
    <w:rsid w:val="0032405B"/>
    <w:rsid w:val="003525D9"/>
    <w:rsid w:val="003611E0"/>
    <w:rsid w:val="003F41E9"/>
    <w:rsid w:val="0042161C"/>
    <w:rsid w:val="004263B4"/>
    <w:rsid w:val="00433577"/>
    <w:rsid w:val="004B746A"/>
    <w:rsid w:val="004E4979"/>
    <w:rsid w:val="00580B70"/>
    <w:rsid w:val="00585C80"/>
    <w:rsid w:val="005B521C"/>
    <w:rsid w:val="005B773D"/>
    <w:rsid w:val="005E361D"/>
    <w:rsid w:val="00611E4D"/>
    <w:rsid w:val="00653125"/>
    <w:rsid w:val="00666443"/>
    <w:rsid w:val="0069114F"/>
    <w:rsid w:val="00695961"/>
    <w:rsid w:val="007243F0"/>
    <w:rsid w:val="007310B1"/>
    <w:rsid w:val="00763304"/>
    <w:rsid w:val="007650A4"/>
    <w:rsid w:val="00765E5D"/>
    <w:rsid w:val="007904DB"/>
    <w:rsid w:val="00790EA6"/>
    <w:rsid w:val="007C2835"/>
    <w:rsid w:val="00812A62"/>
    <w:rsid w:val="0083630B"/>
    <w:rsid w:val="00842045"/>
    <w:rsid w:val="00880595"/>
    <w:rsid w:val="00881538"/>
    <w:rsid w:val="00892CED"/>
    <w:rsid w:val="00895514"/>
    <w:rsid w:val="008A5E59"/>
    <w:rsid w:val="008D70F2"/>
    <w:rsid w:val="00901900"/>
    <w:rsid w:val="00914B32"/>
    <w:rsid w:val="009335BB"/>
    <w:rsid w:val="009339DD"/>
    <w:rsid w:val="00940E2C"/>
    <w:rsid w:val="00951253"/>
    <w:rsid w:val="00964796"/>
    <w:rsid w:val="00976500"/>
    <w:rsid w:val="009865A2"/>
    <w:rsid w:val="00995F82"/>
    <w:rsid w:val="00996F60"/>
    <w:rsid w:val="009A1BD9"/>
    <w:rsid w:val="009B3F90"/>
    <w:rsid w:val="00A41407"/>
    <w:rsid w:val="00AE21B6"/>
    <w:rsid w:val="00AF6B1A"/>
    <w:rsid w:val="00B10379"/>
    <w:rsid w:val="00B241A0"/>
    <w:rsid w:val="00B42049"/>
    <w:rsid w:val="00B50890"/>
    <w:rsid w:val="00B55322"/>
    <w:rsid w:val="00B6434C"/>
    <w:rsid w:val="00B95926"/>
    <w:rsid w:val="00B97333"/>
    <w:rsid w:val="00BD2706"/>
    <w:rsid w:val="00C121E7"/>
    <w:rsid w:val="00C2075E"/>
    <w:rsid w:val="00CA2D90"/>
    <w:rsid w:val="00CB3E1F"/>
    <w:rsid w:val="00D33DAC"/>
    <w:rsid w:val="00D47BCF"/>
    <w:rsid w:val="00D67169"/>
    <w:rsid w:val="00DA0960"/>
    <w:rsid w:val="00DF438D"/>
    <w:rsid w:val="00E324D1"/>
    <w:rsid w:val="00E5656A"/>
    <w:rsid w:val="00E74D24"/>
    <w:rsid w:val="00E81B23"/>
    <w:rsid w:val="00E8346D"/>
    <w:rsid w:val="00ED305E"/>
    <w:rsid w:val="00F00426"/>
    <w:rsid w:val="00F3314B"/>
    <w:rsid w:val="00F428CA"/>
    <w:rsid w:val="00F57449"/>
    <w:rsid w:val="00F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5E"/>
  </w:style>
  <w:style w:type="paragraph" w:styleId="Footer">
    <w:name w:val="footer"/>
    <w:basedOn w:val="Normal"/>
    <w:link w:val="FooterChar"/>
    <w:uiPriority w:val="99"/>
    <w:rsid w:val="00ED305E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305E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8059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5E"/>
  </w:style>
  <w:style w:type="paragraph" w:styleId="Footer">
    <w:name w:val="footer"/>
    <w:basedOn w:val="Normal"/>
    <w:link w:val="FooterChar"/>
    <w:uiPriority w:val="99"/>
    <w:rsid w:val="00ED305E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305E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8059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6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7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Silviya Zheleva</cp:lastModifiedBy>
  <cp:revision>59</cp:revision>
  <dcterms:created xsi:type="dcterms:W3CDTF">2025-05-23T11:22:00Z</dcterms:created>
  <dcterms:modified xsi:type="dcterms:W3CDTF">2025-07-31T07:07:00Z</dcterms:modified>
</cp:coreProperties>
</file>