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1023831099"/>
        <w:docPartObj>
          <w:docPartGallery w:val="Cover Pages"/>
          <w:docPartUnique/>
        </w:docPartObj>
      </w:sdtPr>
      <w:sdtEndPr/>
      <w:sdtContent>
        <w:p w14:paraId="515820E2" w14:textId="47BC7A34" w:rsidR="00B431AC" w:rsidRPr="007B4A99" w:rsidRDefault="00560C94" w:rsidP="00560C94">
          <w:pPr>
            <w:ind w:left="-1134"/>
            <w:jc w:val="both"/>
            <w:rPr>
              <w:rFonts w:ascii="Times New Roman" w:hAnsi="Times New Roman" w:cs="Times New Roman"/>
            </w:rPr>
          </w:pPr>
          <w:r w:rsidRPr="007B4A99">
            <w:rPr>
              <w:rFonts w:ascii="Times New Roman" w:hAnsi="Times New Roman" w:cs="Times New Roman"/>
              <w:noProof/>
              <w:lang w:val="en-US"/>
            </w:rPr>
            <w:drawing>
              <wp:inline distT="0" distB="0" distL="0" distR="0" wp14:anchorId="468C5931" wp14:editId="384554F9">
                <wp:extent cx="4216761" cy="982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4190" cy="991705"/>
                        </a:xfrm>
                        <a:prstGeom prst="rect">
                          <a:avLst/>
                        </a:prstGeom>
                        <a:noFill/>
                        <a:ln>
                          <a:noFill/>
                        </a:ln>
                      </pic:spPr>
                    </pic:pic>
                  </a:graphicData>
                </a:graphic>
              </wp:inline>
            </w:drawing>
          </w:r>
          <w:r w:rsidR="00B431AC" w:rsidRPr="007B4A99">
            <w:rPr>
              <w:rFonts w:ascii="Times New Roman" w:hAnsi="Times New Roman" w:cs="Times New Roman"/>
              <w:noProof/>
              <w:lang w:val="en-US"/>
            </w:rPr>
            <mc:AlternateContent>
              <mc:Choice Requires="wpg">
                <w:drawing>
                  <wp:anchor distT="0" distB="0" distL="114300" distR="114300" simplePos="0" relativeHeight="251659264" behindDoc="0" locked="0" layoutInCell="1" allowOverlap="1" wp14:anchorId="5D540523" wp14:editId="23017B73">
                    <wp:simplePos x="0" y="0"/>
                    <wp:positionH relativeFrom="page">
                      <wp:posOffset>4442460</wp:posOffset>
                    </wp:positionH>
                    <wp:positionV relativeFrom="page">
                      <wp:posOffset>0</wp:posOffset>
                    </wp:positionV>
                    <wp:extent cx="3211077" cy="10664456"/>
                    <wp:effectExtent l="0" t="0" r="0" b="3810"/>
                    <wp:wrapNone/>
                    <wp:docPr id="453" name="Group 453"/>
                    <wp:cNvGraphicFramePr/>
                    <a:graphic xmlns:a="http://schemas.openxmlformats.org/drawingml/2006/main">
                      <a:graphicData uri="http://schemas.microsoft.com/office/word/2010/wordprocessingGroup">
                        <wpg:wgp>
                          <wpg:cNvGrpSpPr/>
                          <wpg:grpSpPr>
                            <a:xfrm>
                              <a:off x="0" y="0"/>
                              <a:ext cx="3211077" cy="10664456"/>
                              <a:chOff x="-99060" y="0"/>
                              <a:chExt cx="3211077" cy="10058405"/>
                            </a:xfrm>
                          </wpg:grpSpPr>
                          <wps:wsp>
                            <wps:cNvPr id="459" name="Rectangle 459" descr="Light vertical"/>
                            <wps:cNvSpPr>
                              <a:spLocks noChangeArrowheads="1"/>
                            </wps:cNvSpPr>
                            <wps:spPr bwMode="auto">
                              <a:xfrm>
                                <a:off x="0" y="0"/>
                                <a:ext cx="138545" cy="10058400"/>
                              </a:xfrm>
                              <a:prstGeom prst="rect">
                                <a:avLst/>
                              </a:prstGeom>
                              <a:solidFill>
                                <a:schemeClr val="accent1">
                                  <a:lumMod val="50000"/>
                                </a:schemeClr>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61081" y="5"/>
                                <a:ext cx="2971800" cy="10058400"/>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2" y="166978"/>
                                <a:ext cx="3098165"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Century" w:hAnsi="Century"/>
                                      <w:color w:val="FFFFFF" w:themeColor="background1"/>
                                      <w:sz w:val="96"/>
                                      <w:szCs w:val="96"/>
                                      <w:lang w:val="bg-BG"/>
                                    </w:rPr>
                                    <w:alias w:val="Year"/>
                                    <w:id w:val="-1675866145"/>
                                    <w:dataBinding w:prefixMappings="xmlns:ns0='http://schemas.microsoft.com/office/2006/coverPageProps'" w:xpath="/ns0:CoverPageProperties[1]/ns0:PublishDate[1]" w:storeItemID="{55AF091B-3C7A-41E3-B477-F2FDAA23CFDA}"/>
                                    <w:date w:fullDate="2025-01-01T00:00:00Z">
                                      <w:dateFormat w:val="yyyy"/>
                                      <w:lid w:val="en-US"/>
                                      <w:storeMappedDataAs w:val="dateTime"/>
                                      <w:calendar w:val="gregorian"/>
                                    </w:date>
                                  </w:sdtPr>
                                  <w:sdtEndPr/>
                                  <w:sdtContent>
                                    <w:p w14:paraId="6EFF0993" w14:textId="18D633B0" w:rsidR="00D22189" w:rsidRPr="000E7A3A" w:rsidRDefault="00D22189">
                                      <w:pPr>
                                        <w:pStyle w:val="NoSpacing"/>
                                        <w:rPr>
                                          <w:rFonts w:ascii="Century" w:hAnsi="Century"/>
                                          <w:color w:val="FFFFFF" w:themeColor="background1"/>
                                          <w:sz w:val="96"/>
                                          <w:szCs w:val="96"/>
                                          <w:lang w:val="bg-BG"/>
                                        </w:rPr>
                                      </w:pPr>
                                      <w:r>
                                        <w:rPr>
                                          <w:rFonts w:ascii="Century" w:hAnsi="Century"/>
                                          <w:color w:val="FFFFFF" w:themeColor="background1"/>
                                          <w:sz w:val="96"/>
                                          <w:szCs w:val="96"/>
                                        </w:rPr>
                                        <w:t>2025</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99060" y="6169193"/>
                                <a:ext cx="3210556"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D4F9025" w14:textId="5706AD09" w:rsidR="00D22189" w:rsidRPr="000E7A3A" w:rsidRDefault="00C40A49">
                                  <w:pPr>
                                    <w:pStyle w:val="NoSpacing"/>
                                    <w:spacing w:line="360" w:lineRule="auto"/>
                                    <w:rPr>
                                      <w:rFonts w:ascii="Century" w:hAnsi="Century"/>
                                      <w:color w:val="FFFFFF" w:themeColor="background1"/>
                                      <w:sz w:val="28"/>
                                      <w:szCs w:val="28"/>
                                      <w:lang w:val="bg-BG"/>
                                    </w:rPr>
                                  </w:pPr>
                                  <w:sdt>
                                    <w:sdtPr>
                                      <w:rPr>
                                        <w:rFonts w:ascii="Century" w:hAnsi="Century"/>
                                        <w:color w:val="FFFFFF" w:themeColor="background1"/>
                                        <w:sz w:val="28"/>
                                        <w:szCs w:val="28"/>
                                        <w:lang w:val="bg-BG"/>
                                      </w:rPr>
                                      <w:alias w:val="Company"/>
                                      <w:id w:val="1930308651"/>
                                      <w:dataBinding w:prefixMappings="xmlns:ns0='http://schemas.openxmlformats.org/officeDocument/2006/extended-properties'" w:xpath="/ns0:Properties[1]/ns0:Company[1]" w:storeItemID="{6668398D-A668-4E3E-A5EB-62B293D839F1}"/>
                                      <w:text/>
                                    </w:sdtPr>
                                    <w:sdtEndPr/>
                                    <w:sdtContent>
                                      <w:r w:rsidR="00D22189" w:rsidRPr="000E7A3A">
                                        <w:rPr>
                                          <w:rFonts w:ascii="Century" w:hAnsi="Century"/>
                                          <w:color w:val="FFFFFF" w:themeColor="background1"/>
                                          <w:sz w:val="28"/>
                                          <w:szCs w:val="28"/>
                                          <w:lang w:val="bg-BG"/>
                                        </w:rPr>
                                        <w:t>Период на извършване:</w:t>
                                      </w:r>
                                    </w:sdtContent>
                                  </w:sdt>
                                  <w:r w:rsidR="00D22189">
                                    <w:rPr>
                                      <w:rFonts w:ascii="Century" w:hAnsi="Century"/>
                                      <w:color w:val="FFFFFF" w:themeColor="background1"/>
                                      <w:sz w:val="28"/>
                                      <w:szCs w:val="28"/>
                                      <w:lang w:val="bg-BG"/>
                                    </w:rPr>
                                    <w:t xml:space="preserve"> март 202</w:t>
                                  </w:r>
                                  <w:bookmarkStart w:id="0" w:name="_GoBack"/>
                                  <w:bookmarkEnd w:id="0"/>
                                  <w:r w:rsidR="00D22189">
                                    <w:rPr>
                                      <w:rFonts w:ascii="Century" w:hAnsi="Century"/>
                                      <w:color w:val="FFFFFF" w:themeColor="background1"/>
                                      <w:sz w:val="28"/>
                                      <w:szCs w:val="28"/>
                                      <w:lang w:val="bg-BG"/>
                                    </w:rPr>
                                    <w:t xml:space="preserve">5 – май 2025 </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40523" id="Group 453" o:spid="_x0000_s1026" style="position:absolute;left:0;text-align:left;margin-left:349.8pt;margin-top:0;width:252.85pt;height:839.7pt;z-index:251659264;mso-position-horizontal-relative:page;mso-position-vertical-relative:page" coordorigin="-990" coordsize="32110,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1REvgQAAO8VAAAOAAAAZHJzL2Uyb0RvYy54bWzsWNtu4zYQfS/QfxD0rljUXUacReLLokDa&#10;LpoWfaYlWhIqiSpJR06L/nuHo4vlJEA3m6TtAnYAx5TE4czhnDNDXX44VKVxz4QseL0wyYVtGqxO&#10;eFrU2cL85eeNFZmGVLROaclrtjAfmDQ/XH37zWXbzJnDc16mTBhgpJbztlmYuVLNfDaTSc4qKi94&#10;w2q4ueOiogqGIpulgrZgvSpnjm0Hs5aLtBE8YVLC1VV307xC+7sdS9SPu51kyigXJvim8Fvg91Z/&#10;z64u6TwTtMmLpHeDfoEXFS1qWHQ0taKKGntRPDFVFYngku/URcKrGd/tioRhDBANsR9F81HwfYOx&#10;ZPM2a0aYANpHOH2x2eSH+0/CKNKF6fmuadS0gk3CdQ19AeBpm2wOT30UzV3zSfQXsm6kIz7sRKX/&#10;QyzGAYF9GIFlB2UkcNF1CLHD0DQSuEfsIPA8P+iwT3LYID3RimM7gC06zk7y9fPzbT/ybF/Pnw3r&#10;z7Sbo1dtA9kkj4DJ1wF2l9OG4T5IDcUIWDwA9hPkGa2zkgFocDFlMoEcuy2yXGlyqCKhZYclGtBA&#10;ashkc8uT36RR82UO09m1ELzNGU3BX4Lh6UBgxW6CHkiYamzb73kK+0T3imPWfc4eEDfyPX/YAoQQ&#10;03+EkM4bIdVHxitD/1iYAqJC8/T+VqoO7eERdJ+XRbopyhIHmrFsWQrjngLXaJKwWhGcXu4r8Le7&#10;7tvw6XcOSa6n4D7KqTVIHFhS29UphET6MyaOZ984sbUJotDyNp5vxaEdWTaJb+LA9mJvtflLL0i8&#10;eV6kKatvi5oNpCbe5+VALy8dHZHWRgu74YTg9tOgRbYdQ97gZ4htGk1VKBC5sqgWZqTj72VH7/S6&#10;TgFYOle0KLvfs1P/ERsA4RSL641vh54bWWHou5bnrm3rJtosreslCYJwfbO8WZNTLNYohvL1cKAj&#10;aKzfIb6H6O7ytDXSQqeN70aRAyQogAIaNh2vQcsM6kOihGkIrn4tVI6k0kqBqE6BXEX6rwdytN4B&#10;cVx4glMf2xEqyOkhg0AYOtZoJZPzLU8fgEHgA0qVJifkBRd/mEYLVWBhyt/3VDDTKL+rgYUx8Txd&#10;NnDg+aEDAzG9s53eoXUCpvowu8FSwRgm7Ruh1UDzWsdb82vg7q5AVh39ggj0AKSr8/b9NUwrbif6&#10;Ew2Di6jzE+15P7EKiB0RlH1U9I7xumg4cUiALmfFOrZDz5b55xUr9h3/HwTrhGcn8vs2gvUfs1CB&#10;6iAh//cchPR/ykFsALQajPX//TioewOQbN2cBUEcovYeiejacUSCvnVw3DDUmjhtvl7cOdRctw1Y&#10;+AadPqn0dryO1pFneU6wtjx7tbKuN0vPCjYk9FfuarlcPapu2tzblLYTHshpWerru5ZvWjY57Roa&#10;LOhD0e8exzo0sTOpVF231BEDC+m5u8GNP8Xi3N3AwWbsYl/Q3ajD9oCHuVE8XtjvuIEf6paga3hI&#10;5EQRjLqOZxh1Lc8wGnqe7VejtiB0j9U2/hf7nck5NyBBTGI8ZU/U1iG2D6djPCs7keu64Vltz2o7&#10;nLPfpjWbVtuz2r5WbZ1BPr4mtcU3ZvBWEbuV/g2ofm05HeN59Pie9upvAAAA//8DAFBLAwQUAAYA&#10;CAAAACEAvfWCseEAAAAKAQAADwAAAGRycy9kb3ducmV2LnhtbEyPQUvDQBCF74L/YRnBm92ktdHE&#10;bEop6qkItoJ4m2anSWh2N2S3SfrvnZ70No/3ePO9fDWZVgzU+8ZZBfEsAkG2dLqxlYKv/dvDMwgf&#10;0GpsnSUFF/KwKm5vcsy0G+0nDbtQCS6xPkMFdQhdJqUvazLoZ64jy97R9QYDy76SuseRy00r51GU&#10;SION5Q81drSpqTztzkbB+4jjehG/DtvTcXP52S8/vrcxKXV/N61fQASawl8YrviMDgUzHdzZai9a&#10;BUmaJhxVwIuu9jxaLkAc+Eqe0keQRS7/Tyh+AQAA//8DAFBLAQItABQABgAIAAAAIQC2gziS/gAA&#10;AOEBAAATAAAAAAAAAAAAAAAAAAAAAABbQ29udGVudF9UeXBlc10ueG1sUEsBAi0AFAAGAAgAAAAh&#10;ADj9If/WAAAAlAEAAAsAAAAAAAAAAAAAAAAALwEAAF9yZWxzLy5yZWxzUEsBAi0AFAAGAAgAAAAh&#10;AGmLVES+BAAA7xUAAA4AAAAAAAAAAAAAAAAALgIAAGRycy9lMm9Eb2MueG1sUEsBAi0AFAAGAAgA&#10;AAAhAL31grHhAAAACgEAAA8AAAAAAAAAAAAAAAAAGAcAAGRycy9kb3ducmV2LnhtbFBLBQYAAAAA&#10;BAAEAPMAAAAmC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1bRwwAAANwAAAAPAAAAZHJzL2Rvd25yZXYueG1sRI9Bi8Iw&#10;FITvgv8hPMGbpooubtcoIooeXVeWPT6aZ1NsXkqTavXXG0HY4zAz3zDzZWtLcaXaF44VjIYJCOLM&#10;6YJzBaef7WAGwgdkjaVjUnAnD8tFtzPHVLsbf9P1GHIRIexTVGBCqFIpfWbIoh+6ijh6Z1dbDFHW&#10;udQ13iLclnKcJB/SYsFxwWBFa0PZ5dhYBW71a3Qz2fyNHuUuycKhaPL9Wql+r119gQjUhv/wu73X&#10;CibTT3idiUdALp4AAAD//wMAUEsBAi0AFAAGAAgAAAAhANvh9svuAAAAhQEAABMAAAAAAAAAAAAA&#10;AAAAAAAAAFtDb250ZW50X1R5cGVzXS54bWxQSwECLQAUAAYACAAAACEAWvQsW78AAAAVAQAACwAA&#10;AAAAAAAAAAAAAAAfAQAAX3JlbHMvLnJlbHNQSwECLQAUAAYACAAAACEATktW0cMAAADcAAAADwAA&#10;AAAAAAAAAAAAAAAHAgAAZHJzL2Rvd25yZXYueG1sUEsFBgAAAAADAAMAtwAAAPcCAAAAAA==&#10;" fillcolor="#1f4d78 [1604]" stroked="f" strokecolor="white" strokeweight="1pt">
                      <v:shadow color="#d8d8d8" offset="3pt,3pt"/>
                    </v:rect>
                    <v:rect id="Rectangle 460" o:spid="_x0000_s1028" style="position:absolute;left:610;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H5ywQAAANwAAAAPAAAAZHJzL2Rvd25yZXYueG1sRE9Ni8Iw&#10;EL0L/ocwgjdNXaRI1yiiiIKyoO5lb0Mz2xaTSbeJWvvrzWHB4+N9z5etNeJOja8cK5iMExDEudMV&#10;Fwq+L9vRDIQPyBqNY1LwJA/LRb83x0y7B5/ofg6FiCHsM1RQhlBnUvq8JIt+7GriyP26xmKIsCmk&#10;bvARw62RH0mSSosVx4YSa1qXlF/PN6vguPsyU0rN36TrfrYbc6BTV5BSw0G7+gQRqA1v8b97rxVM&#10;0zg/nolHQC5eAAAA//8DAFBLAQItABQABgAIAAAAIQDb4fbL7gAAAIUBAAATAAAAAAAAAAAAAAAA&#10;AAAAAABbQ29udGVudF9UeXBlc10ueG1sUEsBAi0AFAAGAAgAAAAhAFr0LFu/AAAAFQEAAAsAAAAA&#10;AAAAAAAAAAAAHwEAAF9yZWxzLy5yZWxzUEsBAi0AFAAGAAgAAAAhAN1EfnLBAAAA3AAAAA8AAAAA&#10;AAAAAAAAAAAABwIAAGRycy9kb3ducmV2LnhtbFBLBQYAAAAAAwADALcAAAD1AgAAAAA=&#10;" fillcolor="#1f4d78 [1604]" stroked="f" strokecolor="#d8d8d8"/>
                    <v:rect id="Rectangle 461" o:spid="_x0000_s1029" style="position:absolute;left:138;top:1669;width:30982;height:237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rFonts w:ascii="Century" w:hAnsi="Century"/>
                                <w:color w:val="FFFFFF" w:themeColor="background1"/>
                                <w:sz w:val="96"/>
                                <w:szCs w:val="96"/>
                                <w:lang w:val="bg-BG"/>
                              </w:rPr>
                              <w:alias w:val="Year"/>
                              <w:id w:val="-1675866145"/>
                              <w:dataBinding w:prefixMappings="xmlns:ns0='http://schemas.microsoft.com/office/2006/coverPageProps'" w:xpath="/ns0:CoverPageProperties[1]/ns0:PublishDate[1]" w:storeItemID="{55AF091B-3C7A-41E3-B477-F2FDAA23CFDA}"/>
                              <w:date w:fullDate="2025-01-01T00:00:00Z">
                                <w:dateFormat w:val="yyyy"/>
                                <w:lid w:val="en-US"/>
                                <w:storeMappedDataAs w:val="dateTime"/>
                                <w:calendar w:val="gregorian"/>
                              </w:date>
                            </w:sdtPr>
                            <w:sdtEndPr/>
                            <w:sdtContent>
                              <w:p w14:paraId="6EFF0993" w14:textId="18D633B0" w:rsidR="00D22189" w:rsidRPr="000E7A3A" w:rsidRDefault="00D22189">
                                <w:pPr>
                                  <w:pStyle w:val="NoSpacing"/>
                                  <w:rPr>
                                    <w:rFonts w:ascii="Century" w:hAnsi="Century"/>
                                    <w:color w:val="FFFFFF" w:themeColor="background1"/>
                                    <w:sz w:val="96"/>
                                    <w:szCs w:val="96"/>
                                    <w:lang w:val="bg-BG"/>
                                  </w:rPr>
                                </w:pPr>
                                <w:r>
                                  <w:rPr>
                                    <w:rFonts w:ascii="Century" w:hAnsi="Century"/>
                                    <w:color w:val="FFFFFF" w:themeColor="background1"/>
                                    <w:sz w:val="96"/>
                                    <w:szCs w:val="96"/>
                                  </w:rPr>
                                  <w:t>2025</w:t>
                                </w:r>
                              </w:p>
                            </w:sdtContent>
                          </w:sdt>
                        </w:txbxContent>
                      </v:textbox>
                    </v:rect>
                    <v:rect id="Rectangle 9" o:spid="_x0000_s1030" style="position:absolute;left:-990;top:61691;width:32104;height:283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4D4F9025" w14:textId="5706AD09" w:rsidR="00D22189" w:rsidRPr="000E7A3A" w:rsidRDefault="00C40A49">
                            <w:pPr>
                              <w:pStyle w:val="NoSpacing"/>
                              <w:spacing w:line="360" w:lineRule="auto"/>
                              <w:rPr>
                                <w:rFonts w:ascii="Century" w:hAnsi="Century"/>
                                <w:color w:val="FFFFFF" w:themeColor="background1"/>
                                <w:sz w:val="28"/>
                                <w:szCs w:val="28"/>
                                <w:lang w:val="bg-BG"/>
                              </w:rPr>
                            </w:pPr>
                            <w:sdt>
                              <w:sdtPr>
                                <w:rPr>
                                  <w:rFonts w:ascii="Century" w:hAnsi="Century"/>
                                  <w:color w:val="FFFFFF" w:themeColor="background1"/>
                                  <w:sz w:val="28"/>
                                  <w:szCs w:val="28"/>
                                  <w:lang w:val="bg-BG"/>
                                </w:rPr>
                                <w:alias w:val="Company"/>
                                <w:id w:val="1930308651"/>
                                <w:dataBinding w:prefixMappings="xmlns:ns0='http://schemas.openxmlformats.org/officeDocument/2006/extended-properties'" w:xpath="/ns0:Properties[1]/ns0:Company[1]" w:storeItemID="{6668398D-A668-4E3E-A5EB-62B293D839F1}"/>
                                <w:text/>
                              </w:sdtPr>
                              <w:sdtEndPr/>
                              <w:sdtContent>
                                <w:r w:rsidR="00D22189" w:rsidRPr="000E7A3A">
                                  <w:rPr>
                                    <w:rFonts w:ascii="Century" w:hAnsi="Century"/>
                                    <w:color w:val="FFFFFF" w:themeColor="background1"/>
                                    <w:sz w:val="28"/>
                                    <w:szCs w:val="28"/>
                                    <w:lang w:val="bg-BG"/>
                                  </w:rPr>
                                  <w:t>Период на извършване:</w:t>
                                </w:r>
                              </w:sdtContent>
                            </w:sdt>
                            <w:r w:rsidR="00D22189">
                              <w:rPr>
                                <w:rFonts w:ascii="Century" w:hAnsi="Century"/>
                                <w:color w:val="FFFFFF" w:themeColor="background1"/>
                                <w:sz w:val="28"/>
                                <w:szCs w:val="28"/>
                                <w:lang w:val="bg-BG"/>
                              </w:rPr>
                              <w:t xml:space="preserve"> март 202</w:t>
                            </w:r>
                            <w:bookmarkStart w:id="1" w:name="_GoBack"/>
                            <w:bookmarkEnd w:id="1"/>
                            <w:r w:rsidR="00D22189">
                              <w:rPr>
                                <w:rFonts w:ascii="Century" w:hAnsi="Century"/>
                                <w:color w:val="FFFFFF" w:themeColor="background1"/>
                                <w:sz w:val="28"/>
                                <w:szCs w:val="28"/>
                                <w:lang w:val="bg-BG"/>
                              </w:rPr>
                              <w:t xml:space="preserve">5 – май 2025 </w:t>
                            </w:r>
                          </w:p>
                        </w:txbxContent>
                      </v:textbox>
                    </v:rect>
                    <w10:wrap anchorx="page" anchory="page"/>
                  </v:group>
                </w:pict>
              </mc:Fallback>
            </mc:AlternateContent>
          </w:r>
        </w:p>
        <w:tbl>
          <w:tblPr>
            <w:tblpPr w:leftFromText="141" w:rightFromText="141" w:vertAnchor="text" w:horzAnchor="margin" w:tblpY="1100"/>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67"/>
          </w:tblGrid>
          <w:tr w:rsidR="00560C94" w:rsidRPr="007B4A99" w14:paraId="5DE60A22" w14:textId="77777777" w:rsidTr="00D9463F">
            <w:trPr>
              <w:trHeight w:val="309"/>
            </w:trPr>
            <w:tc>
              <w:tcPr>
                <w:tcW w:w="4467" w:type="dxa"/>
              </w:tcPr>
              <w:p w14:paraId="5F5B2A9C" w14:textId="77777777" w:rsidR="00560C94" w:rsidRPr="007B4A99" w:rsidRDefault="00560C94" w:rsidP="00560C94">
                <w:pPr>
                  <w:rPr>
                    <w:rFonts w:ascii="Times New Roman" w:hAnsi="Times New Roman" w:cs="Times New Roman"/>
                  </w:rPr>
                </w:pPr>
                <w:r w:rsidRPr="007B4A99">
                  <w:rPr>
                    <w:rFonts w:ascii="Times New Roman" w:hAnsi="Times New Roman" w:cs="Times New Roman"/>
                  </w:rPr>
                  <w:t>(Образецът е одобрен</w:t>
                </w:r>
              </w:p>
              <w:p w14:paraId="477E96F6" w14:textId="77777777" w:rsidR="00560C94" w:rsidRPr="007B4A99" w:rsidRDefault="00560C94" w:rsidP="00560C94">
                <w:pPr>
                  <w:rPr>
                    <w:rFonts w:ascii="Times New Roman" w:hAnsi="Times New Roman" w:cs="Times New Roman"/>
                  </w:rPr>
                </w:pPr>
                <w:r w:rsidRPr="007B4A99">
                  <w:rPr>
                    <w:rFonts w:ascii="Times New Roman" w:hAnsi="Times New Roman" w:cs="Times New Roman"/>
                  </w:rPr>
                  <w:t xml:space="preserve">от </w:t>
                </w:r>
                <w:r w:rsidRPr="007B4A99">
                  <w:rPr>
                    <w:rFonts w:ascii="Times New Roman" w:hAnsi="Times New Roman" w:cs="Times New Roman"/>
                    <w:b/>
                  </w:rPr>
                  <w:t>Съвета за административната реформа</w:t>
                </w:r>
                <w:r w:rsidRPr="007B4A99">
                  <w:rPr>
                    <w:rFonts w:ascii="Times New Roman" w:hAnsi="Times New Roman" w:cs="Times New Roman"/>
                  </w:rPr>
                  <w:t xml:space="preserve"> на 03 септември 2020 г.)</w:t>
                </w:r>
              </w:p>
              <w:p w14:paraId="5E72319C" w14:textId="77777777" w:rsidR="00560C94" w:rsidRPr="007B4A99" w:rsidRDefault="00560C94" w:rsidP="00560C94">
                <w:pPr>
                  <w:rPr>
                    <w:rFonts w:ascii="Times New Roman" w:hAnsi="Times New Roman" w:cs="Times New Roman"/>
                  </w:rPr>
                </w:pPr>
              </w:p>
            </w:tc>
          </w:tr>
        </w:tbl>
        <w:p w14:paraId="3CF24F53" w14:textId="2B198C81" w:rsidR="00B431AC" w:rsidRPr="007B4A99" w:rsidRDefault="00B431AC" w:rsidP="00A65C1A">
          <w:pPr>
            <w:ind w:left="-1276"/>
            <w:rPr>
              <w:rFonts w:ascii="Times New Roman" w:hAnsi="Times New Roman" w:cs="Times New Roman"/>
            </w:rPr>
          </w:pPr>
          <w:r w:rsidRPr="007B4A99">
            <w:rPr>
              <w:rFonts w:ascii="Times New Roman" w:hAnsi="Times New Roman" w:cs="Times New Roman"/>
              <w:noProof/>
              <w:lang w:val="en-US"/>
            </w:rPr>
            <mc:AlternateContent>
              <mc:Choice Requires="wps">
                <w:drawing>
                  <wp:anchor distT="0" distB="0" distL="114300" distR="114300" simplePos="0" relativeHeight="251661312" behindDoc="0" locked="0" layoutInCell="0" allowOverlap="1" wp14:anchorId="29EDBE42" wp14:editId="2AAE2F33">
                    <wp:simplePos x="0" y="0"/>
                    <wp:positionH relativeFrom="page">
                      <wp:posOffset>-1018</wp:posOffset>
                    </wp:positionH>
                    <wp:positionV relativeFrom="margin">
                      <wp:posOffset>2740660</wp:posOffset>
                    </wp:positionV>
                    <wp:extent cx="7575116" cy="3906981"/>
                    <wp:effectExtent l="0" t="0" r="26035" b="1778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5116" cy="3906981"/>
                            </a:xfrm>
                            <a:prstGeom prst="rect">
                              <a:avLst/>
                            </a:prstGeom>
                            <a:solidFill>
                              <a:schemeClr val="tx1"/>
                            </a:solidFill>
                            <a:ln w="19050">
                              <a:solidFill>
                                <a:schemeClr val="tx1"/>
                              </a:solidFill>
                              <a:miter lim="800000"/>
                              <a:headEnd/>
                              <a:tailEnd/>
                            </a:ln>
                          </wps:spPr>
                          <wps:txbx>
                            <w:txbxContent>
                              <w:sdt>
                                <w:sdtPr>
                                  <w:rPr>
                                    <w:rFonts w:ascii="Century" w:hAnsi="Century" w:cs="Times New Roman"/>
                                    <w:color w:val="FFFFFF" w:themeColor="background1"/>
                                    <w:sz w:val="72"/>
                                    <w:szCs w:val="72"/>
                                    <w:lang w:val="bg-BG"/>
                                  </w:rPr>
                                  <w:alias w:val="Title"/>
                                  <w:id w:val="-822284188"/>
                                  <w:dataBinding w:prefixMappings="xmlns:ns0='http://schemas.openxmlformats.org/package/2006/metadata/core-properties' xmlns:ns1='http://purl.org/dc/elements/1.1/'" w:xpath="/ns0:coreProperties[1]/ns1:title[1]" w:storeItemID="{6C3C8BC8-F283-45AE-878A-BAB7291924A1}"/>
                                  <w:text/>
                                </w:sdtPr>
                                <w:sdtEndPr/>
                                <w:sdtContent>
                                  <w:p w14:paraId="0F411DAA" w14:textId="4030B805" w:rsidR="00D22189" w:rsidRDefault="00471F9A" w:rsidP="0091147A">
                                    <w:pPr>
                                      <w:pStyle w:val="NoSpacing"/>
                                      <w:jc w:val="center"/>
                                      <w:rPr>
                                        <w:rFonts w:ascii="Century" w:eastAsiaTheme="minorHAnsi" w:hAnsi="Century"/>
                                        <w:color w:val="FFFFFF" w:themeColor="background1"/>
                                        <w:sz w:val="72"/>
                                        <w:szCs w:val="72"/>
                                        <w:lang w:val="bg-BG"/>
                                      </w:rPr>
                                    </w:pPr>
                                    <w:r>
                                      <w:rPr>
                                        <w:rFonts w:ascii="Century" w:hAnsi="Century" w:cs="Times New Roman"/>
                                        <w:color w:val="FFFFFF" w:themeColor="background1"/>
                                        <w:sz w:val="72"/>
                                        <w:szCs w:val="72"/>
                                        <w:lang w:val="bg-BG"/>
                                      </w:rPr>
                                      <w:t>Доклад с</w:t>
                                    </w:r>
                                    <w:r w:rsidR="00D22189">
                                      <w:rPr>
                                        <w:rFonts w:ascii="Century" w:hAnsi="Century" w:cs="Times New Roman"/>
                                        <w:color w:val="FFFFFF" w:themeColor="background1"/>
                                        <w:sz w:val="72"/>
                                        <w:szCs w:val="72"/>
                                        <w:lang w:val="bg-BG"/>
                                      </w:rPr>
                                      <w:t xml:space="preserve"> цялостна предварителна оценка на въздействието на проект на Закон за веригата на доставки на земеделски продукти и храни</w:t>
                                    </w:r>
                                  </w:p>
                                </w:sdtContent>
                              </w:sdt>
                              <w:p w14:paraId="06C67FE9" w14:textId="61DB5933" w:rsidR="00D22189" w:rsidRPr="000E7A3A" w:rsidRDefault="00D22189" w:rsidP="0091147A">
                                <w:pPr>
                                  <w:pStyle w:val="NoSpacing"/>
                                  <w:ind w:right="-165"/>
                                  <w:jc w:val="center"/>
                                  <w:rPr>
                                    <w:rFonts w:ascii="Century" w:hAnsi="Century"/>
                                    <w:color w:val="FFFFFF" w:themeColor="background1"/>
                                    <w:sz w:val="72"/>
                                    <w:szCs w:val="72"/>
                                    <w:lang w:val="bg-BG"/>
                                  </w:rPr>
                                </w:pPr>
                                <w:r>
                                  <w:rPr>
                                    <w:rFonts w:ascii="Century" w:hAnsi="Century"/>
                                    <w:color w:val="FFFFFF" w:themeColor="background1"/>
                                    <w:sz w:val="72"/>
                                    <w:szCs w:val="72"/>
                                    <w:lang w:val="bg-BG"/>
                                  </w:rPr>
                                  <w:t xml:space="preserve"> </w:t>
                                </w:r>
                              </w:p>
                              <w:p w14:paraId="52BD953D" w14:textId="22722F76" w:rsidR="00D22189" w:rsidRPr="000E7A3A" w:rsidRDefault="00D22189" w:rsidP="004C5995">
                                <w:pPr>
                                  <w:pStyle w:val="NoSpacing"/>
                                  <w:ind w:right="-165"/>
                                  <w:jc w:val="center"/>
                                  <w:rPr>
                                    <w:rFonts w:ascii="Century" w:hAnsi="Century"/>
                                    <w:color w:val="FFFFFF" w:themeColor="background1"/>
                                    <w:sz w:val="72"/>
                                    <w:szCs w:val="72"/>
                                    <w:lang w:val="bg-BG"/>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EDBE42" id="Rectangle 16" o:spid="_x0000_s1031" style="position:absolute;left:0;text-align:left;margin-left:-.1pt;margin-top:215.8pt;width:596.45pt;height:307.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ANRLQIAAFUEAAAOAAAAZHJzL2Uyb0RvYy54bWysVNuO0zAQfUfiHyy/06TttptGTVerLouQ&#10;Flix8AGu4zQWvjF2m5SvZ+y0pYUHJEQfLE9mfHzmnHGXd71WZC/AS2sqOh7llAjDbS3NtqJfvzy+&#10;KSjxgZmaKWtERQ/C07vV61fLzpViYluragEEQYwvO1fRNgRXZpnnrdDMj6wTBpONBc0ChrDNamAd&#10;omuVTfJ8nnUWageWC+/x68OQpKuE3zSCh09N40UgqqLILaQV0rqJa7ZasnILzLWSH2mwf2ChmTR4&#10;6RnqgQVGdiD/gNKSg/W2CSNudWabRnKResBuxvlv3by0zInUC4rj3Vkm//9g+cf9MxBZV/RmPqXE&#10;MI0mfUbZmNkqQcbzqFDnfImFL+4ZYo/ePVn+zRNj1y2WiXsA27WC1chrHOuzqwMx8HiUbLoPtkZ4&#10;tgs2idU3oCMgykD65Mnh7InoA+H48XZ2OxsjDcIxN13k80Ux3MHK03EHPrwTVpO4qSgg+wTP9k8+&#10;RDqsPJUk+lbJ+lEqlYI4aGKtgOwZjkjoT+D+skoZ0mFvi3yWJ+SrZJrVv0JoGXDQldQVLfL4G0Yv&#10;yvbW1GkMA5Nq2CNjZY46RukGC0K/6ZNV05MpG1sfUFiww1zjO8RNa+EHJR3OdEX99x0DQYl6b6I5&#10;xaQo4itI0c3sdoIBXKU2lylmOIJVlAegZAjWYXg8Owdy2+Jt4ySIsfdoaiOT3NHwgdmxBZzd5MLx&#10;ncXHcRmnql//BqufAAAA//8DAFBLAwQUAAYACAAAACEAMHk+a+IAAAALAQAADwAAAGRycy9kb3du&#10;cmV2LnhtbEyPzU7DMBCE70i8g7VI3FonoQokxKkogkqRChJtuW/jJQn4J4qdNn173BPcdjWjmW+K&#10;5aQVO9LgOmsExPMIGJnays40Ava719kDMOfRSFTWkIAzOViW11cF5tKezAcdt75hIcS4HAW03vc5&#10;565uSaOb255M0L7soNGHd2i4HPAUwrXiSRSlXGNnQkOLPT23VP9sRx1KXsZmVVXf2XpTbdT5E/X7&#10;22otxO3N9PQIzNPk/8xwwQ/oUAamgx2NdEwJmCXBKGBxF6fALnqcJffADuGKFmkGvCz4/w3lLwAA&#10;AP//AwBQSwECLQAUAAYACAAAACEAtoM4kv4AAADhAQAAEwAAAAAAAAAAAAAAAAAAAAAAW0NvbnRl&#10;bnRfVHlwZXNdLnhtbFBLAQItABQABgAIAAAAIQA4/SH/1gAAAJQBAAALAAAAAAAAAAAAAAAAAC8B&#10;AABfcmVscy8ucmVsc1BLAQItABQABgAIAAAAIQBl8ANRLQIAAFUEAAAOAAAAAAAAAAAAAAAAAC4C&#10;AABkcnMvZTJvRG9jLnhtbFBLAQItABQABgAIAAAAIQAweT5r4gAAAAsBAAAPAAAAAAAAAAAAAAAA&#10;AIcEAABkcnMvZG93bnJldi54bWxQSwUGAAAAAAQABADzAAAAlgUAAAAA&#10;" o:allowincell="f" fillcolor="black [3213]" strokecolor="black [3213]" strokeweight="1.5pt">
                    <v:textbox inset="14.4pt,,14.4pt">
                      <w:txbxContent>
                        <w:sdt>
                          <w:sdtPr>
                            <w:rPr>
                              <w:rFonts w:ascii="Century" w:hAnsi="Century" w:cs="Times New Roman"/>
                              <w:color w:val="FFFFFF" w:themeColor="background1"/>
                              <w:sz w:val="72"/>
                              <w:szCs w:val="72"/>
                              <w:lang w:val="bg-BG"/>
                            </w:rPr>
                            <w:alias w:val="Title"/>
                            <w:id w:val="-822284188"/>
                            <w:dataBinding w:prefixMappings="xmlns:ns0='http://schemas.openxmlformats.org/package/2006/metadata/core-properties' xmlns:ns1='http://purl.org/dc/elements/1.1/'" w:xpath="/ns0:coreProperties[1]/ns1:title[1]" w:storeItemID="{6C3C8BC8-F283-45AE-878A-BAB7291924A1}"/>
                            <w:text/>
                          </w:sdtPr>
                          <w:sdtEndPr/>
                          <w:sdtContent>
                            <w:p w14:paraId="0F411DAA" w14:textId="4030B805" w:rsidR="00D22189" w:rsidRDefault="00471F9A" w:rsidP="0091147A">
                              <w:pPr>
                                <w:pStyle w:val="NoSpacing"/>
                                <w:jc w:val="center"/>
                                <w:rPr>
                                  <w:rFonts w:ascii="Century" w:eastAsiaTheme="minorHAnsi" w:hAnsi="Century"/>
                                  <w:color w:val="FFFFFF" w:themeColor="background1"/>
                                  <w:sz w:val="72"/>
                                  <w:szCs w:val="72"/>
                                  <w:lang w:val="bg-BG"/>
                                </w:rPr>
                              </w:pPr>
                              <w:r>
                                <w:rPr>
                                  <w:rFonts w:ascii="Century" w:hAnsi="Century" w:cs="Times New Roman"/>
                                  <w:color w:val="FFFFFF" w:themeColor="background1"/>
                                  <w:sz w:val="72"/>
                                  <w:szCs w:val="72"/>
                                  <w:lang w:val="bg-BG"/>
                                </w:rPr>
                                <w:t>Доклад с</w:t>
                              </w:r>
                              <w:r w:rsidR="00D22189">
                                <w:rPr>
                                  <w:rFonts w:ascii="Century" w:hAnsi="Century" w:cs="Times New Roman"/>
                                  <w:color w:val="FFFFFF" w:themeColor="background1"/>
                                  <w:sz w:val="72"/>
                                  <w:szCs w:val="72"/>
                                  <w:lang w:val="bg-BG"/>
                                </w:rPr>
                                <w:t xml:space="preserve"> цялостна предварителна оценка на въздействието на проект на Закон за веригата на доставки на земеделски продукти и храни</w:t>
                              </w:r>
                            </w:p>
                          </w:sdtContent>
                        </w:sdt>
                        <w:p w14:paraId="06C67FE9" w14:textId="61DB5933" w:rsidR="00D22189" w:rsidRPr="000E7A3A" w:rsidRDefault="00D22189" w:rsidP="0091147A">
                          <w:pPr>
                            <w:pStyle w:val="NoSpacing"/>
                            <w:ind w:right="-165"/>
                            <w:jc w:val="center"/>
                            <w:rPr>
                              <w:rFonts w:ascii="Century" w:hAnsi="Century"/>
                              <w:color w:val="FFFFFF" w:themeColor="background1"/>
                              <w:sz w:val="72"/>
                              <w:szCs w:val="72"/>
                              <w:lang w:val="bg-BG"/>
                            </w:rPr>
                          </w:pPr>
                          <w:r>
                            <w:rPr>
                              <w:rFonts w:ascii="Century" w:hAnsi="Century"/>
                              <w:color w:val="FFFFFF" w:themeColor="background1"/>
                              <w:sz w:val="72"/>
                              <w:szCs w:val="72"/>
                              <w:lang w:val="bg-BG"/>
                            </w:rPr>
                            <w:t xml:space="preserve"> </w:t>
                          </w:r>
                        </w:p>
                        <w:p w14:paraId="52BD953D" w14:textId="22722F76" w:rsidR="00D22189" w:rsidRPr="000E7A3A" w:rsidRDefault="00D22189" w:rsidP="004C5995">
                          <w:pPr>
                            <w:pStyle w:val="NoSpacing"/>
                            <w:ind w:right="-165"/>
                            <w:jc w:val="center"/>
                            <w:rPr>
                              <w:rFonts w:ascii="Century" w:hAnsi="Century"/>
                              <w:color w:val="FFFFFF" w:themeColor="background1"/>
                              <w:sz w:val="72"/>
                              <w:szCs w:val="72"/>
                              <w:lang w:val="bg-BG"/>
                            </w:rPr>
                          </w:pPr>
                        </w:p>
                      </w:txbxContent>
                    </v:textbox>
                    <w10:wrap anchorx="page" anchory="margin"/>
                  </v:rect>
                </w:pict>
              </mc:Fallback>
            </mc:AlternateContent>
          </w:r>
          <w:r w:rsidRPr="007B4A99">
            <w:rPr>
              <w:rFonts w:ascii="Times New Roman" w:hAnsi="Times New Roman" w:cs="Times New Roman"/>
            </w:rPr>
            <w:br w:type="page"/>
          </w:r>
        </w:p>
      </w:sdtContent>
    </w:sdt>
    <w:bookmarkStart w:id="2" w:name="_Toc198633074" w:displacedByCustomXml="next"/>
    <w:sdt>
      <w:sdtPr>
        <w:rPr>
          <w:rFonts w:ascii="Times New Roman" w:eastAsiaTheme="minorHAnsi" w:hAnsi="Times New Roman" w:cstheme="minorBidi"/>
          <w:b w:val="0"/>
          <w:color w:val="auto"/>
          <w:sz w:val="28"/>
          <w:szCs w:val="28"/>
        </w:rPr>
        <w:id w:val="1616717547"/>
        <w:docPartObj>
          <w:docPartGallery w:val="Table of Contents"/>
          <w:docPartUnique/>
        </w:docPartObj>
      </w:sdtPr>
      <w:sdtEndPr>
        <w:rPr>
          <w:bCs/>
          <w:noProof/>
          <w:sz w:val="22"/>
          <w:szCs w:val="22"/>
        </w:rPr>
      </w:sdtEndPr>
      <w:sdtContent>
        <w:p w14:paraId="36D9F919" w14:textId="77777777" w:rsidR="001917F4" w:rsidRPr="007B4A99" w:rsidRDefault="00D62206" w:rsidP="00DC367A">
          <w:pPr>
            <w:pStyle w:val="Heading1"/>
            <w:numPr>
              <w:ilvl w:val="0"/>
              <w:numId w:val="0"/>
            </w:numPr>
            <w:rPr>
              <w:rFonts w:ascii="Times New Roman" w:hAnsi="Times New Roman"/>
              <w:sz w:val="28"/>
              <w:szCs w:val="28"/>
            </w:rPr>
          </w:pPr>
          <w:r w:rsidRPr="007B4A99">
            <w:rPr>
              <w:rFonts w:ascii="Times New Roman" w:hAnsi="Times New Roman"/>
              <w:sz w:val="28"/>
              <w:szCs w:val="28"/>
            </w:rPr>
            <w:t>С</w:t>
          </w:r>
          <w:r w:rsidR="007B4448" w:rsidRPr="007B4A99">
            <w:rPr>
              <w:rFonts w:ascii="Times New Roman" w:hAnsi="Times New Roman"/>
              <w:sz w:val="28"/>
              <w:szCs w:val="28"/>
            </w:rPr>
            <w:t>ъдържание</w:t>
          </w:r>
          <w:bookmarkEnd w:id="2"/>
        </w:p>
        <w:p w14:paraId="5559206F" w14:textId="77777777" w:rsidR="00CF5410" w:rsidRPr="00CF5410" w:rsidRDefault="001917F4">
          <w:pPr>
            <w:pStyle w:val="TOC1"/>
            <w:rPr>
              <w:rFonts w:eastAsiaTheme="minorEastAsia"/>
              <w:lang w:eastAsia="bg-BG"/>
            </w:rPr>
          </w:pPr>
          <w:r w:rsidRPr="00B83A67">
            <w:rPr>
              <w:sz w:val="24"/>
              <w:szCs w:val="24"/>
            </w:rPr>
            <w:fldChar w:fldCharType="begin"/>
          </w:r>
          <w:r w:rsidRPr="00B83A67">
            <w:rPr>
              <w:sz w:val="24"/>
              <w:szCs w:val="24"/>
            </w:rPr>
            <w:instrText xml:space="preserve"> TOC \o "1-3" \h \z \u </w:instrText>
          </w:r>
          <w:r w:rsidRPr="00B83A67">
            <w:rPr>
              <w:sz w:val="24"/>
              <w:szCs w:val="24"/>
            </w:rPr>
            <w:fldChar w:fldCharType="separate"/>
          </w:r>
          <w:hyperlink w:anchor="_Toc198633074" w:history="1">
            <w:r w:rsidR="00CF5410" w:rsidRPr="00CF5410">
              <w:rPr>
                <w:rStyle w:val="Hyperlink"/>
              </w:rPr>
              <w:t>Съдържание</w:t>
            </w:r>
            <w:r w:rsidR="00CF5410" w:rsidRPr="00CF5410">
              <w:rPr>
                <w:webHidden/>
              </w:rPr>
              <w:tab/>
            </w:r>
            <w:r w:rsidR="00CF5410" w:rsidRPr="00CF5410">
              <w:rPr>
                <w:webHidden/>
              </w:rPr>
              <w:fldChar w:fldCharType="begin"/>
            </w:r>
            <w:r w:rsidR="00CF5410" w:rsidRPr="00CF5410">
              <w:rPr>
                <w:webHidden/>
              </w:rPr>
              <w:instrText xml:space="preserve"> PAGEREF _Toc198633074 \h </w:instrText>
            </w:r>
            <w:r w:rsidR="00CF5410" w:rsidRPr="00CF5410">
              <w:rPr>
                <w:webHidden/>
              </w:rPr>
            </w:r>
            <w:r w:rsidR="00CF5410" w:rsidRPr="00CF5410">
              <w:rPr>
                <w:webHidden/>
              </w:rPr>
              <w:fldChar w:fldCharType="separate"/>
            </w:r>
            <w:r w:rsidR="00CF5410" w:rsidRPr="00CF5410">
              <w:rPr>
                <w:webHidden/>
              </w:rPr>
              <w:t>2</w:t>
            </w:r>
            <w:r w:rsidR="00CF5410" w:rsidRPr="00CF5410">
              <w:rPr>
                <w:webHidden/>
              </w:rPr>
              <w:fldChar w:fldCharType="end"/>
            </w:r>
          </w:hyperlink>
        </w:p>
        <w:p w14:paraId="573E37A9" w14:textId="77777777" w:rsidR="00CF5410" w:rsidRPr="00CF5410" w:rsidRDefault="00C40A49">
          <w:pPr>
            <w:pStyle w:val="TOC1"/>
            <w:rPr>
              <w:rFonts w:eastAsiaTheme="minorEastAsia"/>
              <w:lang w:eastAsia="bg-BG"/>
            </w:rPr>
          </w:pPr>
          <w:hyperlink w:anchor="_Toc198633075" w:history="1">
            <w:r w:rsidR="00CF5410" w:rsidRPr="00CF5410">
              <w:rPr>
                <w:rStyle w:val="Hyperlink"/>
              </w:rPr>
              <w:t>Въведение</w:t>
            </w:r>
            <w:r w:rsidR="00CF5410" w:rsidRPr="00CF5410">
              <w:rPr>
                <w:webHidden/>
              </w:rPr>
              <w:tab/>
            </w:r>
            <w:r w:rsidR="00CF5410" w:rsidRPr="00CF5410">
              <w:rPr>
                <w:webHidden/>
              </w:rPr>
              <w:fldChar w:fldCharType="begin"/>
            </w:r>
            <w:r w:rsidR="00CF5410" w:rsidRPr="00CF5410">
              <w:rPr>
                <w:webHidden/>
              </w:rPr>
              <w:instrText xml:space="preserve"> PAGEREF _Toc198633075 \h </w:instrText>
            </w:r>
            <w:r w:rsidR="00CF5410" w:rsidRPr="00CF5410">
              <w:rPr>
                <w:webHidden/>
              </w:rPr>
            </w:r>
            <w:r w:rsidR="00CF5410" w:rsidRPr="00CF5410">
              <w:rPr>
                <w:webHidden/>
              </w:rPr>
              <w:fldChar w:fldCharType="separate"/>
            </w:r>
            <w:r w:rsidR="00CF5410" w:rsidRPr="00CF5410">
              <w:rPr>
                <w:webHidden/>
              </w:rPr>
              <w:t>6</w:t>
            </w:r>
            <w:r w:rsidR="00CF5410" w:rsidRPr="00CF5410">
              <w:rPr>
                <w:webHidden/>
              </w:rPr>
              <w:fldChar w:fldCharType="end"/>
            </w:r>
          </w:hyperlink>
        </w:p>
        <w:p w14:paraId="08EA3979" w14:textId="77777777" w:rsidR="00CF5410" w:rsidRPr="00CF5410" w:rsidRDefault="00C40A49">
          <w:pPr>
            <w:pStyle w:val="TOC1"/>
            <w:rPr>
              <w:rFonts w:eastAsiaTheme="minorEastAsia"/>
              <w:lang w:eastAsia="bg-BG"/>
            </w:rPr>
          </w:pPr>
          <w:hyperlink w:anchor="_Toc198633076" w:history="1">
            <w:r w:rsidR="00CF5410" w:rsidRPr="00CF5410">
              <w:rPr>
                <w:rStyle w:val="Hyperlink"/>
              </w:rPr>
              <w:t>1.</w:t>
            </w:r>
            <w:r w:rsidR="00CF5410" w:rsidRPr="00CF5410">
              <w:rPr>
                <w:rFonts w:eastAsiaTheme="minorEastAsia"/>
                <w:lang w:eastAsia="bg-BG"/>
              </w:rPr>
              <w:tab/>
            </w:r>
            <w:r w:rsidR="00CF5410" w:rsidRPr="00CF5410">
              <w:rPr>
                <w:rStyle w:val="Hyperlink"/>
              </w:rPr>
              <w:t>Описание на проблемите</w:t>
            </w:r>
            <w:r w:rsidR="00CF5410" w:rsidRPr="00CF5410">
              <w:rPr>
                <w:webHidden/>
              </w:rPr>
              <w:tab/>
            </w:r>
            <w:r w:rsidR="00CF5410" w:rsidRPr="00CF5410">
              <w:rPr>
                <w:webHidden/>
              </w:rPr>
              <w:fldChar w:fldCharType="begin"/>
            </w:r>
            <w:r w:rsidR="00CF5410" w:rsidRPr="00CF5410">
              <w:rPr>
                <w:webHidden/>
              </w:rPr>
              <w:instrText xml:space="preserve"> PAGEREF _Toc198633076 \h </w:instrText>
            </w:r>
            <w:r w:rsidR="00CF5410" w:rsidRPr="00CF5410">
              <w:rPr>
                <w:webHidden/>
              </w:rPr>
            </w:r>
            <w:r w:rsidR="00CF5410" w:rsidRPr="00CF5410">
              <w:rPr>
                <w:webHidden/>
              </w:rPr>
              <w:fldChar w:fldCharType="separate"/>
            </w:r>
            <w:r w:rsidR="00CF5410" w:rsidRPr="00CF5410">
              <w:rPr>
                <w:webHidden/>
              </w:rPr>
              <w:t>9</w:t>
            </w:r>
            <w:r w:rsidR="00CF5410" w:rsidRPr="00CF5410">
              <w:rPr>
                <w:webHidden/>
              </w:rPr>
              <w:fldChar w:fldCharType="end"/>
            </w:r>
          </w:hyperlink>
        </w:p>
        <w:p w14:paraId="1CAB79BA" w14:textId="77777777" w:rsidR="00CF5410" w:rsidRPr="00CF5410" w:rsidRDefault="00C40A49">
          <w:pPr>
            <w:pStyle w:val="TOC1"/>
            <w:rPr>
              <w:rFonts w:eastAsiaTheme="minorEastAsia"/>
              <w:lang w:eastAsia="bg-BG"/>
            </w:rPr>
          </w:pPr>
          <w:hyperlink w:anchor="_Toc198633077" w:history="1">
            <w:r w:rsidR="00CF5410" w:rsidRPr="00CF5410">
              <w:rPr>
                <w:rStyle w:val="Hyperlink"/>
              </w:rPr>
              <w:t>2.</w:t>
            </w:r>
            <w:r w:rsidR="00CF5410" w:rsidRPr="00CF5410">
              <w:rPr>
                <w:rFonts w:eastAsiaTheme="minorEastAsia"/>
                <w:lang w:eastAsia="bg-BG"/>
              </w:rPr>
              <w:tab/>
            </w:r>
            <w:r w:rsidR="00CF5410" w:rsidRPr="00CF5410">
              <w:rPr>
                <w:rStyle w:val="Hyperlink"/>
              </w:rPr>
              <w:t>Заинтересовани страни</w:t>
            </w:r>
            <w:r w:rsidR="00CF5410" w:rsidRPr="00CF5410">
              <w:rPr>
                <w:webHidden/>
              </w:rPr>
              <w:tab/>
            </w:r>
            <w:r w:rsidR="00CF5410" w:rsidRPr="00CF5410">
              <w:rPr>
                <w:webHidden/>
              </w:rPr>
              <w:fldChar w:fldCharType="begin"/>
            </w:r>
            <w:r w:rsidR="00CF5410" w:rsidRPr="00CF5410">
              <w:rPr>
                <w:webHidden/>
              </w:rPr>
              <w:instrText xml:space="preserve"> PAGEREF _Toc198633077 \h </w:instrText>
            </w:r>
            <w:r w:rsidR="00CF5410" w:rsidRPr="00CF5410">
              <w:rPr>
                <w:webHidden/>
              </w:rPr>
            </w:r>
            <w:r w:rsidR="00CF5410" w:rsidRPr="00CF5410">
              <w:rPr>
                <w:webHidden/>
              </w:rPr>
              <w:fldChar w:fldCharType="separate"/>
            </w:r>
            <w:r w:rsidR="00CF5410" w:rsidRPr="00CF5410">
              <w:rPr>
                <w:webHidden/>
              </w:rPr>
              <w:t>25</w:t>
            </w:r>
            <w:r w:rsidR="00CF5410" w:rsidRPr="00CF5410">
              <w:rPr>
                <w:webHidden/>
              </w:rPr>
              <w:fldChar w:fldCharType="end"/>
            </w:r>
          </w:hyperlink>
        </w:p>
        <w:p w14:paraId="796992D5" w14:textId="77777777" w:rsidR="00CF5410" w:rsidRPr="00CF5410" w:rsidRDefault="00C40A49">
          <w:pPr>
            <w:pStyle w:val="TOC1"/>
            <w:rPr>
              <w:rFonts w:eastAsiaTheme="minorEastAsia"/>
              <w:lang w:eastAsia="bg-BG"/>
            </w:rPr>
          </w:pPr>
          <w:hyperlink w:anchor="_Toc198633078" w:history="1">
            <w:r w:rsidR="00CF5410" w:rsidRPr="00CF5410">
              <w:rPr>
                <w:rStyle w:val="Hyperlink"/>
              </w:rPr>
              <w:t>3.</w:t>
            </w:r>
            <w:r w:rsidR="00CF5410" w:rsidRPr="00CF5410">
              <w:rPr>
                <w:rFonts w:eastAsiaTheme="minorEastAsia"/>
                <w:lang w:eastAsia="bg-BG"/>
              </w:rPr>
              <w:tab/>
            </w:r>
            <w:r w:rsidR="00CF5410" w:rsidRPr="00CF5410">
              <w:rPr>
                <w:rStyle w:val="Hyperlink"/>
              </w:rPr>
              <w:t>Цели</w:t>
            </w:r>
            <w:r w:rsidR="00CF5410" w:rsidRPr="00CF5410">
              <w:rPr>
                <w:webHidden/>
              </w:rPr>
              <w:tab/>
            </w:r>
            <w:r w:rsidR="00CF5410" w:rsidRPr="00CF5410">
              <w:rPr>
                <w:webHidden/>
              </w:rPr>
              <w:fldChar w:fldCharType="begin"/>
            </w:r>
            <w:r w:rsidR="00CF5410" w:rsidRPr="00CF5410">
              <w:rPr>
                <w:webHidden/>
              </w:rPr>
              <w:instrText xml:space="preserve"> PAGEREF _Toc198633078 \h </w:instrText>
            </w:r>
            <w:r w:rsidR="00CF5410" w:rsidRPr="00CF5410">
              <w:rPr>
                <w:webHidden/>
              </w:rPr>
            </w:r>
            <w:r w:rsidR="00CF5410" w:rsidRPr="00CF5410">
              <w:rPr>
                <w:webHidden/>
              </w:rPr>
              <w:fldChar w:fldCharType="separate"/>
            </w:r>
            <w:r w:rsidR="00CF5410" w:rsidRPr="00CF5410">
              <w:rPr>
                <w:webHidden/>
              </w:rPr>
              <w:t>27</w:t>
            </w:r>
            <w:r w:rsidR="00CF5410" w:rsidRPr="00CF5410">
              <w:rPr>
                <w:webHidden/>
              </w:rPr>
              <w:fldChar w:fldCharType="end"/>
            </w:r>
          </w:hyperlink>
        </w:p>
        <w:p w14:paraId="6232F368" w14:textId="77777777" w:rsidR="00CF5410" w:rsidRPr="00CF5410" w:rsidRDefault="00C40A49">
          <w:pPr>
            <w:pStyle w:val="TOC1"/>
            <w:rPr>
              <w:rFonts w:eastAsiaTheme="minorEastAsia"/>
              <w:lang w:eastAsia="bg-BG"/>
            </w:rPr>
          </w:pPr>
          <w:hyperlink w:anchor="_Toc198633079" w:history="1">
            <w:r w:rsidR="00CF5410" w:rsidRPr="00CF5410">
              <w:rPr>
                <w:rStyle w:val="Hyperlink"/>
              </w:rPr>
              <w:t>4.</w:t>
            </w:r>
            <w:r w:rsidR="00CF5410" w:rsidRPr="00CF5410">
              <w:rPr>
                <w:rFonts w:eastAsiaTheme="minorEastAsia"/>
                <w:lang w:eastAsia="bg-BG"/>
              </w:rPr>
              <w:tab/>
            </w:r>
            <w:r w:rsidR="00CF5410" w:rsidRPr="00CF5410">
              <w:rPr>
                <w:rStyle w:val="Hyperlink"/>
              </w:rPr>
              <w:t>Варианти на действие</w:t>
            </w:r>
            <w:r w:rsidR="00CF5410" w:rsidRPr="00CF5410">
              <w:rPr>
                <w:webHidden/>
              </w:rPr>
              <w:tab/>
            </w:r>
            <w:r w:rsidR="00CF5410" w:rsidRPr="00CF5410">
              <w:rPr>
                <w:webHidden/>
              </w:rPr>
              <w:fldChar w:fldCharType="begin"/>
            </w:r>
            <w:r w:rsidR="00CF5410" w:rsidRPr="00CF5410">
              <w:rPr>
                <w:webHidden/>
              </w:rPr>
              <w:instrText xml:space="preserve"> PAGEREF _Toc198633079 \h </w:instrText>
            </w:r>
            <w:r w:rsidR="00CF5410" w:rsidRPr="00CF5410">
              <w:rPr>
                <w:webHidden/>
              </w:rPr>
            </w:r>
            <w:r w:rsidR="00CF5410" w:rsidRPr="00CF5410">
              <w:rPr>
                <w:webHidden/>
              </w:rPr>
              <w:fldChar w:fldCharType="separate"/>
            </w:r>
            <w:r w:rsidR="00CF5410" w:rsidRPr="00CF5410">
              <w:rPr>
                <w:webHidden/>
              </w:rPr>
              <w:t>29</w:t>
            </w:r>
            <w:r w:rsidR="00CF5410" w:rsidRPr="00CF5410">
              <w:rPr>
                <w:webHidden/>
              </w:rPr>
              <w:fldChar w:fldCharType="end"/>
            </w:r>
          </w:hyperlink>
        </w:p>
        <w:p w14:paraId="57B0CAB3" w14:textId="77777777" w:rsidR="00CF5410" w:rsidRPr="00CF5410" w:rsidRDefault="00C40A49">
          <w:pPr>
            <w:pStyle w:val="TOC2"/>
            <w:tabs>
              <w:tab w:val="right" w:leader="dot" w:pos="9062"/>
            </w:tabs>
            <w:rPr>
              <w:rFonts w:ascii="Times New Roman" w:eastAsiaTheme="minorEastAsia" w:hAnsi="Times New Roman" w:cs="Times New Roman"/>
              <w:noProof/>
              <w:lang w:eastAsia="bg-BG"/>
            </w:rPr>
          </w:pPr>
          <w:hyperlink w:anchor="_Toc198633080" w:history="1">
            <w:r w:rsidR="00CF5410" w:rsidRPr="00CF5410">
              <w:rPr>
                <w:rStyle w:val="Hyperlink"/>
                <w:rFonts w:ascii="Times New Roman" w:hAnsi="Times New Roman" w:cs="Times New Roman"/>
                <w:noProof/>
              </w:rPr>
              <w:t>4.0. Вариант 0: „Без действие“</w:t>
            </w:r>
            <w:r w:rsidR="00CF5410" w:rsidRPr="00CF5410">
              <w:rPr>
                <w:rFonts w:ascii="Times New Roman" w:hAnsi="Times New Roman" w:cs="Times New Roman"/>
                <w:noProof/>
                <w:webHidden/>
              </w:rPr>
              <w:tab/>
            </w:r>
            <w:r w:rsidR="00CF5410" w:rsidRPr="00CF5410">
              <w:rPr>
                <w:rFonts w:ascii="Times New Roman" w:hAnsi="Times New Roman" w:cs="Times New Roman"/>
                <w:noProof/>
                <w:webHidden/>
              </w:rPr>
              <w:fldChar w:fldCharType="begin"/>
            </w:r>
            <w:r w:rsidR="00CF5410" w:rsidRPr="00CF5410">
              <w:rPr>
                <w:rFonts w:ascii="Times New Roman" w:hAnsi="Times New Roman" w:cs="Times New Roman"/>
                <w:noProof/>
                <w:webHidden/>
              </w:rPr>
              <w:instrText xml:space="preserve"> PAGEREF _Toc198633080 \h </w:instrText>
            </w:r>
            <w:r w:rsidR="00CF5410" w:rsidRPr="00CF5410">
              <w:rPr>
                <w:rFonts w:ascii="Times New Roman" w:hAnsi="Times New Roman" w:cs="Times New Roman"/>
                <w:noProof/>
                <w:webHidden/>
              </w:rPr>
            </w:r>
            <w:r w:rsidR="00CF5410" w:rsidRPr="00CF5410">
              <w:rPr>
                <w:rFonts w:ascii="Times New Roman" w:hAnsi="Times New Roman" w:cs="Times New Roman"/>
                <w:noProof/>
                <w:webHidden/>
              </w:rPr>
              <w:fldChar w:fldCharType="separate"/>
            </w:r>
            <w:r w:rsidR="00CF5410" w:rsidRPr="00CF5410">
              <w:rPr>
                <w:rFonts w:ascii="Times New Roman" w:hAnsi="Times New Roman" w:cs="Times New Roman"/>
                <w:noProof/>
                <w:webHidden/>
              </w:rPr>
              <w:t>46</w:t>
            </w:r>
            <w:r w:rsidR="00CF5410" w:rsidRPr="00CF5410">
              <w:rPr>
                <w:rFonts w:ascii="Times New Roman" w:hAnsi="Times New Roman" w:cs="Times New Roman"/>
                <w:noProof/>
                <w:webHidden/>
              </w:rPr>
              <w:fldChar w:fldCharType="end"/>
            </w:r>
          </w:hyperlink>
        </w:p>
        <w:p w14:paraId="345D20C6" w14:textId="77777777" w:rsidR="00CF5410" w:rsidRPr="00CF5410" w:rsidRDefault="00C40A49">
          <w:pPr>
            <w:pStyle w:val="TOC2"/>
            <w:tabs>
              <w:tab w:val="right" w:leader="dot" w:pos="9062"/>
            </w:tabs>
            <w:rPr>
              <w:rFonts w:ascii="Times New Roman" w:eastAsiaTheme="minorEastAsia" w:hAnsi="Times New Roman" w:cs="Times New Roman"/>
              <w:noProof/>
              <w:lang w:eastAsia="bg-BG"/>
            </w:rPr>
          </w:pPr>
          <w:hyperlink w:anchor="_Toc198633081" w:history="1">
            <w:r w:rsidR="00CF5410" w:rsidRPr="00CF5410">
              <w:rPr>
                <w:rStyle w:val="Hyperlink"/>
                <w:rFonts w:ascii="Times New Roman" w:hAnsi="Times New Roman" w:cs="Times New Roman"/>
                <w:noProof/>
              </w:rPr>
              <w:t>4.1. Вариант 1: „Нерегулаторен“</w:t>
            </w:r>
            <w:r w:rsidR="00CF5410" w:rsidRPr="00CF5410">
              <w:rPr>
                <w:rFonts w:ascii="Times New Roman" w:hAnsi="Times New Roman" w:cs="Times New Roman"/>
                <w:noProof/>
                <w:webHidden/>
              </w:rPr>
              <w:tab/>
            </w:r>
            <w:r w:rsidR="00CF5410" w:rsidRPr="00CF5410">
              <w:rPr>
                <w:rFonts w:ascii="Times New Roman" w:hAnsi="Times New Roman" w:cs="Times New Roman"/>
                <w:noProof/>
                <w:webHidden/>
              </w:rPr>
              <w:fldChar w:fldCharType="begin"/>
            </w:r>
            <w:r w:rsidR="00CF5410" w:rsidRPr="00CF5410">
              <w:rPr>
                <w:rFonts w:ascii="Times New Roman" w:hAnsi="Times New Roman" w:cs="Times New Roman"/>
                <w:noProof/>
                <w:webHidden/>
              </w:rPr>
              <w:instrText xml:space="preserve"> PAGEREF _Toc198633081 \h </w:instrText>
            </w:r>
            <w:r w:rsidR="00CF5410" w:rsidRPr="00CF5410">
              <w:rPr>
                <w:rFonts w:ascii="Times New Roman" w:hAnsi="Times New Roman" w:cs="Times New Roman"/>
                <w:noProof/>
                <w:webHidden/>
              </w:rPr>
            </w:r>
            <w:r w:rsidR="00CF5410" w:rsidRPr="00CF5410">
              <w:rPr>
                <w:rFonts w:ascii="Times New Roman" w:hAnsi="Times New Roman" w:cs="Times New Roman"/>
                <w:noProof/>
                <w:webHidden/>
              </w:rPr>
              <w:fldChar w:fldCharType="separate"/>
            </w:r>
            <w:r w:rsidR="00CF5410" w:rsidRPr="00CF5410">
              <w:rPr>
                <w:rFonts w:ascii="Times New Roman" w:hAnsi="Times New Roman" w:cs="Times New Roman"/>
                <w:noProof/>
                <w:webHidden/>
              </w:rPr>
              <w:t>47</w:t>
            </w:r>
            <w:r w:rsidR="00CF5410" w:rsidRPr="00CF5410">
              <w:rPr>
                <w:rFonts w:ascii="Times New Roman" w:hAnsi="Times New Roman" w:cs="Times New Roman"/>
                <w:noProof/>
                <w:webHidden/>
              </w:rPr>
              <w:fldChar w:fldCharType="end"/>
            </w:r>
          </w:hyperlink>
        </w:p>
        <w:p w14:paraId="73BF2D69" w14:textId="77777777" w:rsidR="00CF5410" w:rsidRPr="00CF5410" w:rsidRDefault="00C40A49">
          <w:pPr>
            <w:pStyle w:val="TOC2"/>
            <w:tabs>
              <w:tab w:val="right" w:leader="dot" w:pos="9062"/>
            </w:tabs>
            <w:rPr>
              <w:rFonts w:ascii="Times New Roman" w:eastAsiaTheme="minorEastAsia" w:hAnsi="Times New Roman" w:cs="Times New Roman"/>
              <w:noProof/>
              <w:lang w:eastAsia="bg-BG"/>
            </w:rPr>
          </w:pPr>
          <w:hyperlink w:anchor="_Toc198633082" w:history="1">
            <w:r w:rsidR="00CF5410" w:rsidRPr="00CF5410">
              <w:rPr>
                <w:rStyle w:val="Hyperlink"/>
                <w:rFonts w:ascii="Times New Roman" w:hAnsi="Times New Roman" w:cs="Times New Roman"/>
                <w:noProof/>
              </w:rPr>
              <w:t>4.2. Вариант 2: „Регулаторен - промени в действащата правна уредба“</w:t>
            </w:r>
            <w:r w:rsidR="00CF5410" w:rsidRPr="00CF5410">
              <w:rPr>
                <w:rFonts w:ascii="Times New Roman" w:hAnsi="Times New Roman" w:cs="Times New Roman"/>
                <w:noProof/>
                <w:webHidden/>
              </w:rPr>
              <w:tab/>
            </w:r>
            <w:r w:rsidR="00CF5410" w:rsidRPr="00CF5410">
              <w:rPr>
                <w:rFonts w:ascii="Times New Roman" w:hAnsi="Times New Roman" w:cs="Times New Roman"/>
                <w:noProof/>
                <w:webHidden/>
              </w:rPr>
              <w:fldChar w:fldCharType="begin"/>
            </w:r>
            <w:r w:rsidR="00CF5410" w:rsidRPr="00CF5410">
              <w:rPr>
                <w:rFonts w:ascii="Times New Roman" w:hAnsi="Times New Roman" w:cs="Times New Roman"/>
                <w:noProof/>
                <w:webHidden/>
              </w:rPr>
              <w:instrText xml:space="preserve"> PAGEREF _Toc198633082 \h </w:instrText>
            </w:r>
            <w:r w:rsidR="00CF5410" w:rsidRPr="00CF5410">
              <w:rPr>
                <w:rFonts w:ascii="Times New Roman" w:hAnsi="Times New Roman" w:cs="Times New Roman"/>
                <w:noProof/>
                <w:webHidden/>
              </w:rPr>
            </w:r>
            <w:r w:rsidR="00CF5410" w:rsidRPr="00CF5410">
              <w:rPr>
                <w:rFonts w:ascii="Times New Roman" w:hAnsi="Times New Roman" w:cs="Times New Roman"/>
                <w:noProof/>
                <w:webHidden/>
              </w:rPr>
              <w:fldChar w:fldCharType="separate"/>
            </w:r>
            <w:r w:rsidR="00CF5410" w:rsidRPr="00CF5410">
              <w:rPr>
                <w:rFonts w:ascii="Times New Roman" w:hAnsi="Times New Roman" w:cs="Times New Roman"/>
                <w:noProof/>
                <w:webHidden/>
              </w:rPr>
              <w:t>50</w:t>
            </w:r>
            <w:r w:rsidR="00CF5410" w:rsidRPr="00CF5410">
              <w:rPr>
                <w:rFonts w:ascii="Times New Roman" w:hAnsi="Times New Roman" w:cs="Times New Roman"/>
                <w:noProof/>
                <w:webHidden/>
              </w:rPr>
              <w:fldChar w:fldCharType="end"/>
            </w:r>
          </w:hyperlink>
        </w:p>
        <w:p w14:paraId="083DFB0D" w14:textId="77777777" w:rsidR="00CF5410" w:rsidRPr="00CF5410" w:rsidRDefault="00C40A49">
          <w:pPr>
            <w:pStyle w:val="TOC2"/>
            <w:tabs>
              <w:tab w:val="right" w:leader="dot" w:pos="9062"/>
            </w:tabs>
            <w:rPr>
              <w:rFonts w:ascii="Times New Roman" w:eastAsiaTheme="minorEastAsia" w:hAnsi="Times New Roman" w:cs="Times New Roman"/>
              <w:noProof/>
              <w:lang w:eastAsia="bg-BG"/>
            </w:rPr>
          </w:pPr>
          <w:hyperlink w:anchor="_Toc198633083" w:history="1">
            <w:r w:rsidR="00CF5410" w:rsidRPr="00CF5410">
              <w:rPr>
                <w:rStyle w:val="Hyperlink"/>
                <w:rFonts w:ascii="Times New Roman" w:hAnsi="Times New Roman" w:cs="Times New Roman"/>
                <w:noProof/>
              </w:rPr>
              <w:t>4.3. Вариант 3: „Регулаторен – изцяло нов специален закон“</w:t>
            </w:r>
            <w:r w:rsidR="00CF5410" w:rsidRPr="00CF5410">
              <w:rPr>
                <w:rFonts w:ascii="Times New Roman" w:hAnsi="Times New Roman" w:cs="Times New Roman"/>
                <w:noProof/>
                <w:webHidden/>
              </w:rPr>
              <w:tab/>
            </w:r>
            <w:r w:rsidR="00CF5410" w:rsidRPr="00CF5410">
              <w:rPr>
                <w:rFonts w:ascii="Times New Roman" w:hAnsi="Times New Roman" w:cs="Times New Roman"/>
                <w:noProof/>
                <w:webHidden/>
              </w:rPr>
              <w:fldChar w:fldCharType="begin"/>
            </w:r>
            <w:r w:rsidR="00CF5410" w:rsidRPr="00CF5410">
              <w:rPr>
                <w:rFonts w:ascii="Times New Roman" w:hAnsi="Times New Roman" w:cs="Times New Roman"/>
                <w:noProof/>
                <w:webHidden/>
              </w:rPr>
              <w:instrText xml:space="preserve"> PAGEREF _Toc198633083 \h </w:instrText>
            </w:r>
            <w:r w:rsidR="00CF5410" w:rsidRPr="00CF5410">
              <w:rPr>
                <w:rFonts w:ascii="Times New Roman" w:hAnsi="Times New Roman" w:cs="Times New Roman"/>
                <w:noProof/>
                <w:webHidden/>
              </w:rPr>
            </w:r>
            <w:r w:rsidR="00CF5410" w:rsidRPr="00CF5410">
              <w:rPr>
                <w:rFonts w:ascii="Times New Roman" w:hAnsi="Times New Roman" w:cs="Times New Roman"/>
                <w:noProof/>
                <w:webHidden/>
              </w:rPr>
              <w:fldChar w:fldCharType="separate"/>
            </w:r>
            <w:r w:rsidR="00CF5410" w:rsidRPr="00CF5410">
              <w:rPr>
                <w:rFonts w:ascii="Times New Roman" w:hAnsi="Times New Roman" w:cs="Times New Roman"/>
                <w:noProof/>
                <w:webHidden/>
              </w:rPr>
              <w:t>52</w:t>
            </w:r>
            <w:r w:rsidR="00CF5410" w:rsidRPr="00CF5410">
              <w:rPr>
                <w:rFonts w:ascii="Times New Roman" w:hAnsi="Times New Roman" w:cs="Times New Roman"/>
                <w:noProof/>
                <w:webHidden/>
              </w:rPr>
              <w:fldChar w:fldCharType="end"/>
            </w:r>
          </w:hyperlink>
        </w:p>
        <w:p w14:paraId="4CD4D666" w14:textId="77777777" w:rsidR="00CF5410" w:rsidRPr="00CF5410" w:rsidRDefault="00C40A49">
          <w:pPr>
            <w:pStyle w:val="TOC1"/>
            <w:rPr>
              <w:rFonts w:eastAsiaTheme="minorEastAsia"/>
              <w:lang w:eastAsia="bg-BG"/>
            </w:rPr>
          </w:pPr>
          <w:hyperlink w:anchor="_Toc198633084" w:history="1">
            <w:r w:rsidR="00CF5410" w:rsidRPr="00CF5410">
              <w:rPr>
                <w:rStyle w:val="Hyperlink"/>
              </w:rPr>
              <w:t>5.</w:t>
            </w:r>
            <w:r w:rsidR="00CF5410" w:rsidRPr="00CF5410">
              <w:rPr>
                <w:rFonts w:eastAsiaTheme="minorEastAsia"/>
                <w:lang w:eastAsia="bg-BG"/>
              </w:rPr>
              <w:tab/>
            </w:r>
            <w:r w:rsidR="00CF5410" w:rsidRPr="00CF5410">
              <w:rPr>
                <w:rStyle w:val="Hyperlink"/>
              </w:rPr>
              <w:t>Анализ на въздействията</w:t>
            </w:r>
            <w:r w:rsidR="00CF5410" w:rsidRPr="00CF5410">
              <w:rPr>
                <w:webHidden/>
              </w:rPr>
              <w:tab/>
            </w:r>
            <w:r w:rsidR="00CF5410" w:rsidRPr="00CF5410">
              <w:rPr>
                <w:webHidden/>
              </w:rPr>
              <w:fldChar w:fldCharType="begin"/>
            </w:r>
            <w:r w:rsidR="00CF5410" w:rsidRPr="00CF5410">
              <w:rPr>
                <w:webHidden/>
              </w:rPr>
              <w:instrText xml:space="preserve"> PAGEREF _Toc198633084 \h </w:instrText>
            </w:r>
            <w:r w:rsidR="00CF5410" w:rsidRPr="00CF5410">
              <w:rPr>
                <w:webHidden/>
              </w:rPr>
            </w:r>
            <w:r w:rsidR="00CF5410" w:rsidRPr="00CF5410">
              <w:rPr>
                <w:webHidden/>
              </w:rPr>
              <w:fldChar w:fldCharType="separate"/>
            </w:r>
            <w:r w:rsidR="00CF5410" w:rsidRPr="00CF5410">
              <w:rPr>
                <w:webHidden/>
              </w:rPr>
              <w:t>58</w:t>
            </w:r>
            <w:r w:rsidR="00CF5410" w:rsidRPr="00CF5410">
              <w:rPr>
                <w:webHidden/>
              </w:rPr>
              <w:fldChar w:fldCharType="end"/>
            </w:r>
          </w:hyperlink>
        </w:p>
        <w:p w14:paraId="1C31D522" w14:textId="77777777" w:rsidR="00CF5410" w:rsidRPr="00CF5410" w:rsidRDefault="00C40A49">
          <w:pPr>
            <w:pStyle w:val="TOC2"/>
            <w:tabs>
              <w:tab w:val="left" w:pos="880"/>
              <w:tab w:val="right" w:leader="dot" w:pos="9062"/>
            </w:tabs>
            <w:rPr>
              <w:rFonts w:ascii="Times New Roman" w:eastAsiaTheme="minorEastAsia" w:hAnsi="Times New Roman" w:cs="Times New Roman"/>
              <w:noProof/>
              <w:lang w:eastAsia="bg-BG"/>
            </w:rPr>
          </w:pPr>
          <w:hyperlink w:anchor="_Toc198633085" w:history="1">
            <w:r w:rsidR="00CF5410" w:rsidRPr="00CF5410">
              <w:rPr>
                <w:rStyle w:val="Hyperlink"/>
                <w:rFonts w:ascii="Times New Roman" w:hAnsi="Times New Roman" w:cs="Times New Roman"/>
                <w:noProof/>
              </w:rPr>
              <w:t>5.1.</w:t>
            </w:r>
            <w:r w:rsidR="00CF5410" w:rsidRPr="00CF5410">
              <w:rPr>
                <w:rFonts w:ascii="Times New Roman" w:eastAsiaTheme="minorEastAsia" w:hAnsi="Times New Roman" w:cs="Times New Roman"/>
                <w:noProof/>
                <w:lang w:eastAsia="bg-BG"/>
              </w:rPr>
              <w:tab/>
            </w:r>
            <w:r w:rsidR="00CF5410" w:rsidRPr="00CF5410">
              <w:rPr>
                <w:rStyle w:val="Hyperlink"/>
                <w:rFonts w:ascii="Times New Roman" w:hAnsi="Times New Roman" w:cs="Times New Roman"/>
                <w:noProof/>
              </w:rPr>
              <w:t>Определяне на икономическите, социални и екологични въздействия</w:t>
            </w:r>
            <w:r w:rsidR="00CF5410" w:rsidRPr="00CF5410">
              <w:rPr>
                <w:rFonts w:ascii="Times New Roman" w:hAnsi="Times New Roman" w:cs="Times New Roman"/>
                <w:noProof/>
                <w:webHidden/>
              </w:rPr>
              <w:tab/>
            </w:r>
            <w:r w:rsidR="00CF5410" w:rsidRPr="00CF5410">
              <w:rPr>
                <w:rFonts w:ascii="Times New Roman" w:hAnsi="Times New Roman" w:cs="Times New Roman"/>
                <w:noProof/>
                <w:webHidden/>
              </w:rPr>
              <w:fldChar w:fldCharType="begin"/>
            </w:r>
            <w:r w:rsidR="00CF5410" w:rsidRPr="00CF5410">
              <w:rPr>
                <w:rFonts w:ascii="Times New Roman" w:hAnsi="Times New Roman" w:cs="Times New Roman"/>
                <w:noProof/>
                <w:webHidden/>
              </w:rPr>
              <w:instrText xml:space="preserve"> PAGEREF _Toc198633085 \h </w:instrText>
            </w:r>
            <w:r w:rsidR="00CF5410" w:rsidRPr="00CF5410">
              <w:rPr>
                <w:rFonts w:ascii="Times New Roman" w:hAnsi="Times New Roman" w:cs="Times New Roman"/>
                <w:noProof/>
                <w:webHidden/>
              </w:rPr>
            </w:r>
            <w:r w:rsidR="00CF5410" w:rsidRPr="00CF5410">
              <w:rPr>
                <w:rFonts w:ascii="Times New Roman" w:hAnsi="Times New Roman" w:cs="Times New Roman"/>
                <w:noProof/>
                <w:webHidden/>
              </w:rPr>
              <w:fldChar w:fldCharType="separate"/>
            </w:r>
            <w:r w:rsidR="00CF5410" w:rsidRPr="00CF5410">
              <w:rPr>
                <w:rFonts w:ascii="Times New Roman" w:hAnsi="Times New Roman" w:cs="Times New Roman"/>
                <w:noProof/>
                <w:webHidden/>
              </w:rPr>
              <w:t>59</w:t>
            </w:r>
            <w:r w:rsidR="00CF5410" w:rsidRPr="00CF5410">
              <w:rPr>
                <w:rFonts w:ascii="Times New Roman" w:hAnsi="Times New Roman" w:cs="Times New Roman"/>
                <w:noProof/>
                <w:webHidden/>
              </w:rPr>
              <w:fldChar w:fldCharType="end"/>
            </w:r>
          </w:hyperlink>
        </w:p>
        <w:p w14:paraId="3ECA372B" w14:textId="77777777" w:rsidR="00CF5410" w:rsidRPr="00CF5410" w:rsidRDefault="00C40A49">
          <w:pPr>
            <w:pStyle w:val="TOC2"/>
            <w:tabs>
              <w:tab w:val="left" w:pos="880"/>
              <w:tab w:val="right" w:leader="dot" w:pos="9062"/>
            </w:tabs>
            <w:rPr>
              <w:rFonts w:ascii="Times New Roman" w:eastAsiaTheme="minorEastAsia" w:hAnsi="Times New Roman" w:cs="Times New Roman"/>
              <w:noProof/>
              <w:lang w:eastAsia="bg-BG"/>
            </w:rPr>
          </w:pPr>
          <w:hyperlink w:anchor="_Toc198633086" w:history="1">
            <w:r w:rsidR="00CF5410" w:rsidRPr="00CF5410">
              <w:rPr>
                <w:rStyle w:val="Hyperlink"/>
                <w:rFonts w:ascii="Times New Roman" w:hAnsi="Times New Roman" w:cs="Times New Roman"/>
                <w:noProof/>
              </w:rPr>
              <w:t>5.2.</w:t>
            </w:r>
            <w:r w:rsidR="00CF5410" w:rsidRPr="00CF5410">
              <w:rPr>
                <w:rFonts w:ascii="Times New Roman" w:eastAsiaTheme="minorEastAsia" w:hAnsi="Times New Roman" w:cs="Times New Roman"/>
                <w:noProof/>
                <w:lang w:eastAsia="bg-BG"/>
              </w:rPr>
              <w:tab/>
            </w:r>
            <w:r w:rsidR="00CF5410" w:rsidRPr="00CF5410">
              <w:rPr>
                <w:rStyle w:val="Hyperlink"/>
                <w:rFonts w:ascii="Times New Roman" w:hAnsi="Times New Roman" w:cs="Times New Roman"/>
                <w:noProof/>
              </w:rPr>
              <w:t>Качествена оценка на по-значимите въздействия и специфичните им аспекти</w:t>
            </w:r>
            <w:r w:rsidR="00CF5410" w:rsidRPr="00CF5410">
              <w:rPr>
                <w:rFonts w:ascii="Times New Roman" w:hAnsi="Times New Roman" w:cs="Times New Roman"/>
                <w:noProof/>
                <w:webHidden/>
              </w:rPr>
              <w:tab/>
            </w:r>
            <w:r w:rsidR="00CF5410" w:rsidRPr="00CF5410">
              <w:rPr>
                <w:rFonts w:ascii="Times New Roman" w:hAnsi="Times New Roman" w:cs="Times New Roman"/>
                <w:noProof/>
                <w:webHidden/>
              </w:rPr>
              <w:fldChar w:fldCharType="begin"/>
            </w:r>
            <w:r w:rsidR="00CF5410" w:rsidRPr="00CF5410">
              <w:rPr>
                <w:rFonts w:ascii="Times New Roman" w:hAnsi="Times New Roman" w:cs="Times New Roman"/>
                <w:noProof/>
                <w:webHidden/>
              </w:rPr>
              <w:instrText xml:space="preserve"> PAGEREF _Toc198633086 \h </w:instrText>
            </w:r>
            <w:r w:rsidR="00CF5410" w:rsidRPr="00CF5410">
              <w:rPr>
                <w:rFonts w:ascii="Times New Roman" w:hAnsi="Times New Roman" w:cs="Times New Roman"/>
                <w:noProof/>
                <w:webHidden/>
              </w:rPr>
            </w:r>
            <w:r w:rsidR="00CF5410" w:rsidRPr="00CF5410">
              <w:rPr>
                <w:rFonts w:ascii="Times New Roman" w:hAnsi="Times New Roman" w:cs="Times New Roman"/>
                <w:noProof/>
                <w:webHidden/>
              </w:rPr>
              <w:fldChar w:fldCharType="separate"/>
            </w:r>
            <w:r w:rsidR="00CF5410" w:rsidRPr="00CF5410">
              <w:rPr>
                <w:rFonts w:ascii="Times New Roman" w:hAnsi="Times New Roman" w:cs="Times New Roman"/>
                <w:noProof/>
                <w:webHidden/>
              </w:rPr>
              <w:t>62</w:t>
            </w:r>
            <w:r w:rsidR="00CF5410" w:rsidRPr="00CF5410">
              <w:rPr>
                <w:rFonts w:ascii="Times New Roman" w:hAnsi="Times New Roman" w:cs="Times New Roman"/>
                <w:noProof/>
                <w:webHidden/>
              </w:rPr>
              <w:fldChar w:fldCharType="end"/>
            </w:r>
          </w:hyperlink>
        </w:p>
        <w:p w14:paraId="6EB340D7" w14:textId="77777777" w:rsidR="00CF5410" w:rsidRPr="00CF5410" w:rsidRDefault="00C40A49">
          <w:pPr>
            <w:pStyle w:val="TOC2"/>
            <w:tabs>
              <w:tab w:val="left" w:pos="880"/>
              <w:tab w:val="right" w:leader="dot" w:pos="9062"/>
            </w:tabs>
            <w:rPr>
              <w:rFonts w:ascii="Times New Roman" w:eastAsiaTheme="minorEastAsia" w:hAnsi="Times New Roman" w:cs="Times New Roman"/>
              <w:noProof/>
              <w:lang w:eastAsia="bg-BG"/>
            </w:rPr>
          </w:pPr>
          <w:hyperlink w:anchor="_Toc198633087" w:history="1">
            <w:r w:rsidR="00CF5410" w:rsidRPr="00CF5410">
              <w:rPr>
                <w:rStyle w:val="Hyperlink"/>
                <w:rFonts w:ascii="Times New Roman" w:hAnsi="Times New Roman" w:cs="Times New Roman"/>
                <w:noProof/>
              </w:rPr>
              <w:t>5.3.</w:t>
            </w:r>
            <w:r w:rsidR="00CF5410" w:rsidRPr="00CF5410">
              <w:rPr>
                <w:rFonts w:ascii="Times New Roman" w:eastAsiaTheme="minorEastAsia" w:hAnsi="Times New Roman" w:cs="Times New Roman"/>
                <w:noProof/>
                <w:lang w:eastAsia="bg-BG"/>
              </w:rPr>
              <w:tab/>
            </w:r>
            <w:r w:rsidR="00CF5410" w:rsidRPr="00CF5410">
              <w:rPr>
                <w:rStyle w:val="Hyperlink"/>
                <w:rFonts w:ascii="Times New Roman" w:hAnsi="Times New Roman" w:cs="Times New Roman"/>
                <w:noProof/>
              </w:rPr>
              <w:t>Количествена оценка на най-значимите въздействия и на специфичните им аспекти</w:t>
            </w:r>
            <w:r w:rsidR="00CF5410" w:rsidRPr="00CF5410">
              <w:rPr>
                <w:rFonts w:ascii="Times New Roman" w:hAnsi="Times New Roman" w:cs="Times New Roman"/>
                <w:noProof/>
                <w:webHidden/>
              </w:rPr>
              <w:tab/>
            </w:r>
            <w:r w:rsidR="00CF5410" w:rsidRPr="00CF5410">
              <w:rPr>
                <w:rFonts w:ascii="Times New Roman" w:hAnsi="Times New Roman" w:cs="Times New Roman"/>
                <w:noProof/>
                <w:webHidden/>
              </w:rPr>
              <w:fldChar w:fldCharType="begin"/>
            </w:r>
            <w:r w:rsidR="00CF5410" w:rsidRPr="00CF5410">
              <w:rPr>
                <w:rFonts w:ascii="Times New Roman" w:hAnsi="Times New Roman" w:cs="Times New Roman"/>
                <w:noProof/>
                <w:webHidden/>
              </w:rPr>
              <w:instrText xml:space="preserve"> PAGEREF _Toc198633087 \h </w:instrText>
            </w:r>
            <w:r w:rsidR="00CF5410" w:rsidRPr="00CF5410">
              <w:rPr>
                <w:rFonts w:ascii="Times New Roman" w:hAnsi="Times New Roman" w:cs="Times New Roman"/>
                <w:noProof/>
                <w:webHidden/>
              </w:rPr>
            </w:r>
            <w:r w:rsidR="00CF5410" w:rsidRPr="00CF5410">
              <w:rPr>
                <w:rFonts w:ascii="Times New Roman" w:hAnsi="Times New Roman" w:cs="Times New Roman"/>
                <w:noProof/>
                <w:webHidden/>
              </w:rPr>
              <w:fldChar w:fldCharType="separate"/>
            </w:r>
            <w:r w:rsidR="00CF5410" w:rsidRPr="00CF5410">
              <w:rPr>
                <w:rFonts w:ascii="Times New Roman" w:hAnsi="Times New Roman" w:cs="Times New Roman"/>
                <w:noProof/>
                <w:webHidden/>
              </w:rPr>
              <w:t>67</w:t>
            </w:r>
            <w:r w:rsidR="00CF5410" w:rsidRPr="00CF5410">
              <w:rPr>
                <w:rFonts w:ascii="Times New Roman" w:hAnsi="Times New Roman" w:cs="Times New Roman"/>
                <w:noProof/>
                <w:webHidden/>
              </w:rPr>
              <w:fldChar w:fldCharType="end"/>
            </w:r>
          </w:hyperlink>
        </w:p>
        <w:p w14:paraId="6DCB583C" w14:textId="77777777" w:rsidR="00CF5410" w:rsidRPr="00CF5410" w:rsidRDefault="00C40A49">
          <w:pPr>
            <w:pStyle w:val="TOC2"/>
            <w:tabs>
              <w:tab w:val="right" w:leader="dot" w:pos="9062"/>
            </w:tabs>
            <w:rPr>
              <w:rFonts w:ascii="Times New Roman" w:eastAsiaTheme="minorEastAsia" w:hAnsi="Times New Roman" w:cs="Times New Roman"/>
              <w:noProof/>
              <w:lang w:eastAsia="bg-BG"/>
            </w:rPr>
          </w:pPr>
          <w:hyperlink w:anchor="_Toc198633088" w:history="1">
            <w:r w:rsidR="00CF5410" w:rsidRPr="00CF5410">
              <w:rPr>
                <w:rStyle w:val="Hyperlink"/>
                <w:rFonts w:ascii="Times New Roman" w:hAnsi="Times New Roman" w:cs="Times New Roman"/>
                <w:noProof/>
              </w:rPr>
              <w:t>5.3.1. Оценка на риска</w:t>
            </w:r>
            <w:r w:rsidR="00CF5410" w:rsidRPr="00CF5410">
              <w:rPr>
                <w:rFonts w:ascii="Times New Roman" w:hAnsi="Times New Roman" w:cs="Times New Roman"/>
                <w:noProof/>
                <w:webHidden/>
              </w:rPr>
              <w:tab/>
            </w:r>
            <w:r w:rsidR="00CF5410" w:rsidRPr="00CF5410">
              <w:rPr>
                <w:rFonts w:ascii="Times New Roman" w:hAnsi="Times New Roman" w:cs="Times New Roman"/>
                <w:noProof/>
                <w:webHidden/>
              </w:rPr>
              <w:fldChar w:fldCharType="begin"/>
            </w:r>
            <w:r w:rsidR="00CF5410" w:rsidRPr="00CF5410">
              <w:rPr>
                <w:rFonts w:ascii="Times New Roman" w:hAnsi="Times New Roman" w:cs="Times New Roman"/>
                <w:noProof/>
                <w:webHidden/>
              </w:rPr>
              <w:instrText xml:space="preserve"> PAGEREF _Toc198633088 \h </w:instrText>
            </w:r>
            <w:r w:rsidR="00CF5410" w:rsidRPr="00CF5410">
              <w:rPr>
                <w:rFonts w:ascii="Times New Roman" w:hAnsi="Times New Roman" w:cs="Times New Roman"/>
                <w:noProof/>
                <w:webHidden/>
              </w:rPr>
            </w:r>
            <w:r w:rsidR="00CF5410" w:rsidRPr="00CF5410">
              <w:rPr>
                <w:rFonts w:ascii="Times New Roman" w:hAnsi="Times New Roman" w:cs="Times New Roman"/>
                <w:noProof/>
                <w:webHidden/>
              </w:rPr>
              <w:fldChar w:fldCharType="separate"/>
            </w:r>
            <w:r w:rsidR="00CF5410" w:rsidRPr="00CF5410">
              <w:rPr>
                <w:rFonts w:ascii="Times New Roman" w:hAnsi="Times New Roman" w:cs="Times New Roman"/>
                <w:noProof/>
                <w:webHidden/>
              </w:rPr>
              <w:t>71</w:t>
            </w:r>
            <w:r w:rsidR="00CF5410" w:rsidRPr="00CF5410">
              <w:rPr>
                <w:rFonts w:ascii="Times New Roman" w:hAnsi="Times New Roman" w:cs="Times New Roman"/>
                <w:noProof/>
                <w:webHidden/>
              </w:rPr>
              <w:fldChar w:fldCharType="end"/>
            </w:r>
          </w:hyperlink>
        </w:p>
        <w:p w14:paraId="2D04F7CD" w14:textId="77777777" w:rsidR="00CF5410" w:rsidRPr="00CF5410" w:rsidRDefault="00C40A49">
          <w:pPr>
            <w:pStyle w:val="TOC2"/>
            <w:tabs>
              <w:tab w:val="left" w:pos="880"/>
              <w:tab w:val="right" w:leader="dot" w:pos="9062"/>
            </w:tabs>
            <w:rPr>
              <w:rFonts w:ascii="Times New Roman" w:eastAsiaTheme="minorEastAsia" w:hAnsi="Times New Roman" w:cs="Times New Roman"/>
              <w:noProof/>
              <w:lang w:eastAsia="bg-BG"/>
            </w:rPr>
          </w:pPr>
          <w:hyperlink w:anchor="_Toc198633089" w:history="1">
            <w:r w:rsidR="00CF5410" w:rsidRPr="00CF5410">
              <w:rPr>
                <w:rStyle w:val="Hyperlink"/>
                <w:rFonts w:ascii="Times New Roman" w:hAnsi="Times New Roman" w:cs="Times New Roman"/>
                <w:noProof/>
              </w:rPr>
              <w:t>5.4.</w:t>
            </w:r>
            <w:r w:rsidR="00CF5410" w:rsidRPr="00CF5410">
              <w:rPr>
                <w:rFonts w:ascii="Times New Roman" w:eastAsiaTheme="minorEastAsia" w:hAnsi="Times New Roman" w:cs="Times New Roman"/>
                <w:noProof/>
                <w:lang w:eastAsia="bg-BG"/>
              </w:rPr>
              <w:tab/>
            </w:r>
            <w:r w:rsidR="00CF5410" w:rsidRPr="00CF5410">
              <w:rPr>
                <w:rStyle w:val="Hyperlink"/>
                <w:rFonts w:ascii="Times New Roman" w:hAnsi="Times New Roman" w:cs="Times New Roman"/>
                <w:noProof/>
              </w:rPr>
              <w:t>Административна тежест</w:t>
            </w:r>
            <w:r w:rsidR="00CF5410" w:rsidRPr="00CF5410">
              <w:rPr>
                <w:rFonts w:ascii="Times New Roman" w:hAnsi="Times New Roman" w:cs="Times New Roman"/>
                <w:noProof/>
                <w:webHidden/>
              </w:rPr>
              <w:tab/>
            </w:r>
            <w:r w:rsidR="00CF5410" w:rsidRPr="00CF5410">
              <w:rPr>
                <w:rFonts w:ascii="Times New Roman" w:hAnsi="Times New Roman" w:cs="Times New Roman"/>
                <w:noProof/>
                <w:webHidden/>
              </w:rPr>
              <w:fldChar w:fldCharType="begin"/>
            </w:r>
            <w:r w:rsidR="00CF5410" w:rsidRPr="00CF5410">
              <w:rPr>
                <w:rFonts w:ascii="Times New Roman" w:hAnsi="Times New Roman" w:cs="Times New Roman"/>
                <w:noProof/>
                <w:webHidden/>
              </w:rPr>
              <w:instrText xml:space="preserve"> PAGEREF _Toc198633089 \h </w:instrText>
            </w:r>
            <w:r w:rsidR="00CF5410" w:rsidRPr="00CF5410">
              <w:rPr>
                <w:rFonts w:ascii="Times New Roman" w:hAnsi="Times New Roman" w:cs="Times New Roman"/>
                <w:noProof/>
                <w:webHidden/>
              </w:rPr>
            </w:r>
            <w:r w:rsidR="00CF5410" w:rsidRPr="00CF5410">
              <w:rPr>
                <w:rFonts w:ascii="Times New Roman" w:hAnsi="Times New Roman" w:cs="Times New Roman"/>
                <w:noProof/>
                <w:webHidden/>
              </w:rPr>
              <w:fldChar w:fldCharType="separate"/>
            </w:r>
            <w:r w:rsidR="00CF5410" w:rsidRPr="00CF5410">
              <w:rPr>
                <w:rFonts w:ascii="Times New Roman" w:hAnsi="Times New Roman" w:cs="Times New Roman"/>
                <w:noProof/>
                <w:webHidden/>
              </w:rPr>
              <w:t>90</w:t>
            </w:r>
            <w:r w:rsidR="00CF5410" w:rsidRPr="00CF5410">
              <w:rPr>
                <w:rFonts w:ascii="Times New Roman" w:hAnsi="Times New Roman" w:cs="Times New Roman"/>
                <w:noProof/>
                <w:webHidden/>
              </w:rPr>
              <w:fldChar w:fldCharType="end"/>
            </w:r>
          </w:hyperlink>
        </w:p>
        <w:p w14:paraId="32A32CA5" w14:textId="77777777" w:rsidR="00CF5410" w:rsidRPr="00CF5410" w:rsidRDefault="00C40A49">
          <w:pPr>
            <w:pStyle w:val="TOC2"/>
            <w:tabs>
              <w:tab w:val="left" w:pos="880"/>
              <w:tab w:val="right" w:leader="dot" w:pos="9062"/>
            </w:tabs>
            <w:rPr>
              <w:rFonts w:ascii="Times New Roman" w:eastAsiaTheme="minorEastAsia" w:hAnsi="Times New Roman" w:cs="Times New Roman"/>
              <w:noProof/>
              <w:lang w:eastAsia="bg-BG"/>
            </w:rPr>
          </w:pPr>
          <w:hyperlink w:anchor="_Toc198633090" w:history="1">
            <w:r w:rsidR="00CF5410" w:rsidRPr="00CF5410">
              <w:rPr>
                <w:rStyle w:val="Hyperlink"/>
                <w:rFonts w:ascii="Times New Roman" w:hAnsi="Times New Roman" w:cs="Times New Roman"/>
                <w:noProof/>
              </w:rPr>
              <w:t>5.5.</w:t>
            </w:r>
            <w:r w:rsidR="00CF5410" w:rsidRPr="00CF5410">
              <w:rPr>
                <w:rFonts w:ascii="Times New Roman" w:eastAsiaTheme="minorEastAsia" w:hAnsi="Times New Roman" w:cs="Times New Roman"/>
                <w:noProof/>
                <w:lang w:eastAsia="bg-BG"/>
              </w:rPr>
              <w:tab/>
            </w:r>
            <w:r w:rsidR="00CF5410" w:rsidRPr="00CF5410">
              <w:rPr>
                <w:rStyle w:val="Hyperlink"/>
                <w:rFonts w:ascii="Times New Roman" w:hAnsi="Times New Roman" w:cs="Times New Roman"/>
                <w:noProof/>
              </w:rPr>
              <w:t>Оценка на въздействието върху малките и средните предприятия (МСП - тест)</w:t>
            </w:r>
            <w:r w:rsidR="00CF5410" w:rsidRPr="00CF5410">
              <w:rPr>
                <w:rFonts w:ascii="Times New Roman" w:hAnsi="Times New Roman" w:cs="Times New Roman"/>
                <w:noProof/>
                <w:webHidden/>
              </w:rPr>
              <w:tab/>
            </w:r>
            <w:r w:rsidR="00CF5410" w:rsidRPr="00CF5410">
              <w:rPr>
                <w:rFonts w:ascii="Times New Roman" w:hAnsi="Times New Roman" w:cs="Times New Roman"/>
                <w:noProof/>
                <w:webHidden/>
              </w:rPr>
              <w:fldChar w:fldCharType="begin"/>
            </w:r>
            <w:r w:rsidR="00CF5410" w:rsidRPr="00CF5410">
              <w:rPr>
                <w:rFonts w:ascii="Times New Roman" w:hAnsi="Times New Roman" w:cs="Times New Roman"/>
                <w:noProof/>
                <w:webHidden/>
              </w:rPr>
              <w:instrText xml:space="preserve"> PAGEREF _Toc198633090 \h </w:instrText>
            </w:r>
            <w:r w:rsidR="00CF5410" w:rsidRPr="00CF5410">
              <w:rPr>
                <w:rFonts w:ascii="Times New Roman" w:hAnsi="Times New Roman" w:cs="Times New Roman"/>
                <w:noProof/>
                <w:webHidden/>
              </w:rPr>
            </w:r>
            <w:r w:rsidR="00CF5410" w:rsidRPr="00CF5410">
              <w:rPr>
                <w:rFonts w:ascii="Times New Roman" w:hAnsi="Times New Roman" w:cs="Times New Roman"/>
                <w:noProof/>
                <w:webHidden/>
              </w:rPr>
              <w:fldChar w:fldCharType="separate"/>
            </w:r>
            <w:r w:rsidR="00CF5410" w:rsidRPr="00CF5410">
              <w:rPr>
                <w:rFonts w:ascii="Times New Roman" w:hAnsi="Times New Roman" w:cs="Times New Roman"/>
                <w:noProof/>
                <w:webHidden/>
              </w:rPr>
              <w:t>106</w:t>
            </w:r>
            <w:r w:rsidR="00CF5410" w:rsidRPr="00CF5410">
              <w:rPr>
                <w:rFonts w:ascii="Times New Roman" w:hAnsi="Times New Roman" w:cs="Times New Roman"/>
                <w:noProof/>
                <w:webHidden/>
              </w:rPr>
              <w:fldChar w:fldCharType="end"/>
            </w:r>
          </w:hyperlink>
        </w:p>
        <w:p w14:paraId="38F4801F" w14:textId="77777777" w:rsidR="00CF5410" w:rsidRPr="00CF5410" w:rsidRDefault="00C40A49">
          <w:pPr>
            <w:pStyle w:val="TOC2"/>
            <w:tabs>
              <w:tab w:val="left" w:pos="880"/>
              <w:tab w:val="right" w:leader="dot" w:pos="9062"/>
            </w:tabs>
            <w:rPr>
              <w:rFonts w:ascii="Times New Roman" w:eastAsiaTheme="minorEastAsia" w:hAnsi="Times New Roman" w:cs="Times New Roman"/>
              <w:noProof/>
              <w:lang w:eastAsia="bg-BG"/>
            </w:rPr>
          </w:pPr>
          <w:hyperlink w:anchor="_Toc198633091" w:history="1">
            <w:r w:rsidR="00CF5410" w:rsidRPr="00CF5410">
              <w:rPr>
                <w:rStyle w:val="Hyperlink"/>
                <w:rFonts w:ascii="Times New Roman" w:hAnsi="Times New Roman" w:cs="Times New Roman"/>
                <w:noProof/>
              </w:rPr>
              <w:t>5.6.</w:t>
            </w:r>
            <w:r w:rsidR="00CF5410" w:rsidRPr="00CF5410">
              <w:rPr>
                <w:rFonts w:ascii="Times New Roman" w:eastAsiaTheme="minorEastAsia" w:hAnsi="Times New Roman" w:cs="Times New Roman"/>
                <w:noProof/>
                <w:lang w:eastAsia="bg-BG"/>
              </w:rPr>
              <w:tab/>
            </w:r>
            <w:r w:rsidR="00CF5410" w:rsidRPr="00CF5410">
              <w:rPr>
                <w:rStyle w:val="Hyperlink"/>
                <w:rFonts w:ascii="Times New Roman" w:hAnsi="Times New Roman" w:cs="Times New Roman"/>
                <w:noProof/>
              </w:rPr>
              <w:t>Описание на разходите и ползите върху заинтересованите страни</w:t>
            </w:r>
            <w:r w:rsidR="00CF5410" w:rsidRPr="00CF5410">
              <w:rPr>
                <w:rFonts w:ascii="Times New Roman" w:hAnsi="Times New Roman" w:cs="Times New Roman"/>
                <w:noProof/>
                <w:webHidden/>
              </w:rPr>
              <w:tab/>
            </w:r>
            <w:r w:rsidR="00CF5410" w:rsidRPr="00CF5410">
              <w:rPr>
                <w:rFonts w:ascii="Times New Roman" w:hAnsi="Times New Roman" w:cs="Times New Roman"/>
                <w:noProof/>
                <w:webHidden/>
              </w:rPr>
              <w:fldChar w:fldCharType="begin"/>
            </w:r>
            <w:r w:rsidR="00CF5410" w:rsidRPr="00CF5410">
              <w:rPr>
                <w:rFonts w:ascii="Times New Roman" w:hAnsi="Times New Roman" w:cs="Times New Roman"/>
                <w:noProof/>
                <w:webHidden/>
              </w:rPr>
              <w:instrText xml:space="preserve"> PAGEREF _Toc198633091 \h </w:instrText>
            </w:r>
            <w:r w:rsidR="00CF5410" w:rsidRPr="00CF5410">
              <w:rPr>
                <w:rFonts w:ascii="Times New Roman" w:hAnsi="Times New Roman" w:cs="Times New Roman"/>
                <w:noProof/>
                <w:webHidden/>
              </w:rPr>
            </w:r>
            <w:r w:rsidR="00CF5410" w:rsidRPr="00CF5410">
              <w:rPr>
                <w:rFonts w:ascii="Times New Roman" w:hAnsi="Times New Roman" w:cs="Times New Roman"/>
                <w:noProof/>
                <w:webHidden/>
              </w:rPr>
              <w:fldChar w:fldCharType="separate"/>
            </w:r>
            <w:r w:rsidR="00CF5410" w:rsidRPr="00CF5410">
              <w:rPr>
                <w:rFonts w:ascii="Times New Roman" w:hAnsi="Times New Roman" w:cs="Times New Roman"/>
                <w:noProof/>
                <w:webHidden/>
              </w:rPr>
              <w:t>119</w:t>
            </w:r>
            <w:r w:rsidR="00CF5410" w:rsidRPr="00CF5410">
              <w:rPr>
                <w:rFonts w:ascii="Times New Roman" w:hAnsi="Times New Roman" w:cs="Times New Roman"/>
                <w:noProof/>
                <w:webHidden/>
              </w:rPr>
              <w:fldChar w:fldCharType="end"/>
            </w:r>
          </w:hyperlink>
        </w:p>
        <w:p w14:paraId="16E3F85C" w14:textId="77777777" w:rsidR="00CF5410" w:rsidRPr="00CF5410" w:rsidRDefault="00C40A49">
          <w:pPr>
            <w:pStyle w:val="TOC2"/>
            <w:tabs>
              <w:tab w:val="right" w:leader="dot" w:pos="9062"/>
            </w:tabs>
            <w:rPr>
              <w:rFonts w:ascii="Times New Roman" w:eastAsiaTheme="minorEastAsia" w:hAnsi="Times New Roman" w:cs="Times New Roman"/>
              <w:noProof/>
              <w:lang w:eastAsia="bg-BG"/>
            </w:rPr>
          </w:pPr>
          <w:hyperlink w:anchor="_Toc198633092" w:history="1">
            <w:r w:rsidR="00CF5410" w:rsidRPr="00CF5410">
              <w:rPr>
                <w:rStyle w:val="Hyperlink"/>
                <w:rFonts w:ascii="Times New Roman" w:hAnsi="Times New Roman" w:cs="Times New Roman"/>
                <w:noProof/>
              </w:rPr>
              <w:t xml:space="preserve">5.6.1. </w:t>
            </w:r>
            <w:r w:rsidR="00CF5410" w:rsidRPr="00CF5410">
              <w:rPr>
                <w:rStyle w:val="Hyperlink"/>
                <w:rFonts w:ascii="Times New Roman" w:eastAsia="Times New Roman" w:hAnsi="Times New Roman" w:cs="Times New Roman"/>
                <w:noProof/>
              </w:rPr>
              <w:t>Анализ „разходи–ползи“</w:t>
            </w:r>
            <w:r w:rsidR="00CF5410" w:rsidRPr="00CF5410">
              <w:rPr>
                <w:rFonts w:ascii="Times New Roman" w:hAnsi="Times New Roman" w:cs="Times New Roman"/>
                <w:noProof/>
                <w:webHidden/>
              </w:rPr>
              <w:tab/>
            </w:r>
            <w:r w:rsidR="00CF5410" w:rsidRPr="00CF5410">
              <w:rPr>
                <w:rFonts w:ascii="Times New Roman" w:hAnsi="Times New Roman" w:cs="Times New Roman"/>
                <w:noProof/>
                <w:webHidden/>
              </w:rPr>
              <w:fldChar w:fldCharType="begin"/>
            </w:r>
            <w:r w:rsidR="00CF5410" w:rsidRPr="00CF5410">
              <w:rPr>
                <w:rFonts w:ascii="Times New Roman" w:hAnsi="Times New Roman" w:cs="Times New Roman"/>
                <w:noProof/>
                <w:webHidden/>
              </w:rPr>
              <w:instrText xml:space="preserve"> PAGEREF _Toc198633092 \h </w:instrText>
            </w:r>
            <w:r w:rsidR="00CF5410" w:rsidRPr="00CF5410">
              <w:rPr>
                <w:rFonts w:ascii="Times New Roman" w:hAnsi="Times New Roman" w:cs="Times New Roman"/>
                <w:noProof/>
                <w:webHidden/>
              </w:rPr>
            </w:r>
            <w:r w:rsidR="00CF5410" w:rsidRPr="00CF5410">
              <w:rPr>
                <w:rFonts w:ascii="Times New Roman" w:hAnsi="Times New Roman" w:cs="Times New Roman"/>
                <w:noProof/>
                <w:webHidden/>
              </w:rPr>
              <w:fldChar w:fldCharType="separate"/>
            </w:r>
            <w:r w:rsidR="00CF5410" w:rsidRPr="00CF5410">
              <w:rPr>
                <w:rFonts w:ascii="Times New Roman" w:hAnsi="Times New Roman" w:cs="Times New Roman"/>
                <w:noProof/>
                <w:webHidden/>
              </w:rPr>
              <w:t>121</w:t>
            </w:r>
            <w:r w:rsidR="00CF5410" w:rsidRPr="00CF5410">
              <w:rPr>
                <w:rFonts w:ascii="Times New Roman" w:hAnsi="Times New Roman" w:cs="Times New Roman"/>
                <w:noProof/>
                <w:webHidden/>
              </w:rPr>
              <w:fldChar w:fldCharType="end"/>
            </w:r>
          </w:hyperlink>
        </w:p>
        <w:p w14:paraId="42BBA5C2" w14:textId="77777777" w:rsidR="00CF5410" w:rsidRPr="00CF5410" w:rsidRDefault="00C40A49">
          <w:pPr>
            <w:pStyle w:val="TOC1"/>
            <w:rPr>
              <w:rFonts w:eastAsiaTheme="minorEastAsia"/>
              <w:lang w:eastAsia="bg-BG"/>
            </w:rPr>
          </w:pPr>
          <w:hyperlink w:anchor="_Toc198633093" w:history="1">
            <w:r w:rsidR="00CF5410" w:rsidRPr="00CF5410">
              <w:rPr>
                <w:rStyle w:val="Hyperlink"/>
              </w:rPr>
              <w:t>6.</w:t>
            </w:r>
            <w:r w:rsidR="00CF5410" w:rsidRPr="00CF5410">
              <w:rPr>
                <w:rFonts w:eastAsiaTheme="minorEastAsia"/>
                <w:lang w:eastAsia="bg-BG"/>
              </w:rPr>
              <w:tab/>
            </w:r>
            <w:r w:rsidR="00CF5410" w:rsidRPr="00CF5410">
              <w:rPr>
                <w:rStyle w:val="Hyperlink"/>
              </w:rPr>
              <w:t>Сравняване на вариантите</w:t>
            </w:r>
            <w:r w:rsidR="00CF5410" w:rsidRPr="00CF5410">
              <w:rPr>
                <w:webHidden/>
              </w:rPr>
              <w:tab/>
            </w:r>
            <w:r w:rsidR="00CF5410" w:rsidRPr="00CF5410">
              <w:rPr>
                <w:webHidden/>
              </w:rPr>
              <w:fldChar w:fldCharType="begin"/>
            </w:r>
            <w:r w:rsidR="00CF5410" w:rsidRPr="00CF5410">
              <w:rPr>
                <w:webHidden/>
              </w:rPr>
              <w:instrText xml:space="preserve"> PAGEREF _Toc198633093 \h </w:instrText>
            </w:r>
            <w:r w:rsidR="00CF5410" w:rsidRPr="00CF5410">
              <w:rPr>
                <w:webHidden/>
              </w:rPr>
            </w:r>
            <w:r w:rsidR="00CF5410" w:rsidRPr="00CF5410">
              <w:rPr>
                <w:webHidden/>
              </w:rPr>
              <w:fldChar w:fldCharType="separate"/>
            </w:r>
            <w:r w:rsidR="00CF5410" w:rsidRPr="00CF5410">
              <w:rPr>
                <w:webHidden/>
              </w:rPr>
              <w:t>135</w:t>
            </w:r>
            <w:r w:rsidR="00CF5410" w:rsidRPr="00CF5410">
              <w:rPr>
                <w:webHidden/>
              </w:rPr>
              <w:fldChar w:fldCharType="end"/>
            </w:r>
          </w:hyperlink>
        </w:p>
        <w:p w14:paraId="33D2D021" w14:textId="77777777" w:rsidR="00CF5410" w:rsidRPr="00CF5410" w:rsidRDefault="00C40A49">
          <w:pPr>
            <w:pStyle w:val="TOC2"/>
            <w:tabs>
              <w:tab w:val="left" w:pos="880"/>
              <w:tab w:val="right" w:leader="dot" w:pos="9062"/>
            </w:tabs>
            <w:rPr>
              <w:rFonts w:ascii="Times New Roman" w:eastAsiaTheme="minorEastAsia" w:hAnsi="Times New Roman" w:cs="Times New Roman"/>
              <w:noProof/>
              <w:lang w:eastAsia="bg-BG"/>
            </w:rPr>
          </w:pPr>
          <w:hyperlink w:anchor="_Toc198633094" w:history="1">
            <w:r w:rsidR="00CF5410" w:rsidRPr="00CF5410">
              <w:rPr>
                <w:rStyle w:val="Hyperlink"/>
                <w:rFonts w:ascii="Times New Roman" w:hAnsi="Times New Roman" w:cs="Times New Roman"/>
                <w:noProof/>
              </w:rPr>
              <w:t>6.1.</w:t>
            </w:r>
            <w:r w:rsidR="00CF5410" w:rsidRPr="00CF5410">
              <w:rPr>
                <w:rFonts w:ascii="Times New Roman" w:eastAsiaTheme="minorEastAsia" w:hAnsi="Times New Roman" w:cs="Times New Roman"/>
                <w:noProof/>
                <w:lang w:eastAsia="bg-BG"/>
              </w:rPr>
              <w:tab/>
            </w:r>
            <w:r w:rsidR="00CF5410" w:rsidRPr="00CF5410">
              <w:rPr>
                <w:rStyle w:val="Hyperlink"/>
                <w:rFonts w:ascii="Times New Roman" w:hAnsi="Times New Roman" w:cs="Times New Roman"/>
                <w:noProof/>
              </w:rPr>
              <w:t>Сравняване на ключовите положителни и отрицателни въздействия на всеки вариант</w:t>
            </w:r>
            <w:r w:rsidR="00CF5410" w:rsidRPr="00CF5410">
              <w:rPr>
                <w:rFonts w:ascii="Times New Roman" w:hAnsi="Times New Roman" w:cs="Times New Roman"/>
                <w:noProof/>
                <w:webHidden/>
              </w:rPr>
              <w:tab/>
            </w:r>
            <w:r w:rsidR="00CF5410" w:rsidRPr="00CF5410">
              <w:rPr>
                <w:rFonts w:ascii="Times New Roman" w:hAnsi="Times New Roman" w:cs="Times New Roman"/>
                <w:noProof/>
                <w:webHidden/>
              </w:rPr>
              <w:fldChar w:fldCharType="begin"/>
            </w:r>
            <w:r w:rsidR="00CF5410" w:rsidRPr="00CF5410">
              <w:rPr>
                <w:rFonts w:ascii="Times New Roman" w:hAnsi="Times New Roman" w:cs="Times New Roman"/>
                <w:noProof/>
                <w:webHidden/>
              </w:rPr>
              <w:instrText xml:space="preserve"> PAGEREF _Toc198633094 \h </w:instrText>
            </w:r>
            <w:r w:rsidR="00CF5410" w:rsidRPr="00CF5410">
              <w:rPr>
                <w:rFonts w:ascii="Times New Roman" w:hAnsi="Times New Roman" w:cs="Times New Roman"/>
                <w:noProof/>
                <w:webHidden/>
              </w:rPr>
            </w:r>
            <w:r w:rsidR="00CF5410" w:rsidRPr="00CF5410">
              <w:rPr>
                <w:rFonts w:ascii="Times New Roman" w:hAnsi="Times New Roman" w:cs="Times New Roman"/>
                <w:noProof/>
                <w:webHidden/>
              </w:rPr>
              <w:fldChar w:fldCharType="separate"/>
            </w:r>
            <w:r w:rsidR="00CF5410" w:rsidRPr="00CF5410">
              <w:rPr>
                <w:rFonts w:ascii="Times New Roman" w:hAnsi="Times New Roman" w:cs="Times New Roman"/>
                <w:noProof/>
                <w:webHidden/>
              </w:rPr>
              <w:t>136</w:t>
            </w:r>
            <w:r w:rsidR="00CF5410" w:rsidRPr="00CF5410">
              <w:rPr>
                <w:rFonts w:ascii="Times New Roman" w:hAnsi="Times New Roman" w:cs="Times New Roman"/>
                <w:noProof/>
                <w:webHidden/>
              </w:rPr>
              <w:fldChar w:fldCharType="end"/>
            </w:r>
          </w:hyperlink>
        </w:p>
        <w:p w14:paraId="398754DC" w14:textId="77777777" w:rsidR="00CF5410" w:rsidRPr="00CF5410" w:rsidRDefault="00C40A49">
          <w:pPr>
            <w:pStyle w:val="TOC2"/>
            <w:tabs>
              <w:tab w:val="left" w:pos="880"/>
              <w:tab w:val="right" w:leader="dot" w:pos="9062"/>
            </w:tabs>
            <w:rPr>
              <w:rFonts w:ascii="Times New Roman" w:eastAsiaTheme="minorEastAsia" w:hAnsi="Times New Roman" w:cs="Times New Roman"/>
              <w:noProof/>
              <w:lang w:eastAsia="bg-BG"/>
            </w:rPr>
          </w:pPr>
          <w:hyperlink w:anchor="_Toc198633095" w:history="1">
            <w:r w:rsidR="00CF5410" w:rsidRPr="00CF5410">
              <w:rPr>
                <w:rStyle w:val="Hyperlink"/>
                <w:rFonts w:ascii="Times New Roman" w:hAnsi="Times New Roman" w:cs="Times New Roman"/>
                <w:noProof/>
              </w:rPr>
              <w:t>6.2.</w:t>
            </w:r>
            <w:r w:rsidR="00CF5410" w:rsidRPr="00CF5410">
              <w:rPr>
                <w:rFonts w:ascii="Times New Roman" w:eastAsiaTheme="minorEastAsia" w:hAnsi="Times New Roman" w:cs="Times New Roman"/>
                <w:noProof/>
                <w:lang w:eastAsia="bg-BG"/>
              </w:rPr>
              <w:tab/>
            </w:r>
            <w:r w:rsidR="00CF5410" w:rsidRPr="00CF5410">
              <w:rPr>
                <w:rStyle w:val="Hyperlink"/>
                <w:rFonts w:ascii="Times New Roman" w:hAnsi="Times New Roman" w:cs="Times New Roman"/>
                <w:noProof/>
              </w:rPr>
              <w:t>Сравняване на изследваните варианти</w:t>
            </w:r>
            <w:r w:rsidR="00CF5410" w:rsidRPr="00CF5410">
              <w:rPr>
                <w:rFonts w:ascii="Times New Roman" w:hAnsi="Times New Roman" w:cs="Times New Roman"/>
                <w:noProof/>
                <w:webHidden/>
              </w:rPr>
              <w:tab/>
            </w:r>
            <w:r w:rsidR="00CF5410" w:rsidRPr="00CF5410">
              <w:rPr>
                <w:rFonts w:ascii="Times New Roman" w:hAnsi="Times New Roman" w:cs="Times New Roman"/>
                <w:noProof/>
                <w:webHidden/>
              </w:rPr>
              <w:fldChar w:fldCharType="begin"/>
            </w:r>
            <w:r w:rsidR="00CF5410" w:rsidRPr="00CF5410">
              <w:rPr>
                <w:rFonts w:ascii="Times New Roman" w:hAnsi="Times New Roman" w:cs="Times New Roman"/>
                <w:noProof/>
                <w:webHidden/>
              </w:rPr>
              <w:instrText xml:space="preserve"> PAGEREF _Toc198633095 \h </w:instrText>
            </w:r>
            <w:r w:rsidR="00CF5410" w:rsidRPr="00CF5410">
              <w:rPr>
                <w:rFonts w:ascii="Times New Roman" w:hAnsi="Times New Roman" w:cs="Times New Roman"/>
                <w:noProof/>
                <w:webHidden/>
              </w:rPr>
            </w:r>
            <w:r w:rsidR="00CF5410" w:rsidRPr="00CF5410">
              <w:rPr>
                <w:rFonts w:ascii="Times New Roman" w:hAnsi="Times New Roman" w:cs="Times New Roman"/>
                <w:noProof/>
                <w:webHidden/>
              </w:rPr>
              <w:fldChar w:fldCharType="separate"/>
            </w:r>
            <w:r w:rsidR="00CF5410" w:rsidRPr="00CF5410">
              <w:rPr>
                <w:rFonts w:ascii="Times New Roman" w:hAnsi="Times New Roman" w:cs="Times New Roman"/>
                <w:noProof/>
                <w:webHidden/>
              </w:rPr>
              <w:t>137</w:t>
            </w:r>
            <w:r w:rsidR="00CF5410" w:rsidRPr="00CF5410">
              <w:rPr>
                <w:rFonts w:ascii="Times New Roman" w:hAnsi="Times New Roman" w:cs="Times New Roman"/>
                <w:noProof/>
                <w:webHidden/>
              </w:rPr>
              <w:fldChar w:fldCharType="end"/>
            </w:r>
          </w:hyperlink>
        </w:p>
        <w:p w14:paraId="17CF51B8" w14:textId="77777777" w:rsidR="00CF5410" w:rsidRPr="00CF5410" w:rsidRDefault="00C40A49">
          <w:pPr>
            <w:pStyle w:val="TOC2"/>
            <w:tabs>
              <w:tab w:val="left" w:pos="880"/>
              <w:tab w:val="right" w:leader="dot" w:pos="9062"/>
            </w:tabs>
            <w:rPr>
              <w:rFonts w:ascii="Times New Roman" w:eastAsiaTheme="minorEastAsia" w:hAnsi="Times New Roman" w:cs="Times New Roman"/>
              <w:noProof/>
              <w:lang w:eastAsia="bg-BG"/>
            </w:rPr>
          </w:pPr>
          <w:hyperlink w:anchor="_Toc198633096" w:history="1">
            <w:r w:rsidR="00CF5410" w:rsidRPr="00CF5410">
              <w:rPr>
                <w:rStyle w:val="Hyperlink"/>
                <w:rFonts w:ascii="Times New Roman" w:hAnsi="Times New Roman" w:cs="Times New Roman"/>
                <w:noProof/>
              </w:rPr>
              <w:t>6.3.</w:t>
            </w:r>
            <w:r w:rsidR="00CF5410" w:rsidRPr="00CF5410">
              <w:rPr>
                <w:rFonts w:ascii="Times New Roman" w:eastAsiaTheme="minorEastAsia" w:hAnsi="Times New Roman" w:cs="Times New Roman"/>
                <w:noProof/>
                <w:lang w:eastAsia="bg-BG"/>
              </w:rPr>
              <w:tab/>
            </w:r>
            <w:r w:rsidR="00CF5410" w:rsidRPr="00CF5410">
              <w:rPr>
                <w:rStyle w:val="Hyperlink"/>
                <w:rFonts w:ascii="Times New Roman" w:hAnsi="Times New Roman" w:cs="Times New Roman"/>
                <w:noProof/>
              </w:rPr>
              <w:t>Класиране на вариантите и идентифициране на препоръчителен вариант</w:t>
            </w:r>
            <w:r w:rsidR="00CF5410" w:rsidRPr="00CF5410">
              <w:rPr>
                <w:rFonts w:ascii="Times New Roman" w:hAnsi="Times New Roman" w:cs="Times New Roman"/>
                <w:noProof/>
                <w:webHidden/>
              </w:rPr>
              <w:tab/>
            </w:r>
            <w:r w:rsidR="00CF5410" w:rsidRPr="00CF5410">
              <w:rPr>
                <w:rFonts w:ascii="Times New Roman" w:hAnsi="Times New Roman" w:cs="Times New Roman"/>
                <w:noProof/>
                <w:webHidden/>
              </w:rPr>
              <w:fldChar w:fldCharType="begin"/>
            </w:r>
            <w:r w:rsidR="00CF5410" w:rsidRPr="00CF5410">
              <w:rPr>
                <w:rFonts w:ascii="Times New Roman" w:hAnsi="Times New Roman" w:cs="Times New Roman"/>
                <w:noProof/>
                <w:webHidden/>
              </w:rPr>
              <w:instrText xml:space="preserve"> PAGEREF _Toc198633096 \h </w:instrText>
            </w:r>
            <w:r w:rsidR="00CF5410" w:rsidRPr="00CF5410">
              <w:rPr>
                <w:rFonts w:ascii="Times New Roman" w:hAnsi="Times New Roman" w:cs="Times New Roman"/>
                <w:noProof/>
                <w:webHidden/>
              </w:rPr>
            </w:r>
            <w:r w:rsidR="00CF5410" w:rsidRPr="00CF5410">
              <w:rPr>
                <w:rFonts w:ascii="Times New Roman" w:hAnsi="Times New Roman" w:cs="Times New Roman"/>
                <w:noProof/>
                <w:webHidden/>
              </w:rPr>
              <w:fldChar w:fldCharType="separate"/>
            </w:r>
            <w:r w:rsidR="00CF5410" w:rsidRPr="00CF5410">
              <w:rPr>
                <w:rFonts w:ascii="Times New Roman" w:hAnsi="Times New Roman" w:cs="Times New Roman"/>
                <w:noProof/>
                <w:webHidden/>
              </w:rPr>
              <w:t>139</w:t>
            </w:r>
            <w:r w:rsidR="00CF5410" w:rsidRPr="00CF5410">
              <w:rPr>
                <w:rFonts w:ascii="Times New Roman" w:hAnsi="Times New Roman" w:cs="Times New Roman"/>
                <w:noProof/>
                <w:webHidden/>
              </w:rPr>
              <w:fldChar w:fldCharType="end"/>
            </w:r>
          </w:hyperlink>
        </w:p>
        <w:p w14:paraId="077EB280" w14:textId="77777777" w:rsidR="00CF5410" w:rsidRPr="00CF5410" w:rsidRDefault="00C40A49">
          <w:pPr>
            <w:pStyle w:val="TOC1"/>
            <w:rPr>
              <w:rFonts w:eastAsiaTheme="minorEastAsia"/>
              <w:lang w:eastAsia="bg-BG"/>
            </w:rPr>
          </w:pPr>
          <w:hyperlink w:anchor="_Toc198633097" w:history="1">
            <w:r w:rsidR="00CF5410" w:rsidRPr="00CF5410">
              <w:rPr>
                <w:rStyle w:val="Hyperlink"/>
              </w:rPr>
              <w:t>7.</w:t>
            </w:r>
            <w:r w:rsidR="00CF5410" w:rsidRPr="00CF5410">
              <w:rPr>
                <w:rFonts w:eastAsiaTheme="minorEastAsia"/>
                <w:lang w:eastAsia="bg-BG"/>
              </w:rPr>
              <w:tab/>
            </w:r>
            <w:r w:rsidR="00CF5410" w:rsidRPr="00CF5410">
              <w:rPr>
                <w:rStyle w:val="Hyperlink"/>
              </w:rPr>
              <w:t>Препоръчителен вариант</w:t>
            </w:r>
            <w:r w:rsidR="00CF5410" w:rsidRPr="00CF5410">
              <w:rPr>
                <w:webHidden/>
              </w:rPr>
              <w:tab/>
            </w:r>
            <w:r w:rsidR="00CF5410" w:rsidRPr="00CF5410">
              <w:rPr>
                <w:webHidden/>
              </w:rPr>
              <w:fldChar w:fldCharType="begin"/>
            </w:r>
            <w:r w:rsidR="00CF5410" w:rsidRPr="00CF5410">
              <w:rPr>
                <w:webHidden/>
              </w:rPr>
              <w:instrText xml:space="preserve"> PAGEREF _Toc198633097 \h </w:instrText>
            </w:r>
            <w:r w:rsidR="00CF5410" w:rsidRPr="00CF5410">
              <w:rPr>
                <w:webHidden/>
              </w:rPr>
            </w:r>
            <w:r w:rsidR="00CF5410" w:rsidRPr="00CF5410">
              <w:rPr>
                <w:webHidden/>
              </w:rPr>
              <w:fldChar w:fldCharType="separate"/>
            </w:r>
            <w:r w:rsidR="00CF5410" w:rsidRPr="00CF5410">
              <w:rPr>
                <w:webHidden/>
              </w:rPr>
              <w:t>139</w:t>
            </w:r>
            <w:r w:rsidR="00CF5410" w:rsidRPr="00CF5410">
              <w:rPr>
                <w:webHidden/>
              </w:rPr>
              <w:fldChar w:fldCharType="end"/>
            </w:r>
          </w:hyperlink>
        </w:p>
        <w:p w14:paraId="229283E3" w14:textId="77777777" w:rsidR="00CF5410" w:rsidRPr="00CF5410" w:rsidRDefault="00C40A49">
          <w:pPr>
            <w:pStyle w:val="TOC1"/>
            <w:rPr>
              <w:rFonts w:eastAsiaTheme="minorEastAsia"/>
              <w:lang w:eastAsia="bg-BG"/>
            </w:rPr>
          </w:pPr>
          <w:hyperlink w:anchor="_Toc198633098" w:history="1">
            <w:r w:rsidR="00CF5410" w:rsidRPr="00CF5410">
              <w:rPr>
                <w:rStyle w:val="Hyperlink"/>
              </w:rPr>
              <w:t>8.</w:t>
            </w:r>
            <w:r w:rsidR="00CF5410" w:rsidRPr="00CF5410">
              <w:rPr>
                <w:rFonts w:eastAsiaTheme="minorEastAsia"/>
                <w:lang w:eastAsia="bg-BG"/>
              </w:rPr>
              <w:tab/>
            </w:r>
            <w:r w:rsidR="00CF5410" w:rsidRPr="00CF5410">
              <w:rPr>
                <w:rStyle w:val="Hyperlink"/>
              </w:rPr>
              <w:t>Обществени консултации</w:t>
            </w:r>
            <w:r w:rsidR="00CF5410" w:rsidRPr="00CF5410">
              <w:rPr>
                <w:webHidden/>
              </w:rPr>
              <w:tab/>
            </w:r>
            <w:r w:rsidR="00CF5410" w:rsidRPr="00CF5410">
              <w:rPr>
                <w:webHidden/>
              </w:rPr>
              <w:fldChar w:fldCharType="begin"/>
            </w:r>
            <w:r w:rsidR="00CF5410" w:rsidRPr="00CF5410">
              <w:rPr>
                <w:webHidden/>
              </w:rPr>
              <w:instrText xml:space="preserve"> PAGEREF _Toc198633098 \h </w:instrText>
            </w:r>
            <w:r w:rsidR="00CF5410" w:rsidRPr="00CF5410">
              <w:rPr>
                <w:webHidden/>
              </w:rPr>
            </w:r>
            <w:r w:rsidR="00CF5410" w:rsidRPr="00CF5410">
              <w:rPr>
                <w:webHidden/>
              </w:rPr>
              <w:fldChar w:fldCharType="separate"/>
            </w:r>
            <w:r w:rsidR="00CF5410" w:rsidRPr="00CF5410">
              <w:rPr>
                <w:webHidden/>
              </w:rPr>
              <w:t>146</w:t>
            </w:r>
            <w:r w:rsidR="00CF5410" w:rsidRPr="00CF5410">
              <w:rPr>
                <w:webHidden/>
              </w:rPr>
              <w:fldChar w:fldCharType="end"/>
            </w:r>
          </w:hyperlink>
        </w:p>
        <w:p w14:paraId="69DA5575" w14:textId="77777777" w:rsidR="00CF5410" w:rsidRPr="00CF5410" w:rsidRDefault="00C40A49">
          <w:pPr>
            <w:pStyle w:val="TOC1"/>
            <w:rPr>
              <w:rFonts w:eastAsiaTheme="minorEastAsia"/>
              <w:lang w:eastAsia="bg-BG"/>
            </w:rPr>
          </w:pPr>
          <w:hyperlink w:anchor="_Toc198633099" w:history="1">
            <w:r w:rsidR="00CF5410" w:rsidRPr="00CF5410">
              <w:rPr>
                <w:rStyle w:val="Hyperlink"/>
              </w:rPr>
              <w:t>9.</w:t>
            </w:r>
            <w:r w:rsidR="00CF5410" w:rsidRPr="00CF5410">
              <w:rPr>
                <w:rFonts w:eastAsiaTheme="minorEastAsia"/>
                <w:lang w:eastAsia="bg-BG"/>
              </w:rPr>
              <w:tab/>
            </w:r>
            <w:r w:rsidR="00CF5410" w:rsidRPr="00CF5410">
              <w:rPr>
                <w:rStyle w:val="Hyperlink"/>
              </w:rPr>
              <w:t>Последваща оценка на въздействието</w:t>
            </w:r>
            <w:r w:rsidR="00CF5410" w:rsidRPr="00CF5410">
              <w:rPr>
                <w:webHidden/>
              </w:rPr>
              <w:tab/>
            </w:r>
            <w:r w:rsidR="00CF5410" w:rsidRPr="00CF5410">
              <w:rPr>
                <w:webHidden/>
              </w:rPr>
              <w:fldChar w:fldCharType="begin"/>
            </w:r>
            <w:r w:rsidR="00CF5410" w:rsidRPr="00CF5410">
              <w:rPr>
                <w:webHidden/>
              </w:rPr>
              <w:instrText xml:space="preserve"> PAGEREF _Toc198633099 \h </w:instrText>
            </w:r>
            <w:r w:rsidR="00CF5410" w:rsidRPr="00CF5410">
              <w:rPr>
                <w:webHidden/>
              </w:rPr>
            </w:r>
            <w:r w:rsidR="00CF5410" w:rsidRPr="00CF5410">
              <w:rPr>
                <w:webHidden/>
              </w:rPr>
              <w:fldChar w:fldCharType="separate"/>
            </w:r>
            <w:r w:rsidR="00CF5410" w:rsidRPr="00CF5410">
              <w:rPr>
                <w:webHidden/>
              </w:rPr>
              <w:t>147</w:t>
            </w:r>
            <w:r w:rsidR="00CF5410" w:rsidRPr="00CF5410">
              <w:rPr>
                <w:webHidden/>
              </w:rPr>
              <w:fldChar w:fldCharType="end"/>
            </w:r>
          </w:hyperlink>
        </w:p>
        <w:p w14:paraId="780D59F8" w14:textId="77777777" w:rsidR="00CF5410" w:rsidRPr="00CF5410" w:rsidRDefault="00C40A49">
          <w:pPr>
            <w:pStyle w:val="TOC1"/>
            <w:rPr>
              <w:rFonts w:eastAsiaTheme="minorEastAsia"/>
              <w:lang w:eastAsia="bg-BG"/>
            </w:rPr>
          </w:pPr>
          <w:hyperlink w:anchor="_Toc198633100" w:history="1">
            <w:r w:rsidR="00CF5410" w:rsidRPr="00CF5410">
              <w:rPr>
                <w:rStyle w:val="Hyperlink"/>
              </w:rPr>
              <w:t>10.</w:t>
            </w:r>
            <w:r w:rsidR="00CF5410" w:rsidRPr="00CF5410">
              <w:rPr>
                <w:rFonts w:eastAsiaTheme="minorEastAsia"/>
                <w:lang w:eastAsia="bg-BG"/>
              </w:rPr>
              <w:tab/>
            </w:r>
            <w:r w:rsidR="00CF5410" w:rsidRPr="00CF5410">
              <w:rPr>
                <w:rStyle w:val="Hyperlink"/>
              </w:rPr>
              <w:t>Източници</w:t>
            </w:r>
            <w:r w:rsidR="00CF5410" w:rsidRPr="00CF5410">
              <w:rPr>
                <w:webHidden/>
              </w:rPr>
              <w:tab/>
            </w:r>
            <w:r w:rsidR="00CF5410" w:rsidRPr="00CF5410">
              <w:rPr>
                <w:webHidden/>
              </w:rPr>
              <w:fldChar w:fldCharType="begin"/>
            </w:r>
            <w:r w:rsidR="00CF5410" w:rsidRPr="00CF5410">
              <w:rPr>
                <w:webHidden/>
              </w:rPr>
              <w:instrText xml:space="preserve"> PAGEREF _Toc198633100 \h </w:instrText>
            </w:r>
            <w:r w:rsidR="00CF5410" w:rsidRPr="00CF5410">
              <w:rPr>
                <w:webHidden/>
              </w:rPr>
            </w:r>
            <w:r w:rsidR="00CF5410" w:rsidRPr="00CF5410">
              <w:rPr>
                <w:webHidden/>
              </w:rPr>
              <w:fldChar w:fldCharType="separate"/>
            </w:r>
            <w:r w:rsidR="00CF5410" w:rsidRPr="00CF5410">
              <w:rPr>
                <w:webHidden/>
              </w:rPr>
              <w:t>149</w:t>
            </w:r>
            <w:r w:rsidR="00CF5410" w:rsidRPr="00CF5410">
              <w:rPr>
                <w:webHidden/>
              </w:rPr>
              <w:fldChar w:fldCharType="end"/>
            </w:r>
          </w:hyperlink>
        </w:p>
        <w:p w14:paraId="33417196" w14:textId="77777777" w:rsidR="00CF5410" w:rsidRDefault="00C40A49">
          <w:pPr>
            <w:pStyle w:val="TOC1"/>
            <w:rPr>
              <w:rFonts w:asciiTheme="minorHAnsi" w:eastAsiaTheme="minorEastAsia" w:hAnsiTheme="minorHAnsi" w:cstheme="minorBidi"/>
              <w:lang w:eastAsia="bg-BG"/>
            </w:rPr>
          </w:pPr>
          <w:hyperlink w:anchor="_Toc198633101" w:history="1">
            <w:r w:rsidR="00CF5410" w:rsidRPr="00CF5410">
              <w:rPr>
                <w:rStyle w:val="Hyperlink"/>
              </w:rPr>
              <w:t>11.</w:t>
            </w:r>
            <w:r w:rsidR="00CF5410" w:rsidRPr="00CF5410">
              <w:rPr>
                <w:rFonts w:eastAsiaTheme="minorEastAsia"/>
                <w:lang w:eastAsia="bg-BG"/>
              </w:rPr>
              <w:tab/>
            </w:r>
            <w:r w:rsidR="00CF5410" w:rsidRPr="00CF5410">
              <w:rPr>
                <w:rStyle w:val="Hyperlink"/>
              </w:rPr>
              <w:t>Приложения</w:t>
            </w:r>
            <w:r w:rsidR="00CF5410" w:rsidRPr="00CF5410">
              <w:rPr>
                <w:webHidden/>
              </w:rPr>
              <w:tab/>
            </w:r>
            <w:r w:rsidR="00CF5410" w:rsidRPr="00CF5410">
              <w:rPr>
                <w:webHidden/>
              </w:rPr>
              <w:fldChar w:fldCharType="begin"/>
            </w:r>
            <w:r w:rsidR="00CF5410" w:rsidRPr="00CF5410">
              <w:rPr>
                <w:webHidden/>
              </w:rPr>
              <w:instrText xml:space="preserve"> PAGEREF _Toc198633101 \h </w:instrText>
            </w:r>
            <w:r w:rsidR="00CF5410" w:rsidRPr="00CF5410">
              <w:rPr>
                <w:webHidden/>
              </w:rPr>
            </w:r>
            <w:r w:rsidR="00CF5410" w:rsidRPr="00CF5410">
              <w:rPr>
                <w:webHidden/>
              </w:rPr>
              <w:fldChar w:fldCharType="separate"/>
            </w:r>
            <w:r w:rsidR="00CF5410" w:rsidRPr="00CF5410">
              <w:rPr>
                <w:webHidden/>
              </w:rPr>
              <w:t>151</w:t>
            </w:r>
            <w:r w:rsidR="00CF5410" w:rsidRPr="00CF5410">
              <w:rPr>
                <w:webHidden/>
              </w:rPr>
              <w:fldChar w:fldCharType="end"/>
            </w:r>
          </w:hyperlink>
        </w:p>
        <w:p w14:paraId="03C79EEF" w14:textId="77777777" w:rsidR="001917F4" w:rsidRPr="007B4A99" w:rsidRDefault="001917F4">
          <w:pPr>
            <w:rPr>
              <w:rFonts w:ascii="Times New Roman" w:hAnsi="Times New Roman" w:cs="Times New Roman"/>
            </w:rPr>
          </w:pPr>
          <w:r w:rsidRPr="00B83A67">
            <w:rPr>
              <w:rFonts w:ascii="Times New Roman" w:hAnsi="Times New Roman" w:cs="Times New Roman"/>
              <w:b/>
              <w:bCs/>
              <w:noProof/>
              <w:sz w:val="24"/>
              <w:szCs w:val="24"/>
            </w:rPr>
            <w:fldChar w:fldCharType="end"/>
          </w:r>
        </w:p>
      </w:sdtContent>
    </w:sdt>
    <w:tbl>
      <w:tblPr>
        <w:tblpPr w:leftFromText="180" w:rightFromText="180" w:vertAnchor="text" w:horzAnchor="margin" w:tblpY="473"/>
        <w:tblW w:w="9067" w:type="dxa"/>
        <w:tblLook w:val="04A0" w:firstRow="1" w:lastRow="0" w:firstColumn="1" w:lastColumn="0" w:noHBand="0" w:noVBand="1"/>
      </w:tblPr>
      <w:tblGrid>
        <w:gridCol w:w="9067"/>
      </w:tblGrid>
      <w:tr w:rsidR="000C72C0" w:rsidRPr="007B4A99" w14:paraId="08EE1C31" w14:textId="77777777" w:rsidTr="00795D6B">
        <w:tc>
          <w:tcPr>
            <w:tcW w:w="9067" w:type="dxa"/>
          </w:tcPr>
          <w:p w14:paraId="400B349C" w14:textId="77777777" w:rsidR="000C72C0" w:rsidRPr="007B4A99" w:rsidRDefault="000C72C0" w:rsidP="00D102E9">
            <w:pPr>
              <w:pStyle w:val="7878"/>
              <w:spacing w:before="0" w:after="0"/>
              <w:rPr>
                <w:rFonts w:ascii="Times New Roman" w:hAnsi="Times New Roman"/>
              </w:rPr>
            </w:pPr>
            <w:r w:rsidRPr="007B4A99">
              <w:rPr>
                <w:rFonts w:ascii="Times New Roman" w:hAnsi="Times New Roman"/>
              </w:rPr>
              <w:t xml:space="preserve">[Структурата, представена в настоящия образец е в изпълнение на чл. 22, ал. 2 от Наредбата за </w:t>
            </w:r>
            <w:r w:rsidRPr="007B4A99">
              <w:rPr>
                <w:rFonts w:ascii="Times New Roman" w:hAnsi="Times New Roman"/>
              </w:rPr>
              <w:lastRenderedPageBreak/>
              <w:t>обхвата и методологията за извършване на оценка на въздействието]</w:t>
            </w:r>
          </w:p>
        </w:tc>
      </w:tr>
    </w:tbl>
    <w:p w14:paraId="12721CF0" w14:textId="77777777" w:rsidR="00BB1E51" w:rsidRDefault="00BB1E51" w:rsidP="00D102E9">
      <w:pPr>
        <w:spacing w:after="0"/>
        <w:rPr>
          <w:rFonts w:ascii="Times New Roman" w:hAnsi="Times New Roman" w:cs="Times New Roman"/>
          <w:b/>
          <w:color w:val="1F4E79" w:themeColor="accent1" w:themeShade="80"/>
        </w:rPr>
      </w:pPr>
    </w:p>
    <w:p w14:paraId="0377192D" w14:textId="77777777" w:rsidR="00D102E9" w:rsidRPr="007B4A99" w:rsidRDefault="00D102E9" w:rsidP="00D102E9">
      <w:pPr>
        <w:spacing w:after="0"/>
        <w:rPr>
          <w:rFonts w:ascii="Times New Roman" w:hAnsi="Times New Roman" w:cs="Times New Roman"/>
          <w:b/>
          <w:color w:val="1F4E79" w:themeColor="accent1" w:themeShade="80"/>
        </w:rPr>
      </w:pPr>
    </w:p>
    <w:p w14:paraId="770DD42D" w14:textId="77777777" w:rsidR="001917F4" w:rsidRPr="00D102E9" w:rsidRDefault="0082603E" w:rsidP="00D102E9">
      <w:pPr>
        <w:spacing w:after="0"/>
        <w:rPr>
          <w:rFonts w:ascii="Times New Roman" w:hAnsi="Times New Roman" w:cs="Times New Roman"/>
          <w:b/>
          <w:color w:val="1F4E79" w:themeColor="accent1" w:themeShade="80"/>
          <w:sz w:val="24"/>
          <w:szCs w:val="24"/>
        </w:rPr>
      </w:pPr>
      <w:r w:rsidRPr="00D102E9">
        <w:rPr>
          <w:rFonts w:ascii="Times New Roman" w:hAnsi="Times New Roman" w:cs="Times New Roman"/>
          <w:b/>
          <w:color w:val="1F4E79" w:themeColor="accent1" w:themeShade="80"/>
          <w:sz w:val="24"/>
          <w:szCs w:val="24"/>
        </w:rPr>
        <w:t>Списък на използваните съкращения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3"/>
      </w:tblGrid>
      <w:tr w:rsidR="000E56F5" w:rsidRPr="007B4A99" w14:paraId="1D19E971" w14:textId="77777777" w:rsidTr="00E2571A">
        <w:tc>
          <w:tcPr>
            <w:tcW w:w="2689" w:type="dxa"/>
            <w:hideMark/>
          </w:tcPr>
          <w:p w14:paraId="6891AA92" w14:textId="77777777" w:rsidR="000E56F5" w:rsidRPr="007B4A99" w:rsidRDefault="000E56F5" w:rsidP="005E10AB">
            <w:pPr>
              <w:jc w:val="center"/>
              <w:rPr>
                <w:rFonts w:ascii="Times New Roman" w:hAnsi="Times New Roman" w:cs="Times New Roman"/>
                <w:b/>
                <w:sz w:val="24"/>
                <w:szCs w:val="24"/>
              </w:rPr>
            </w:pPr>
            <w:r w:rsidRPr="007B4A99">
              <w:rPr>
                <w:rFonts w:ascii="Times New Roman" w:hAnsi="Times New Roman" w:cs="Times New Roman"/>
                <w:b/>
                <w:sz w:val="24"/>
                <w:szCs w:val="24"/>
              </w:rPr>
              <w:t>Съкращение</w:t>
            </w:r>
          </w:p>
        </w:tc>
        <w:tc>
          <w:tcPr>
            <w:tcW w:w="6373" w:type="dxa"/>
            <w:hideMark/>
          </w:tcPr>
          <w:p w14:paraId="3749965B" w14:textId="77777777" w:rsidR="000E56F5" w:rsidRPr="007B4A99" w:rsidRDefault="000E56F5" w:rsidP="005E10AB">
            <w:pPr>
              <w:jc w:val="center"/>
              <w:rPr>
                <w:rFonts w:ascii="Times New Roman" w:hAnsi="Times New Roman" w:cs="Times New Roman"/>
                <w:b/>
                <w:sz w:val="24"/>
                <w:szCs w:val="24"/>
              </w:rPr>
            </w:pPr>
            <w:r w:rsidRPr="007B4A99">
              <w:rPr>
                <w:rFonts w:ascii="Times New Roman" w:hAnsi="Times New Roman" w:cs="Times New Roman"/>
                <w:b/>
                <w:sz w:val="24"/>
                <w:szCs w:val="24"/>
              </w:rPr>
              <w:t>Пълно наименование</w:t>
            </w:r>
          </w:p>
        </w:tc>
      </w:tr>
      <w:tr w:rsidR="00FB0251" w:rsidRPr="007B4A99" w14:paraId="0E8A6733" w14:textId="77777777" w:rsidTr="00E2571A">
        <w:tc>
          <w:tcPr>
            <w:tcW w:w="2689" w:type="dxa"/>
          </w:tcPr>
          <w:p w14:paraId="5A7C6CA6" w14:textId="638D6D4C" w:rsidR="00FB0251" w:rsidRPr="007B4A99" w:rsidRDefault="00FB0251" w:rsidP="00FB0251">
            <w:pPr>
              <w:jc w:val="center"/>
              <w:rPr>
                <w:rFonts w:ascii="Times New Roman" w:hAnsi="Times New Roman" w:cs="Times New Roman"/>
                <w:b/>
                <w:sz w:val="24"/>
                <w:szCs w:val="24"/>
              </w:rPr>
            </w:pPr>
            <w:r w:rsidRPr="007B4A99">
              <w:rPr>
                <w:rFonts w:ascii="Times New Roman" w:hAnsi="Times New Roman" w:cs="Times New Roman"/>
                <w:color w:val="212529"/>
                <w:sz w:val="24"/>
                <w:szCs w:val="24"/>
              </w:rPr>
              <w:t>БАБХ</w:t>
            </w:r>
          </w:p>
        </w:tc>
        <w:tc>
          <w:tcPr>
            <w:tcW w:w="6373" w:type="dxa"/>
          </w:tcPr>
          <w:p w14:paraId="726101AE" w14:textId="7302057F" w:rsidR="00FB0251" w:rsidRPr="007B4A99" w:rsidRDefault="00FB0251" w:rsidP="00FB0251">
            <w:r w:rsidRPr="007B4A99">
              <w:rPr>
                <w:rFonts w:ascii="Times New Roman" w:hAnsi="Times New Roman" w:cs="Times New Roman"/>
                <w:color w:val="212529"/>
                <w:sz w:val="24"/>
                <w:szCs w:val="24"/>
              </w:rPr>
              <w:t>Българска агенция за безопасност на храните</w:t>
            </w:r>
          </w:p>
        </w:tc>
      </w:tr>
      <w:tr w:rsidR="00DA0F09" w:rsidRPr="007B4A99" w14:paraId="1BE9B606" w14:textId="77777777" w:rsidTr="00E2571A">
        <w:tc>
          <w:tcPr>
            <w:tcW w:w="2689" w:type="dxa"/>
          </w:tcPr>
          <w:p w14:paraId="6C7881C3" w14:textId="6FF8BB79" w:rsidR="00DA0F09" w:rsidRPr="00DA0F09" w:rsidRDefault="00DA0F09" w:rsidP="00FB0251">
            <w:pPr>
              <w:jc w:val="center"/>
              <w:rPr>
                <w:rFonts w:ascii="Times New Roman" w:hAnsi="Times New Roman" w:cs="Times New Roman"/>
                <w:color w:val="212529"/>
                <w:sz w:val="24"/>
                <w:szCs w:val="24"/>
              </w:rPr>
            </w:pPr>
            <w:r>
              <w:rPr>
                <w:rFonts w:ascii="Times New Roman" w:hAnsi="Times New Roman" w:cs="Times New Roman"/>
                <w:color w:val="212529"/>
                <w:sz w:val="24"/>
                <w:szCs w:val="24"/>
              </w:rPr>
              <w:t>БВП</w:t>
            </w:r>
          </w:p>
        </w:tc>
        <w:tc>
          <w:tcPr>
            <w:tcW w:w="6373" w:type="dxa"/>
          </w:tcPr>
          <w:p w14:paraId="66170362" w14:textId="2612E048" w:rsidR="00DA0F09" w:rsidRPr="00DA0F09" w:rsidRDefault="00DA0F09" w:rsidP="00FB0251">
            <w:pPr>
              <w:rPr>
                <w:rFonts w:ascii="Times New Roman" w:hAnsi="Times New Roman" w:cs="Times New Roman"/>
                <w:color w:val="212529"/>
                <w:sz w:val="24"/>
                <w:szCs w:val="24"/>
              </w:rPr>
            </w:pPr>
            <w:r>
              <w:rPr>
                <w:rFonts w:ascii="Times New Roman" w:hAnsi="Times New Roman" w:cs="Times New Roman"/>
                <w:color w:val="212529"/>
                <w:sz w:val="24"/>
                <w:szCs w:val="24"/>
              </w:rPr>
              <w:t>Брутен вътрешен продукт</w:t>
            </w:r>
          </w:p>
        </w:tc>
      </w:tr>
      <w:tr w:rsidR="00136409" w:rsidRPr="007B4A99" w14:paraId="56ACDB11" w14:textId="77777777" w:rsidTr="00E2571A">
        <w:tc>
          <w:tcPr>
            <w:tcW w:w="2689" w:type="dxa"/>
          </w:tcPr>
          <w:p w14:paraId="5920670B" w14:textId="4BB32E68" w:rsidR="00136409" w:rsidRPr="007B4A99" w:rsidRDefault="00136409" w:rsidP="005E10AB">
            <w:pPr>
              <w:jc w:val="center"/>
              <w:rPr>
                <w:rFonts w:ascii="Times New Roman" w:hAnsi="Times New Roman" w:cs="Times New Roman"/>
                <w:sz w:val="24"/>
                <w:szCs w:val="24"/>
              </w:rPr>
            </w:pPr>
            <w:r w:rsidRPr="007B4A99">
              <w:rPr>
                <w:rFonts w:ascii="Times New Roman" w:hAnsi="Times New Roman" w:cs="Times New Roman"/>
                <w:sz w:val="24"/>
                <w:szCs w:val="24"/>
              </w:rPr>
              <w:t>БНД</w:t>
            </w:r>
          </w:p>
        </w:tc>
        <w:tc>
          <w:tcPr>
            <w:tcW w:w="6373" w:type="dxa"/>
          </w:tcPr>
          <w:p w14:paraId="4B1DF0D4" w14:textId="739994A8" w:rsidR="00136409" w:rsidRPr="007B4A99" w:rsidRDefault="00136409" w:rsidP="00EA656A">
            <w:pPr>
              <w:rPr>
                <w:rFonts w:ascii="Times New Roman" w:hAnsi="Times New Roman" w:cs="Times New Roman"/>
                <w:sz w:val="24"/>
                <w:szCs w:val="24"/>
              </w:rPr>
            </w:pPr>
            <w:r w:rsidRPr="007B4A99">
              <w:rPr>
                <w:rFonts w:ascii="Times New Roman" w:hAnsi="Times New Roman" w:cs="Times New Roman"/>
                <w:sz w:val="24"/>
                <w:szCs w:val="24"/>
              </w:rPr>
              <w:t>Брутен национален доход</w:t>
            </w:r>
          </w:p>
        </w:tc>
      </w:tr>
      <w:tr w:rsidR="00FB0251" w:rsidRPr="007B4A99" w14:paraId="0AC20B8C" w14:textId="77777777" w:rsidTr="00E2571A">
        <w:tc>
          <w:tcPr>
            <w:tcW w:w="2689" w:type="dxa"/>
          </w:tcPr>
          <w:p w14:paraId="6A1D610E" w14:textId="7473E94B" w:rsidR="00FB0251" w:rsidRPr="007B4A99" w:rsidRDefault="00FB0251" w:rsidP="00FB0251">
            <w:pPr>
              <w:jc w:val="center"/>
              <w:rPr>
                <w:rFonts w:ascii="Times New Roman" w:hAnsi="Times New Roman" w:cs="Times New Roman"/>
                <w:color w:val="212529"/>
                <w:sz w:val="24"/>
                <w:szCs w:val="24"/>
              </w:rPr>
            </w:pPr>
            <w:r w:rsidRPr="007B4A99">
              <w:rPr>
                <w:rFonts w:ascii="Times New Roman" w:hAnsi="Times New Roman" w:cs="Times New Roman"/>
                <w:color w:val="212529"/>
                <w:sz w:val="24"/>
                <w:szCs w:val="24"/>
              </w:rPr>
              <w:t>ДКСБТ</w:t>
            </w:r>
          </w:p>
        </w:tc>
        <w:tc>
          <w:tcPr>
            <w:tcW w:w="6373" w:type="dxa"/>
          </w:tcPr>
          <w:p w14:paraId="042140DD" w14:textId="1DC9E779" w:rsidR="00FB0251" w:rsidRPr="007B4A99" w:rsidRDefault="00FB0251" w:rsidP="00EA656A">
            <w:pPr>
              <w:rPr>
                <w:rFonts w:ascii="Times New Roman" w:hAnsi="Times New Roman" w:cs="Times New Roman"/>
                <w:sz w:val="24"/>
                <w:szCs w:val="24"/>
              </w:rPr>
            </w:pPr>
            <w:r w:rsidRPr="007B4A99">
              <w:rPr>
                <w:rFonts w:ascii="Times New Roman" w:hAnsi="Times New Roman" w:cs="Times New Roman"/>
                <w:color w:val="212529"/>
                <w:sz w:val="24"/>
                <w:szCs w:val="24"/>
              </w:rPr>
              <w:t>Държавна комисия по стоковите борси и тържищата</w:t>
            </w:r>
          </w:p>
        </w:tc>
      </w:tr>
      <w:tr w:rsidR="001579C1" w:rsidRPr="007B4A99" w14:paraId="42B64D9B" w14:textId="77777777" w:rsidTr="00E2571A">
        <w:tc>
          <w:tcPr>
            <w:tcW w:w="2689" w:type="dxa"/>
          </w:tcPr>
          <w:p w14:paraId="374F7266" w14:textId="65F41BD5" w:rsidR="001579C1" w:rsidRPr="007B4A99" w:rsidRDefault="001579C1" w:rsidP="0091147A">
            <w:pPr>
              <w:jc w:val="center"/>
              <w:rPr>
                <w:rFonts w:ascii="Times New Roman" w:hAnsi="Times New Roman" w:cs="Times New Roman"/>
                <w:sz w:val="24"/>
                <w:szCs w:val="24"/>
              </w:rPr>
            </w:pPr>
            <w:r w:rsidRPr="007B4A99">
              <w:rPr>
                <w:rFonts w:ascii="Times New Roman" w:hAnsi="Times New Roman" w:cs="Times New Roman"/>
                <w:sz w:val="24"/>
                <w:szCs w:val="24"/>
              </w:rPr>
              <w:t>ЕК</w:t>
            </w:r>
          </w:p>
        </w:tc>
        <w:tc>
          <w:tcPr>
            <w:tcW w:w="6373" w:type="dxa"/>
          </w:tcPr>
          <w:p w14:paraId="7DE48459" w14:textId="32B773FF" w:rsidR="001579C1" w:rsidRPr="007B4A99" w:rsidRDefault="001579C1" w:rsidP="00EA656A">
            <w:pPr>
              <w:rPr>
                <w:rFonts w:ascii="Times New Roman" w:hAnsi="Times New Roman" w:cs="Times New Roman"/>
                <w:sz w:val="24"/>
                <w:szCs w:val="24"/>
              </w:rPr>
            </w:pPr>
            <w:r w:rsidRPr="007B4A99">
              <w:rPr>
                <w:rFonts w:ascii="Times New Roman" w:hAnsi="Times New Roman" w:cs="Times New Roman"/>
                <w:sz w:val="24"/>
                <w:szCs w:val="24"/>
              </w:rPr>
              <w:t>Европейска комисия</w:t>
            </w:r>
          </w:p>
        </w:tc>
      </w:tr>
      <w:tr w:rsidR="000E56F5" w:rsidRPr="007B4A99" w14:paraId="2133D5A9" w14:textId="77777777" w:rsidTr="00E2571A">
        <w:tc>
          <w:tcPr>
            <w:tcW w:w="2689" w:type="dxa"/>
            <w:hideMark/>
          </w:tcPr>
          <w:p w14:paraId="68F09295" w14:textId="77777777" w:rsidR="000E56F5" w:rsidRPr="007B4A99" w:rsidRDefault="000E56F5" w:rsidP="0091147A">
            <w:pPr>
              <w:jc w:val="center"/>
              <w:rPr>
                <w:rFonts w:ascii="Times New Roman" w:hAnsi="Times New Roman" w:cs="Times New Roman"/>
                <w:sz w:val="24"/>
                <w:szCs w:val="24"/>
              </w:rPr>
            </w:pPr>
            <w:r w:rsidRPr="007B4A99">
              <w:rPr>
                <w:rFonts w:ascii="Times New Roman" w:hAnsi="Times New Roman" w:cs="Times New Roman"/>
                <w:sz w:val="24"/>
                <w:szCs w:val="24"/>
              </w:rPr>
              <w:t>ЕС</w:t>
            </w:r>
          </w:p>
        </w:tc>
        <w:tc>
          <w:tcPr>
            <w:tcW w:w="6373" w:type="dxa"/>
            <w:hideMark/>
          </w:tcPr>
          <w:p w14:paraId="70344B26" w14:textId="77777777" w:rsidR="000E56F5" w:rsidRPr="007B4A99" w:rsidRDefault="000E56F5" w:rsidP="00EA656A">
            <w:pPr>
              <w:rPr>
                <w:rFonts w:ascii="Times New Roman" w:hAnsi="Times New Roman" w:cs="Times New Roman"/>
                <w:sz w:val="24"/>
                <w:szCs w:val="24"/>
              </w:rPr>
            </w:pPr>
            <w:r w:rsidRPr="007B4A99">
              <w:rPr>
                <w:rFonts w:ascii="Times New Roman" w:hAnsi="Times New Roman" w:cs="Times New Roman"/>
                <w:sz w:val="24"/>
                <w:szCs w:val="24"/>
              </w:rPr>
              <w:t>Европейски съюз</w:t>
            </w:r>
          </w:p>
        </w:tc>
      </w:tr>
      <w:tr w:rsidR="00AB0BC4" w:rsidRPr="007B4A99" w14:paraId="6C204A5F" w14:textId="77777777" w:rsidTr="00E2571A">
        <w:tc>
          <w:tcPr>
            <w:tcW w:w="2689" w:type="dxa"/>
          </w:tcPr>
          <w:p w14:paraId="33624EDD" w14:textId="6250A191" w:rsidR="00AB0BC4" w:rsidRPr="007B4A99" w:rsidRDefault="00AB0BC4" w:rsidP="0091147A">
            <w:pPr>
              <w:jc w:val="center"/>
              <w:rPr>
                <w:rFonts w:ascii="Times New Roman" w:hAnsi="Times New Roman" w:cs="Times New Roman"/>
                <w:sz w:val="24"/>
                <w:szCs w:val="24"/>
              </w:rPr>
            </w:pPr>
            <w:r>
              <w:rPr>
                <w:rFonts w:ascii="Times New Roman" w:hAnsi="Times New Roman" w:cs="Times New Roman"/>
                <w:sz w:val="24"/>
                <w:szCs w:val="24"/>
              </w:rPr>
              <w:t>ЗЗК</w:t>
            </w:r>
          </w:p>
        </w:tc>
        <w:tc>
          <w:tcPr>
            <w:tcW w:w="6373" w:type="dxa"/>
          </w:tcPr>
          <w:p w14:paraId="5D78534B" w14:textId="73743CDA" w:rsidR="00AB0BC4" w:rsidRPr="007B4A99" w:rsidRDefault="00AB0BC4" w:rsidP="00AB0BC4">
            <w:pPr>
              <w:rPr>
                <w:rFonts w:ascii="Times New Roman" w:hAnsi="Times New Roman" w:cs="Times New Roman"/>
                <w:sz w:val="24"/>
                <w:szCs w:val="24"/>
              </w:rPr>
            </w:pPr>
            <w:r>
              <w:rPr>
                <w:rFonts w:ascii="Times New Roman" w:hAnsi="Times New Roman" w:cs="Times New Roman"/>
                <w:sz w:val="24"/>
                <w:szCs w:val="24"/>
              </w:rPr>
              <w:t>Закон</w:t>
            </w:r>
            <w:r w:rsidRPr="007B4A99">
              <w:rPr>
                <w:rFonts w:ascii="Times New Roman" w:hAnsi="Times New Roman" w:cs="Times New Roman"/>
                <w:sz w:val="24"/>
                <w:szCs w:val="24"/>
              </w:rPr>
              <w:t xml:space="preserve"> за защита на конкуренцията</w:t>
            </w:r>
            <w:r>
              <w:rPr>
                <w:rFonts w:ascii="Times New Roman" w:hAnsi="Times New Roman" w:cs="Times New Roman"/>
                <w:sz w:val="24"/>
                <w:szCs w:val="24"/>
              </w:rPr>
              <w:t xml:space="preserve"> </w:t>
            </w:r>
          </w:p>
        </w:tc>
      </w:tr>
      <w:tr w:rsidR="00C438B5" w:rsidRPr="007B4A99" w14:paraId="49783225" w14:textId="77777777" w:rsidTr="00E2571A">
        <w:tc>
          <w:tcPr>
            <w:tcW w:w="2689" w:type="dxa"/>
          </w:tcPr>
          <w:p w14:paraId="5F366E56" w14:textId="36177CD3" w:rsidR="00C438B5" w:rsidRPr="007B4A99" w:rsidRDefault="00C438B5" w:rsidP="0091147A">
            <w:pPr>
              <w:jc w:val="center"/>
              <w:rPr>
                <w:rFonts w:ascii="Times New Roman" w:hAnsi="Times New Roman" w:cs="Times New Roman"/>
                <w:sz w:val="24"/>
                <w:szCs w:val="24"/>
              </w:rPr>
            </w:pPr>
            <w:r w:rsidRPr="007B4A99">
              <w:rPr>
                <w:rFonts w:ascii="Times New Roman" w:hAnsi="Times New Roman" w:cs="Times New Roman"/>
                <w:sz w:val="24"/>
                <w:szCs w:val="24"/>
              </w:rPr>
              <w:t>ЗНА</w:t>
            </w:r>
          </w:p>
        </w:tc>
        <w:tc>
          <w:tcPr>
            <w:tcW w:w="6373" w:type="dxa"/>
          </w:tcPr>
          <w:p w14:paraId="4633BA20" w14:textId="754368C6" w:rsidR="00C438B5" w:rsidRPr="007B4A99" w:rsidRDefault="00C438B5" w:rsidP="00EA656A">
            <w:pPr>
              <w:rPr>
                <w:rFonts w:ascii="Times New Roman" w:hAnsi="Times New Roman" w:cs="Times New Roman"/>
                <w:sz w:val="24"/>
                <w:szCs w:val="24"/>
              </w:rPr>
            </w:pPr>
            <w:r w:rsidRPr="007B4A99">
              <w:rPr>
                <w:rFonts w:ascii="Times New Roman" w:hAnsi="Times New Roman" w:cs="Times New Roman"/>
                <w:sz w:val="24"/>
                <w:szCs w:val="24"/>
              </w:rPr>
              <w:t>Закон за нормативните актове</w:t>
            </w:r>
          </w:p>
        </w:tc>
      </w:tr>
      <w:tr w:rsidR="0066455B" w:rsidRPr="007B4A99" w14:paraId="08F338DC" w14:textId="77777777" w:rsidTr="00E2571A">
        <w:tc>
          <w:tcPr>
            <w:tcW w:w="2689" w:type="dxa"/>
          </w:tcPr>
          <w:p w14:paraId="77DE6944" w14:textId="55E15505" w:rsidR="0066455B" w:rsidRPr="007B4A99" w:rsidRDefault="0066455B" w:rsidP="0091147A">
            <w:pPr>
              <w:jc w:val="center"/>
              <w:rPr>
                <w:rFonts w:ascii="Times New Roman" w:hAnsi="Times New Roman" w:cs="Times New Roman"/>
                <w:sz w:val="24"/>
                <w:szCs w:val="24"/>
              </w:rPr>
            </w:pPr>
            <w:r>
              <w:rPr>
                <w:rFonts w:ascii="Times New Roman" w:eastAsia="Calibri" w:hAnsi="Times New Roman" w:cs="Times New Roman"/>
                <w:kern w:val="2"/>
                <w:sz w:val="24"/>
                <w:szCs w:val="24"/>
                <w14:ligatures w14:val="standardContextual"/>
              </w:rPr>
              <w:t>ЗОАРАКСД</w:t>
            </w:r>
          </w:p>
        </w:tc>
        <w:tc>
          <w:tcPr>
            <w:tcW w:w="6373" w:type="dxa"/>
          </w:tcPr>
          <w:p w14:paraId="2A79425A" w14:textId="3DF8466E" w:rsidR="0066455B" w:rsidRPr="007B4A99" w:rsidRDefault="0066455B" w:rsidP="0066455B">
            <w:pPr>
              <w:jc w:val="both"/>
              <w:rPr>
                <w:rFonts w:ascii="Times New Roman" w:hAnsi="Times New Roman" w:cs="Times New Roman"/>
                <w:sz w:val="24"/>
                <w:szCs w:val="24"/>
              </w:rPr>
            </w:pPr>
            <w:r w:rsidRPr="00B73B76">
              <w:rPr>
                <w:rFonts w:ascii="Times New Roman" w:eastAsia="Calibri" w:hAnsi="Times New Roman" w:cs="Times New Roman"/>
                <w:kern w:val="2"/>
                <w:sz w:val="24"/>
                <w:szCs w:val="24"/>
                <w14:ligatures w14:val="standardContextual"/>
              </w:rPr>
              <w:t>Закон</w:t>
            </w:r>
            <w:r>
              <w:rPr>
                <w:rFonts w:ascii="Times New Roman" w:eastAsia="Calibri" w:hAnsi="Times New Roman" w:cs="Times New Roman"/>
                <w:kern w:val="2"/>
                <w:sz w:val="24"/>
                <w:szCs w:val="24"/>
                <w14:ligatures w14:val="standardContextual"/>
              </w:rPr>
              <w:t xml:space="preserve"> </w:t>
            </w:r>
            <w:r w:rsidRPr="00B73B76">
              <w:rPr>
                <w:rFonts w:ascii="Times New Roman" w:eastAsia="Calibri" w:hAnsi="Times New Roman" w:cs="Times New Roman"/>
                <w:kern w:val="2"/>
                <w:sz w:val="24"/>
                <w:szCs w:val="24"/>
                <w14:ligatures w14:val="standardContextual"/>
              </w:rPr>
              <w:t>за ограничаване на административното регулиране и административния кон</w:t>
            </w:r>
            <w:r>
              <w:rPr>
                <w:rFonts w:ascii="Times New Roman" w:eastAsia="Calibri" w:hAnsi="Times New Roman" w:cs="Times New Roman"/>
                <w:kern w:val="2"/>
                <w:sz w:val="24"/>
                <w:szCs w:val="24"/>
                <w14:ligatures w14:val="standardContextual"/>
              </w:rPr>
              <w:t>трол върху стопанската дейност</w:t>
            </w:r>
          </w:p>
        </w:tc>
      </w:tr>
      <w:tr w:rsidR="00FB0251" w:rsidRPr="007B4A99" w14:paraId="75D7E9EA" w14:textId="77777777" w:rsidTr="00E2571A">
        <w:tc>
          <w:tcPr>
            <w:tcW w:w="2689" w:type="dxa"/>
          </w:tcPr>
          <w:p w14:paraId="5FD08A57" w14:textId="24C494AA" w:rsidR="00FB0251" w:rsidRPr="007B4A99" w:rsidRDefault="00FB0251" w:rsidP="00FB0251">
            <w:pPr>
              <w:jc w:val="center"/>
              <w:rPr>
                <w:rFonts w:ascii="Times New Roman" w:hAnsi="Times New Roman" w:cs="Times New Roman"/>
                <w:sz w:val="24"/>
                <w:szCs w:val="24"/>
              </w:rPr>
            </w:pPr>
            <w:r w:rsidRPr="007B4A99">
              <w:rPr>
                <w:rFonts w:ascii="Times New Roman" w:hAnsi="Times New Roman" w:cs="Times New Roman"/>
                <w:sz w:val="24"/>
                <w:szCs w:val="24"/>
              </w:rPr>
              <w:t>КЗК</w:t>
            </w:r>
          </w:p>
        </w:tc>
        <w:tc>
          <w:tcPr>
            <w:tcW w:w="6373" w:type="dxa"/>
          </w:tcPr>
          <w:p w14:paraId="5E582031" w14:textId="4DC2B8D2" w:rsidR="00FB0251" w:rsidRPr="007B4A99" w:rsidRDefault="00FB0251" w:rsidP="00EA656A">
            <w:pPr>
              <w:rPr>
                <w:rFonts w:ascii="Times New Roman" w:hAnsi="Times New Roman" w:cs="Times New Roman"/>
                <w:sz w:val="24"/>
                <w:szCs w:val="24"/>
              </w:rPr>
            </w:pPr>
            <w:r w:rsidRPr="007B4A99">
              <w:rPr>
                <w:rFonts w:ascii="Times New Roman" w:hAnsi="Times New Roman" w:cs="Times New Roman"/>
                <w:sz w:val="24"/>
                <w:szCs w:val="24"/>
              </w:rPr>
              <w:t>Комисия за защита на конкуренцията</w:t>
            </w:r>
          </w:p>
        </w:tc>
      </w:tr>
      <w:tr w:rsidR="00FB0251" w:rsidRPr="007B4A99" w14:paraId="2BE131D1" w14:textId="77777777" w:rsidTr="00E2571A">
        <w:tc>
          <w:tcPr>
            <w:tcW w:w="2689" w:type="dxa"/>
          </w:tcPr>
          <w:p w14:paraId="65F3B550" w14:textId="18BC1B4A" w:rsidR="00FB0251" w:rsidRPr="007B4A99" w:rsidRDefault="00FB0251" w:rsidP="00FB0251">
            <w:pPr>
              <w:jc w:val="center"/>
              <w:rPr>
                <w:rFonts w:ascii="Times New Roman" w:hAnsi="Times New Roman" w:cs="Times New Roman"/>
                <w:sz w:val="24"/>
                <w:szCs w:val="24"/>
              </w:rPr>
            </w:pPr>
            <w:r w:rsidRPr="007B4A99">
              <w:rPr>
                <w:rFonts w:ascii="Times New Roman" w:hAnsi="Times New Roman" w:cs="Times New Roman"/>
                <w:sz w:val="24"/>
                <w:szCs w:val="24"/>
              </w:rPr>
              <w:t>КЗП</w:t>
            </w:r>
          </w:p>
        </w:tc>
        <w:tc>
          <w:tcPr>
            <w:tcW w:w="6373" w:type="dxa"/>
          </w:tcPr>
          <w:p w14:paraId="517FB8CB" w14:textId="3F64D732" w:rsidR="00FB0251" w:rsidRPr="007B4A99" w:rsidRDefault="00FB0251" w:rsidP="00EA656A">
            <w:pPr>
              <w:rPr>
                <w:rFonts w:ascii="Times New Roman" w:hAnsi="Times New Roman" w:cs="Times New Roman"/>
                <w:sz w:val="24"/>
                <w:szCs w:val="24"/>
              </w:rPr>
            </w:pPr>
            <w:r w:rsidRPr="007B4A99">
              <w:rPr>
                <w:rFonts w:ascii="Times New Roman" w:hAnsi="Times New Roman" w:cs="Times New Roman"/>
                <w:sz w:val="24"/>
                <w:szCs w:val="24"/>
              </w:rPr>
              <w:t>Комисия за защита на потребителите</w:t>
            </w:r>
          </w:p>
        </w:tc>
      </w:tr>
      <w:tr w:rsidR="006E5541" w:rsidRPr="007B4A99" w14:paraId="4579E8FA" w14:textId="77777777" w:rsidTr="00E2571A">
        <w:tc>
          <w:tcPr>
            <w:tcW w:w="2689" w:type="dxa"/>
          </w:tcPr>
          <w:p w14:paraId="2FA5C86C" w14:textId="70EB998E" w:rsidR="006E5541" w:rsidRPr="007B4A99" w:rsidRDefault="006E5541" w:rsidP="00FB0251">
            <w:pPr>
              <w:jc w:val="center"/>
              <w:rPr>
                <w:rFonts w:ascii="Times New Roman" w:hAnsi="Times New Roman" w:cs="Times New Roman"/>
                <w:sz w:val="24"/>
                <w:szCs w:val="24"/>
              </w:rPr>
            </w:pPr>
            <w:r w:rsidRPr="007B4A99">
              <w:rPr>
                <w:rFonts w:ascii="Times New Roman" w:hAnsi="Times New Roman" w:cs="Times New Roman"/>
                <w:sz w:val="24"/>
                <w:szCs w:val="24"/>
              </w:rPr>
              <w:t>МЗХ</w:t>
            </w:r>
          </w:p>
        </w:tc>
        <w:tc>
          <w:tcPr>
            <w:tcW w:w="6373" w:type="dxa"/>
          </w:tcPr>
          <w:p w14:paraId="06069474" w14:textId="4CE82567" w:rsidR="006E5541" w:rsidRPr="007B4A99" w:rsidRDefault="006E5541" w:rsidP="00EA656A">
            <w:pPr>
              <w:rPr>
                <w:rFonts w:ascii="Times New Roman" w:hAnsi="Times New Roman" w:cs="Times New Roman"/>
                <w:sz w:val="24"/>
                <w:szCs w:val="24"/>
              </w:rPr>
            </w:pPr>
            <w:r w:rsidRPr="007B4A99">
              <w:rPr>
                <w:rFonts w:ascii="Times New Roman" w:hAnsi="Times New Roman" w:cs="Times New Roman"/>
                <w:sz w:val="24"/>
                <w:szCs w:val="24"/>
              </w:rPr>
              <w:t>Министерство на земеделието и храните</w:t>
            </w:r>
          </w:p>
        </w:tc>
      </w:tr>
      <w:tr w:rsidR="00035EEA" w:rsidRPr="007B4A99" w14:paraId="25ABA80C" w14:textId="77777777" w:rsidTr="00E2571A">
        <w:tc>
          <w:tcPr>
            <w:tcW w:w="2689" w:type="dxa"/>
          </w:tcPr>
          <w:p w14:paraId="30F782B9" w14:textId="455AA2BC" w:rsidR="00035EEA" w:rsidRPr="007B4A99" w:rsidRDefault="00035EEA" w:rsidP="0091147A">
            <w:pPr>
              <w:jc w:val="center"/>
              <w:rPr>
                <w:rFonts w:ascii="Times New Roman" w:hAnsi="Times New Roman" w:cs="Times New Roman"/>
                <w:sz w:val="24"/>
                <w:szCs w:val="24"/>
              </w:rPr>
            </w:pPr>
            <w:r w:rsidRPr="007B4A99">
              <w:rPr>
                <w:rFonts w:ascii="Times New Roman" w:hAnsi="Times New Roman" w:cs="Times New Roman"/>
                <w:sz w:val="24"/>
                <w:szCs w:val="24"/>
              </w:rPr>
              <w:t>МС</w:t>
            </w:r>
          </w:p>
        </w:tc>
        <w:tc>
          <w:tcPr>
            <w:tcW w:w="6373" w:type="dxa"/>
          </w:tcPr>
          <w:p w14:paraId="225EB0A6" w14:textId="6D3253E0" w:rsidR="00035EEA" w:rsidRPr="007B4A99" w:rsidRDefault="00035EEA" w:rsidP="00EA656A">
            <w:pPr>
              <w:rPr>
                <w:rFonts w:ascii="Times New Roman" w:hAnsi="Times New Roman" w:cs="Times New Roman"/>
                <w:sz w:val="24"/>
                <w:szCs w:val="24"/>
              </w:rPr>
            </w:pPr>
            <w:r w:rsidRPr="007B4A99">
              <w:rPr>
                <w:rFonts w:ascii="Times New Roman" w:hAnsi="Times New Roman" w:cs="Times New Roman"/>
                <w:sz w:val="24"/>
                <w:szCs w:val="24"/>
              </w:rPr>
              <w:t>Министерски съвет</w:t>
            </w:r>
          </w:p>
        </w:tc>
      </w:tr>
      <w:tr w:rsidR="00C20BD8" w:rsidRPr="007B4A99" w14:paraId="0670B478" w14:textId="77777777" w:rsidTr="00E2571A">
        <w:tc>
          <w:tcPr>
            <w:tcW w:w="2689" w:type="dxa"/>
          </w:tcPr>
          <w:p w14:paraId="61159926" w14:textId="5BA51DC4" w:rsidR="00C20BD8" w:rsidRPr="007B4A99" w:rsidRDefault="00C20BD8" w:rsidP="0091147A">
            <w:pPr>
              <w:jc w:val="center"/>
              <w:rPr>
                <w:rFonts w:ascii="Times New Roman" w:hAnsi="Times New Roman" w:cs="Times New Roman"/>
                <w:sz w:val="24"/>
                <w:szCs w:val="24"/>
              </w:rPr>
            </w:pPr>
            <w:r w:rsidRPr="007B4A99">
              <w:rPr>
                <w:rFonts w:ascii="Times New Roman" w:hAnsi="Times New Roman" w:cs="Times New Roman"/>
                <w:sz w:val="24"/>
                <w:szCs w:val="24"/>
              </w:rPr>
              <w:t>МСП</w:t>
            </w:r>
          </w:p>
        </w:tc>
        <w:tc>
          <w:tcPr>
            <w:tcW w:w="6373" w:type="dxa"/>
          </w:tcPr>
          <w:p w14:paraId="14A12E0F" w14:textId="78101C4A" w:rsidR="00C20BD8" w:rsidRPr="007B4A99" w:rsidRDefault="00C20BD8" w:rsidP="005B1EE9">
            <w:pPr>
              <w:rPr>
                <w:rFonts w:ascii="Times New Roman" w:hAnsi="Times New Roman" w:cs="Times New Roman"/>
                <w:sz w:val="24"/>
                <w:szCs w:val="24"/>
              </w:rPr>
            </w:pPr>
            <w:r w:rsidRPr="007B4A99">
              <w:rPr>
                <w:rFonts w:ascii="Times New Roman" w:hAnsi="Times New Roman" w:cs="Times New Roman"/>
                <w:sz w:val="24"/>
                <w:szCs w:val="24"/>
              </w:rPr>
              <w:t>Малки и средни предприятия</w:t>
            </w:r>
          </w:p>
        </w:tc>
      </w:tr>
      <w:tr w:rsidR="006E08D1" w:rsidRPr="007B4A99" w14:paraId="5A845498" w14:textId="77777777" w:rsidTr="00E2571A">
        <w:tc>
          <w:tcPr>
            <w:tcW w:w="2689" w:type="dxa"/>
          </w:tcPr>
          <w:p w14:paraId="5E6283F2" w14:textId="77777777" w:rsidR="006E08D1" w:rsidRPr="007B4A99" w:rsidRDefault="006E08D1" w:rsidP="0091147A">
            <w:pPr>
              <w:jc w:val="center"/>
              <w:rPr>
                <w:rFonts w:ascii="Times New Roman" w:hAnsi="Times New Roman" w:cs="Times New Roman"/>
                <w:sz w:val="24"/>
                <w:szCs w:val="24"/>
              </w:rPr>
            </w:pPr>
            <w:r w:rsidRPr="007B4A99">
              <w:rPr>
                <w:rFonts w:ascii="Times New Roman" w:hAnsi="Times New Roman" w:cs="Times New Roman"/>
                <w:sz w:val="24"/>
                <w:szCs w:val="24"/>
              </w:rPr>
              <w:t>НС</w:t>
            </w:r>
          </w:p>
        </w:tc>
        <w:tc>
          <w:tcPr>
            <w:tcW w:w="6373" w:type="dxa"/>
          </w:tcPr>
          <w:p w14:paraId="046CBC66" w14:textId="77777777" w:rsidR="006E08D1" w:rsidRPr="007B4A99" w:rsidRDefault="006E08D1" w:rsidP="00EA656A">
            <w:pPr>
              <w:rPr>
                <w:rFonts w:ascii="Times New Roman" w:hAnsi="Times New Roman" w:cs="Times New Roman"/>
                <w:sz w:val="24"/>
                <w:szCs w:val="24"/>
              </w:rPr>
            </w:pPr>
            <w:r w:rsidRPr="007B4A99">
              <w:rPr>
                <w:rFonts w:ascii="Times New Roman" w:hAnsi="Times New Roman" w:cs="Times New Roman"/>
                <w:sz w:val="24"/>
                <w:szCs w:val="24"/>
              </w:rPr>
              <w:t>Народно събрание</w:t>
            </w:r>
          </w:p>
        </w:tc>
      </w:tr>
      <w:tr w:rsidR="00FB0251" w:rsidRPr="007B4A99" w14:paraId="50BE3EF0" w14:textId="77777777" w:rsidTr="00E2571A">
        <w:tc>
          <w:tcPr>
            <w:tcW w:w="2689" w:type="dxa"/>
          </w:tcPr>
          <w:p w14:paraId="66575136" w14:textId="20D52D3B" w:rsidR="00FB0251" w:rsidRPr="007B4A99" w:rsidRDefault="00FB0251" w:rsidP="0091147A">
            <w:pPr>
              <w:jc w:val="center"/>
              <w:rPr>
                <w:rFonts w:ascii="Times New Roman" w:hAnsi="Times New Roman" w:cs="Times New Roman"/>
                <w:sz w:val="24"/>
                <w:szCs w:val="24"/>
              </w:rPr>
            </w:pPr>
            <w:r w:rsidRPr="007B4A99">
              <w:rPr>
                <w:rFonts w:ascii="Times New Roman" w:hAnsi="Times New Roman" w:cs="Times New Roman"/>
                <w:color w:val="212529"/>
                <w:sz w:val="24"/>
                <w:szCs w:val="24"/>
              </w:rPr>
              <w:t>НАП</w:t>
            </w:r>
          </w:p>
        </w:tc>
        <w:tc>
          <w:tcPr>
            <w:tcW w:w="6373" w:type="dxa"/>
          </w:tcPr>
          <w:p w14:paraId="3ED371B7" w14:textId="1A7C47D9" w:rsidR="00FB0251" w:rsidRPr="007B4A99" w:rsidRDefault="00FB0251" w:rsidP="00EA656A">
            <w:r w:rsidRPr="007B4A99">
              <w:rPr>
                <w:rFonts w:ascii="Times New Roman" w:hAnsi="Times New Roman" w:cs="Times New Roman"/>
                <w:color w:val="212529"/>
                <w:sz w:val="24"/>
                <w:szCs w:val="24"/>
              </w:rPr>
              <w:t>Национална агенция за приходите</w:t>
            </w:r>
          </w:p>
        </w:tc>
      </w:tr>
      <w:tr w:rsidR="000E56F5" w:rsidRPr="007B4A99" w14:paraId="2E8356E7" w14:textId="77777777" w:rsidTr="00E2571A">
        <w:tc>
          <w:tcPr>
            <w:tcW w:w="2689" w:type="dxa"/>
            <w:hideMark/>
          </w:tcPr>
          <w:p w14:paraId="21AE2642" w14:textId="77777777" w:rsidR="000E56F5" w:rsidRPr="007B4A99" w:rsidRDefault="000E56F5" w:rsidP="0091147A">
            <w:pPr>
              <w:jc w:val="center"/>
              <w:rPr>
                <w:rFonts w:ascii="Times New Roman" w:hAnsi="Times New Roman" w:cs="Times New Roman"/>
                <w:sz w:val="24"/>
                <w:szCs w:val="24"/>
              </w:rPr>
            </w:pPr>
            <w:r w:rsidRPr="007B4A99">
              <w:rPr>
                <w:rFonts w:ascii="Times New Roman" w:hAnsi="Times New Roman" w:cs="Times New Roman"/>
                <w:sz w:val="24"/>
                <w:szCs w:val="24"/>
              </w:rPr>
              <w:t>ОВ</w:t>
            </w:r>
          </w:p>
        </w:tc>
        <w:tc>
          <w:tcPr>
            <w:tcW w:w="6373" w:type="dxa"/>
            <w:hideMark/>
          </w:tcPr>
          <w:p w14:paraId="30FE800E" w14:textId="77777777" w:rsidR="000E56F5" w:rsidRPr="007B4A99" w:rsidRDefault="000E56F5" w:rsidP="00EA656A">
            <w:pPr>
              <w:rPr>
                <w:rFonts w:ascii="Times New Roman" w:hAnsi="Times New Roman" w:cs="Times New Roman"/>
                <w:sz w:val="24"/>
                <w:szCs w:val="24"/>
              </w:rPr>
            </w:pPr>
            <w:r w:rsidRPr="007B4A99">
              <w:rPr>
                <w:rFonts w:ascii="Times New Roman" w:hAnsi="Times New Roman" w:cs="Times New Roman"/>
                <w:sz w:val="24"/>
                <w:szCs w:val="24"/>
              </w:rPr>
              <w:t>Оценка на въздействието</w:t>
            </w:r>
          </w:p>
        </w:tc>
      </w:tr>
      <w:tr w:rsidR="008126F1" w:rsidRPr="007B4A99" w14:paraId="74617677" w14:textId="77777777" w:rsidTr="00E2571A">
        <w:tc>
          <w:tcPr>
            <w:tcW w:w="2689" w:type="dxa"/>
          </w:tcPr>
          <w:p w14:paraId="7FA9B022" w14:textId="77777777" w:rsidR="008126F1" w:rsidRPr="007B4A99" w:rsidRDefault="008126F1" w:rsidP="0091147A">
            <w:pPr>
              <w:jc w:val="center"/>
              <w:rPr>
                <w:rFonts w:ascii="Times New Roman" w:hAnsi="Times New Roman" w:cs="Times New Roman"/>
                <w:sz w:val="24"/>
                <w:szCs w:val="24"/>
              </w:rPr>
            </w:pPr>
            <w:r w:rsidRPr="007B4A99">
              <w:rPr>
                <w:rFonts w:ascii="Times New Roman" w:hAnsi="Times New Roman"/>
              </w:rPr>
              <w:t>ОИСР</w:t>
            </w:r>
          </w:p>
        </w:tc>
        <w:tc>
          <w:tcPr>
            <w:tcW w:w="6373" w:type="dxa"/>
          </w:tcPr>
          <w:p w14:paraId="2BD70ED9" w14:textId="77777777" w:rsidR="008126F1" w:rsidRPr="007B4A99" w:rsidRDefault="008126F1" w:rsidP="00EA656A">
            <w:pPr>
              <w:rPr>
                <w:rFonts w:ascii="Times New Roman" w:hAnsi="Times New Roman" w:cs="Times New Roman"/>
                <w:sz w:val="24"/>
                <w:szCs w:val="24"/>
              </w:rPr>
            </w:pPr>
            <w:r w:rsidRPr="007B4A99">
              <w:rPr>
                <w:rFonts w:ascii="Times New Roman" w:hAnsi="Times New Roman" w:cs="Times New Roman"/>
                <w:sz w:val="24"/>
                <w:szCs w:val="24"/>
              </w:rPr>
              <w:t>Организация за икономическо сътрудничество и развитие</w:t>
            </w:r>
          </w:p>
        </w:tc>
      </w:tr>
      <w:tr w:rsidR="00711944" w:rsidRPr="007B4A99" w14:paraId="56DD4D48" w14:textId="77777777" w:rsidTr="00E2571A">
        <w:tc>
          <w:tcPr>
            <w:tcW w:w="2689" w:type="dxa"/>
          </w:tcPr>
          <w:p w14:paraId="4F671032" w14:textId="292D1CAA" w:rsidR="00711944" w:rsidRPr="007B4A99" w:rsidRDefault="00711944" w:rsidP="0091147A">
            <w:pPr>
              <w:jc w:val="center"/>
              <w:rPr>
                <w:rFonts w:ascii="Times New Roman" w:hAnsi="Times New Roman"/>
              </w:rPr>
            </w:pPr>
            <w:r>
              <w:rPr>
                <w:rFonts w:ascii="Times New Roman" w:eastAsia="Calibri" w:hAnsi="Times New Roman" w:cs="Times New Roman"/>
                <w:kern w:val="2"/>
                <w:sz w:val="24"/>
                <w:szCs w:val="24"/>
                <w14:ligatures w14:val="standardContextual"/>
              </w:rPr>
              <w:t>ОСП</w:t>
            </w:r>
          </w:p>
        </w:tc>
        <w:tc>
          <w:tcPr>
            <w:tcW w:w="6373" w:type="dxa"/>
          </w:tcPr>
          <w:p w14:paraId="3FE532DE" w14:textId="607A2509" w:rsidR="00711944" w:rsidRPr="007B4A99" w:rsidRDefault="00711944" w:rsidP="00EA656A">
            <w:pPr>
              <w:rPr>
                <w:rFonts w:ascii="Times New Roman" w:hAnsi="Times New Roman" w:cs="Times New Roman"/>
                <w:sz w:val="24"/>
                <w:szCs w:val="24"/>
              </w:rPr>
            </w:pPr>
            <w:r w:rsidRPr="00B73B76">
              <w:rPr>
                <w:rFonts w:ascii="Times New Roman" w:eastAsia="Calibri" w:hAnsi="Times New Roman" w:cs="Times New Roman"/>
                <w:kern w:val="2"/>
                <w:sz w:val="24"/>
                <w:szCs w:val="24"/>
                <w14:ligatures w14:val="standardContextual"/>
              </w:rPr>
              <w:t>О</w:t>
            </w:r>
            <w:r>
              <w:rPr>
                <w:rFonts w:ascii="Times New Roman" w:eastAsia="Calibri" w:hAnsi="Times New Roman" w:cs="Times New Roman"/>
                <w:kern w:val="2"/>
                <w:sz w:val="24"/>
                <w:szCs w:val="24"/>
                <w14:ligatures w14:val="standardContextual"/>
              </w:rPr>
              <w:t>бща селскостопанска политика</w:t>
            </w:r>
          </w:p>
        </w:tc>
      </w:tr>
      <w:tr w:rsidR="000E56F5" w:rsidRPr="007B4A99" w14:paraId="7CB2DF7C" w14:textId="77777777" w:rsidTr="00E2571A">
        <w:tc>
          <w:tcPr>
            <w:tcW w:w="2689" w:type="dxa"/>
            <w:hideMark/>
          </w:tcPr>
          <w:p w14:paraId="60F6C7C1" w14:textId="10B0CD81" w:rsidR="000E56F5" w:rsidRPr="007B4A99" w:rsidRDefault="00557D64" w:rsidP="0091147A">
            <w:pPr>
              <w:jc w:val="center"/>
              <w:rPr>
                <w:rFonts w:ascii="Times New Roman" w:hAnsi="Times New Roman" w:cs="Times New Roman"/>
                <w:sz w:val="24"/>
                <w:szCs w:val="24"/>
              </w:rPr>
            </w:pPr>
            <w:r w:rsidRPr="007B4A99">
              <w:rPr>
                <w:rFonts w:ascii="Times New Roman" w:hAnsi="Times New Roman" w:cs="Times New Roman"/>
                <w:sz w:val="24"/>
                <w:szCs w:val="24"/>
              </w:rPr>
              <w:t>ПМС</w:t>
            </w:r>
          </w:p>
        </w:tc>
        <w:tc>
          <w:tcPr>
            <w:tcW w:w="6373" w:type="dxa"/>
            <w:hideMark/>
          </w:tcPr>
          <w:p w14:paraId="765A2E65" w14:textId="59F5D349" w:rsidR="000E56F5" w:rsidRPr="007B4A99" w:rsidRDefault="00557D64" w:rsidP="00EA656A">
            <w:pPr>
              <w:rPr>
                <w:rFonts w:ascii="Times New Roman" w:hAnsi="Times New Roman" w:cs="Times New Roman"/>
                <w:sz w:val="24"/>
                <w:szCs w:val="24"/>
              </w:rPr>
            </w:pPr>
            <w:r w:rsidRPr="007B4A99">
              <w:rPr>
                <w:rFonts w:ascii="Times New Roman" w:hAnsi="Times New Roman" w:cs="Times New Roman"/>
                <w:sz w:val="24"/>
                <w:szCs w:val="24"/>
              </w:rPr>
              <w:t>Постановление на Министерския съвет</w:t>
            </w:r>
          </w:p>
        </w:tc>
      </w:tr>
      <w:tr w:rsidR="006E66D1" w:rsidRPr="007B4A99" w14:paraId="009213E0" w14:textId="77777777" w:rsidTr="00E2571A">
        <w:tc>
          <w:tcPr>
            <w:tcW w:w="2689" w:type="dxa"/>
          </w:tcPr>
          <w:p w14:paraId="76FBFBAF" w14:textId="7F1135AA" w:rsidR="006E66D1" w:rsidRPr="007B4A99" w:rsidRDefault="006E66D1" w:rsidP="0091147A">
            <w:pPr>
              <w:jc w:val="center"/>
              <w:rPr>
                <w:rFonts w:ascii="Times New Roman" w:hAnsi="Times New Roman" w:cs="Times New Roman"/>
                <w:sz w:val="24"/>
                <w:szCs w:val="24"/>
              </w:rPr>
            </w:pPr>
            <w:r w:rsidRPr="007B4A99">
              <w:rPr>
                <w:rFonts w:ascii="Times New Roman" w:hAnsi="Times New Roman" w:cs="Times New Roman"/>
                <w:sz w:val="24"/>
                <w:szCs w:val="24"/>
              </w:rPr>
              <w:t>РМС</w:t>
            </w:r>
          </w:p>
        </w:tc>
        <w:tc>
          <w:tcPr>
            <w:tcW w:w="6373" w:type="dxa"/>
          </w:tcPr>
          <w:p w14:paraId="3BF351B3" w14:textId="07642AF7" w:rsidR="006E66D1" w:rsidRPr="007B4A99" w:rsidRDefault="006E66D1" w:rsidP="00EA656A">
            <w:pPr>
              <w:rPr>
                <w:rFonts w:ascii="Times New Roman" w:hAnsi="Times New Roman" w:cs="Times New Roman"/>
                <w:sz w:val="24"/>
                <w:szCs w:val="24"/>
              </w:rPr>
            </w:pPr>
            <w:r w:rsidRPr="007B4A99">
              <w:rPr>
                <w:rFonts w:ascii="Times New Roman" w:hAnsi="Times New Roman" w:cs="Times New Roman"/>
                <w:sz w:val="24"/>
                <w:szCs w:val="24"/>
              </w:rPr>
              <w:t>Решение на Министерския съвет</w:t>
            </w:r>
          </w:p>
        </w:tc>
      </w:tr>
    </w:tbl>
    <w:p w14:paraId="4D4F5C33" w14:textId="77777777" w:rsidR="00AB0BC4" w:rsidRDefault="00AB0BC4">
      <w:pPr>
        <w:rPr>
          <w:rFonts w:ascii="Times New Roman" w:hAnsi="Times New Roman" w:cs="Times New Roman"/>
          <w:b/>
          <w:color w:val="1F4E79" w:themeColor="accent1" w:themeShade="80"/>
        </w:rPr>
      </w:pPr>
    </w:p>
    <w:p w14:paraId="63E6CA4C" w14:textId="77777777" w:rsidR="00D9463F" w:rsidRDefault="00D9463F">
      <w:pPr>
        <w:rPr>
          <w:rFonts w:ascii="Times New Roman" w:hAnsi="Times New Roman" w:cs="Times New Roman"/>
          <w:b/>
          <w:color w:val="1F4E79" w:themeColor="accent1" w:themeShade="80"/>
        </w:rPr>
      </w:pPr>
    </w:p>
    <w:p w14:paraId="123A5E1D" w14:textId="77777777" w:rsidR="00BA0CA1" w:rsidRDefault="00BA0CA1">
      <w:pPr>
        <w:rPr>
          <w:rFonts w:ascii="Times New Roman" w:hAnsi="Times New Roman" w:cs="Times New Roman"/>
          <w:b/>
          <w:color w:val="1F4E79" w:themeColor="accent1" w:themeShade="80"/>
          <w:sz w:val="24"/>
          <w:szCs w:val="24"/>
        </w:rPr>
      </w:pPr>
      <w:r w:rsidRPr="00D102E9">
        <w:rPr>
          <w:rFonts w:ascii="Times New Roman" w:hAnsi="Times New Roman" w:cs="Times New Roman"/>
          <w:b/>
          <w:color w:val="1F4E79" w:themeColor="accent1" w:themeShade="80"/>
          <w:sz w:val="24"/>
          <w:szCs w:val="24"/>
        </w:rPr>
        <w:t>Списък на таблиците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791"/>
      </w:tblGrid>
      <w:tr w:rsidR="008C0E40" w:rsidRPr="007B4A99" w14:paraId="118161FA" w14:textId="77777777" w:rsidTr="00607FE5">
        <w:tc>
          <w:tcPr>
            <w:tcW w:w="1271" w:type="dxa"/>
          </w:tcPr>
          <w:p w14:paraId="051F3CDA" w14:textId="77777777" w:rsidR="008C0E40" w:rsidRPr="007B4A99" w:rsidRDefault="008C0E40" w:rsidP="00607FE5">
            <w:pPr>
              <w:jc w:val="center"/>
              <w:rPr>
                <w:rFonts w:ascii="Times New Roman" w:hAnsi="Times New Roman" w:cs="Times New Roman"/>
                <w:b/>
                <w:sz w:val="24"/>
                <w:szCs w:val="24"/>
              </w:rPr>
            </w:pPr>
            <w:r w:rsidRPr="007B4A99">
              <w:rPr>
                <w:rFonts w:ascii="Times New Roman" w:hAnsi="Times New Roman" w:cs="Times New Roman"/>
                <w:b/>
                <w:sz w:val="24"/>
                <w:szCs w:val="24"/>
              </w:rPr>
              <w:t>Таблица №</w:t>
            </w:r>
          </w:p>
        </w:tc>
        <w:tc>
          <w:tcPr>
            <w:tcW w:w="7791" w:type="dxa"/>
          </w:tcPr>
          <w:p w14:paraId="1A6E38AF" w14:textId="77777777" w:rsidR="008C0E40" w:rsidRPr="007B4A99" w:rsidRDefault="008C0E40" w:rsidP="00607FE5">
            <w:pPr>
              <w:jc w:val="center"/>
              <w:rPr>
                <w:rFonts w:ascii="Times New Roman" w:hAnsi="Times New Roman" w:cs="Times New Roman"/>
                <w:b/>
                <w:sz w:val="24"/>
                <w:szCs w:val="24"/>
              </w:rPr>
            </w:pPr>
            <w:r w:rsidRPr="007B4A99">
              <w:rPr>
                <w:rFonts w:ascii="Times New Roman" w:hAnsi="Times New Roman" w:cs="Times New Roman"/>
                <w:b/>
                <w:sz w:val="24"/>
                <w:szCs w:val="24"/>
              </w:rPr>
              <w:t>Заглавие/описание на таблицата</w:t>
            </w:r>
          </w:p>
        </w:tc>
      </w:tr>
      <w:tr w:rsidR="008C0E40" w:rsidRPr="007B4A99" w14:paraId="2A6DAB20" w14:textId="77777777" w:rsidTr="00607FE5">
        <w:tc>
          <w:tcPr>
            <w:tcW w:w="1271" w:type="dxa"/>
          </w:tcPr>
          <w:p w14:paraId="2B98637A" w14:textId="77777777" w:rsidR="008C0E40" w:rsidRPr="007B4A99" w:rsidRDefault="008C0E40" w:rsidP="00607FE5">
            <w:pPr>
              <w:jc w:val="center"/>
              <w:rPr>
                <w:rFonts w:ascii="Times New Roman" w:hAnsi="Times New Roman" w:cs="Times New Roman"/>
                <w:sz w:val="24"/>
                <w:szCs w:val="24"/>
              </w:rPr>
            </w:pPr>
            <w:r w:rsidRPr="007B4A99">
              <w:rPr>
                <w:rFonts w:ascii="Times New Roman" w:hAnsi="Times New Roman" w:cs="Times New Roman"/>
                <w:sz w:val="24"/>
                <w:szCs w:val="24"/>
              </w:rPr>
              <w:t>1</w:t>
            </w:r>
          </w:p>
        </w:tc>
        <w:tc>
          <w:tcPr>
            <w:tcW w:w="7791" w:type="dxa"/>
          </w:tcPr>
          <w:p w14:paraId="102D06E1" w14:textId="77777777" w:rsidR="008C0E40" w:rsidRPr="007B4A99" w:rsidRDefault="008C0E40" w:rsidP="00607FE5">
            <w:pPr>
              <w:jc w:val="both"/>
              <w:rPr>
                <w:rFonts w:ascii="Times New Roman" w:hAnsi="Times New Roman" w:cs="Times New Roman"/>
                <w:sz w:val="24"/>
                <w:szCs w:val="24"/>
              </w:rPr>
            </w:pPr>
            <w:r w:rsidRPr="007B4A99">
              <w:rPr>
                <w:rFonts w:ascii="Times New Roman" w:hAnsi="Times New Roman" w:cs="Times New Roman"/>
                <w:sz w:val="24"/>
                <w:szCs w:val="24"/>
              </w:rPr>
              <w:t>Свързване на вариантите с идентифицирания проблем</w:t>
            </w:r>
          </w:p>
        </w:tc>
      </w:tr>
      <w:tr w:rsidR="008C0E40" w:rsidRPr="007B4A99" w14:paraId="3A981223" w14:textId="77777777" w:rsidTr="00607FE5">
        <w:tc>
          <w:tcPr>
            <w:tcW w:w="1271" w:type="dxa"/>
          </w:tcPr>
          <w:p w14:paraId="4C4AA5BE" w14:textId="77777777" w:rsidR="008C0E40" w:rsidRPr="007B4A99" w:rsidRDefault="008C0E40" w:rsidP="00607FE5">
            <w:pPr>
              <w:jc w:val="center"/>
              <w:rPr>
                <w:rFonts w:ascii="Times New Roman" w:hAnsi="Times New Roman" w:cs="Times New Roman"/>
                <w:sz w:val="24"/>
                <w:szCs w:val="24"/>
              </w:rPr>
            </w:pPr>
            <w:r w:rsidRPr="007B4A99">
              <w:rPr>
                <w:rFonts w:ascii="Times New Roman" w:hAnsi="Times New Roman" w:cs="Times New Roman"/>
                <w:sz w:val="24"/>
                <w:szCs w:val="24"/>
              </w:rPr>
              <w:t>2</w:t>
            </w:r>
          </w:p>
        </w:tc>
        <w:tc>
          <w:tcPr>
            <w:tcW w:w="7791" w:type="dxa"/>
          </w:tcPr>
          <w:p w14:paraId="66C54FED" w14:textId="77777777" w:rsidR="008C0E40" w:rsidRPr="007B4A99" w:rsidRDefault="008C0E40" w:rsidP="00607FE5">
            <w:pPr>
              <w:jc w:val="both"/>
              <w:rPr>
                <w:rFonts w:ascii="Times New Roman" w:hAnsi="Times New Roman" w:cs="Times New Roman"/>
                <w:sz w:val="24"/>
                <w:szCs w:val="24"/>
              </w:rPr>
            </w:pPr>
            <w:r w:rsidRPr="007B4A99">
              <w:rPr>
                <w:rFonts w:ascii="Times New Roman" w:hAnsi="Times New Roman"/>
                <w:sz w:val="24"/>
                <w:szCs w:val="24"/>
              </w:rPr>
              <w:t>Представяне на значимите икономически, социални, и екологични въздействия на вариантите</w:t>
            </w:r>
          </w:p>
        </w:tc>
      </w:tr>
      <w:tr w:rsidR="008C0E40" w:rsidRPr="007B4A99" w14:paraId="32F6139C" w14:textId="77777777" w:rsidTr="00607FE5">
        <w:tc>
          <w:tcPr>
            <w:tcW w:w="1271" w:type="dxa"/>
          </w:tcPr>
          <w:p w14:paraId="76FC96C9" w14:textId="77777777" w:rsidR="008C0E40" w:rsidRPr="007B4A99" w:rsidRDefault="008C0E40" w:rsidP="00607FE5">
            <w:pPr>
              <w:jc w:val="center"/>
              <w:rPr>
                <w:rFonts w:ascii="Times New Roman" w:hAnsi="Times New Roman" w:cs="Times New Roman"/>
                <w:sz w:val="24"/>
                <w:szCs w:val="24"/>
              </w:rPr>
            </w:pPr>
            <w:r>
              <w:rPr>
                <w:rFonts w:ascii="Times New Roman" w:hAnsi="Times New Roman" w:cs="Times New Roman"/>
                <w:sz w:val="24"/>
                <w:szCs w:val="24"/>
              </w:rPr>
              <w:t>3</w:t>
            </w:r>
          </w:p>
        </w:tc>
        <w:tc>
          <w:tcPr>
            <w:tcW w:w="7791" w:type="dxa"/>
          </w:tcPr>
          <w:p w14:paraId="5331A790" w14:textId="77777777" w:rsidR="008C0E40" w:rsidRPr="007B4A99" w:rsidRDefault="008C0E40" w:rsidP="00607FE5">
            <w:pPr>
              <w:jc w:val="both"/>
              <w:rPr>
                <w:rFonts w:ascii="Times New Roman" w:hAnsi="Times New Roman" w:cs="Times New Roman"/>
                <w:sz w:val="24"/>
                <w:szCs w:val="24"/>
              </w:rPr>
            </w:pPr>
            <w:r w:rsidRPr="007B4A99">
              <w:rPr>
                <w:rFonts w:ascii="Times New Roman" w:hAnsi="Times New Roman"/>
                <w:sz w:val="24"/>
                <w:szCs w:val="24"/>
              </w:rPr>
              <w:t>Матрица на въздействията на Вариант 0: „Без действие“</w:t>
            </w:r>
          </w:p>
        </w:tc>
      </w:tr>
      <w:tr w:rsidR="008C0E40" w:rsidRPr="007B4A99" w14:paraId="33B8025C" w14:textId="77777777" w:rsidTr="00607FE5">
        <w:tc>
          <w:tcPr>
            <w:tcW w:w="1271" w:type="dxa"/>
          </w:tcPr>
          <w:p w14:paraId="255B0869" w14:textId="77777777" w:rsidR="008C0E40" w:rsidRPr="007B4A99" w:rsidRDefault="008C0E40" w:rsidP="00607FE5">
            <w:pPr>
              <w:jc w:val="center"/>
              <w:rPr>
                <w:rFonts w:ascii="Times New Roman" w:hAnsi="Times New Roman" w:cs="Times New Roman"/>
                <w:sz w:val="24"/>
                <w:szCs w:val="24"/>
              </w:rPr>
            </w:pPr>
            <w:r>
              <w:rPr>
                <w:rFonts w:ascii="Times New Roman" w:hAnsi="Times New Roman" w:cs="Times New Roman"/>
                <w:sz w:val="24"/>
                <w:szCs w:val="24"/>
              </w:rPr>
              <w:t>4</w:t>
            </w:r>
          </w:p>
        </w:tc>
        <w:tc>
          <w:tcPr>
            <w:tcW w:w="7791" w:type="dxa"/>
          </w:tcPr>
          <w:p w14:paraId="305E7B96" w14:textId="77777777" w:rsidR="008C0E40" w:rsidRPr="007B4A99" w:rsidRDefault="008C0E40" w:rsidP="00607FE5">
            <w:pPr>
              <w:jc w:val="both"/>
              <w:rPr>
                <w:rFonts w:ascii="Times New Roman" w:hAnsi="Times New Roman" w:cs="Times New Roman"/>
                <w:sz w:val="24"/>
                <w:szCs w:val="24"/>
              </w:rPr>
            </w:pPr>
            <w:r w:rsidRPr="007B4A99">
              <w:rPr>
                <w:rFonts w:ascii="Times New Roman" w:hAnsi="Times New Roman"/>
                <w:sz w:val="24"/>
                <w:szCs w:val="24"/>
              </w:rPr>
              <w:t>Матрица на въздействията на Вариант 1: „Нерегулаторен“</w:t>
            </w:r>
          </w:p>
        </w:tc>
      </w:tr>
      <w:tr w:rsidR="008C0E40" w:rsidRPr="007B4A99" w14:paraId="2B8EA1A0" w14:textId="77777777" w:rsidTr="00607FE5">
        <w:tc>
          <w:tcPr>
            <w:tcW w:w="1271" w:type="dxa"/>
          </w:tcPr>
          <w:p w14:paraId="353F473C" w14:textId="77777777" w:rsidR="008C0E40" w:rsidRPr="007B4A99" w:rsidRDefault="008C0E40" w:rsidP="00607FE5">
            <w:pPr>
              <w:jc w:val="center"/>
              <w:rPr>
                <w:rFonts w:ascii="Times New Roman" w:hAnsi="Times New Roman" w:cs="Times New Roman"/>
                <w:sz w:val="24"/>
                <w:szCs w:val="24"/>
              </w:rPr>
            </w:pPr>
            <w:r>
              <w:rPr>
                <w:rFonts w:ascii="Times New Roman" w:hAnsi="Times New Roman" w:cs="Times New Roman"/>
                <w:sz w:val="24"/>
                <w:szCs w:val="24"/>
              </w:rPr>
              <w:t>5</w:t>
            </w:r>
          </w:p>
        </w:tc>
        <w:tc>
          <w:tcPr>
            <w:tcW w:w="7791" w:type="dxa"/>
          </w:tcPr>
          <w:p w14:paraId="579C8B08" w14:textId="77777777" w:rsidR="008C0E40" w:rsidRPr="007B4A99" w:rsidRDefault="008C0E40" w:rsidP="00607FE5">
            <w:pPr>
              <w:jc w:val="both"/>
              <w:rPr>
                <w:rFonts w:ascii="Times New Roman" w:hAnsi="Times New Roman" w:cs="Times New Roman"/>
                <w:sz w:val="24"/>
                <w:szCs w:val="24"/>
              </w:rPr>
            </w:pPr>
            <w:r w:rsidRPr="007B4A99">
              <w:rPr>
                <w:rFonts w:ascii="Times New Roman" w:hAnsi="Times New Roman"/>
                <w:sz w:val="24"/>
                <w:szCs w:val="24"/>
              </w:rPr>
              <w:t>Матрица на въздействията на Вариант 2: „Регулаторен - промени в действащата правна уредба“</w:t>
            </w:r>
          </w:p>
        </w:tc>
      </w:tr>
      <w:tr w:rsidR="008C0E40" w:rsidRPr="007B4A99" w14:paraId="729BA989" w14:textId="77777777" w:rsidTr="00607FE5">
        <w:tc>
          <w:tcPr>
            <w:tcW w:w="1271" w:type="dxa"/>
          </w:tcPr>
          <w:p w14:paraId="19DB4A4C" w14:textId="77777777" w:rsidR="008C0E40" w:rsidRPr="007B4A99" w:rsidRDefault="008C0E40" w:rsidP="00607FE5">
            <w:pPr>
              <w:jc w:val="center"/>
              <w:rPr>
                <w:rFonts w:ascii="Times New Roman" w:hAnsi="Times New Roman" w:cs="Times New Roman"/>
                <w:sz w:val="24"/>
                <w:szCs w:val="24"/>
              </w:rPr>
            </w:pPr>
            <w:r>
              <w:rPr>
                <w:rFonts w:ascii="Times New Roman" w:hAnsi="Times New Roman" w:cs="Times New Roman"/>
                <w:sz w:val="24"/>
                <w:szCs w:val="24"/>
              </w:rPr>
              <w:t>6</w:t>
            </w:r>
          </w:p>
        </w:tc>
        <w:tc>
          <w:tcPr>
            <w:tcW w:w="7791" w:type="dxa"/>
          </w:tcPr>
          <w:p w14:paraId="0CBE10EA" w14:textId="77777777" w:rsidR="008C0E40" w:rsidRPr="007B4A99" w:rsidRDefault="008C0E40" w:rsidP="00607FE5">
            <w:pPr>
              <w:jc w:val="both"/>
              <w:rPr>
                <w:rFonts w:ascii="Times New Roman" w:hAnsi="Times New Roman"/>
                <w:sz w:val="24"/>
                <w:szCs w:val="24"/>
              </w:rPr>
            </w:pPr>
            <w:r w:rsidRPr="007B4A99">
              <w:rPr>
                <w:rFonts w:ascii="Times New Roman" w:hAnsi="Times New Roman"/>
                <w:sz w:val="24"/>
                <w:szCs w:val="24"/>
              </w:rPr>
              <w:t>Матрица на въздействията на Вариант 3: „Регулаторен - изцяло нов специален закон“</w:t>
            </w:r>
          </w:p>
        </w:tc>
      </w:tr>
      <w:tr w:rsidR="008C0E40" w:rsidRPr="007B4A99" w14:paraId="7032EADE" w14:textId="77777777" w:rsidTr="00607FE5">
        <w:tc>
          <w:tcPr>
            <w:tcW w:w="1271" w:type="dxa"/>
          </w:tcPr>
          <w:p w14:paraId="58C3E661" w14:textId="77777777" w:rsidR="008C0E40" w:rsidRPr="007B4A99" w:rsidRDefault="008C0E40" w:rsidP="00607FE5">
            <w:pPr>
              <w:jc w:val="center"/>
              <w:rPr>
                <w:rFonts w:ascii="Times New Roman" w:hAnsi="Times New Roman" w:cs="Times New Roman"/>
                <w:sz w:val="24"/>
                <w:szCs w:val="24"/>
              </w:rPr>
            </w:pPr>
            <w:r>
              <w:rPr>
                <w:rFonts w:ascii="Times New Roman" w:hAnsi="Times New Roman" w:cs="Times New Roman"/>
                <w:sz w:val="24"/>
                <w:szCs w:val="24"/>
              </w:rPr>
              <w:t>7</w:t>
            </w:r>
          </w:p>
        </w:tc>
        <w:tc>
          <w:tcPr>
            <w:tcW w:w="7791" w:type="dxa"/>
          </w:tcPr>
          <w:p w14:paraId="6E69E995" w14:textId="77777777" w:rsidR="008C0E40" w:rsidRPr="007B4A99" w:rsidRDefault="008C0E40" w:rsidP="00607FE5">
            <w:pPr>
              <w:jc w:val="both"/>
              <w:rPr>
                <w:rFonts w:ascii="Times New Roman" w:hAnsi="Times New Roman"/>
                <w:sz w:val="24"/>
                <w:szCs w:val="24"/>
              </w:rPr>
            </w:pPr>
            <w:r w:rsidRPr="007B4A99">
              <w:rPr>
                <w:rFonts w:ascii="Times New Roman" w:hAnsi="Times New Roman"/>
                <w:sz w:val="24"/>
                <w:szCs w:val="24"/>
              </w:rPr>
              <w:t>Количествена оценка на най-значимите въздействия и на специфичните им аспекти</w:t>
            </w:r>
          </w:p>
        </w:tc>
      </w:tr>
      <w:tr w:rsidR="008C0E40" w:rsidRPr="007B4A99" w14:paraId="370CBEDB" w14:textId="77777777" w:rsidTr="00607FE5">
        <w:tc>
          <w:tcPr>
            <w:tcW w:w="1271" w:type="dxa"/>
          </w:tcPr>
          <w:p w14:paraId="6C693CA8" w14:textId="77777777" w:rsidR="008C0E40" w:rsidRDefault="008C0E40" w:rsidP="00607FE5">
            <w:pPr>
              <w:jc w:val="center"/>
              <w:rPr>
                <w:rFonts w:ascii="Times New Roman" w:hAnsi="Times New Roman" w:cs="Times New Roman"/>
                <w:sz w:val="24"/>
                <w:szCs w:val="24"/>
              </w:rPr>
            </w:pPr>
            <w:r>
              <w:rPr>
                <w:rFonts w:ascii="Times New Roman" w:hAnsi="Times New Roman" w:cs="Times New Roman"/>
                <w:sz w:val="24"/>
                <w:szCs w:val="24"/>
              </w:rPr>
              <w:t>8</w:t>
            </w:r>
          </w:p>
        </w:tc>
        <w:tc>
          <w:tcPr>
            <w:tcW w:w="7791" w:type="dxa"/>
          </w:tcPr>
          <w:p w14:paraId="1C48FC88" w14:textId="77777777" w:rsidR="008C0E40" w:rsidRPr="00A50666" w:rsidRDefault="008C0E40" w:rsidP="00607FE5">
            <w:pPr>
              <w:jc w:val="both"/>
              <w:rPr>
                <w:rFonts w:ascii="Times New Roman" w:hAnsi="Times New Roman"/>
                <w:sz w:val="24"/>
                <w:szCs w:val="24"/>
              </w:rPr>
            </w:pPr>
            <w:r w:rsidRPr="00A679D5">
              <w:rPr>
                <w:rFonts w:ascii="Times New Roman" w:hAnsi="Times New Roman"/>
                <w:sz w:val="24"/>
                <w:szCs w:val="24"/>
              </w:rPr>
              <w:t>Обобщение на оценката на риска по категории</w:t>
            </w:r>
          </w:p>
        </w:tc>
      </w:tr>
      <w:tr w:rsidR="008C0E40" w:rsidRPr="00E16161" w14:paraId="20A04133" w14:textId="77777777" w:rsidTr="00607FE5">
        <w:tc>
          <w:tcPr>
            <w:tcW w:w="1271" w:type="dxa"/>
          </w:tcPr>
          <w:p w14:paraId="7F029C0A" w14:textId="77777777" w:rsidR="008C0E40" w:rsidRPr="00E16161" w:rsidRDefault="008C0E40" w:rsidP="00607FE5">
            <w:pPr>
              <w:jc w:val="center"/>
              <w:rPr>
                <w:rFonts w:ascii="Times New Roman" w:hAnsi="Times New Roman" w:cs="Times New Roman"/>
                <w:sz w:val="24"/>
                <w:szCs w:val="24"/>
              </w:rPr>
            </w:pPr>
            <w:r>
              <w:rPr>
                <w:rFonts w:ascii="Times New Roman" w:eastAsia="Times New Roman" w:hAnsi="Times New Roman" w:cs="Times New Roman"/>
                <w:sz w:val="24"/>
                <w:szCs w:val="24"/>
              </w:rPr>
              <w:t>9</w:t>
            </w:r>
          </w:p>
        </w:tc>
        <w:tc>
          <w:tcPr>
            <w:tcW w:w="7791" w:type="dxa"/>
          </w:tcPr>
          <w:p w14:paraId="22292C96" w14:textId="77777777" w:rsidR="008C0E40" w:rsidRPr="00E16161" w:rsidRDefault="008C0E40" w:rsidP="00607FE5">
            <w:pPr>
              <w:jc w:val="both"/>
              <w:rPr>
                <w:rFonts w:ascii="Times New Roman" w:hAnsi="Times New Roman"/>
                <w:sz w:val="24"/>
                <w:szCs w:val="24"/>
              </w:rPr>
            </w:pPr>
            <w:r w:rsidRPr="00CB0A97">
              <w:rPr>
                <w:rFonts w:ascii="Times New Roman" w:eastAsia="Times New Roman" w:hAnsi="Times New Roman" w:cs="Times New Roman"/>
                <w:sz w:val="24"/>
                <w:szCs w:val="24"/>
              </w:rPr>
              <w:t>Обосновани разпределени тежести на критериите за мултикритериен анализ</w:t>
            </w:r>
          </w:p>
        </w:tc>
      </w:tr>
      <w:tr w:rsidR="008C0E40" w:rsidRPr="00E16161" w14:paraId="4FE8EC4D" w14:textId="77777777" w:rsidTr="00607FE5">
        <w:tc>
          <w:tcPr>
            <w:tcW w:w="1271" w:type="dxa"/>
          </w:tcPr>
          <w:p w14:paraId="3EF1F8AD" w14:textId="77777777" w:rsidR="008C0E40" w:rsidRPr="00E16161" w:rsidRDefault="008C0E40" w:rsidP="00607FE5">
            <w:pPr>
              <w:jc w:val="center"/>
              <w:rPr>
                <w:rFonts w:ascii="Times New Roman" w:hAnsi="Times New Roman" w:cs="Times New Roman"/>
                <w:sz w:val="24"/>
                <w:szCs w:val="24"/>
              </w:rPr>
            </w:pPr>
            <w:r>
              <w:rPr>
                <w:rFonts w:ascii="Times New Roman" w:eastAsia="Times New Roman" w:hAnsi="Times New Roman" w:cs="Times New Roman"/>
                <w:sz w:val="24"/>
                <w:szCs w:val="24"/>
              </w:rPr>
              <w:t>10</w:t>
            </w:r>
          </w:p>
        </w:tc>
        <w:tc>
          <w:tcPr>
            <w:tcW w:w="7791" w:type="dxa"/>
          </w:tcPr>
          <w:p w14:paraId="63DDD2B2" w14:textId="77777777" w:rsidR="008C0E40" w:rsidRPr="00CB0A97" w:rsidRDefault="008C0E40" w:rsidP="00607FE5">
            <w:pPr>
              <w:jc w:val="both"/>
              <w:rPr>
                <w:rFonts w:ascii="Times New Roman" w:hAnsi="Times New Roman"/>
                <w:sz w:val="24"/>
                <w:szCs w:val="24"/>
              </w:rPr>
            </w:pPr>
            <w:r w:rsidRPr="00CB0A97">
              <w:rPr>
                <w:rFonts w:ascii="Times New Roman" w:eastAsia="Times New Roman" w:hAnsi="Times New Roman" w:cs="Times New Roman"/>
                <w:sz w:val="24"/>
                <w:szCs w:val="24"/>
                <w:lang w:val="ru-RU"/>
              </w:rPr>
              <w:t>Резултати от анализа на вариантите по избраните критерии</w:t>
            </w:r>
          </w:p>
        </w:tc>
      </w:tr>
      <w:tr w:rsidR="008C0E40" w:rsidRPr="00E16161" w14:paraId="76895158" w14:textId="77777777" w:rsidTr="00607FE5">
        <w:tc>
          <w:tcPr>
            <w:tcW w:w="1271" w:type="dxa"/>
          </w:tcPr>
          <w:p w14:paraId="35BE268E" w14:textId="77777777" w:rsidR="008C0E40" w:rsidRPr="00E2571A" w:rsidRDefault="008C0E40" w:rsidP="00607F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791" w:type="dxa"/>
          </w:tcPr>
          <w:p w14:paraId="5AD9F498" w14:textId="77777777" w:rsidR="008C0E40" w:rsidRPr="00E2571A" w:rsidRDefault="008C0E40" w:rsidP="00607FE5">
            <w:pPr>
              <w:jc w:val="both"/>
              <w:rPr>
                <w:rFonts w:ascii="Times New Roman" w:eastAsia="Times New Roman" w:hAnsi="Times New Roman" w:cs="Times New Roman"/>
                <w:sz w:val="24"/>
                <w:szCs w:val="24"/>
              </w:rPr>
            </w:pPr>
            <w:r w:rsidRPr="00E2571A">
              <w:rPr>
                <w:rFonts w:ascii="Times New Roman" w:eastAsia="Times New Roman" w:hAnsi="Times New Roman" w:cs="Times New Roman"/>
                <w:sz w:val="24"/>
                <w:szCs w:val="24"/>
              </w:rPr>
              <w:t>Стъпки при провеждане на МСП-тест</w:t>
            </w:r>
          </w:p>
        </w:tc>
      </w:tr>
      <w:tr w:rsidR="008C0E40" w:rsidRPr="007B4A99" w14:paraId="21156DE4" w14:textId="77777777" w:rsidTr="00607FE5">
        <w:tc>
          <w:tcPr>
            <w:tcW w:w="1271" w:type="dxa"/>
            <w:tcBorders>
              <w:top w:val="single" w:sz="4" w:space="0" w:color="auto"/>
              <w:left w:val="single" w:sz="4" w:space="0" w:color="auto"/>
              <w:bottom w:val="single" w:sz="4" w:space="0" w:color="auto"/>
              <w:right w:val="single" w:sz="4" w:space="0" w:color="auto"/>
            </w:tcBorders>
          </w:tcPr>
          <w:p w14:paraId="0D028CEA" w14:textId="77777777" w:rsidR="008C0E40" w:rsidRPr="00C6234E" w:rsidRDefault="008C0E40" w:rsidP="00607FE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c>
          <w:tcPr>
            <w:tcW w:w="7791" w:type="dxa"/>
            <w:tcBorders>
              <w:top w:val="single" w:sz="4" w:space="0" w:color="auto"/>
              <w:left w:val="single" w:sz="4" w:space="0" w:color="auto"/>
              <w:bottom w:val="single" w:sz="4" w:space="0" w:color="auto"/>
              <w:right w:val="single" w:sz="4" w:space="0" w:color="auto"/>
            </w:tcBorders>
          </w:tcPr>
          <w:p w14:paraId="35E4AEDF" w14:textId="77777777" w:rsidR="008C0E40" w:rsidRPr="00C6234E" w:rsidRDefault="008C0E40" w:rsidP="00607FE5">
            <w:pPr>
              <w:jc w:val="both"/>
              <w:rPr>
                <w:rFonts w:ascii="Times New Roman" w:eastAsia="Times New Roman" w:hAnsi="Times New Roman" w:cs="Times New Roman"/>
                <w:bCs/>
                <w:sz w:val="24"/>
                <w:szCs w:val="24"/>
                <w:lang w:val="ru-RU"/>
              </w:rPr>
            </w:pPr>
            <w:r w:rsidRPr="00C6234E">
              <w:rPr>
                <w:rFonts w:ascii="Times New Roman" w:eastAsia="Times New Roman" w:hAnsi="Times New Roman" w:cs="Times New Roman"/>
                <w:bCs/>
                <w:sz w:val="24"/>
                <w:szCs w:val="24"/>
                <w:lang w:val="ru-RU"/>
              </w:rPr>
              <w:t>Разходи и ползи за заинтересованите страни</w:t>
            </w:r>
          </w:p>
        </w:tc>
      </w:tr>
      <w:tr w:rsidR="008C0E40" w:rsidRPr="00E16161" w14:paraId="02AEBEC9" w14:textId="77777777" w:rsidTr="00607FE5">
        <w:tc>
          <w:tcPr>
            <w:tcW w:w="1271" w:type="dxa"/>
          </w:tcPr>
          <w:p w14:paraId="4E25853D" w14:textId="77777777" w:rsidR="008C0E40" w:rsidRPr="00E2571A" w:rsidRDefault="008C0E40" w:rsidP="00607F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791" w:type="dxa"/>
          </w:tcPr>
          <w:p w14:paraId="107564F5" w14:textId="77777777" w:rsidR="008C0E40" w:rsidRPr="00E2571A" w:rsidRDefault="008C0E40" w:rsidP="00607FE5">
            <w:pPr>
              <w:rPr>
                <w:rFonts w:ascii="Times New Roman" w:eastAsia="Times New Roman" w:hAnsi="Times New Roman" w:cs="Times New Roman"/>
                <w:sz w:val="24"/>
                <w:szCs w:val="24"/>
                <w:lang w:val="ru-RU"/>
              </w:rPr>
            </w:pPr>
            <w:r w:rsidRPr="00E2571A">
              <w:rPr>
                <w:rFonts w:ascii="Times New Roman" w:eastAsia="Times New Roman" w:hAnsi="Times New Roman" w:cs="Times New Roman"/>
                <w:sz w:val="24"/>
                <w:szCs w:val="24"/>
                <w:lang w:val="ru-RU"/>
              </w:rPr>
              <w:t xml:space="preserve">Анализ „разходи–ползи“ на </w:t>
            </w:r>
            <w:r w:rsidRPr="00E2571A">
              <w:rPr>
                <w:rFonts w:ascii="Times New Roman" w:eastAsia="Times New Roman" w:hAnsi="Times New Roman" w:cs="Times New Roman"/>
                <w:bCs/>
                <w:sz w:val="24"/>
                <w:szCs w:val="24"/>
                <w:lang w:val="ru-RU"/>
              </w:rPr>
              <w:t xml:space="preserve">Вариант 0 </w:t>
            </w:r>
            <w:r w:rsidRPr="00E2571A">
              <w:rPr>
                <w:rFonts w:ascii="Times New Roman" w:eastAsia="Times New Roman" w:hAnsi="Times New Roman" w:cs="Times New Roman"/>
                <w:sz w:val="24"/>
                <w:szCs w:val="24"/>
                <w:lang w:val="ru-RU"/>
              </w:rPr>
              <w:t>(хил. лв.)</w:t>
            </w:r>
          </w:p>
        </w:tc>
      </w:tr>
      <w:tr w:rsidR="008C0E40" w:rsidRPr="00E16161" w14:paraId="38F963CF" w14:textId="77777777" w:rsidTr="00607FE5">
        <w:tc>
          <w:tcPr>
            <w:tcW w:w="1271" w:type="dxa"/>
          </w:tcPr>
          <w:p w14:paraId="04D9C5D8" w14:textId="77777777" w:rsidR="008C0E40" w:rsidRPr="00E2571A" w:rsidRDefault="008C0E40" w:rsidP="00607FE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w:t>
            </w:r>
          </w:p>
        </w:tc>
        <w:tc>
          <w:tcPr>
            <w:tcW w:w="7791" w:type="dxa"/>
          </w:tcPr>
          <w:p w14:paraId="31879204" w14:textId="77777777" w:rsidR="008C0E40" w:rsidRPr="00E2571A" w:rsidRDefault="008C0E40" w:rsidP="00607FE5">
            <w:pPr>
              <w:jc w:val="both"/>
              <w:rPr>
                <w:rFonts w:ascii="Times New Roman" w:eastAsia="Times New Roman" w:hAnsi="Times New Roman" w:cs="Times New Roman"/>
                <w:sz w:val="24"/>
                <w:szCs w:val="24"/>
                <w:lang w:val="ru-RU"/>
              </w:rPr>
            </w:pPr>
            <w:r w:rsidRPr="00E2571A">
              <w:rPr>
                <w:rFonts w:ascii="Times New Roman" w:eastAsia="Times New Roman" w:hAnsi="Times New Roman" w:cs="Times New Roman"/>
                <w:sz w:val="24"/>
                <w:szCs w:val="24"/>
                <w:lang w:val="ru-RU"/>
              </w:rPr>
              <w:t xml:space="preserve">Анализ „разходи–ползи“ на </w:t>
            </w:r>
            <w:r w:rsidRPr="00E2571A">
              <w:rPr>
                <w:rFonts w:ascii="Times New Roman" w:eastAsia="Times New Roman" w:hAnsi="Times New Roman" w:cs="Times New Roman"/>
                <w:bCs/>
                <w:sz w:val="24"/>
                <w:szCs w:val="24"/>
                <w:lang w:val="ru-RU"/>
              </w:rPr>
              <w:t>Вариант 1</w:t>
            </w:r>
            <w:r w:rsidRPr="00E2571A">
              <w:rPr>
                <w:rFonts w:ascii="Times New Roman" w:eastAsia="Times New Roman" w:hAnsi="Times New Roman" w:cs="Times New Roman"/>
                <w:sz w:val="24"/>
                <w:szCs w:val="24"/>
                <w:lang w:val="ru-RU"/>
              </w:rPr>
              <w:t xml:space="preserve"> (хил. лв.)</w:t>
            </w:r>
          </w:p>
        </w:tc>
      </w:tr>
      <w:tr w:rsidR="008C0E40" w:rsidRPr="00E16161" w14:paraId="01C67446" w14:textId="77777777" w:rsidTr="00607FE5">
        <w:tc>
          <w:tcPr>
            <w:tcW w:w="1271" w:type="dxa"/>
          </w:tcPr>
          <w:p w14:paraId="5276C7EA" w14:textId="77777777" w:rsidR="008C0E40" w:rsidRPr="00E2571A" w:rsidRDefault="008C0E40" w:rsidP="00607FE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w:t>
            </w:r>
          </w:p>
        </w:tc>
        <w:tc>
          <w:tcPr>
            <w:tcW w:w="7791" w:type="dxa"/>
          </w:tcPr>
          <w:p w14:paraId="31E037B9" w14:textId="77777777" w:rsidR="008C0E40" w:rsidRPr="00E2571A" w:rsidRDefault="008C0E40" w:rsidP="00607FE5">
            <w:pPr>
              <w:jc w:val="both"/>
              <w:rPr>
                <w:rFonts w:ascii="Times New Roman" w:eastAsia="Times New Roman" w:hAnsi="Times New Roman" w:cs="Times New Roman"/>
                <w:sz w:val="24"/>
                <w:szCs w:val="24"/>
                <w:lang w:val="ru-RU"/>
              </w:rPr>
            </w:pPr>
            <w:r w:rsidRPr="00E2571A">
              <w:rPr>
                <w:rFonts w:ascii="Times New Roman" w:eastAsia="Times New Roman" w:hAnsi="Times New Roman" w:cs="Times New Roman"/>
                <w:sz w:val="24"/>
                <w:szCs w:val="24"/>
                <w:lang w:val="ru-RU"/>
              </w:rPr>
              <w:t xml:space="preserve">Анализ „разходи–ползи“ на </w:t>
            </w:r>
            <w:r w:rsidRPr="00E2571A">
              <w:rPr>
                <w:rFonts w:ascii="Times New Roman" w:eastAsia="Times New Roman" w:hAnsi="Times New Roman" w:cs="Times New Roman"/>
                <w:bCs/>
                <w:sz w:val="24"/>
                <w:szCs w:val="24"/>
                <w:lang w:val="ru-RU"/>
              </w:rPr>
              <w:t xml:space="preserve">Вариант 2 </w:t>
            </w:r>
            <w:r w:rsidRPr="00E2571A">
              <w:rPr>
                <w:rFonts w:ascii="Times New Roman" w:eastAsia="Times New Roman" w:hAnsi="Times New Roman" w:cs="Times New Roman"/>
                <w:sz w:val="24"/>
                <w:szCs w:val="24"/>
                <w:lang w:val="ru-RU"/>
              </w:rPr>
              <w:t>(хил. лв.)</w:t>
            </w:r>
          </w:p>
        </w:tc>
      </w:tr>
      <w:tr w:rsidR="008C0E40" w:rsidRPr="00E16161" w14:paraId="335FB316" w14:textId="77777777" w:rsidTr="00607FE5">
        <w:tc>
          <w:tcPr>
            <w:tcW w:w="1271" w:type="dxa"/>
          </w:tcPr>
          <w:p w14:paraId="35676085" w14:textId="77777777" w:rsidR="008C0E40" w:rsidRPr="00E2571A" w:rsidRDefault="008C0E40" w:rsidP="00607FE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w:t>
            </w:r>
          </w:p>
        </w:tc>
        <w:tc>
          <w:tcPr>
            <w:tcW w:w="7791" w:type="dxa"/>
          </w:tcPr>
          <w:p w14:paraId="59EEA5E9" w14:textId="77777777" w:rsidR="008C0E40" w:rsidRPr="00E2571A" w:rsidRDefault="008C0E40" w:rsidP="00607FE5">
            <w:pPr>
              <w:jc w:val="both"/>
              <w:rPr>
                <w:rFonts w:ascii="Times New Roman" w:eastAsia="Times New Roman" w:hAnsi="Times New Roman" w:cs="Times New Roman"/>
                <w:sz w:val="24"/>
                <w:szCs w:val="24"/>
                <w:lang w:val="ru-RU"/>
              </w:rPr>
            </w:pPr>
            <w:r w:rsidRPr="00DA0F09">
              <w:rPr>
                <w:rFonts w:ascii="Times New Roman" w:eastAsia="Times New Roman" w:hAnsi="Times New Roman" w:cs="Times New Roman"/>
                <w:sz w:val="24"/>
                <w:szCs w:val="24"/>
                <w:lang w:val="ru-RU"/>
              </w:rPr>
              <w:t xml:space="preserve">Анализ „разходи–ползи“ на </w:t>
            </w:r>
            <w:r w:rsidRPr="00DA0F09">
              <w:rPr>
                <w:rFonts w:ascii="Times New Roman" w:eastAsia="Times New Roman" w:hAnsi="Times New Roman" w:cs="Times New Roman"/>
                <w:bCs/>
                <w:sz w:val="24"/>
                <w:szCs w:val="24"/>
                <w:lang w:val="ru-RU"/>
              </w:rPr>
              <w:t xml:space="preserve">Вариант 3 </w:t>
            </w:r>
            <w:r w:rsidRPr="00DA0F09">
              <w:rPr>
                <w:rFonts w:ascii="Times New Roman" w:eastAsia="Times New Roman" w:hAnsi="Times New Roman" w:cs="Times New Roman"/>
                <w:sz w:val="24"/>
                <w:szCs w:val="24"/>
                <w:lang w:val="ru-RU"/>
              </w:rPr>
              <w:t>(хил. лв.)</w:t>
            </w:r>
          </w:p>
        </w:tc>
      </w:tr>
      <w:tr w:rsidR="008C0E40" w:rsidRPr="00E16161" w14:paraId="187EA09C" w14:textId="77777777" w:rsidTr="00607FE5">
        <w:tc>
          <w:tcPr>
            <w:tcW w:w="1271" w:type="dxa"/>
          </w:tcPr>
          <w:p w14:paraId="79662BDB" w14:textId="77777777" w:rsidR="008C0E40" w:rsidRPr="00E2571A" w:rsidRDefault="008C0E40" w:rsidP="00607FE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w:t>
            </w:r>
          </w:p>
        </w:tc>
        <w:tc>
          <w:tcPr>
            <w:tcW w:w="7791" w:type="dxa"/>
          </w:tcPr>
          <w:p w14:paraId="5FAD5ABB" w14:textId="77777777" w:rsidR="008C0E40" w:rsidRPr="00E2571A" w:rsidRDefault="008C0E40" w:rsidP="00607FE5">
            <w:pPr>
              <w:jc w:val="both"/>
              <w:rPr>
                <w:rFonts w:ascii="Times New Roman" w:eastAsia="Times New Roman" w:hAnsi="Times New Roman" w:cs="Times New Roman"/>
                <w:sz w:val="24"/>
                <w:szCs w:val="24"/>
                <w:lang w:val="ru-RU"/>
              </w:rPr>
            </w:pPr>
            <w:r w:rsidRPr="00E2571A">
              <w:rPr>
                <w:rFonts w:ascii="Times New Roman" w:eastAsia="Times New Roman" w:hAnsi="Times New Roman" w:cs="Times New Roman"/>
                <w:bCs/>
                <w:sz w:val="24"/>
                <w:szCs w:val="24"/>
                <w:lang w:val="ru-RU"/>
              </w:rPr>
              <w:t>Класиране на вариантите</w:t>
            </w:r>
            <w:r w:rsidRPr="00E2571A">
              <w:rPr>
                <w:rFonts w:ascii="Times New Roman" w:eastAsia="Times New Roman" w:hAnsi="Times New Roman" w:cs="Times New Roman"/>
                <w:sz w:val="24"/>
                <w:szCs w:val="24"/>
                <w:lang w:val="ru-RU"/>
              </w:rPr>
              <w:t xml:space="preserve"> според резултатите от анализа „разходи–ползи“</w:t>
            </w:r>
          </w:p>
        </w:tc>
      </w:tr>
      <w:tr w:rsidR="008C0E40" w:rsidRPr="007B4A99" w14:paraId="2DC0CC9E" w14:textId="77777777" w:rsidTr="00607FE5">
        <w:tc>
          <w:tcPr>
            <w:tcW w:w="1271" w:type="dxa"/>
            <w:tcBorders>
              <w:top w:val="single" w:sz="4" w:space="0" w:color="auto"/>
              <w:left w:val="single" w:sz="4" w:space="0" w:color="auto"/>
              <w:bottom w:val="single" w:sz="4" w:space="0" w:color="auto"/>
              <w:right w:val="single" w:sz="4" w:space="0" w:color="auto"/>
            </w:tcBorders>
          </w:tcPr>
          <w:p w14:paraId="4CE450FF" w14:textId="77777777" w:rsidR="008C0E40" w:rsidRPr="001906F0" w:rsidRDefault="008C0E40" w:rsidP="00607FE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w:t>
            </w:r>
          </w:p>
        </w:tc>
        <w:tc>
          <w:tcPr>
            <w:tcW w:w="7791" w:type="dxa"/>
            <w:tcBorders>
              <w:top w:val="single" w:sz="4" w:space="0" w:color="auto"/>
              <w:left w:val="single" w:sz="4" w:space="0" w:color="auto"/>
              <w:bottom w:val="single" w:sz="4" w:space="0" w:color="auto"/>
              <w:right w:val="single" w:sz="4" w:space="0" w:color="auto"/>
            </w:tcBorders>
          </w:tcPr>
          <w:p w14:paraId="6E0415AF" w14:textId="77777777" w:rsidR="008C0E40" w:rsidRPr="001906F0" w:rsidRDefault="008C0E40" w:rsidP="00607FE5">
            <w:pPr>
              <w:jc w:val="both"/>
              <w:rPr>
                <w:rFonts w:ascii="Times New Roman" w:eastAsia="Times New Roman" w:hAnsi="Times New Roman" w:cs="Times New Roman"/>
                <w:bCs/>
                <w:sz w:val="24"/>
                <w:szCs w:val="24"/>
                <w:lang w:val="ru-RU"/>
              </w:rPr>
            </w:pPr>
            <w:r w:rsidRPr="001906F0">
              <w:rPr>
                <w:rFonts w:ascii="Times New Roman" w:eastAsia="Times New Roman" w:hAnsi="Times New Roman" w:cs="Times New Roman"/>
                <w:bCs/>
                <w:sz w:val="24"/>
                <w:szCs w:val="24"/>
                <w:lang w:val="ru-RU"/>
              </w:rPr>
              <w:t>Резултати от експериментална оценк</w:t>
            </w:r>
            <w:r>
              <w:rPr>
                <w:rFonts w:ascii="Times New Roman" w:eastAsia="Times New Roman" w:hAnsi="Times New Roman" w:cs="Times New Roman"/>
                <w:bCs/>
                <w:sz w:val="24"/>
                <w:szCs w:val="24"/>
                <w:lang w:val="ru-RU"/>
              </w:rPr>
              <w:t>а за съответствие</w:t>
            </w:r>
            <w:r w:rsidRPr="001906F0">
              <w:rPr>
                <w:rFonts w:ascii="Times New Roman" w:eastAsia="Times New Roman" w:hAnsi="Times New Roman" w:cs="Times New Roman"/>
                <w:bCs/>
                <w:sz w:val="24"/>
                <w:szCs w:val="24"/>
                <w:lang w:val="ru-RU"/>
              </w:rPr>
              <w:t xml:space="preserve"> на фактическите отношения по веригата на доставки с правилата на конкуренция</w:t>
            </w:r>
          </w:p>
        </w:tc>
      </w:tr>
    </w:tbl>
    <w:p w14:paraId="717BD2C7" w14:textId="77777777" w:rsidR="008C0E40" w:rsidRDefault="008C0E40">
      <w:pPr>
        <w:rPr>
          <w:rFonts w:ascii="Times New Roman" w:hAnsi="Times New Roman" w:cs="Times New Roman"/>
          <w:b/>
          <w:color w:val="1F4E79" w:themeColor="accent1" w:themeShade="80"/>
          <w:sz w:val="24"/>
          <w:szCs w:val="24"/>
        </w:rPr>
      </w:pPr>
    </w:p>
    <w:p w14:paraId="36520F3C" w14:textId="77777777" w:rsidR="008C0E40" w:rsidRPr="00D102E9" w:rsidRDefault="008C0E40">
      <w:pPr>
        <w:rPr>
          <w:rFonts w:ascii="Times New Roman" w:hAnsi="Times New Roman" w:cs="Times New Roman"/>
          <w:b/>
          <w:color w:val="1F4E79" w:themeColor="accent1" w:themeShade="80"/>
          <w:sz w:val="24"/>
          <w:szCs w:val="24"/>
        </w:rPr>
      </w:pPr>
    </w:p>
    <w:p w14:paraId="7C5A96C9" w14:textId="4638341E" w:rsidR="00E16161" w:rsidRPr="00D102E9" w:rsidRDefault="00E16161" w:rsidP="00E16161">
      <w:pPr>
        <w:rPr>
          <w:rFonts w:ascii="Times New Roman" w:hAnsi="Times New Roman" w:cs="Times New Roman"/>
          <w:b/>
          <w:color w:val="1F4E79" w:themeColor="accent1" w:themeShade="80"/>
          <w:sz w:val="24"/>
          <w:szCs w:val="24"/>
        </w:rPr>
      </w:pPr>
      <w:r w:rsidRPr="00D102E9">
        <w:rPr>
          <w:rFonts w:ascii="Times New Roman" w:hAnsi="Times New Roman" w:cs="Times New Roman"/>
          <w:b/>
          <w:color w:val="1F4E79" w:themeColor="accent1" w:themeShade="80"/>
          <w:sz w:val="24"/>
          <w:szCs w:val="24"/>
        </w:rPr>
        <w:t>Списък на Фигурите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791"/>
      </w:tblGrid>
      <w:tr w:rsidR="00E16161" w:rsidRPr="007B4A99" w14:paraId="754CBA04" w14:textId="77777777" w:rsidTr="00E2571A">
        <w:tc>
          <w:tcPr>
            <w:tcW w:w="1271" w:type="dxa"/>
          </w:tcPr>
          <w:p w14:paraId="3A579FB2" w14:textId="506C2441" w:rsidR="00E16161" w:rsidRPr="007B4A99" w:rsidRDefault="00E2571A" w:rsidP="00E16161">
            <w:pPr>
              <w:jc w:val="center"/>
              <w:rPr>
                <w:rFonts w:ascii="Times New Roman" w:hAnsi="Times New Roman" w:cs="Times New Roman"/>
                <w:b/>
                <w:sz w:val="24"/>
                <w:szCs w:val="24"/>
              </w:rPr>
            </w:pPr>
            <w:r>
              <w:rPr>
                <w:rFonts w:ascii="Times New Roman" w:hAnsi="Times New Roman" w:cs="Times New Roman"/>
                <w:b/>
                <w:sz w:val="24"/>
                <w:szCs w:val="24"/>
              </w:rPr>
              <w:t>Фигура</w:t>
            </w:r>
            <w:r w:rsidR="00E16161" w:rsidRPr="007B4A99">
              <w:rPr>
                <w:rFonts w:ascii="Times New Roman" w:hAnsi="Times New Roman" w:cs="Times New Roman"/>
                <w:b/>
                <w:sz w:val="24"/>
                <w:szCs w:val="24"/>
              </w:rPr>
              <w:t xml:space="preserve"> №</w:t>
            </w:r>
          </w:p>
        </w:tc>
        <w:tc>
          <w:tcPr>
            <w:tcW w:w="7791" w:type="dxa"/>
          </w:tcPr>
          <w:p w14:paraId="4E96411C" w14:textId="472B697D" w:rsidR="00E16161" w:rsidRPr="007B4A99" w:rsidRDefault="00E16161" w:rsidP="008C0E40">
            <w:pPr>
              <w:jc w:val="center"/>
              <w:rPr>
                <w:rFonts w:ascii="Times New Roman" w:hAnsi="Times New Roman" w:cs="Times New Roman"/>
                <w:b/>
                <w:sz w:val="24"/>
                <w:szCs w:val="24"/>
              </w:rPr>
            </w:pPr>
            <w:r w:rsidRPr="007B4A99">
              <w:rPr>
                <w:rFonts w:ascii="Times New Roman" w:hAnsi="Times New Roman" w:cs="Times New Roman"/>
                <w:b/>
                <w:sz w:val="24"/>
                <w:szCs w:val="24"/>
              </w:rPr>
              <w:t xml:space="preserve">Заглавие/описание на </w:t>
            </w:r>
            <w:r w:rsidR="008C0E40">
              <w:rPr>
                <w:rFonts w:ascii="Times New Roman" w:hAnsi="Times New Roman" w:cs="Times New Roman"/>
                <w:b/>
                <w:sz w:val="24"/>
                <w:szCs w:val="24"/>
              </w:rPr>
              <w:t>фигурата</w:t>
            </w:r>
          </w:p>
        </w:tc>
      </w:tr>
      <w:tr w:rsidR="00E16161" w:rsidRPr="007B4A99" w14:paraId="62DDDE8E" w14:textId="77777777" w:rsidTr="00E2571A">
        <w:tc>
          <w:tcPr>
            <w:tcW w:w="1271" w:type="dxa"/>
          </w:tcPr>
          <w:p w14:paraId="1B892C68" w14:textId="77777777" w:rsidR="00E16161" w:rsidRPr="00E16161" w:rsidRDefault="00E16161" w:rsidP="00E16161">
            <w:pPr>
              <w:jc w:val="center"/>
              <w:rPr>
                <w:rFonts w:ascii="Times New Roman" w:hAnsi="Times New Roman" w:cs="Times New Roman"/>
                <w:sz w:val="24"/>
                <w:szCs w:val="24"/>
              </w:rPr>
            </w:pPr>
            <w:r w:rsidRPr="00E16161">
              <w:rPr>
                <w:rFonts w:ascii="Times New Roman" w:hAnsi="Times New Roman" w:cs="Times New Roman"/>
                <w:sz w:val="24"/>
                <w:szCs w:val="24"/>
              </w:rPr>
              <w:t>1</w:t>
            </w:r>
          </w:p>
        </w:tc>
        <w:tc>
          <w:tcPr>
            <w:tcW w:w="7791" w:type="dxa"/>
          </w:tcPr>
          <w:p w14:paraId="78795C7B" w14:textId="226DCE71" w:rsidR="00E16161" w:rsidRPr="00E16161" w:rsidRDefault="00E16161" w:rsidP="00E16161">
            <w:pPr>
              <w:spacing w:line="276" w:lineRule="auto"/>
              <w:jc w:val="both"/>
              <w:rPr>
                <w:rFonts w:ascii="Times New Roman" w:eastAsia="Calibri" w:hAnsi="Times New Roman" w:cs="Times New Roman"/>
                <w:bCs/>
                <w:color w:val="000000"/>
                <w:sz w:val="24"/>
                <w:szCs w:val="24"/>
              </w:rPr>
            </w:pPr>
            <w:r w:rsidRPr="00E16161">
              <w:rPr>
                <w:rFonts w:ascii="Times New Roman" w:eastAsia="Calibri" w:hAnsi="Times New Roman" w:cs="Times New Roman"/>
                <w:bCs/>
                <w:color w:val="000000"/>
                <w:sz w:val="24"/>
                <w:szCs w:val="24"/>
              </w:rPr>
              <w:t>Дърво на проблемите</w:t>
            </w:r>
          </w:p>
        </w:tc>
      </w:tr>
      <w:tr w:rsidR="00E16161" w:rsidRPr="007B4A99" w14:paraId="3C17C561" w14:textId="77777777" w:rsidTr="00E2571A">
        <w:tc>
          <w:tcPr>
            <w:tcW w:w="1271" w:type="dxa"/>
          </w:tcPr>
          <w:p w14:paraId="5EBD8526" w14:textId="47631BC5" w:rsidR="00E16161" w:rsidRPr="00E16161" w:rsidRDefault="00E16161" w:rsidP="00E16161">
            <w:pPr>
              <w:jc w:val="center"/>
              <w:rPr>
                <w:rFonts w:ascii="Times New Roman" w:hAnsi="Times New Roman" w:cs="Times New Roman"/>
                <w:sz w:val="24"/>
                <w:szCs w:val="24"/>
              </w:rPr>
            </w:pPr>
            <w:r w:rsidRPr="00E16161">
              <w:rPr>
                <w:rFonts w:ascii="Times New Roman" w:hAnsi="Times New Roman" w:cs="Times New Roman"/>
                <w:sz w:val="24"/>
                <w:szCs w:val="24"/>
              </w:rPr>
              <w:t>2</w:t>
            </w:r>
          </w:p>
        </w:tc>
        <w:tc>
          <w:tcPr>
            <w:tcW w:w="7791" w:type="dxa"/>
          </w:tcPr>
          <w:p w14:paraId="27A9E736" w14:textId="69959898" w:rsidR="00E16161" w:rsidRPr="00E16161" w:rsidRDefault="00E16161" w:rsidP="00E16161">
            <w:pPr>
              <w:spacing w:line="276" w:lineRule="auto"/>
              <w:jc w:val="both"/>
              <w:rPr>
                <w:rFonts w:ascii="Times New Roman" w:eastAsia="Calibri" w:hAnsi="Times New Roman" w:cs="Times New Roman"/>
                <w:bCs/>
                <w:color w:val="000000"/>
                <w:sz w:val="24"/>
                <w:szCs w:val="24"/>
              </w:rPr>
            </w:pPr>
            <w:r w:rsidRPr="00E16161">
              <w:rPr>
                <w:rFonts w:ascii="Times New Roman" w:eastAsia="Calibri" w:hAnsi="Times New Roman" w:cs="Times New Roman"/>
                <w:bCs/>
                <w:color w:val="000000"/>
                <w:sz w:val="24"/>
                <w:szCs w:val="24"/>
              </w:rPr>
              <w:t>Дърво на целите</w:t>
            </w:r>
          </w:p>
        </w:tc>
      </w:tr>
      <w:tr w:rsidR="00E16161" w:rsidRPr="007B4A99" w14:paraId="276E5812" w14:textId="77777777" w:rsidTr="00E2571A">
        <w:tc>
          <w:tcPr>
            <w:tcW w:w="1271" w:type="dxa"/>
          </w:tcPr>
          <w:p w14:paraId="52A0D017" w14:textId="402D215E" w:rsidR="00E16161" w:rsidRPr="00E16161" w:rsidRDefault="00E16161" w:rsidP="00E16161">
            <w:pPr>
              <w:jc w:val="center"/>
              <w:rPr>
                <w:rFonts w:ascii="Times New Roman" w:hAnsi="Times New Roman" w:cs="Times New Roman"/>
                <w:sz w:val="24"/>
                <w:szCs w:val="24"/>
              </w:rPr>
            </w:pPr>
            <w:r w:rsidRPr="00E16161">
              <w:rPr>
                <w:rFonts w:ascii="Times New Roman" w:hAnsi="Times New Roman" w:cs="Times New Roman"/>
                <w:sz w:val="24"/>
                <w:szCs w:val="24"/>
              </w:rPr>
              <w:t>3</w:t>
            </w:r>
          </w:p>
        </w:tc>
        <w:tc>
          <w:tcPr>
            <w:tcW w:w="7791" w:type="dxa"/>
          </w:tcPr>
          <w:p w14:paraId="7E5BEBB4" w14:textId="664F8B51" w:rsidR="00E16161" w:rsidRPr="00E16161" w:rsidRDefault="00E16161" w:rsidP="00E16161">
            <w:pPr>
              <w:jc w:val="both"/>
              <w:rPr>
                <w:rFonts w:ascii="Times New Roman" w:hAnsi="Times New Roman" w:cs="Times New Roman"/>
                <w:sz w:val="24"/>
                <w:szCs w:val="24"/>
              </w:rPr>
            </w:pPr>
            <w:r w:rsidRPr="00E16161">
              <w:rPr>
                <w:rFonts w:ascii="Times New Roman" w:eastAsia="Times New Roman" w:hAnsi="Times New Roman" w:cs="Times New Roman"/>
                <w:iCs/>
                <w:sz w:val="24"/>
                <w:szCs w:val="24"/>
              </w:rPr>
              <w:t>Вариант 0 – Оценка на риска по категории</w:t>
            </w:r>
          </w:p>
        </w:tc>
      </w:tr>
      <w:tr w:rsidR="00E16161" w:rsidRPr="007B4A99" w14:paraId="00E7CDC4" w14:textId="77777777" w:rsidTr="00E2571A">
        <w:tc>
          <w:tcPr>
            <w:tcW w:w="1271" w:type="dxa"/>
          </w:tcPr>
          <w:p w14:paraId="59153F9D" w14:textId="1E65F3F5" w:rsidR="00E16161" w:rsidRPr="00E16161" w:rsidRDefault="00E16161" w:rsidP="00E16161">
            <w:pPr>
              <w:jc w:val="center"/>
              <w:rPr>
                <w:rFonts w:ascii="Times New Roman" w:hAnsi="Times New Roman" w:cs="Times New Roman"/>
                <w:sz w:val="24"/>
                <w:szCs w:val="24"/>
              </w:rPr>
            </w:pPr>
            <w:r w:rsidRPr="00E16161">
              <w:rPr>
                <w:rFonts w:ascii="Times New Roman" w:hAnsi="Times New Roman" w:cs="Times New Roman"/>
                <w:sz w:val="24"/>
                <w:szCs w:val="24"/>
              </w:rPr>
              <w:t>4</w:t>
            </w:r>
          </w:p>
        </w:tc>
        <w:tc>
          <w:tcPr>
            <w:tcW w:w="7791" w:type="dxa"/>
          </w:tcPr>
          <w:p w14:paraId="1F364AFF" w14:textId="69DD9BA8" w:rsidR="00E16161" w:rsidRPr="00E16161" w:rsidRDefault="00E16161" w:rsidP="00E16161">
            <w:pPr>
              <w:jc w:val="both"/>
              <w:rPr>
                <w:rFonts w:ascii="Times New Roman" w:hAnsi="Times New Roman" w:cs="Times New Roman"/>
                <w:sz w:val="24"/>
                <w:szCs w:val="24"/>
              </w:rPr>
            </w:pPr>
            <w:r w:rsidRPr="00E16161">
              <w:rPr>
                <w:rFonts w:ascii="Times New Roman" w:eastAsia="Times New Roman" w:hAnsi="Times New Roman" w:cs="Times New Roman"/>
                <w:iCs/>
                <w:sz w:val="24"/>
                <w:szCs w:val="24"/>
              </w:rPr>
              <w:t xml:space="preserve">Вариант 1 – </w:t>
            </w:r>
            <w:r>
              <w:rPr>
                <w:rFonts w:ascii="Times New Roman" w:eastAsia="Times New Roman" w:hAnsi="Times New Roman" w:cs="Times New Roman"/>
                <w:iCs/>
                <w:sz w:val="24"/>
                <w:szCs w:val="24"/>
              </w:rPr>
              <w:t>О</w:t>
            </w:r>
            <w:r w:rsidRPr="00E16161">
              <w:rPr>
                <w:rFonts w:ascii="Times New Roman" w:eastAsia="Times New Roman" w:hAnsi="Times New Roman" w:cs="Times New Roman"/>
                <w:iCs/>
                <w:sz w:val="24"/>
                <w:szCs w:val="24"/>
              </w:rPr>
              <w:t>ценка на риска по категории</w:t>
            </w:r>
          </w:p>
        </w:tc>
      </w:tr>
      <w:tr w:rsidR="00E16161" w:rsidRPr="007B4A99" w14:paraId="45DEDCAE" w14:textId="77777777" w:rsidTr="00E2571A">
        <w:tc>
          <w:tcPr>
            <w:tcW w:w="1271" w:type="dxa"/>
          </w:tcPr>
          <w:p w14:paraId="3B15E80C" w14:textId="484CCB8E" w:rsidR="00E16161" w:rsidRPr="00E16161" w:rsidRDefault="00E16161" w:rsidP="00E16161">
            <w:pPr>
              <w:jc w:val="center"/>
              <w:rPr>
                <w:rFonts w:ascii="Times New Roman" w:hAnsi="Times New Roman" w:cs="Times New Roman"/>
                <w:sz w:val="24"/>
                <w:szCs w:val="24"/>
              </w:rPr>
            </w:pPr>
            <w:r w:rsidRPr="00E16161">
              <w:rPr>
                <w:rFonts w:ascii="Times New Roman" w:hAnsi="Times New Roman" w:cs="Times New Roman"/>
                <w:sz w:val="24"/>
                <w:szCs w:val="24"/>
              </w:rPr>
              <w:t>5</w:t>
            </w:r>
          </w:p>
        </w:tc>
        <w:tc>
          <w:tcPr>
            <w:tcW w:w="7791" w:type="dxa"/>
          </w:tcPr>
          <w:p w14:paraId="5273F730" w14:textId="7E6F653D" w:rsidR="00E16161" w:rsidRPr="00E16161" w:rsidRDefault="00E16161" w:rsidP="00E16161">
            <w:pPr>
              <w:jc w:val="both"/>
              <w:rPr>
                <w:rFonts w:ascii="Times New Roman" w:hAnsi="Times New Roman" w:cs="Times New Roman"/>
                <w:sz w:val="24"/>
                <w:szCs w:val="24"/>
              </w:rPr>
            </w:pPr>
            <w:r w:rsidRPr="00E16161">
              <w:rPr>
                <w:rFonts w:ascii="Times New Roman" w:eastAsia="Times New Roman" w:hAnsi="Times New Roman" w:cs="Times New Roman"/>
                <w:iCs/>
                <w:sz w:val="24"/>
                <w:szCs w:val="24"/>
              </w:rPr>
              <w:t>Вариант 2 – Оценка на риска по категории</w:t>
            </w:r>
          </w:p>
        </w:tc>
      </w:tr>
      <w:tr w:rsidR="00E16161" w:rsidRPr="007B4A99" w14:paraId="37DCCECB" w14:textId="77777777" w:rsidTr="00E2571A">
        <w:tc>
          <w:tcPr>
            <w:tcW w:w="1271" w:type="dxa"/>
          </w:tcPr>
          <w:p w14:paraId="4B7B8F62" w14:textId="4529E05A" w:rsidR="00E16161" w:rsidRPr="00E16161" w:rsidRDefault="00E16161" w:rsidP="00E16161">
            <w:pPr>
              <w:jc w:val="center"/>
              <w:rPr>
                <w:rFonts w:ascii="Times New Roman" w:hAnsi="Times New Roman" w:cs="Times New Roman"/>
                <w:sz w:val="24"/>
                <w:szCs w:val="24"/>
              </w:rPr>
            </w:pPr>
            <w:r w:rsidRPr="00E16161">
              <w:rPr>
                <w:rFonts w:ascii="Times New Roman" w:hAnsi="Times New Roman" w:cs="Times New Roman"/>
                <w:sz w:val="24"/>
                <w:szCs w:val="24"/>
              </w:rPr>
              <w:t>6</w:t>
            </w:r>
          </w:p>
        </w:tc>
        <w:tc>
          <w:tcPr>
            <w:tcW w:w="7791" w:type="dxa"/>
          </w:tcPr>
          <w:p w14:paraId="5E387B3D" w14:textId="2B0BED5D" w:rsidR="00E16161" w:rsidRPr="00E16161" w:rsidRDefault="00E16161" w:rsidP="00E16161">
            <w:pPr>
              <w:jc w:val="both"/>
              <w:rPr>
                <w:rFonts w:ascii="Times New Roman" w:hAnsi="Times New Roman" w:cs="Times New Roman"/>
                <w:sz w:val="24"/>
                <w:szCs w:val="24"/>
              </w:rPr>
            </w:pPr>
            <w:r w:rsidRPr="00E16161">
              <w:rPr>
                <w:rFonts w:ascii="Times New Roman" w:eastAsia="Times New Roman" w:hAnsi="Times New Roman" w:cs="Times New Roman"/>
                <w:iCs/>
                <w:sz w:val="24"/>
                <w:szCs w:val="24"/>
              </w:rPr>
              <w:t>Вариант 3 – Оценка на риска по категории</w:t>
            </w:r>
          </w:p>
        </w:tc>
      </w:tr>
      <w:tr w:rsidR="00E16161" w:rsidRPr="007B4A99" w14:paraId="29A44F45" w14:textId="77777777" w:rsidTr="00E2571A">
        <w:tc>
          <w:tcPr>
            <w:tcW w:w="1271" w:type="dxa"/>
          </w:tcPr>
          <w:p w14:paraId="4D1BD593" w14:textId="7290A765" w:rsidR="00E16161" w:rsidRPr="00E16161" w:rsidRDefault="00E16161" w:rsidP="00E16161">
            <w:pPr>
              <w:jc w:val="center"/>
              <w:rPr>
                <w:rFonts w:ascii="Times New Roman" w:hAnsi="Times New Roman" w:cs="Times New Roman"/>
                <w:sz w:val="24"/>
                <w:szCs w:val="24"/>
              </w:rPr>
            </w:pPr>
            <w:r w:rsidRPr="00E16161">
              <w:rPr>
                <w:rFonts w:ascii="Times New Roman" w:hAnsi="Times New Roman" w:cs="Times New Roman"/>
                <w:sz w:val="24"/>
                <w:szCs w:val="24"/>
              </w:rPr>
              <w:t>7</w:t>
            </w:r>
          </w:p>
        </w:tc>
        <w:tc>
          <w:tcPr>
            <w:tcW w:w="7791" w:type="dxa"/>
          </w:tcPr>
          <w:p w14:paraId="3FDD58CC" w14:textId="15249AC1" w:rsidR="00E16161" w:rsidRPr="00E16161" w:rsidRDefault="00E16161" w:rsidP="00E16161">
            <w:pPr>
              <w:jc w:val="both"/>
              <w:rPr>
                <w:rFonts w:ascii="Times New Roman" w:eastAsia="Times New Roman" w:hAnsi="Times New Roman" w:cs="Times New Roman"/>
                <w:iCs/>
                <w:sz w:val="24"/>
                <w:szCs w:val="24"/>
              </w:rPr>
            </w:pPr>
            <w:r w:rsidRPr="00E16161">
              <w:rPr>
                <w:rFonts w:ascii="Times New Roman" w:eastAsia="Times New Roman" w:hAnsi="Times New Roman" w:cs="Times New Roman"/>
                <w:iCs/>
                <w:sz w:val="24"/>
                <w:szCs w:val="24"/>
              </w:rPr>
              <w:t>Сравнителна матрица на риска на оценяваните варианти</w:t>
            </w:r>
          </w:p>
        </w:tc>
      </w:tr>
      <w:tr w:rsidR="00A679D5" w:rsidRPr="007B4A99" w14:paraId="4D5AA954" w14:textId="77777777" w:rsidTr="00E2571A">
        <w:tc>
          <w:tcPr>
            <w:tcW w:w="1271" w:type="dxa"/>
          </w:tcPr>
          <w:p w14:paraId="6202833F" w14:textId="4DE52C04" w:rsidR="00A679D5" w:rsidRPr="00E16161" w:rsidRDefault="00A679D5" w:rsidP="00E16161">
            <w:pPr>
              <w:jc w:val="center"/>
              <w:rPr>
                <w:rFonts w:ascii="Times New Roman" w:hAnsi="Times New Roman" w:cs="Times New Roman"/>
                <w:sz w:val="24"/>
                <w:szCs w:val="24"/>
              </w:rPr>
            </w:pPr>
            <w:r>
              <w:rPr>
                <w:rFonts w:ascii="Times New Roman" w:hAnsi="Times New Roman" w:cs="Times New Roman"/>
                <w:sz w:val="24"/>
                <w:szCs w:val="24"/>
              </w:rPr>
              <w:t>8</w:t>
            </w:r>
          </w:p>
        </w:tc>
        <w:tc>
          <w:tcPr>
            <w:tcW w:w="7791" w:type="dxa"/>
          </w:tcPr>
          <w:p w14:paraId="1571E493" w14:textId="6BD686F8" w:rsidR="00A679D5" w:rsidRPr="00E16161" w:rsidRDefault="00A679D5" w:rsidP="00E16161">
            <w:pPr>
              <w:jc w:val="both"/>
              <w:rPr>
                <w:rFonts w:ascii="Times New Roman" w:eastAsia="Times New Roman" w:hAnsi="Times New Roman" w:cs="Times New Roman"/>
                <w:iCs/>
                <w:sz w:val="24"/>
                <w:szCs w:val="24"/>
              </w:rPr>
            </w:pPr>
            <w:r w:rsidRPr="00A679D5">
              <w:rPr>
                <w:rFonts w:ascii="Times New Roman" w:eastAsia="Times New Roman" w:hAnsi="Times New Roman" w:cs="Times New Roman"/>
                <w:iCs/>
                <w:sz w:val="24"/>
                <w:szCs w:val="24"/>
              </w:rPr>
              <w:t>Визуализация на матрицата на риска на оценяваните варианти</w:t>
            </w:r>
          </w:p>
        </w:tc>
      </w:tr>
      <w:tr w:rsidR="005737E3" w:rsidRPr="007B4A99" w14:paraId="19BD07E9" w14:textId="77777777" w:rsidTr="00E2571A">
        <w:tc>
          <w:tcPr>
            <w:tcW w:w="1271" w:type="dxa"/>
          </w:tcPr>
          <w:p w14:paraId="0AB939B6" w14:textId="0A7B4F86" w:rsidR="005737E3" w:rsidRDefault="005737E3" w:rsidP="00E16161">
            <w:pPr>
              <w:jc w:val="center"/>
              <w:rPr>
                <w:rFonts w:ascii="Times New Roman" w:hAnsi="Times New Roman" w:cs="Times New Roman"/>
                <w:sz w:val="24"/>
                <w:szCs w:val="24"/>
              </w:rPr>
            </w:pPr>
            <w:r>
              <w:rPr>
                <w:rFonts w:ascii="Times New Roman" w:hAnsi="Times New Roman" w:cs="Times New Roman"/>
                <w:sz w:val="24"/>
                <w:szCs w:val="24"/>
              </w:rPr>
              <w:t>9</w:t>
            </w:r>
          </w:p>
        </w:tc>
        <w:tc>
          <w:tcPr>
            <w:tcW w:w="7791" w:type="dxa"/>
          </w:tcPr>
          <w:p w14:paraId="7EE7B2A3" w14:textId="172553AA" w:rsidR="005737E3" w:rsidRPr="005737E3" w:rsidRDefault="00812050" w:rsidP="005737E3">
            <w:pPr>
              <w:jc w:val="both"/>
              <w:rPr>
                <w:rFonts w:ascii="Times New Roman" w:eastAsia="Times New Roman" w:hAnsi="Times New Roman" w:cs="Times New Roman"/>
                <w:iCs/>
                <w:sz w:val="24"/>
                <w:szCs w:val="24"/>
              </w:rPr>
            </w:pPr>
            <w:r w:rsidRPr="00812050">
              <w:rPr>
                <w:rFonts w:ascii="Times New Roman" w:eastAsia="Times New Roman" w:hAnsi="Times New Roman" w:cs="Times New Roman"/>
                <w:sz w:val="24"/>
                <w:szCs w:val="24"/>
              </w:rPr>
              <w:t>Представяне на всеки вариант по избраните критерии</w:t>
            </w:r>
          </w:p>
        </w:tc>
      </w:tr>
      <w:tr w:rsidR="005737E3" w:rsidRPr="007B4A99" w14:paraId="0D92D206" w14:textId="77777777" w:rsidTr="00E2571A">
        <w:tc>
          <w:tcPr>
            <w:tcW w:w="1271" w:type="dxa"/>
          </w:tcPr>
          <w:p w14:paraId="2426CDBD" w14:textId="5497AF79" w:rsidR="005737E3" w:rsidRDefault="005737E3" w:rsidP="00E16161">
            <w:pPr>
              <w:jc w:val="center"/>
              <w:rPr>
                <w:rFonts w:ascii="Times New Roman" w:hAnsi="Times New Roman" w:cs="Times New Roman"/>
                <w:sz w:val="24"/>
                <w:szCs w:val="24"/>
              </w:rPr>
            </w:pPr>
            <w:r>
              <w:rPr>
                <w:rFonts w:ascii="Times New Roman" w:hAnsi="Times New Roman" w:cs="Times New Roman"/>
                <w:sz w:val="24"/>
                <w:szCs w:val="24"/>
              </w:rPr>
              <w:t>10</w:t>
            </w:r>
          </w:p>
        </w:tc>
        <w:tc>
          <w:tcPr>
            <w:tcW w:w="7791" w:type="dxa"/>
          </w:tcPr>
          <w:p w14:paraId="7FAF9277" w14:textId="43830360" w:rsidR="005737E3" w:rsidRPr="005737E3" w:rsidRDefault="00812050" w:rsidP="005737E3">
            <w:pPr>
              <w:jc w:val="both"/>
              <w:rPr>
                <w:rFonts w:ascii="Times New Roman" w:eastAsia="Times New Roman" w:hAnsi="Times New Roman" w:cs="Times New Roman"/>
                <w:sz w:val="24"/>
                <w:szCs w:val="24"/>
              </w:rPr>
            </w:pPr>
            <w:r w:rsidRPr="00812050">
              <w:rPr>
                <w:rFonts w:ascii="Times New Roman" w:eastAsia="Times New Roman" w:hAnsi="Times New Roman" w:cs="Times New Roman"/>
                <w:sz w:val="24"/>
                <w:szCs w:val="24"/>
              </w:rPr>
              <w:t>Крайни претеглени резултати от мултикритерийния анализ</w:t>
            </w:r>
          </w:p>
        </w:tc>
      </w:tr>
    </w:tbl>
    <w:p w14:paraId="175A401F" w14:textId="77777777" w:rsidR="00E16161" w:rsidRDefault="00E16161" w:rsidP="008E3370">
      <w:pPr>
        <w:jc w:val="both"/>
        <w:rPr>
          <w:rFonts w:ascii="Times New Roman" w:hAnsi="Times New Roman" w:cs="Times New Roman"/>
          <w:b/>
        </w:rPr>
      </w:pPr>
    </w:p>
    <w:p w14:paraId="7AB6716C" w14:textId="77777777" w:rsidR="00D77C2D" w:rsidRPr="007B4A99" w:rsidRDefault="00C37E40" w:rsidP="008E3370">
      <w:pPr>
        <w:jc w:val="both"/>
        <w:rPr>
          <w:rFonts w:ascii="Times New Roman" w:hAnsi="Times New Roman" w:cs="Times New Roman"/>
        </w:rPr>
      </w:pPr>
      <w:r w:rsidRPr="007B4A99">
        <w:rPr>
          <w:rFonts w:ascii="Times New Roman" w:hAnsi="Times New Roman" w:cs="Times New Roman"/>
          <w:b/>
        </w:rPr>
        <w:t xml:space="preserve">* </w:t>
      </w:r>
      <w:r w:rsidR="00D77C2D" w:rsidRPr="007B4A99">
        <w:rPr>
          <w:rFonts w:ascii="Times New Roman" w:hAnsi="Times New Roman" w:cs="Times New Roman"/>
        </w:rPr>
        <w:t>Този образец на доклад на цялостна предварителна оценка на въздействието е изготвен с цел определяне на структурата на докладите от извършени оценки и да определи необходимите им реквизити.</w:t>
      </w:r>
    </w:p>
    <w:p w14:paraId="442A2BCD" w14:textId="77777777" w:rsidR="008E3370" w:rsidRPr="007B4A99" w:rsidRDefault="00C37E40" w:rsidP="008E3370">
      <w:pPr>
        <w:jc w:val="both"/>
        <w:rPr>
          <w:rFonts w:ascii="Times New Roman" w:hAnsi="Times New Roman" w:cs="Times New Roman"/>
        </w:rPr>
      </w:pPr>
      <w:r w:rsidRPr="007B4A99">
        <w:rPr>
          <w:rFonts w:ascii="Times New Roman" w:hAnsi="Times New Roman" w:cs="Times New Roman"/>
          <w:b/>
        </w:rPr>
        <w:t xml:space="preserve">** </w:t>
      </w:r>
      <w:r w:rsidR="00D77C2D" w:rsidRPr="007B4A99">
        <w:rPr>
          <w:rFonts w:ascii="Times New Roman" w:hAnsi="Times New Roman" w:cs="Times New Roman"/>
        </w:rPr>
        <w:t xml:space="preserve">С </w:t>
      </w:r>
      <w:r w:rsidR="008073B6" w:rsidRPr="007B4A99">
        <w:rPr>
          <w:rFonts w:ascii="Times New Roman" w:hAnsi="Times New Roman" w:cs="Times New Roman"/>
        </w:rPr>
        <w:t xml:space="preserve">образеца </w:t>
      </w:r>
      <w:r w:rsidR="00D77C2D" w:rsidRPr="007B4A99">
        <w:rPr>
          <w:rFonts w:ascii="Times New Roman" w:hAnsi="Times New Roman" w:cs="Times New Roman"/>
        </w:rPr>
        <w:t>се цели и унифициране на подходите по оформяне на докладите, като екипът</w:t>
      </w:r>
      <w:r w:rsidR="008073B6" w:rsidRPr="007B4A99">
        <w:rPr>
          <w:rFonts w:ascii="Times New Roman" w:hAnsi="Times New Roman" w:cs="Times New Roman"/>
        </w:rPr>
        <w:t>,</w:t>
      </w:r>
      <w:r w:rsidR="00D77C2D" w:rsidRPr="007B4A99">
        <w:rPr>
          <w:rFonts w:ascii="Times New Roman" w:hAnsi="Times New Roman" w:cs="Times New Roman"/>
        </w:rPr>
        <w:t xml:space="preserve"> извършващ оценката на въздействие</w:t>
      </w:r>
      <w:r w:rsidR="008073B6" w:rsidRPr="007B4A99">
        <w:rPr>
          <w:rFonts w:ascii="Times New Roman" w:hAnsi="Times New Roman" w:cs="Times New Roman"/>
        </w:rPr>
        <w:t>,</w:t>
      </w:r>
      <w:r w:rsidR="00D77C2D" w:rsidRPr="007B4A99">
        <w:rPr>
          <w:rFonts w:ascii="Times New Roman" w:hAnsi="Times New Roman" w:cs="Times New Roman"/>
        </w:rPr>
        <w:t xml:space="preserve"> свободно може да видоизменя и допълва включените реквизити съобразно </w:t>
      </w:r>
      <w:r w:rsidR="008E3370" w:rsidRPr="007B4A99">
        <w:rPr>
          <w:rFonts w:ascii="Times New Roman" w:hAnsi="Times New Roman" w:cs="Times New Roman"/>
        </w:rPr>
        <w:t>спецификата на извършваната оценка.</w:t>
      </w:r>
    </w:p>
    <w:p w14:paraId="20DF4326" w14:textId="77777777" w:rsidR="00DC367A" w:rsidRPr="007B4A99" w:rsidRDefault="00C37E40" w:rsidP="008E3370">
      <w:pPr>
        <w:jc w:val="both"/>
        <w:rPr>
          <w:rFonts w:ascii="Times New Roman" w:hAnsi="Times New Roman" w:cs="Times New Roman"/>
        </w:rPr>
      </w:pPr>
      <w:r w:rsidRPr="007B4A99">
        <w:rPr>
          <w:rFonts w:ascii="Times New Roman" w:hAnsi="Times New Roman" w:cs="Times New Roman"/>
          <w:b/>
        </w:rPr>
        <w:t xml:space="preserve">*** </w:t>
      </w:r>
      <w:r w:rsidR="008E3370" w:rsidRPr="007B4A99">
        <w:rPr>
          <w:rFonts w:ascii="Times New Roman" w:hAnsi="Times New Roman" w:cs="Times New Roman"/>
        </w:rPr>
        <w:t xml:space="preserve">Образецът детайлизира предвиденото в Закона за нормативните актове, Наредбата за обхвата и методологията за извършване на оценка на въздействието и </w:t>
      </w:r>
      <w:r w:rsidR="002D361B" w:rsidRPr="007B4A99">
        <w:rPr>
          <w:rFonts w:ascii="Times New Roman" w:hAnsi="Times New Roman" w:cs="Times New Roman"/>
        </w:rPr>
        <w:t>Ръководството за извършване на предварителна оценка на въздействието, прието с Решение № 728 на Министерския съвет от 05 декември 2019 г.</w:t>
      </w:r>
    </w:p>
    <w:p w14:paraId="301FBCF5" w14:textId="3F1D13BD" w:rsidR="006E08D1" w:rsidRPr="007B4A99" w:rsidRDefault="006E08D1" w:rsidP="008E3370">
      <w:pPr>
        <w:jc w:val="both"/>
        <w:rPr>
          <w:rFonts w:ascii="Times New Roman" w:hAnsi="Times New Roman" w:cs="Times New Roman"/>
        </w:rPr>
      </w:pPr>
    </w:p>
    <w:p w14:paraId="4EF2426C" w14:textId="77777777" w:rsidR="004370D7" w:rsidRPr="007B4A99" w:rsidRDefault="004370D7" w:rsidP="008E3370">
      <w:pPr>
        <w:jc w:val="both"/>
        <w:rPr>
          <w:rFonts w:ascii="Times New Roman" w:hAnsi="Times New Roman" w:cs="Times New Roman"/>
        </w:rPr>
      </w:pPr>
    </w:p>
    <w:p w14:paraId="3EEAFAD5" w14:textId="77777777" w:rsidR="004370D7" w:rsidRDefault="004370D7" w:rsidP="008E3370">
      <w:pPr>
        <w:jc w:val="both"/>
        <w:rPr>
          <w:rFonts w:ascii="Times New Roman" w:hAnsi="Times New Roman" w:cs="Times New Roman"/>
        </w:rPr>
      </w:pPr>
    </w:p>
    <w:p w14:paraId="115BFD12" w14:textId="77777777" w:rsidR="00DD69D5" w:rsidRDefault="00DD69D5" w:rsidP="008E3370">
      <w:pPr>
        <w:jc w:val="both"/>
        <w:rPr>
          <w:rFonts w:ascii="Times New Roman" w:hAnsi="Times New Roman" w:cs="Times New Roman"/>
        </w:rPr>
      </w:pPr>
    </w:p>
    <w:p w14:paraId="110853F7" w14:textId="77777777" w:rsidR="00DD69D5" w:rsidRDefault="00DD69D5" w:rsidP="008E3370">
      <w:pPr>
        <w:jc w:val="both"/>
        <w:rPr>
          <w:rFonts w:ascii="Times New Roman" w:hAnsi="Times New Roman" w:cs="Times New Roman"/>
        </w:rPr>
      </w:pPr>
    </w:p>
    <w:p w14:paraId="530A940F" w14:textId="77777777" w:rsidR="00DD69D5" w:rsidRDefault="00DD69D5" w:rsidP="008E3370">
      <w:pPr>
        <w:jc w:val="both"/>
        <w:rPr>
          <w:rFonts w:ascii="Times New Roman" w:hAnsi="Times New Roman" w:cs="Times New Roman"/>
        </w:rPr>
      </w:pPr>
    </w:p>
    <w:p w14:paraId="1670FE9F" w14:textId="77777777" w:rsidR="00C37C27" w:rsidRPr="007B4A99" w:rsidRDefault="00C37C27" w:rsidP="00DD69D5">
      <w:pPr>
        <w:pStyle w:val="Heading1"/>
        <w:numPr>
          <w:ilvl w:val="0"/>
          <w:numId w:val="0"/>
        </w:numPr>
        <w:spacing w:line="240" w:lineRule="auto"/>
        <w:ind w:firstLine="567"/>
        <w:rPr>
          <w:rFonts w:ascii="Times New Roman" w:hAnsi="Times New Roman"/>
        </w:rPr>
      </w:pPr>
      <w:bookmarkStart w:id="3" w:name="_Toc198633075"/>
      <w:r w:rsidRPr="007B4A99">
        <w:rPr>
          <w:rFonts w:ascii="Times New Roman" w:hAnsi="Times New Roman"/>
        </w:rPr>
        <w:t>Въведение</w:t>
      </w:r>
      <w:bookmarkEnd w:id="3"/>
    </w:p>
    <w:p w14:paraId="6D85ACE3" w14:textId="581843FA" w:rsidR="00E62418" w:rsidRPr="007B4A99" w:rsidRDefault="00E62418"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b/>
          <w:i/>
          <w:color w:val="1F4E79" w:themeColor="accent1" w:themeShade="80"/>
          <w:sz w:val="24"/>
          <w:szCs w:val="24"/>
        </w:rPr>
        <w:t>Методологическа рамка</w:t>
      </w:r>
    </w:p>
    <w:p w14:paraId="19E60703" w14:textId="3FDB8230" w:rsidR="00F27F0B" w:rsidRPr="007B4A99" w:rsidRDefault="00C37C27"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 xml:space="preserve">Настоящият доклад съдържа резултатите от изготвена цялостна предварителна </w:t>
      </w:r>
      <w:r w:rsidR="00B76013" w:rsidRPr="007B4A99">
        <w:rPr>
          <w:rFonts w:ascii="Times New Roman" w:hAnsi="Times New Roman" w:cs="Times New Roman"/>
          <w:sz w:val="24"/>
          <w:szCs w:val="24"/>
        </w:rPr>
        <w:t>оценка на въздействието</w:t>
      </w:r>
      <w:r w:rsidR="003C44F8">
        <w:rPr>
          <w:rFonts w:ascii="Times New Roman" w:hAnsi="Times New Roman" w:cs="Times New Roman"/>
          <w:sz w:val="24"/>
          <w:szCs w:val="24"/>
        </w:rPr>
        <w:t xml:space="preserve"> (ОВ)</w:t>
      </w:r>
      <w:r w:rsidR="00B76013" w:rsidRPr="007B4A99">
        <w:rPr>
          <w:rFonts w:ascii="Times New Roman" w:hAnsi="Times New Roman" w:cs="Times New Roman"/>
          <w:sz w:val="24"/>
          <w:szCs w:val="24"/>
        </w:rPr>
        <w:t xml:space="preserve"> на </w:t>
      </w:r>
      <w:r w:rsidR="000A00F5" w:rsidRPr="007B4A99">
        <w:rPr>
          <w:rFonts w:ascii="Times New Roman" w:hAnsi="Times New Roman" w:cs="Times New Roman"/>
          <w:sz w:val="24"/>
          <w:szCs w:val="24"/>
        </w:rPr>
        <w:t xml:space="preserve">обмисляна, разработвана и обсъждана </w:t>
      </w:r>
      <w:r w:rsidR="0019279B" w:rsidRPr="007B4A99">
        <w:rPr>
          <w:rFonts w:ascii="Times New Roman" w:hAnsi="Times New Roman" w:cs="Times New Roman"/>
          <w:sz w:val="24"/>
          <w:szCs w:val="24"/>
        </w:rPr>
        <w:t xml:space="preserve">концепция за </w:t>
      </w:r>
      <w:r w:rsidR="00F27F0B" w:rsidRPr="007B4A99">
        <w:rPr>
          <w:rFonts w:ascii="Times New Roman" w:hAnsi="Times New Roman" w:cs="Times New Roman"/>
          <w:sz w:val="24"/>
          <w:szCs w:val="24"/>
        </w:rPr>
        <w:t>нова публична политика на българското правителство</w:t>
      </w:r>
      <w:r w:rsidR="00DB64D8" w:rsidRPr="007B4A99">
        <w:rPr>
          <w:rFonts w:ascii="Times New Roman" w:hAnsi="Times New Roman" w:cs="Times New Roman"/>
          <w:sz w:val="24"/>
          <w:szCs w:val="24"/>
        </w:rPr>
        <w:t>,</w:t>
      </w:r>
      <w:r w:rsidR="000A00F5" w:rsidRPr="007B4A99">
        <w:rPr>
          <w:rFonts w:ascii="Times New Roman" w:hAnsi="Times New Roman" w:cs="Times New Roman"/>
          <w:sz w:val="24"/>
          <w:szCs w:val="24"/>
        </w:rPr>
        <w:t xml:space="preserve"> в лицето на Министерството на земеделието и храните</w:t>
      </w:r>
      <w:r w:rsidR="001C62C0">
        <w:rPr>
          <w:rFonts w:ascii="Times New Roman" w:hAnsi="Times New Roman" w:cs="Times New Roman"/>
          <w:sz w:val="24"/>
          <w:szCs w:val="24"/>
        </w:rPr>
        <w:t xml:space="preserve"> (МЗХ)</w:t>
      </w:r>
      <w:r w:rsidR="000A00F5" w:rsidRPr="007B4A99">
        <w:rPr>
          <w:rFonts w:ascii="Times New Roman" w:eastAsia="Times New Roman" w:hAnsi="Times New Roman" w:cs="Times New Roman"/>
          <w:sz w:val="24"/>
          <w:szCs w:val="24"/>
        </w:rPr>
        <w:t xml:space="preserve">. На концептуално ниво </w:t>
      </w:r>
      <w:r w:rsidR="00DB64D8" w:rsidRPr="007B4A99">
        <w:rPr>
          <w:rFonts w:ascii="Times New Roman" w:eastAsia="Times New Roman" w:hAnsi="Times New Roman" w:cs="Times New Roman"/>
          <w:sz w:val="24"/>
          <w:szCs w:val="24"/>
        </w:rPr>
        <w:t xml:space="preserve">политиката </w:t>
      </w:r>
      <w:r w:rsidR="000A00F5" w:rsidRPr="007B4A99">
        <w:rPr>
          <w:rFonts w:ascii="Times New Roman" w:hAnsi="Times New Roman" w:cs="Times New Roman"/>
          <w:sz w:val="24"/>
          <w:szCs w:val="24"/>
        </w:rPr>
        <w:t>предвижда</w:t>
      </w:r>
      <w:r w:rsidR="00F27F0B" w:rsidRPr="007B4A99">
        <w:rPr>
          <w:rFonts w:ascii="Times New Roman" w:hAnsi="Times New Roman" w:cs="Times New Roman"/>
          <w:sz w:val="24"/>
          <w:szCs w:val="24"/>
        </w:rPr>
        <w:t xml:space="preserve"> </w:t>
      </w:r>
      <w:r w:rsidR="000A00F5" w:rsidRPr="007B4A99">
        <w:rPr>
          <w:rFonts w:ascii="Times New Roman" w:hAnsi="Times New Roman" w:cs="Times New Roman"/>
          <w:sz w:val="24"/>
          <w:szCs w:val="24"/>
        </w:rPr>
        <w:t xml:space="preserve">поредица </w:t>
      </w:r>
      <w:r w:rsidR="00F27F0B" w:rsidRPr="007B4A99">
        <w:rPr>
          <w:rFonts w:ascii="Times New Roman" w:hAnsi="Times New Roman" w:cs="Times New Roman"/>
          <w:sz w:val="24"/>
          <w:szCs w:val="24"/>
        </w:rPr>
        <w:t xml:space="preserve">от мерки, целящи </w:t>
      </w:r>
      <w:r w:rsidR="000A00F5" w:rsidRPr="007B4A99">
        <w:rPr>
          <w:rFonts w:ascii="Times New Roman" w:hAnsi="Times New Roman" w:cs="Times New Roman"/>
          <w:sz w:val="24"/>
          <w:szCs w:val="24"/>
        </w:rPr>
        <w:t>регулиране</w:t>
      </w:r>
      <w:r w:rsidR="00F27F0B" w:rsidRPr="007B4A99">
        <w:rPr>
          <w:rFonts w:ascii="Times New Roman" w:hAnsi="Times New Roman" w:cs="Times New Roman"/>
          <w:sz w:val="24"/>
          <w:szCs w:val="24"/>
        </w:rPr>
        <w:t xml:space="preserve"> по нов начин, различен от досегашните,</w:t>
      </w:r>
      <w:r w:rsidR="00B76013" w:rsidRPr="007B4A99">
        <w:rPr>
          <w:rFonts w:ascii="Times New Roman" w:hAnsi="Times New Roman" w:cs="Times New Roman"/>
          <w:sz w:val="24"/>
          <w:szCs w:val="24"/>
        </w:rPr>
        <w:t xml:space="preserve"> на </w:t>
      </w:r>
      <w:r w:rsidRPr="007B4A99">
        <w:rPr>
          <w:rFonts w:ascii="Times New Roman" w:hAnsi="Times New Roman" w:cs="Times New Roman"/>
          <w:sz w:val="24"/>
          <w:szCs w:val="24"/>
        </w:rPr>
        <w:t xml:space="preserve">обществените отношения </w:t>
      </w:r>
      <w:r w:rsidR="00B76013" w:rsidRPr="007B4A99">
        <w:rPr>
          <w:rFonts w:ascii="Times New Roman" w:hAnsi="Times New Roman" w:cs="Times New Roman"/>
          <w:sz w:val="24"/>
          <w:szCs w:val="24"/>
        </w:rPr>
        <w:t>между участници</w:t>
      </w:r>
      <w:r w:rsidR="00DB64D8" w:rsidRPr="007B4A99">
        <w:rPr>
          <w:rFonts w:ascii="Times New Roman" w:hAnsi="Times New Roman" w:cs="Times New Roman"/>
          <w:sz w:val="24"/>
          <w:szCs w:val="24"/>
        </w:rPr>
        <w:t>те</w:t>
      </w:r>
      <w:r w:rsidR="00B76013" w:rsidRPr="007B4A99">
        <w:rPr>
          <w:rFonts w:ascii="Times New Roman" w:hAnsi="Times New Roman" w:cs="Times New Roman"/>
          <w:sz w:val="24"/>
          <w:szCs w:val="24"/>
        </w:rPr>
        <w:t xml:space="preserve"> по веригата на доставки на земеделски продукти и храни</w:t>
      </w:r>
      <w:r w:rsidRPr="007B4A99">
        <w:rPr>
          <w:rFonts w:ascii="Times New Roman" w:hAnsi="Times New Roman" w:cs="Times New Roman"/>
          <w:sz w:val="24"/>
          <w:szCs w:val="24"/>
        </w:rPr>
        <w:t xml:space="preserve"> в България. </w:t>
      </w:r>
    </w:p>
    <w:p w14:paraId="07E4D841" w14:textId="4357CC84" w:rsidR="00C37C27" w:rsidRPr="007B4A99" w:rsidRDefault="00C37C27"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При разработване</w:t>
      </w:r>
      <w:r w:rsidR="000A00F5" w:rsidRPr="007B4A99">
        <w:rPr>
          <w:rFonts w:ascii="Times New Roman" w:hAnsi="Times New Roman" w:cs="Times New Roman"/>
          <w:sz w:val="24"/>
          <w:szCs w:val="24"/>
        </w:rPr>
        <w:t>то на цялостната предварителна ОВ</w:t>
      </w:r>
      <w:r w:rsidRPr="007B4A99">
        <w:rPr>
          <w:rFonts w:ascii="Times New Roman" w:hAnsi="Times New Roman" w:cs="Times New Roman"/>
          <w:sz w:val="24"/>
          <w:szCs w:val="24"/>
        </w:rPr>
        <w:t xml:space="preserve"> е използвана приетата от</w:t>
      </w:r>
      <w:r w:rsidR="005B1EE9" w:rsidRPr="007B4A99">
        <w:rPr>
          <w:rFonts w:ascii="Times New Roman" w:hAnsi="Times New Roman" w:cs="Times New Roman"/>
          <w:sz w:val="24"/>
          <w:szCs w:val="24"/>
        </w:rPr>
        <w:t xml:space="preserve"> Министерския съвет</w:t>
      </w:r>
      <w:r w:rsidR="00177948">
        <w:rPr>
          <w:rFonts w:ascii="Times New Roman" w:hAnsi="Times New Roman" w:cs="Times New Roman"/>
          <w:sz w:val="24"/>
          <w:szCs w:val="24"/>
        </w:rPr>
        <w:t>,</w:t>
      </w:r>
      <w:r w:rsidRPr="007B4A99">
        <w:rPr>
          <w:rFonts w:ascii="Times New Roman" w:hAnsi="Times New Roman" w:cs="Times New Roman"/>
          <w:sz w:val="24"/>
          <w:szCs w:val="24"/>
        </w:rPr>
        <w:t xml:space="preserve"> в края на 2020 г.</w:t>
      </w:r>
      <w:r w:rsidR="000A00F5" w:rsidRPr="007B4A99">
        <w:rPr>
          <w:rFonts w:ascii="Times New Roman" w:hAnsi="Times New Roman" w:cs="Times New Roman"/>
          <w:sz w:val="24"/>
          <w:szCs w:val="24"/>
        </w:rPr>
        <w:t>,</w:t>
      </w:r>
      <w:r w:rsidRPr="007B4A99">
        <w:rPr>
          <w:rFonts w:ascii="Times New Roman" w:hAnsi="Times New Roman" w:cs="Times New Roman"/>
          <w:sz w:val="24"/>
          <w:szCs w:val="24"/>
        </w:rPr>
        <w:t xml:space="preserve"> методологическа рамка за извършване на предварителна оценка на въздействието, приложима за оценките, изготвяни </w:t>
      </w:r>
      <w:r w:rsidR="00177948">
        <w:rPr>
          <w:rFonts w:ascii="Times New Roman" w:hAnsi="Times New Roman" w:cs="Times New Roman"/>
          <w:sz w:val="24"/>
          <w:szCs w:val="24"/>
        </w:rPr>
        <w:t>от</w:t>
      </w:r>
      <w:r w:rsidRPr="007B4A99">
        <w:rPr>
          <w:rFonts w:ascii="Times New Roman" w:hAnsi="Times New Roman" w:cs="Times New Roman"/>
          <w:sz w:val="24"/>
          <w:szCs w:val="24"/>
        </w:rPr>
        <w:t xml:space="preserve"> изпълнителната власт. Същата е допълнително адаптирана и надградена от Центъра за оценка на въздействието на законодателството на база възприетите от него най-добри практики, генерирани през последните 1</w:t>
      </w:r>
      <w:r w:rsidR="000A00F5" w:rsidRPr="007B4A99">
        <w:rPr>
          <w:rFonts w:ascii="Times New Roman" w:hAnsi="Times New Roman" w:cs="Times New Roman"/>
          <w:sz w:val="24"/>
          <w:szCs w:val="24"/>
        </w:rPr>
        <w:t>5</w:t>
      </w:r>
      <w:r w:rsidRPr="007B4A99">
        <w:rPr>
          <w:rFonts w:ascii="Times New Roman" w:hAnsi="Times New Roman" w:cs="Times New Roman"/>
          <w:sz w:val="24"/>
          <w:szCs w:val="24"/>
        </w:rPr>
        <w:t xml:space="preserve"> години, постоянно усъвършенствани и осъвременявани в съответствие с </w:t>
      </w:r>
      <w:r w:rsidR="000A00F5" w:rsidRPr="007B4A99">
        <w:rPr>
          <w:rFonts w:ascii="Times New Roman" w:hAnsi="Times New Roman" w:cs="Times New Roman"/>
          <w:sz w:val="24"/>
          <w:szCs w:val="24"/>
        </w:rPr>
        <w:t>най-новите</w:t>
      </w:r>
      <w:r w:rsidRPr="007B4A99">
        <w:rPr>
          <w:rFonts w:ascii="Times New Roman" w:hAnsi="Times New Roman" w:cs="Times New Roman"/>
          <w:sz w:val="24"/>
          <w:szCs w:val="24"/>
        </w:rPr>
        <w:t xml:space="preserve"> европейски и световни тенденции в тази област. </w:t>
      </w:r>
    </w:p>
    <w:p w14:paraId="7148FBD2" w14:textId="614FEA76" w:rsidR="00C37C27" w:rsidRPr="007B4A99" w:rsidRDefault="00C37C27"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 xml:space="preserve">Приложената методология е основана на следните нормативни актове и </w:t>
      </w:r>
      <w:r w:rsidR="00115FF9">
        <w:rPr>
          <w:rFonts w:ascii="Times New Roman" w:hAnsi="Times New Roman" w:cs="Times New Roman"/>
          <w:sz w:val="24"/>
          <w:szCs w:val="24"/>
        </w:rPr>
        <w:t>методологически</w:t>
      </w:r>
      <w:r w:rsidRPr="007B4A99">
        <w:rPr>
          <w:rFonts w:ascii="Times New Roman" w:hAnsi="Times New Roman" w:cs="Times New Roman"/>
          <w:sz w:val="24"/>
          <w:szCs w:val="24"/>
        </w:rPr>
        <w:t xml:space="preserve"> документи: </w:t>
      </w:r>
    </w:p>
    <w:p w14:paraId="17F188B3" w14:textId="51E2A90D" w:rsidR="00C37C27" w:rsidRPr="007B4A99" w:rsidRDefault="00C37C27" w:rsidP="00DD69D5">
      <w:pPr>
        <w:pStyle w:val="Default"/>
        <w:ind w:right="-38" w:firstLine="539"/>
        <w:jc w:val="both"/>
        <w:rPr>
          <w:rFonts w:ascii="Times New Roman" w:hAnsi="Times New Roman" w:cs="Times New Roman"/>
          <w:color w:val="auto"/>
          <w:lang w:val="bg-BG"/>
        </w:rPr>
      </w:pPr>
      <w:r w:rsidRPr="007B4A99">
        <w:rPr>
          <w:rFonts w:ascii="Times New Roman" w:hAnsi="Times New Roman" w:cs="Times New Roman"/>
          <w:color w:val="auto"/>
          <w:lang w:val="bg-BG"/>
        </w:rPr>
        <w:t>1. Закон за нормативните актове</w:t>
      </w:r>
      <w:r w:rsidRPr="007B4A99">
        <w:rPr>
          <w:rStyle w:val="FootnoteReference"/>
          <w:rFonts w:ascii="Times New Roman" w:hAnsi="Times New Roman" w:cs="Times New Roman"/>
          <w:color w:val="auto"/>
          <w:lang w:val="bg-BG"/>
        </w:rPr>
        <w:footnoteReference w:id="1"/>
      </w:r>
      <w:r w:rsidRPr="007B4A99">
        <w:rPr>
          <w:rFonts w:ascii="Times New Roman" w:hAnsi="Times New Roman" w:cs="Times New Roman"/>
          <w:color w:val="auto"/>
          <w:lang w:val="bg-BG"/>
        </w:rPr>
        <w:t>;</w:t>
      </w:r>
    </w:p>
    <w:p w14:paraId="2815F39A" w14:textId="5C8B9BB4" w:rsidR="00C37C27" w:rsidRPr="007B4A99" w:rsidRDefault="00C37C27" w:rsidP="00DD69D5">
      <w:pPr>
        <w:pStyle w:val="Default"/>
        <w:tabs>
          <w:tab w:val="left" w:pos="540"/>
        </w:tabs>
        <w:ind w:right="-38" w:firstLine="539"/>
        <w:jc w:val="both"/>
        <w:rPr>
          <w:rFonts w:ascii="Times New Roman" w:hAnsi="Times New Roman" w:cs="Times New Roman"/>
          <w:color w:val="auto"/>
          <w:lang w:val="bg-BG"/>
        </w:rPr>
      </w:pPr>
      <w:r w:rsidRPr="007B4A99">
        <w:rPr>
          <w:rFonts w:ascii="Times New Roman" w:hAnsi="Times New Roman" w:cs="Times New Roman"/>
          <w:color w:val="auto"/>
          <w:lang w:val="bg-BG"/>
        </w:rPr>
        <w:t>2. Наредба за обхвата и методологията за извършване на оценка на въздействието</w:t>
      </w:r>
      <w:r w:rsidRPr="007B4A99">
        <w:rPr>
          <w:rStyle w:val="FootnoteReference"/>
          <w:rFonts w:ascii="Times New Roman" w:hAnsi="Times New Roman" w:cs="Times New Roman"/>
          <w:color w:val="auto"/>
          <w:lang w:val="bg-BG"/>
        </w:rPr>
        <w:footnoteReference w:id="2"/>
      </w:r>
      <w:r w:rsidRPr="007B4A99">
        <w:rPr>
          <w:rFonts w:ascii="Times New Roman" w:hAnsi="Times New Roman" w:cs="Times New Roman"/>
          <w:color w:val="auto"/>
          <w:lang w:val="bg-BG"/>
        </w:rPr>
        <w:t>;</w:t>
      </w:r>
    </w:p>
    <w:p w14:paraId="6D2F13BD" w14:textId="45B0D7A7" w:rsidR="00C37C27" w:rsidRPr="007B4A99" w:rsidRDefault="00C37C27" w:rsidP="00DD69D5">
      <w:pPr>
        <w:pStyle w:val="Default"/>
        <w:tabs>
          <w:tab w:val="left" w:pos="540"/>
        </w:tabs>
        <w:ind w:right="-38" w:firstLine="539"/>
        <w:jc w:val="both"/>
        <w:rPr>
          <w:rFonts w:ascii="Times New Roman" w:hAnsi="Times New Roman" w:cs="Times New Roman"/>
          <w:color w:val="auto"/>
          <w:lang w:val="bg-BG"/>
        </w:rPr>
      </w:pPr>
      <w:r w:rsidRPr="007B4A99">
        <w:rPr>
          <w:rFonts w:ascii="Times New Roman" w:hAnsi="Times New Roman" w:cs="Times New Roman"/>
          <w:color w:val="auto"/>
          <w:lang w:val="bg-BG"/>
        </w:rPr>
        <w:t xml:space="preserve">3. </w:t>
      </w:r>
      <w:r w:rsidRPr="007B4A99">
        <w:rPr>
          <w:rFonts w:ascii="Times New Roman" w:hAnsi="Times New Roman" w:cs="Times New Roman"/>
          <w:bCs/>
          <w:lang w:val="bg-BG"/>
        </w:rPr>
        <w:t>Ръководство за извършване на предварителна оценка на въздействието от 2019 г.</w:t>
      </w:r>
      <w:r w:rsidRPr="007B4A99">
        <w:rPr>
          <w:rStyle w:val="FootnoteReference"/>
          <w:rFonts w:ascii="Times New Roman" w:hAnsi="Times New Roman" w:cs="Times New Roman"/>
          <w:color w:val="auto"/>
          <w:lang w:val="bg-BG"/>
        </w:rPr>
        <w:footnoteReference w:id="3"/>
      </w:r>
      <w:r w:rsidRPr="007B4A99">
        <w:rPr>
          <w:rFonts w:ascii="Times New Roman" w:hAnsi="Times New Roman" w:cs="Times New Roman"/>
          <w:color w:val="auto"/>
          <w:lang w:val="bg-BG"/>
        </w:rPr>
        <w:t>;</w:t>
      </w:r>
    </w:p>
    <w:p w14:paraId="42152DB9" w14:textId="462102A0" w:rsidR="00C37C27" w:rsidRPr="007B4A99" w:rsidRDefault="00C37C27" w:rsidP="00DD69D5">
      <w:pPr>
        <w:pStyle w:val="Default"/>
        <w:ind w:right="-38" w:firstLine="539"/>
        <w:jc w:val="both"/>
        <w:rPr>
          <w:rFonts w:ascii="Times New Roman" w:hAnsi="Times New Roman" w:cs="Times New Roman"/>
          <w:color w:val="auto"/>
          <w:lang w:val="bg-BG"/>
        </w:rPr>
      </w:pPr>
      <w:r w:rsidRPr="007B4A99">
        <w:rPr>
          <w:rFonts w:ascii="Times New Roman" w:hAnsi="Times New Roman" w:cs="Times New Roman"/>
          <w:lang w:val="bg-BG"/>
        </w:rPr>
        <w:t>4. Насоки за по-добро регулиране на Европейската комисия от 2021 г.</w:t>
      </w:r>
      <w:r w:rsidRPr="007B4A99">
        <w:rPr>
          <w:rStyle w:val="FootnoteReference"/>
          <w:rFonts w:ascii="Times New Roman" w:hAnsi="Times New Roman" w:cs="Times New Roman"/>
          <w:lang w:val="bg-BG"/>
        </w:rPr>
        <w:footnoteReference w:id="4"/>
      </w:r>
      <w:r w:rsidRPr="007B4A99">
        <w:rPr>
          <w:rFonts w:ascii="Times New Roman" w:hAnsi="Times New Roman" w:cs="Times New Roman"/>
          <w:lang w:val="bg-BG"/>
        </w:rPr>
        <w:t>;</w:t>
      </w:r>
    </w:p>
    <w:p w14:paraId="1AEEADF6" w14:textId="7B6E7DA0" w:rsidR="00C37C27" w:rsidRPr="007B4A99" w:rsidRDefault="00C37C27" w:rsidP="00DD69D5">
      <w:pPr>
        <w:pStyle w:val="Default"/>
        <w:ind w:right="-38" w:firstLine="539"/>
        <w:jc w:val="both"/>
        <w:rPr>
          <w:rFonts w:ascii="Times New Roman" w:hAnsi="Times New Roman" w:cs="Times New Roman"/>
          <w:color w:val="auto"/>
          <w:lang w:val="bg-BG"/>
        </w:rPr>
      </w:pPr>
      <w:r w:rsidRPr="007B4A99">
        <w:rPr>
          <w:rFonts w:ascii="Times New Roman" w:hAnsi="Times New Roman" w:cs="Times New Roman"/>
          <w:lang w:val="bg-BG"/>
        </w:rPr>
        <w:t>5. Инструментариум към Насоките за по-добро регулиране на ЕК от 202</w:t>
      </w:r>
      <w:r w:rsidR="009E1F65" w:rsidRPr="007B4A99">
        <w:rPr>
          <w:rFonts w:ascii="Times New Roman" w:hAnsi="Times New Roman" w:cs="Times New Roman"/>
          <w:lang w:val="bg-BG"/>
        </w:rPr>
        <w:t>3</w:t>
      </w:r>
      <w:r w:rsidRPr="007B4A99">
        <w:rPr>
          <w:rFonts w:ascii="Times New Roman" w:hAnsi="Times New Roman" w:cs="Times New Roman"/>
          <w:lang w:val="bg-BG"/>
        </w:rPr>
        <w:t xml:space="preserve"> г.</w:t>
      </w:r>
      <w:r w:rsidRPr="007B4A99">
        <w:rPr>
          <w:rStyle w:val="FootnoteReference"/>
          <w:rFonts w:ascii="Times New Roman" w:hAnsi="Times New Roman" w:cs="Times New Roman"/>
          <w:lang w:val="bg-BG"/>
        </w:rPr>
        <w:footnoteReference w:id="5"/>
      </w:r>
      <w:r w:rsidR="00B76013" w:rsidRPr="007B4A99">
        <w:rPr>
          <w:rFonts w:ascii="Times New Roman" w:hAnsi="Times New Roman" w:cs="Times New Roman"/>
          <w:lang w:val="bg-BG"/>
        </w:rPr>
        <w:t xml:space="preserve"> </w:t>
      </w:r>
      <w:r w:rsidRPr="007B4A99">
        <w:rPr>
          <w:rFonts w:ascii="Times New Roman" w:hAnsi="Times New Roman" w:cs="Times New Roman"/>
          <w:color w:val="auto"/>
          <w:lang w:val="bg-BG"/>
        </w:rPr>
        <w:t>и други.</w:t>
      </w:r>
    </w:p>
    <w:p w14:paraId="51947D8C" w14:textId="50CA6F21" w:rsidR="00C37C27" w:rsidRDefault="00C37C27" w:rsidP="00177948">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 xml:space="preserve">Цялостната предварителна </w:t>
      </w:r>
      <w:r w:rsidR="001C62C0">
        <w:rPr>
          <w:rFonts w:ascii="Times New Roman" w:hAnsi="Times New Roman" w:cs="Times New Roman"/>
          <w:sz w:val="24"/>
          <w:szCs w:val="24"/>
        </w:rPr>
        <w:t>ОВ</w:t>
      </w:r>
      <w:r w:rsidRPr="007B4A99">
        <w:rPr>
          <w:rFonts w:ascii="Times New Roman" w:hAnsi="Times New Roman" w:cs="Times New Roman"/>
          <w:sz w:val="24"/>
          <w:szCs w:val="24"/>
        </w:rPr>
        <w:t xml:space="preserve"> е </w:t>
      </w:r>
      <w:r w:rsidR="00DB64D8" w:rsidRPr="007B4A99">
        <w:rPr>
          <w:rFonts w:ascii="Times New Roman" w:hAnsi="Times New Roman" w:cs="Times New Roman"/>
          <w:sz w:val="24"/>
          <w:szCs w:val="24"/>
        </w:rPr>
        <w:t>извършена</w:t>
      </w:r>
      <w:r w:rsidRPr="007B4A99">
        <w:rPr>
          <w:rFonts w:ascii="Times New Roman" w:hAnsi="Times New Roman" w:cs="Times New Roman"/>
          <w:sz w:val="24"/>
          <w:szCs w:val="24"/>
        </w:rPr>
        <w:t xml:space="preserve"> от</w:t>
      </w:r>
      <w:r w:rsidR="00B76013" w:rsidRPr="007B4A99">
        <w:rPr>
          <w:rFonts w:ascii="Times New Roman" w:hAnsi="Times New Roman" w:cs="Times New Roman"/>
          <w:sz w:val="24"/>
          <w:szCs w:val="24"/>
        </w:rPr>
        <w:t xml:space="preserve"> и</w:t>
      </w:r>
      <w:r w:rsidR="00EE3369" w:rsidRPr="007B4A99">
        <w:rPr>
          <w:rFonts w:ascii="Times New Roman" w:hAnsi="Times New Roman" w:cs="Times New Roman"/>
          <w:sz w:val="24"/>
          <w:szCs w:val="24"/>
        </w:rPr>
        <w:t>нтер</w:t>
      </w:r>
      <w:r w:rsidR="00B76013" w:rsidRPr="007B4A99">
        <w:rPr>
          <w:rFonts w:ascii="Times New Roman" w:hAnsi="Times New Roman" w:cs="Times New Roman"/>
          <w:sz w:val="24"/>
          <w:szCs w:val="24"/>
        </w:rPr>
        <w:t xml:space="preserve">дисциплинарен </w:t>
      </w:r>
      <w:r w:rsidRPr="007B4A99">
        <w:rPr>
          <w:rFonts w:ascii="Times New Roman" w:hAnsi="Times New Roman" w:cs="Times New Roman"/>
          <w:sz w:val="24"/>
          <w:szCs w:val="24"/>
        </w:rPr>
        <w:t>екип на Центъра за оценка на въздействието на законодателството в изпълнение на договор за</w:t>
      </w:r>
      <w:r w:rsidR="00B76013" w:rsidRPr="007B4A99">
        <w:rPr>
          <w:rFonts w:ascii="Times New Roman" w:hAnsi="Times New Roman" w:cs="Times New Roman"/>
          <w:sz w:val="24"/>
          <w:szCs w:val="24"/>
        </w:rPr>
        <w:t xml:space="preserve"> възлагане на</w:t>
      </w:r>
      <w:r w:rsidRPr="007B4A99">
        <w:rPr>
          <w:rFonts w:ascii="Times New Roman" w:hAnsi="Times New Roman" w:cs="Times New Roman"/>
          <w:sz w:val="24"/>
          <w:szCs w:val="24"/>
        </w:rPr>
        <w:t xml:space="preserve"> услуги, свързани с: „</w:t>
      </w:r>
      <w:r w:rsidR="0019410F" w:rsidRPr="007B4A99">
        <w:rPr>
          <w:rFonts w:ascii="Times New Roman" w:hAnsi="Times New Roman" w:cs="Times New Roman"/>
          <w:sz w:val="24"/>
          <w:szCs w:val="24"/>
        </w:rPr>
        <w:t xml:space="preserve">Изготвяне на цялостна предварителна оценка на въздействието </w:t>
      </w:r>
      <w:r w:rsidR="00F27F0B" w:rsidRPr="007B4A99">
        <w:rPr>
          <w:rFonts w:ascii="Times New Roman" w:hAnsi="Times New Roman" w:cs="Times New Roman"/>
          <w:sz w:val="24"/>
          <w:szCs w:val="24"/>
        </w:rPr>
        <w:t>на проект на Закон за веригата на доставки на земеделски продукти и храни“,</w:t>
      </w:r>
      <w:r w:rsidR="00026A22" w:rsidRPr="007B4A99">
        <w:rPr>
          <w:rFonts w:ascii="Times New Roman" w:hAnsi="Times New Roman" w:cs="Times New Roman"/>
          <w:sz w:val="24"/>
          <w:szCs w:val="24"/>
        </w:rPr>
        <w:t xml:space="preserve"> сключен с </w:t>
      </w:r>
      <w:r w:rsidR="001C62C0">
        <w:rPr>
          <w:rFonts w:ascii="Times New Roman" w:hAnsi="Times New Roman" w:cs="Times New Roman"/>
          <w:sz w:val="24"/>
          <w:szCs w:val="24"/>
        </w:rPr>
        <w:t>МЗХ</w:t>
      </w:r>
      <w:r w:rsidR="00026A22" w:rsidRPr="007B4A99">
        <w:rPr>
          <w:rFonts w:ascii="Times New Roman" w:hAnsi="Times New Roman" w:cs="Times New Roman"/>
          <w:sz w:val="24"/>
          <w:szCs w:val="24"/>
        </w:rPr>
        <w:t xml:space="preserve">. </w:t>
      </w:r>
      <w:r w:rsidR="001C62C0">
        <w:rPr>
          <w:rFonts w:ascii="Times New Roman" w:hAnsi="Times New Roman" w:cs="Times New Roman"/>
          <w:sz w:val="24"/>
          <w:szCs w:val="24"/>
        </w:rPr>
        <w:t>ОВ</w:t>
      </w:r>
      <w:r w:rsidR="00026A22" w:rsidRPr="007B4A99">
        <w:rPr>
          <w:rFonts w:ascii="Times New Roman" w:hAnsi="Times New Roman" w:cs="Times New Roman"/>
          <w:sz w:val="24"/>
          <w:szCs w:val="24"/>
        </w:rPr>
        <w:t xml:space="preserve"> е изготвена </w:t>
      </w:r>
      <w:r w:rsidR="00F27F0B" w:rsidRPr="007B4A99">
        <w:rPr>
          <w:rFonts w:ascii="Times New Roman" w:hAnsi="Times New Roman" w:cs="Times New Roman"/>
          <w:sz w:val="24"/>
          <w:szCs w:val="24"/>
        </w:rPr>
        <w:t>при спазване на действащата национална регулаторна рамка на законово ниво</w:t>
      </w:r>
      <w:r w:rsidR="0019410F" w:rsidRPr="007B4A99">
        <w:rPr>
          <w:rFonts w:ascii="Times New Roman" w:hAnsi="Times New Roman" w:cs="Times New Roman"/>
          <w:sz w:val="24"/>
          <w:szCs w:val="24"/>
        </w:rPr>
        <w:t xml:space="preserve"> и </w:t>
      </w:r>
      <w:r w:rsidR="00F27F0B" w:rsidRPr="007B4A99">
        <w:rPr>
          <w:rFonts w:ascii="Times New Roman" w:hAnsi="Times New Roman" w:cs="Times New Roman"/>
          <w:sz w:val="24"/>
          <w:szCs w:val="24"/>
        </w:rPr>
        <w:t>при пълно съобразяване с приетата от българската държава методологическа рамка</w:t>
      </w:r>
      <w:r w:rsidRPr="007B4A99">
        <w:rPr>
          <w:rFonts w:ascii="Times New Roman" w:hAnsi="Times New Roman" w:cs="Times New Roman"/>
          <w:sz w:val="24"/>
          <w:szCs w:val="24"/>
        </w:rPr>
        <w:t xml:space="preserve">. </w:t>
      </w:r>
    </w:p>
    <w:p w14:paraId="1A4DAD29" w14:textId="77777777" w:rsidR="00177948" w:rsidRDefault="00177948" w:rsidP="00DD69D5">
      <w:pPr>
        <w:spacing w:after="0" w:line="240" w:lineRule="auto"/>
        <w:ind w:firstLine="539"/>
        <w:jc w:val="both"/>
        <w:rPr>
          <w:rFonts w:ascii="Times New Roman" w:hAnsi="Times New Roman" w:cs="Times New Roman"/>
          <w:sz w:val="24"/>
          <w:szCs w:val="24"/>
        </w:rPr>
      </w:pPr>
    </w:p>
    <w:p w14:paraId="69756050" w14:textId="77777777" w:rsidR="00D102E9" w:rsidRDefault="00D102E9" w:rsidP="00DD69D5">
      <w:pPr>
        <w:spacing w:after="0" w:line="240" w:lineRule="auto"/>
        <w:ind w:firstLine="539"/>
        <w:jc w:val="both"/>
        <w:rPr>
          <w:rFonts w:ascii="Times New Roman" w:hAnsi="Times New Roman" w:cs="Times New Roman"/>
          <w:sz w:val="24"/>
          <w:szCs w:val="24"/>
        </w:rPr>
      </w:pPr>
    </w:p>
    <w:p w14:paraId="011621FA" w14:textId="77777777" w:rsidR="00177948" w:rsidRDefault="00177948" w:rsidP="00DD69D5">
      <w:pPr>
        <w:spacing w:after="0" w:line="240" w:lineRule="auto"/>
        <w:ind w:firstLine="539"/>
        <w:jc w:val="both"/>
        <w:rPr>
          <w:rFonts w:ascii="Times New Roman" w:hAnsi="Times New Roman" w:cs="Times New Roman"/>
          <w:sz w:val="24"/>
          <w:szCs w:val="24"/>
        </w:rPr>
      </w:pPr>
    </w:p>
    <w:p w14:paraId="488E2A83" w14:textId="77777777" w:rsidR="00177948" w:rsidRPr="007B4A99" w:rsidRDefault="00177948" w:rsidP="00DD69D5">
      <w:pPr>
        <w:spacing w:after="0" w:line="240" w:lineRule="auto"/>
        <w:ind w:firstLine="539"/>
        <w:jc w:val="both"/>
        <w:rPr>
          <w:rFonts w:ascii="Times New Roman" w:hAnsi="Times New Roman" w:cs="Times New Roman"/>
          <w:sz w:val="24"/>
          <w:szCs w:val="24"/>
        </w:rPr>
      </w:pPr>
    </w:p>
    <w:p w14:paraId="6FFEE8B6" w14:textId="2CAF10F6" w:rsidR="00C37C27" w:rsidRPr="007B4A99" w:rsidRDefault="00C37C27"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b/>
          <w:i/>
          <w:color w:val="1F4E79" w:themeColor="accent1" w:themeShade="80"/>
          <w:sz w:val="24"/>
          <w:szCs w:val="24"/>
        </w:rPr>
        <w:t>Описание на контекста на оценяваната</w:t>
      </w:r>
      <w:r w:rsidR="00FB0251" w:rsidRPr="007B4A99">
        <w:rPr>
          <w:rFonts w:ascii="Times New Roman" w:hAnsi="Times New Roman" w:cs="Times New Roman"/>
          <w:b/>
          <w:i/>
          <w:color w:val="1F4E79" w:themeColor="accent1" w:themeShade="80"/>
          <w:sz w:val="24"/>
          <w:szCs w:val="24"/>
        </w:rPr>
        <w:t xml:space="preserve"> публична</w:t>
      </w:r>
      <w:r w:rsidRPr="007B4A99">
        <w:rPr>
          <w:rFonts w:ascii="Times New Roman" w:hAnsi="Times New Roman" w:cs="Times New Roman"/>
          <w:b/>
          <w:i/>
          <w:color w:val="1F4E79" w:themeColor="accent1" w:themeShade="80"/>
          <w:sz w:val="24"/>
          <w:szCs w:val="24"/>
        </w:rPr>
        <w:t xml:space="preserve"> политика </w:t>
      </w:r>
    </w:p>
    <w:p w14:paraId="1C22244B" w14:textId="49223741" w:rsidR="00976832" w:rsidRPr="007B4A99" w:rsidRDefault="00F64594"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 xml:space="preserve">През 2011 г. </w:t>
      </w:r>
      <w:r w:rsidR="00976832" w:rsidRPr="007B4A99">
        <w:rPr>
          <w:rFonts w:ascii="Times New Roman" w:hAnsi="Times New Roman" w:cs="Times New Roman"/>
          <w:sz w:val="24"/>
          <w:szCs w:val="24"/>
        </w:rPr>
        <w:t>българската държава</w:t>
      </w:r>
      <w:r w:rsidRPr="007B4A99">
        <w:rPr>
          <w:rFonts w:ascii="Times New Roman" w:hAnsi="Times New Roman" w:cs="Times New Roman"/>
          <w:sz w:val="24"/>
          <w:szCs w:val="24"/>
        </w:rPr>
        <w:t>,</w:t>
      </w:r>
      <w:r w:rsidR="00976832" w:rsidRPr="007B4A99">
        <w:rPr>
          <w:rFonts w:ascii="Times New Roman" w:hAnsi="Times New Roman" w:cs="Times New Roman"/>
          <w:sz w:val="24"/>
          <w:szCs w:val="24"/>
        </w:rPr>
        <w:t xml:space="preserve"> съвместно с основните заинтересовани страни, </w:t>
      </w:r>
      <w:r w:rsidRPr="007B4A99">
        <w:rPr>
          <w:rFonts w:ascii="Times New Roman" w:hAnsi="Times New Roman" w:cs="Times New Roman"/>
          <w:sz w:val="24"/>
          <w:szCs w:val="24"/>
        </w:rPr>
        <w:t>предприема</w:t>
      </w:r>
      <w:r w:rsidR="002715AF" w:rsidRPr="007B4A99">
        <w:rPr>
          <w:rFonts w:ascii="Times New Roman" w:hAnsi="Times New Roman" w:cs="Times New Roman"/>
          <w:sz w:val="24"/>
          <w:szCs w:val="24"/>
        </w:rPr>
        <w:t xml:space="preserve"> поредица от действия</w:t>
      </w:r>
      <w:r w:rsidR="00976832" w:rsidRPr="007B4A99">
        <w:rPr>
          <w:rFonts w:ascii="Times New Roman" w:hAnsi="Times New Roman" w:cs="Times New Roman"/>
          <w:sz w:val="24"/>
          <w:szCs w:val="24"/>
        </w:rPr>
        <w:t xml:space="preserve">, насочени към намирането на най-добрия вариант на политика за подобряване на регулаторната среда, целяща въвеждането на условия на </w:t>
      </w:r>
      <w:r w:rsidR="00D66398" w:rsidRPr="007B4A99">
        <w:rPr>
          <w:rFonts w:ascii="Times New Roman" w:hAnsi="Times New Roman" w:cs="Times New Roman"/>
          <w:sz w:val="24"/>
          <w:szCs w:val="24"/>
        </w:rPr>
        <w:t xml:space="preserve">реална </w:t>
      </w:r>
      <w:r w:rsidR="00976832" w:rsidRPr="007B4A99">
        <w:rPr>
          <w:rFonts w:ascii="Times New Roman" w:hAnsi="Times New Roman" w:cs="Times New Roman"/>
          <w:sz w:val="24"/>
          <w:szCs w:val="24"/>
        </w:rPr>
        <w:t xml:space="preserve">конкуренция между всички икономически оператори по веригата </w:t>
      </w:r>
      <w:r w:rsidR="00976832" w:rsidRPr="00177948">
        <w:rPr>
          <w:rFonts w:ascii="Times New Roman" w:hAnsi="Times New Roman" w:cs="Times New Roman"/>
          <w:i/>
          <w:sz w:val="24"/>
          <w:szCs w:val="24"/>
        </w:rPr>
        <w:t>производител на суровини – преработвател – дистрибутор – търговец</w:t>
      </w:r>
      <w:r w:rsidR="00976832" w:rsidRPr="007B4A99">
        <w:rPr>
          <w:rFonts w:ascii="Times New Roman" w:hAnsi="Times New Roman" w:cs="Times New Roman"/>
          <w:sz w:val="24"/>
          <w:szCs w:val="24"/>
        </w:rPr>
        <w:t xml:space="preserve"> и по-специално в сектора на търговията на дребно с бързооборотни стоки.</w:t>
      </w:r>
    </w:p>
    <w:p w14:paraId="782A7AE1" w14:textId="2E6E729D" w:rsidR="00045782" w:rsidRPr="007B4A99" w:rsidRDefault="008A1234"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Т</w:t>
      </w:r>
      <w:r w:rsidR="002715AF" w:rsidRPr="007B4A99">
        <w:rPr>
          <w:rFonts w:ascii="Times New Roman" w:hAnsi="Times New Roman" w:cs="Times New Roman"/>
          <w:sz w:val="24"/>
          <w:szCs w:val="24"/>
        </w:rPr>
        <w:t>ази</w:t>
      </w:r>
      <w:r w:rsidRPr="007B4A99">
        <w:rPr>
          <w:rFonts w:ascii="Times New Roman" w:hAnsi="Times New Roman" w:cs="Times New Roman"/>
          <w:sz w:val="24"/>
          <w:szCs w:val="24"/>
        </w:rPr>
        <w:t xml:space="preserve"> </w:t>
      </w:r>
      <w:r w:rsidR="002715AF" w:rsidRPr="007B4A99">
        <w:rPr>
          <w:rFonts w:ascii="Times New Roman" w:hAnsi="Times New Roman" w:cs="Times New Roman"/>
          <w:sz w:val="24"/>
          <w:szCs w:val="24"/>
        </w:rPr>
        <w:t>инициатива</w:t>
      </w:r>
      <w:r w:rsidRPr="007B4A99">
        <w:rPr>
          <w:rFonts w:ascii="Times New Roman" w:hAnsi="Times New Roman" w:cs="Times New Roman"/>
          <w:sz w:val="24"/>
          <w:szCs w:val="24"/>
        </w:rPr>
        <w:t xml:space="preserve"> на държавата</w:t>
      </w:r>
      <w:r w:rsidR="002715AF" w:rsidRPr="007B4A99">
        <w:rPr>
          <w:rFonts w:ascii="Times New Roman" w:hAnsi="Times New Roman" w:cs="Times New Roman"/>
          <w:sz w:val="24"/>
          <w:szCs w:val="24"/>
        </w:rPr>
        <w:t xml:space="preserve"> </w:t>
      </w:r>
      <w:r w:rsidRPr="007B4A99">
        <w:rPr>
          <w:rFonts w:ascii="Times New Roman" w:hAnsi="Times New Roman" w:cs="Times New Roman"/>
          <w:sz w:val="24"/>
          <w:szCs w:val="24"/>
        </w:rPr>
        <w:t>започва с</w:t>
      </w:r>
      <w:r w:rsidR="00976832" w:rsidRPr="007B4A99">
        <w:rPr>
          <w:rFonts w:ascii="Times New Roman" w:hAnsi="Times New Roman" w:cs="Times New Roman"/>
          <w:sz w:val="24"/>
          <w:szCs w:val="24"/>
        </w:rPr>
        <w:t xml:space="preserve"> провеждането на анкетно проучване, събирането на </w:t>
      </w:r>
      <w:r w:rsidR="002715AF" w:rsidRPr="007B4A99">
        <w:rPr>
          <w:rFonts w:ascii="Times New Roman" w:hAnsi="Times New Roman" w:cs="Times New Roman"/>
          <w:sz w:val="24"/>
          <w:szCs w:val="24"/>
        </w:rPr>
        <w:t xml:space="preserve">становища, </w:t>
      </w:r>
      <w:r w:rsidR="00976832" w:rsidRPr="007B4A99">
        <w:rPr>
          <w:rFonts w:ascii="Times New Roman" w:hAnsi="Times New Roman" w:cs="Times New Roman"/>
          <w:sz w:val="24"/>
          <w:szCs w:val="24"/>
        </w:rPr>
        <w:t>извъ</w:t>
      </w:r>
      <w:r w:rsidR="002715AF" w:rsidRPr="007B4A99">
        <w:rPr>
          <w:rFonts w:ascii="Times New Roman" w:hAnsi="Times New Roman" w:cs="Times New Roman"/>
          <w:sz w:val="24"/>
          <w:szCs w:val="24"/>
        </w:rPr>
        <w:t xml:space="preserve">ршването на експертни </w:t>
      </w:r>
      <w:r w:rsidR="00177948">
        <w:rPr>
          <w:rFonts w:ascii="Times New Roman" w:hAnsi="Times New Roman" w:cs="Times New Roman"/>
          <w:sz w:val="24"/>
          <w:szCs w:val="24"/>
        </w:rPr>
        <w:t>оценки</w:t>
      </w:r>
      <w:r w:rsidR="002715AF" w:rsidRPr="007B4A99">
        <w:rPr>
          <w:rFonts w:ascii="Times New Roman" w:hAnsi="Times New Roman" w:cs="Times New Roman"/>
          <w:sz w:val="24"/>
          <w:szCs w:val="24"/>
        </w:rPr>
        <w:t xml:space="preserve">, </w:t>
      </w:r>
      <w:r w:rsidR="00976832" w:rsidRPr="007B4A99">
        <w:rPr>
          <w:rFonts w:ascii="Times New Roman" w:hAnsi="Times New Roman" w:cs="Times New Roman"/>
          <w:sz w:val="24"/>
          <w:szCs w:val="24"/>
        </w:rPr>
        <w:t>сравнителноправни изследвания и публични обсъждания с участието на всички заинтересовани страни – доставчици и търговци, неправителствените организации и сдруженията на бизнеса при максимална откритост и проз</w:t>
      </w:r>
      <w:r w:rsidR="002715AF" w:rsidRPr="007B4A99">
        <w:rPr>
          <w:rFonts w:ascii="Times New Roman" w:hAnsi="Times New Roman" w:cs="Times New Roman"/>
          <w:sz w:val="24"/>
          <w:szCs w:val="24"/>
        </w:rPr>
        <w:t>рачност, реализирани от тогавашното Министерство на икономиката, енергетиката и туризма. В него е създадена и междуведомствена работна група за анализ на проблемите между големи търговски вериги и български производители и доставчици, за преглед на практиките в България и други държави</w:t>
      </w:r>
      <w:r w:rsidR="003C44F8">
        <w:rPr>
          <w:rFonts w:ascii="Times New Roman" w:hAnsi="Times New Roman" w:cs="Times New Roman"/>
          <w:sz w:val="24"/>
          <w:szCs w:val="24"/>
        </w:rPr>
        <w:t xml:space="preserve"> </w:t>
      </w:r>
      <w:r w:rsidR="002715AF" w:rsidRPr="007B4A99">
        <w:rPr>
          <w:rFonts w:ascii="Times New Roman" w:hAnsi="Times New Roman" w:cs="Times New Roman"/>
          <w:sz w:val="24"/>
          <w:szCs w:val="24"/>
        </w:rPr>
        <w:t xml:space="preserve">членки на Европейския съюз на регулациите и контрола и за изготвяне на конкретни предложения на мерки за преодоляването на съществуващите проблеми. </w:t>
      </w:r>
      <w:r w:rsidR="00045782" w:rsidRPr="007B4A99">
        <w:rPr>
          <w:rFonts w:ascii="Times New Roman" w:hAnsi="Times New Roman" w:cs="Times New Roman"/>
          <w:sz w:val="24"/>
          <w:szCs w:val="24"/>
        </w:rPr>
        <w:t>В края на своята дейност, работната група</w:t>
      </w:r>
      <w:r w:rsidR="00EE3369" w:rsidRPr="007B4A99">
        <w:rPr>
          <w:rFonts w:ascii="Times New Roman" w:hAnsi="Times New Roman" w:cs="Times New Roman"/>
          <w:sz w:val="24"/>
          <w:szCs w:val="24"/>
        </w:rPr>
        <w:t xml:space="preserve"> </w:t>
      </w:r>
      <w:r w:rsidR="00045782" w:rsidRPr="007B4A99">
        <w:rPr>
          <w:rFonts w:ascii="Times New Roman" w:hAnsi="Times New Roman" w:cs="Times New Roman"/>
          <w:sz w:val="24"/>
          <w:szCs w:val="24"/>
        </w:rPr>
        <w:t>стига до заключението, че е необходимо въвеждане на мерки за правно регулиране</w:t>
      </w:r>
      <w:r w:rsidR="003C44F8">
        <w:rPr>
          <w:rFonts w:ascii="Times New Roman" w:hAnsi="Times New Roman" w:cs="Times New Roman"/>
          <w:sz w:val="24"/>
          <w:szCs w:val="24"/>
        </w:rPr>
        <w:t>,</w:t>
      </w:r>
      <w:r w:rsidR="00045782" w:rsidRPr="007B4A99">
        <w:rPr>
          <w:rFonts w:ascii="Times New Roman" w:hAnsi="Times New Roman" w:cs="Times New Roman"/>
          <w:sz w:val="24"/>
          <w:szCs w:val="24"/>
        </w:rPr>
        <w:t xml:space="preserve"> с предложение те да бъдат реализирани на ниво законов нормативен акт, чрез изменения и допълнения към действащия Закон за защита на конкуренцията</w:t>
      </w:r>
      <w:r w:rsidR="001C62C0">
        <w:rPr>
          <w:rFonts w:ascii="Times New Roman" w:hAnsi="Times New Roman" w:cs="Times New Roman"/>
          <w:sz w:val="24"/>
          <w:szCs w:val="24"/>
        </w:rPr>
        <w:t xml:space="preserve"> (ЗЗК)</w:t>
      </w:r>
      <w:r w:rsidR="00045782" w:rsidRPr="007B4A99">
        <w:rPr>
          <w:rFonts w:ascii="Times New Roman" w:hAnsi="Times New Roman" w:cs="Times New Roman"/>
          <w:sz w:val="24"/>
          <w:szCs w:val="24"/>
        </w:rPr>
        <w:t>.</w:t>
      </w:r>
    </w:p>
    <w:p w14:paraId="699DC3BF" w14:textId="68F73705" w:rsidR="00976832" w:rsidRPr="007B4A99" w:rsidRDefault="002715AF"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За да провери наличието на тази необходимост, както и да направи избор</w:t>
      </w:r>
      <w:r w:rsidR="003C44F8">
        <w:rPr>
          <w:rFonts w:ascii="Times New Roman" w:hAnsi="Times New Roman" w:cs="Times New Roman"/>
          <w:sz w:val="24"/>
          <w:szCs w:val="24"/>
        </w:rPr>
        <w:t>а</w:t>
      </w:r>
      <w:r w:rsidRPr="007B4A99">
        <w:rPr>
          <w:rFonts w:ascii="Times New Roman" w:hAnsi="Times New Roman" w:cs="Times New Roman"/>
          <w:sz w:val="24"/>
          <w:szCs w:val="24"/>
        </w:rPr>
        <w:t xml:space="preserve"> на държавата </w:t>
      </w:r>
      <w:r w:rsidR="00976832" w:rsidRPr="007B4A99">
        <w:rPr>
          <w:rFonts w:ascii="Times New Roman" w:hAnsi="Times New Roman" w:cs="Times New Roman"/>
          <w:sz w:val="24"/>
          <w:szCs w:val="24"/>
        </w:rPr>
        <w:t xml:space="preserve">максимално информиран, основан на ясни, всеобхватни и балансирани доказателства и мотивиран с изводи, извлечени чрез изцяло прозрачен анализ на </w:t>
      </w:r>
      <w:r w:rsidR="00D66398" w:rsidRPr="007B4A99">
        <w:rPr>
          <w:rFonts w:ascii="Times New Roman" w:hAnsi="Times New Roman" w:cs="Times New Roman"/>
          <w:sz w:val="24"/>
          <w:szCs w:val="24"/>
        </w:rPr>
        <w:t>данни,</w:t>
      </w:r>
      <w:r w:rsidRPr="007B4A99">
        <w:rPr>
          <w:rFonts w:ascii="Times New Roman" w:hAnsi="Times New Roman" w:cs="Times New Roman"/>
          <w:sz w:val="24"/>
          <w:szCs w:val="24"/>
        </w:rPr>
        <w:t xml:space="preserve"> министерството възлага на Центъра за оценка на въздействието на законодателството услуга с предмет</w:t>
      </w:r>
      <w:r w:rsidR="00976832" w:rsidRPr="007B4A99">
        <w:rPr>
          <w:rFonts w:ascii="Times New Roman" w:hAnsi="Times New Roman" w:cs="Times New Roman"/>
          <w:sz w:val="24"/>
          <w:szCs w:val="24"/>
        </w:rPr>
        <w:t xml:space="preserve"> </w:t>
      </w:r>
      <w:r w:rsidR="002958CA" w:rsidRPr="007B4A99">
        <w:rPr>
          <w:rFonts w:ascii="Times New Roman" w:hAnsi="Times New Roman" w:cs="Times New Roman"/>
          <w:sz w:val="24"/>
          <w:szCs w:val="24"/>
        </w:rPr>
        <w:t>и</w:t>
      </w:r>
      <w:r w:rsidR="00976832" w:rsidRPr="007B4A99">
        <w:rPr>
          <w:rFonts w:ascii="Times New Roman" w:hAnsi="Times New Roman" w:cs="Times New Roman"/>
          <w:sz w:val="24"/>
          <w:szCs w:val="24"/>
        </w:rPr>
        <w:t>зготвяне на пълна предварителна оценка на въздействието на проект на Закон за изменение и допълнение на Закона за защита на конкуренцията.</w:t>
      </w:r>
    </w:p>
    <w:p w14:paraId="56463713" w14:textId="6F06B7F2" w:rsidR="00EE3369" w:rsidRPr="007B4A99" w:rsidRDefault="00EE3369"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Оценката на въздействието от 2012 г. служи за солидна обективна основа при обосноваването на първите по рода си</w:t>
      </w:r>
      <w:r w:rsidR="00AB0BC4">
        <w:rPr>
          <w:rFonts w:ascii="Times New Roman" w:hAnsi="Times New Roman" w:cs="Times New Roman"/>
          <w:sz w:val="24"/>
          <w:szCs w:val="24"/>
        </w:rPr>
        <w:t xml:space="preserve"> в новата ни история</w:t>
      </w:r>
      <w:r w:rsidRPr="007B4A99">
        <w:rPr>
          <w:rFonts w:ascii="Times New Roman" w:hAnsi="Times New Roman" w:cs="Times New Roman"/>
          <w:sz w:val="24"/>
          <w:szCs w:val="24"/>
        </w:rPr>
        <w:t xml:space="preserve"> предложения за промени в законодателството, целящи премахване или ограничаване на явления като</w:t>
      </w:r>
      <w:r w:rsidR="0080246B">
        <w:rPr>
          <w:rFonts w:ascii="Times New Roman" w:hAnsi="Times New Roman" w:cs="Times New Roman"/>
          <w:sz w:val="24"/>
          <w:szCs w:val="24"/>
        </w:rPr>
        <w:t>:</w:t>
      </w:r>
      <w:r w:rsidRPr="007B4A99">
        <w:rPr>
          <w:rFonts w:ascii="Times New Roman" w:hAnsi="Times New Roman" w:cs="Times New Roman"/>
          <w:sz w:val="24"/>
          <w:szCs w:val="24"/>
        </w:rPr>
        <w:t xml:space="preserve"> </w:t>
      </w:r>
      <w:r w:rsidRPr="007B4A99">
        <w:rPr>
          <w:rFonts w:ascii="Times New Roman" w:hAnsi="Times New Roman" w:cs="Times New Roman"/>
          <w:i/>
          <w:sz w:val="24"/>
          <w:szCs w:val="24"/>
        </w:rPr>
        <w:t>„упражняване на пазарна мощ”</w:t>
      </w:r>
      <w:r w:rsidRPr="007B4A99">
        <w:rPr>
          <w:rFonts w:ascii="Times New Roman" w:hAnsi="Times New Roman" w:cs="Times New Roman"/>
          <w:sz w:val="24"/>
          <w:szCs w:val="24"/>
        </w:rPr>
        <w:t xml:space="preserve">, </w:t>
      </w:r>
      <w:r w:rsidRPr="007B4A99">
        <w:rPr>
          <w:rFonts w:ascii="Times New Roman" w:hAnsi="Times New Roman" w:cs="Times New Roman"/>
          <w:i/>
          <w:sz w:val="24"/>
          <w:szCs w:val="24"/>
        </w:rPr>
        <w:t>„злоупотреба с икономическа зависимост”</w:t>
      </w:r>
      <w:r w:rsidRPr="007B4A99">
        <w:rPr>
          <w:rFonts w:ascii="Times New Roman" w:hAnsi="Times New Roman" w:cs="Times New Roman"/>
          <w:sz w:val="24"/>
          <w:szCs w:val="24"/>
        </w:rPr>
        <w:t xml:space="preserve">, </w:t>
      </w:r>
      <w:r w:rsidRPr="007B4A99">
        <w:rPr>
          <w:rFonts w:ascii="Times New Roman" w:hAnsi="Times New Roman" w:cs="Times New Roman"/>
          <w:i/>
          <w:sz w:val="24"/>
          <w:szCs w:val="24"/>
        </w:rPr>
        <w:t>„злоупотреба със значителна пазарна сила”</w:t>
      </w:r>
      <w:r w:rsidRPr="007B4A99">
        <w:rPr>
          <w:rFonts w:ascii="Times New Roman" w:hAnsi="Times New Roman" w:cs="Times New Roman"/>
          <w:sz w:val="24"/>
          <w:szCs w:val="24"/>
        </w:rPr>
        <w:t xml:space="preserve">, </w:t>
      </w:r>
      <w:r w:rsidRPr="007B4A99">
        <w:rPr>
          <w:rFonts w:ascii="Times New Roman" w:hAnsi="Times New Roman" w:cs="Times New Roman"/>
          <w:i/>
          <w:sz w:val="24"/>
          <w:szCs w:val="24"/>
        </w:rPr>
        <w:t xml:space="preserve">„изключителна сила при водене на преговори” </w:t>
      </w:r>
      <w:r w:rsidRPr="007B4A99">
        <w:rPr>
          <w:rFonts w:ascii="Times New Roman" w:hAnsi="Times New Roman" w:cs="Times New Roman"/>
          <w:sz w:val="24"/>
          <w:szCs w:val="24"/>
        </w:rPr>
        <w:t xml:space="preserve">и др., довели до появата на </w:t>
      </w:r>
      <w:r w:rsidRPr="00177948">
        <w:rPr>
          <w:rFonts w:ascii="Times New Roman" w:hAnsi="Times New Roman" w:cs="Times New Roman"/>
          <w:i/>
          <w:sz w:val="24"/>
          <w:szCs w:val="24"/>
        </w:rPr>
        <w:t>нелоялни търговски практики</w:t>
      </w:r>
      <w:r w:rsidRPr="00177948">
        <w:rPr>
          <w:rFonts w:ascii="Times New Roman" w:hAnsi="Times New Roman" w:cs="Times New Roman"/>
          <w:sz w:val="24"/>
          <w:szCs w:val="24"/>
        </w:rPr>
        <w:t xml:space="preserve"> по веригата производители на суровини – преработватели – дистрибутори – търговци на дребно, специално на храни и бързооборотни стоки</w:t>
      </w:r>
      <w:r w:rsidRPr="007B4A99">
        <w:rPr>
          <w:rFonts w:ascii="Times New Roman" w:hAnsi="Times New Roman" w:cs="Times New Roman"/>
          <w:sz w:val="24"/>
          <w:szCs w:val="24"/>
        </w:rPr>
        <w:t xml:space="preserve">. </w:t>
      </w:r>
    </w:p>
    <w:p w14:paraId="35234A4D" w14:textId="33B8CC7D" w:rsidR="000A2CF9" w:rsidRPr="007B4A99" w:rsidRDefault="00EE3369"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 xml:space="preserve">През </w:t>
      </w:r>
      <w:r w:rsidRPr="00AB0BC4">
        <w:rPr>
          <w:rFonts w:ascii="Times New Roman" w:hAnsi="Times New Roman" w:cs="Times New Roman"/>
          <w:sz w:val="24"/>
          <w:szCs w:val="24"/>
        </w:rPr>
        <w:t>2015 г.</w:t>
      </w:r>
      <w:r w:rsidRPr="007B4A99">
        <w:rPr>
          <w:rFonts w:ascii="Times New Roman" w:hAnsi="Times New Roman" w:cs="Times New Roman"/>
          <w:sz w:val="24"/>
          <w:szCs w:val="24"/>
        </w:rPr>
        <w:t xml:space="preserve"> с</w:t>
      </w:r>
      <w:r w:rsidR="009B7EAA" w:rsidRPr="007B4A99">
        <w:rPr>
          <w:rFonts w:ascii="Times New Roman" w:hAnsi="Times New Roman" w:cs="Times New Roman"/>
          <w:sz w:val="24"/>
          <w:szCs w:val="24"/>
        </w:rPr>
        <w:t xml:space="preserve"> изменения и допълнения в </w:t>
      </w:r>
      <w:r w:rsidR="003C44F8">
        <w:rPr>
          <w:rFonts w:ascii="Times New Roman" w:hAnsi="Times New Roman" w:cs="Times New Roman"/>
          <w:sz w:val="24"/>
          <w:szCs w:val="24"/>
        </w:rPr>
        <w:t>ЗЗК</w:t>
      </w:r>
      <w:r w:rsidR="007F0721" w:rsidRPr="007B4A99">
        <w:rPr>
          <w:rFonts w:ascii="Times New Roman" w:hAnsi="Times New Roman" w:cs="Times New Roman"/>
          <w:sz w:val="24"/>
          <w:szCs w:val="24"/>
        </w:rPr>
        <w:t xml:space="preserve"> е въведена самостоятелна </w:t>
      </w:r>
      <w:r w:rsidR="009B7EAA" w:rsidRPr="007B4A99">
        <w:rPr>
          <w:rFonts w:ascii="Times New Roman" w:hAnsi="Times New Roman" w:cs="Times New Roman"/>
          <w:sz w:val="24"/>
          <w:szCs w:val="24"/>
        </w:rPr>
        <w:t xml:space="preserve">Глава седма </w:t>
      </w:r>
      <w:r w:rsidR="003C44F8">
        <w:rPr>
          <w:rFonts w:ascii="Times New Roman" w:hAnsi="Times New Roman" w:cs="Times New Roman"/>
          <w:sz w:val="24"/>
          <w:szCs w:val="24"/>
        </w:rPr>
        <w:t>„</w:t>
      </w:r>
      <w:r w:rsidR="009B7EAA" w:rsidRPr="007B4A99">
        <w:rPr>
          <w:rFonts w:ascii="Times New Roman" w:hAnsi="Times New Roman" w:cs="Times New Roman"/>
          <w:sz w:val="24"/>
          <w:szCs w:val="24"/>
        </w:rPr>
        <w:t>а</w:t>
      </w:r>
      <w:r w:rsidR="003C44F8">
        <w:rPr>
          <w:rFonts w:ascii="Times New Roman" w:hAnsi="Times New Roman" w:cs="Times New Roman"/>
          <w:sz w:val="24"/>
          <w:szCs w:val="24"/>
        </w:rPr>
        <w:t>“</w:t>
      </w:r>
      <w:r w:rsidR="007F0721" w:rsidRPr="007B4A99">
        <w:rPr>
          <w:rFonts w:ascii="Times New Roman" w:hAnsi="Times New Roman" w:cs="Times New Roman"/>
          <w:sz w:val="24"/>
          <w:szCs w:val="24"/>
        </w:rPr>
        <w:t xml:space="preserve">, озаглавена „Злоупотреба с по-силна позиция при договаряне“, с която е дефинирано </w:t>
      </w:r>
      <w:r w:rsidR="007F0721" w:rsidRPr="001E5CBB">
        <w:rPr>
          <w:rFonts w:ascii="Times New Roman" w:hAnsi="Times New Roman" w:cs="Times New Roman"/>
          <w:sz w:val="24"/>
          <w:szCs w:val="24"/>
        </w:rPr>
        <w:t>легално понятието за</w:t>
      </w:r>
      <w:r w:rsidR="007F0721" w:rsidRPr="007B4A99">
        <w:rPr>
          <w:rFonts w:ascii="Times New Roman" w:hAnsi="Times New Roman" w:cs="Times New Roman"/>
          <w:i/>
          <w:sz w:val="24"/>
          <w:szCs w:val="24"/>
        </w:rPr>
        <w:t xml:space="preserve"> по-силна позиция при договаряне </w:t>
      </w:r>
      <w:r w:rsidR="007F0721" w:rsidRPr="001E5CBB">
        <w:rPr>
          <w:rFonts w:ascii="Times New Roman" w:hAnsi="Times New Roman" w:cs="Times New Roman"/>
          <w:sz w:val="24"/>
          <w:szCs w:val="24"/>
        </w:rPr>
        <w:t>и е въведена изрична</w:t>
      </w:r>
      <w:r w:rsidR="007F0721" w:rsidRPr="007B4A99">
        <w:rPr>
          <w:rFonts w:ascii="Times New Roman" w:hAnsi="Times New Roman" w:cs="Times New Roman"/>
          <w:i/>
          <w:sz w:val="24"/>
          <w:szCs w:val="24"/>
        </w:rPr>
        <w:t xml:space="preserve"> забрана за злоупотреба с такава</w:t>
      </w:r>
      <w:r w:rsidR="007F0721" w:rsidRPr="007B4A99">
        <w:rPr>
          <w:rStyle w:val="FootnoteReference"/>
          <w:rFonts w:ascii="Times New Roman" w:hAnsi="Times New Roman" w:cs="Times New Roman"/>
          <w:sz w:val="24"/>
          <w:szCs w:val="24"/>
        </w:rPr>
        <w:footnoteReference w:id="6"/>
      </w:r>
      <w:r w:rsidR="007F0721" w:rsidRPr="007B4A99">
        <w:rPr>
          <w:rFonts w:ascii="Times New Roman" w:hAnsi="Times New Roman" w:cs="Times New Roman"/>
          <w:sz w:val="24"/>
          <w:szCs w:val="24"/>
        </w:rPr>
        <w:t xml:space="preserve">. С преходните и заключителните разпоредби на същите изменения и допълнения в ЗЗК са въведени нови разпоредби в Закона за </w:t>
      </w:r>
      <w:r w:rsidR="007F0721" w:rsidRPr="007B4A99">
        <w:rPr>
          <w:rFonts w:ascii="Times New Roman" w:hAnsi="Times New Roman" w:cs="Times New Roman"/>
          <w:sz w:val="24"/>
          <w:szCs w:val="24"/>
        </w:rPr>
        <w:lastRenderedPageBreak/>
        <w:t xml:space="preserve">храните, с които са предвидени </w:t>
      </w:r>
      <w:r w:rsidR="007F0721" w:rsidRPr="007B4A99">
        <w:rPr>
          <w:rFonts w:ascii="Times New Roman" w:hAnsi="Times New Roman" w:cs="Times New Roman"/>
          <w:i/>
          <w:sz w:val="24"/>
          <w:szCs w:val="24"/>
        </w:rPr>
        <w:t>забрани за включването на конкретни клаузи в договорите</w:t>
      </w:r>
      <w:r w:rsidR="007F0721" w:rsidRPr="007B4A99">
        <w:rPr>
          <w:rFonts w:ascii="Times New Roman" w:hAnsi="Times New Roman" w:cs="Times New Roman"/>
          <w:sz w:val="24"/>
          <w:szCs w:val="24"/>
        </w:rPr>
        <w:t xml:space="preserve"> между производителите и доставчиците, наричани </w:t>
      </w:r>
      <w:r w:rsidR="007F0721" w:rsidRPr="00177948">
        <w:rPr>
          <w:rFonts w:ascii="Times New Roman" w:hAnsi="Times New Roman" w:cs="Times New Roman"/>
          <w:i/>
          <w:iCs/>
          <w:sz w:val="24"/>
          <w:szCs w:val="24"/>
        </w:rPr>
        <w:t>договори за покупка на храни за последваща продажба</w:t>
      </w:r>
      <w:r w:rsidR="007F0721" w:rsidRPr="007B4A99">
        <w:rPr>
          <w:rFonts w:ascii="Times New Roman" w:hAnsi="Times New Roman" w:cs="Times New Roman"/>
          <w:sz w:val="24"/>
          <w:szCs w:val="24"/>
        </w:rPr>
        <w:t>, които имат за цел да предотвратят прилагането на посочените по-горе нелоялни търговски практики по тази  верига на доставки.</w:t>
      </w:r>
      <w:r w:rsidR="008F123D" w:rsidRPr="007B4A99">
        <w:rPr>
          <w:rFonts w:ascii="Times New Roman" w:hAnsi="Times New Roman" w:cs="Times New Roman"/>
          <w:sz w:val="24"/>
          <w:szCs w:val="24"/>
        </w:rPr>
        <w:t xml:space="preserve"> </w:t>
      </w:r>
    </w:p>
    <w:p w14:paraId="68AF3E94" w14:textId="1CF1D452" w:rsidR="004A0868" w:rsidRPr="007B4A99" w:rsidRDefault="00301607"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 xml:space="preserve">През 2021 г. ЗЗК е променен като </w:t>
      </w:r>
      <w:r w:rsidR="00962546" w:rsidRPr="007B4A99">
        <w:rPr>
          <w:rFonts w:ascii="Times New Roman" w:hAnsi="Times New Roman" w:cs="Times New Roman"/>
          <w:sz w:val="24"/>
          <w:szCs w:val="24"/>
        </w:rPr>
        <w:t xml:space="preserve">Глава </w:t>
      </w:r>
      <w:r w:rsidRPr="007B4A99">
        <w:rPr>
          <w:rFonts w:ascii="Times New Roman" w:hAnsi="Times New Roman" w:cs="Times New Roman"/>
          <w:sz w:val="24"/>
          <w:szCs w:val="24"/>
        </w:rPr>
        <w:t xml:space="preserve">седма </w:t>
      </w:r>
      <w:r w:rsidR="003C44F8">
        <w:rPr>
          <w:rFonts w:ascii="Times New Roman" w:hAnsi="Times New Roman" w:cs="Times New Roman"/>
          <w:sz w:val="24"/>
          <w:szCs w:val="24"/>
        </w:rPr>
        <w:t>„</w:t>
      </w:r>
      <w:r w:rsidRPr="007B4A99">
        <w:rPr>
          <w:rFonts w:ascii="Times New Roman" w:hAnsi="Times New Roman" w:cs="Times New Roman"/>
          <w:sz w:val="24"/>
          <w:szCs w:val="24"/>
        </w:rPr>
        <w:t>а</w:t>
      </w:r>
      <w:r w:rsidR="003C44F8">
        <w:rPr>
          <w:rFonts w:ascii="Times New Roman" w:hAnsi="Times New Roman" w:cs="Times New Roman"/>
          <w:sz w:val="24"/>
          <w:szCs w:val="24"/>
        </w:rPr>
        <w:t>“</w:t>
      </w:r>
      <w:r w:rsidRPr="007B4A99">
        <w:rPr>
          <w:rFonts w:ascii="Times New Roman" w:hAnsi="Times New Roman" w:cs="Times New Roman"/>
          <w:sz w:val="24"/>
          <w:szCs w:val="24"/>
        </w:rPr>
        <w:t xml:space="preserve"> „Злоупотреба с по-силна позиция при договаряне“ е отменена. Въведена е нова Глава седма </w:t>
      </w:r>
      <w:r w:rsidR="003C44F8">
        <w:rPr>
          <w:rFonts w:ascii="Times New Roman" w:hAnsi="Times New Roman" w:cs="Times New Roman"/>
          <w:sz w:val="24"/>
          <w:szCs w:val="24"/>
        </w:rPr>
        <w:t>„</w:t>
      </w:r>
      <w:r w:rsidRPr="007B4A99">
        <w:rPr>
          <w:rFonts w:ascii="Times New Roman" w:hAnsi="Times New Roman" w:cs="Times New Roman"/>
          <w:sz w:val="24"/>
          <w:szCs w:val="24"/>
        </w:rPr>
        <w:t>б</w:t>
      </w:r>
      <w:r w:rsidR="003C44F8">
        <w:rPr>
          <w:rFonts w:ascii="Times New Roman" w:hAnsi="Times New Roman" w:cs="Times New Roman"/>
          <w:sz w:val="24"/>
          <w:szCs w:val="24"/>
        </w:rPr>
        <w:t>“</w:t>
      </w:r>
      <w:r w:rsidRPr="007B4A99">
        <w:rPr>
          <w:rFonts w:ascii="Times New Roman" w:hAnsi="Times New Roman" w:cs="Times New Roman"/>
          <w:sz w:val="24"/>
          <w:szCs w:val="24"/>
        </w:rPr>
        <w:t xml:space="preserve"> със заглавие „Нелоялни търговски практики по веригата за доставки на селскостопански и хранителни продукти“</w:t>
      </w:r>
      <w:r w:rsidRPr="007B4A99">
        <w:rPr>
          <w:rStyle w:val="FootnoteReference"/>
          <w:rFonts w:ascii="Times New Roman" w:hAnsi="Times New Roman" w:cs="Times New Roman"/>
          <w:sz w:val="24"/>
          <w:szCs w:val="24"/>
        </w:rPr>
        <w:footnoteReference w:id="7"/>
      </w:r>
      <w:r w:rsidR="00FD1198" w:rsidRPr="007B4A99">
        <w:rPr>
          <w:rFonts w:ascii="Times New Roman" w:hAnsi="Times New Roman" w:cs="Times New Roman"/>
          <w:sz w:val="24"/>
          <w:szCs w:val="24"/>
        </w:rPr>
        <w:t>, чий</w:t>
      </w:r>
      <w:r w:rsidRPr="007B4A99">
        <w:rPr>
          <w:rFonts w:ascii="Times New Roman" w:hAnsi="Times New Roman" w:cs="Times New Roman"/>
          <w:sz w:val="24"/>
          <w:szCs w:val="24"/>
        </w:rPr>
        <w:t>то разпоредби са действащи и понастоящем. В нея</w:t>
      </w:r>
      <w:r w:rsidR="009E5064" w:rsidRPr="007B4A99">
        <w:rPr>
          <w:rFonts w:ascii="Times New Roman" w:hAnsi="Times New Roman" w:cs="Times New Roman"/>
          <w:sz w:val="24"/>
          <w:szCs w:val="24"/>
        </w:rPr>
        <w:t xml:space="preserve"> за първи път в българския правен ред</w:t>
      </w:r>
      <w:r w:rsidRPr="007B4A99">
        <w:rPr>
          <w:rFonts w:ascii="Times New Roman" w:hAnsi="Times New Roman" w:cs="Times New Roman"/>
          <w:sz w:val="24"/>
          <w:szCs w:val="24"/>
        </w:rPr>
        <w:t xml:space="preserve"> са </w:t>
      </w:r>
      <w:r w:rsidR="00FD1198" w:rsidRPr="007B4A99">
        <w:rPr>
          <w:rFonts w:ascii="Times New Roman" w:hAnsi="Times New Roman" w:cs="Times New Roman"/>
          <w:sz w:val="24"/>
          <w:szCs w:val="24"/>
        </w:rPr>
        <w:t>предвидени</w:t>
      </w:r>
      <w:r w:rsidRPr="007B4A99">
        <w:rPr>
          <w:rFonts w:ascii="Times New Roman" w:hAnsi="Times New Roman" w:cs="Times New Roman"/>
          <w:sz w:val="24"/>
          <w:szCs w:val="24"/>
        </w:rPr>
        <w:t xml:space="preserve"> </w:t>
      </w:r>
      <w:r w:rsidRPr="007B4A99">
        <w:rPr>
          <w:rFonts w:ascii="Times New Roman" w:hAnsi="Times New Roman" w:cs="Times New Roman"/>
          <w:i/>
          <w:sz w:val="24"/>
          <w:szCs w:val="24"/>
        </w:rPr>
        <w:t xml:space="preserve">абсолютни </w:t>
      </w:r>
      <w:r w:rsidR="009E5064" w:rsidRPr="007B4A99">
        <w:rPr>
          <w:rFonts w:ascii="Times New Roman" w:hAnsi="Times New Roman" w:cs="Times New Roman"/>
          <w:i/>
          <w:sz w:val="24"/>
          <w:szCs w:val="24"/>
        </w:rPr>
        <w:t xml:space="preserve">и относителни </w:t>
      </w:r>
      <w:r w:rsidRPr="007B4A99">
        <w:rPr>
          <w:rFonts w:ascii="Times New Roman" w:hAnsi="Times New Roman" w:cs="Times New Roman"/>
          <w:i/>
          <w:sz w:val="24"/>
          <w:szCs w:val="24"/>
        </w:rPr>
        <w:t xml:space="preserve">забрани за </w:t>
      </w:r>
      <w:r w:rsidR="004A0868" w:rsidRPr="007B4A99">
        <w:rPr>
          <w:rFonts w:ascii="Times New Roman" w:hAnsi="Times New Roman" w:cs="Times New Roman"/>
          <w:i/>
          <w:sz w:val="24"/>
          <w:szCs w:val="24"/>
        </w:rPr>
        <w:t xml:space="preserve">нелоялни търговски практики в отношенията между купувачите и доставчиците </w:t>
      </w:r>
      <w:r w:rsidR="004A0868" w:rsidRPr="001E5CBB">
        <w:rPr>
          <w:rFonts w:ascii="Times New Roman" w:hAnsi="Times New Roman" w:cs="Times New Roman"/>
          <w:sz w:val="24"/>
          <w:szCs w:val="24"/>
        </w:rPr>
        <w:t>във веригата</w:t>
      </w:r>
      <w:r w:rsidR="004A0868" w:rsidRPr="007B4A99">
        <w:rPr>
          <w:rFonts w:ascii="Times New Roman" w:hAnsi="Times New Roman" w:cs="Times New Roman"/>
          <w:sz w:val="24"/>
          <w:szCs w:val="24"/>
        </w:rPr>
        <w:t xml:space="preserve"> за доставки на селско</w:t>
      </w:r>
      <w:r w:rsidR="009E5064" w:rsidRPr="007B4A99">
        <w:rPr>
          <w:rFonts w:ascii="Times New Roman" w:hAnsi="Times New Roman" w:cs="Times New Roman"/>
          <w:sz w:val="24"/>
          <w:szCs w:val="24"/>
        </w:rPr>
        <w:t xml:space="preserve">стопански и хранителни продукти. </w:t>
      </w:r>
    </w:p>
    <w:p w14:paraId="22217E19" w14:textId="6357063A" w:rsidR="0069633A" w:rsidRPr="007B4A99" w:rsidRDefault="0069633A"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 xml:space="preserve">През пролетта на 2023 г. българската държава, в лицето на Министерството на икономиката и индустрията и </w:t>
      </w:r>
      <w:r w:rsidR="001C62C0">
        <w:rPr>
          <w:rFonts w:ascii="Times New Roman" w:hAnsi="Times New Roman" w:cs="Times New Roman"/>
          <w:sz w:val="24"/>
          <w:szCs w:val="24"/>
        </w:rPr>
        <w:t>МЗХ</w:t>
      </w:r>
      <w:r w:rsidR="00613AF7" w:rsidRPr="007B4A99">
        <w:rPr>
          <w:rFonts w:ascii="Times New Roman" w:hAnsi="Times New Roman" w:cs="Times New Roman"/>
          <w:sz w:val="24"/>
          <w:szCs w:val="24"/>
        </w:rPr>
        <w:t>,</w:t>
      </w:r>
      <w:r w:rsidRPr="007B4A99">
        <w:rPr>
          <w:rFonts w:ascii="Times New Roman" w:hAnsi="Times New Roman" w:cs="Times New Roman"/>
          <w:sz w:val="24"/>
          <w:szCs w:val="24"/>
        </w:rPr>
        <w:t xml:space="preserve"> създава информационния портал за наблюдение и сравнение на цените на част от хранителните продукти в малката потребителска кошница в България </w:t>
      </w:r>
      <w:hyperlink r:id="rId10" w:history="1">
        <w:r w:rsidR="003C44F8" w:rsidRPr="006B128D">
          <w:rPr>
            <w:rStyle w:val="Hyperlink"/>
            <w:rFonts w:ascii="Times New Roman" w:hAnsi="Times New Roman" w:cs="Times New Roman"/>
            <w:sz w:val="24"/>
            <w:szCs w:val="24"/>
          </w:rPr>
          <w:t>www.foodprice.bg</w:t>
        </w:r>
      </w:hyperlink>
      <w:r w:rsidRPr="007B4A99">
        <w:rPr>
          <w:rFonts w:ascii="Times New Roman" w:hAnsi="Times New Roman" w:cs="Times New Roman"/>
          <w:sz w:val="24"/>
          <w:szCs w:val="24"/>
        </w:rPr>
        <w:t xml:space="preserve">. </w:t>
      </w:r>
      <w:r w:rsidR="001F2070" w:rsidRPr="007B4A99">
        <w:rPr>
          <w:rFonts w:ascii="Times New Roman" w:hAnsi="Times New Roman" w:cs="Times New Roman"/>
          <w:sz w:val="24"/>
          <w:szCs w:val="24"/>
        </w:rPr>
        <w:t>На портала</w:t>
      </w:r>
      <w:r w:rsidRPr="007B4A99">
        <w:rPr>
          <w:rFonts w:ascii="Times New Roman" w:hAnsi="Times New Roman" w:cs="Times New Roman"/>
          <w:sz w:val="24"/>
          <w:szCs w:val="24"/>
        </w:rPr>
        <w:t xml:space="preserve"> са включени данни за около 30 основни хранителни продукта. Заедно с това системата </w:t>
      </w:r>
      <w:r w:rsidR="00BB3544">
        <w:rPr>
          <w:rFonts w:ascii="Times New Roman" w:hAnsi="Times New Roman" w:cs="Times New Roman"/>
          <w:sz w:val="24"/>
          <w:szCs w:val="24"/>
        </w:rPr>
        <w:t>помага</w:t>
      </w:r>
      <w:r w:rsidRPr="007B4A99">
        <w:rPr>
          <w:rFonts w:ascii="Times New Roman" w:hAnsi="Times New Roman" w:cs="Times New Roman"/>
          <w:sz w:val="24"/>
          <w:szCs w:val="24"/>
        </w:rPr>
        <w:t xml:space="preserve"> да се проследят изкупните цени на основни суровини като мляко, слънчоглед и др. Това предоставя възможност на потребителя да получи цялата информация за формирането на цената от суровина до краен продукт на рафта.</w:t>
      </w:r>
    </w:p>
    <w:p w14:paraId="4C037C51" w14:textId="1C96C8F2" w:rsidR="009D1C2A" w:rsidRPr="007B4A99" w:rsidRDefault="003C44F8" w:rsidP="00DD69D5">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Информацията относно ц</w:t>
      </w:r>
      <w:r w:rsidR="0069633A" w:rsidRPr="007B4A99">
        <w:rPr>
          <w:rFonts w:ascii="Times New Roman" w:hAnsi="Times New Roman" w:cs="Times New Roman"/>
          <w:sz w:val="24"/>
          <w:szCs w:val="24"/>
        </w:rPr>
        <w:t xml:space="preserve">ените на внос от трети страни се събира от Агенция „Митници“, </w:t>
      </w:r>
      <w:r>
        <w:rPr>
          <w:rFonts w:ascii="Times New Roman" w:hAnsi="Times New Roman" w:cs="Times New Roman"/>
          <w:sz w:val="24"/>
          <w:szCs w:val="24"/>
        </w:rPr>
        <w:t>докато</w:t>
      </w:r>
      <w:r w:rsidRPr="007B4A99">
        <w:rPr>
          <w:rFonts w:ascii="Times New Roman" w:hAnsi="Times New Roman" w:cs="Times New Roman"/>
          <w:sz w:val="24"/>
          <w:szCs w:val="24"/>
        </w:rPr>
        <w:t xml:space="preserve"> </w:t>
      </w:r>
      <w:r w:rsidR="0069633A" w:rsidRPr="007B4A99">
        <w:rPr>
          <w:rFonts w:ascii="Times New Roman" w:hAnsi="Times New Roman" w:cs="Times New Roman"/>
          <w:sz w:val="24"/>
          <w:szCs w:val="24"/>
        </w:rPr>
        <w:t xml:space="preserve">Националната агенция за приходите предоставя </w:t>
      </w:r>
      <w:r w:rsidR="002E0F8D">
        <w:rPr>
          <w:rFonts w:ascii="Times New Roman" w:hAnsi="Times New Roman" w:cs="Times New Roman"/>
          <w:sz w:val="24"/>
          <w:szCs w:val="24"/>
        </w:rPr>
        <w:t>данни</w:t>
      </w:r>
      <w:r w:rsidR="0069633A" w:rsidRPr="007B4A99">
        <w:rPr>
          <w:rFonts w:ascii="Times New Roman" w:hAnsi="Times New Roman" w:cs="Times New Roman"/>
          <w:sz w:val="24"/>
          <w:szCs w:val="24"/>
        </w:rPr>
        <w:t xml:space="preserve"> за стоките в рамките на Европейския съюз. Данните от Държавната комисия по стоковите борси и тържищата</w:t>
      </w:r>
      <w:r>
        <w:rPr>
          <w:rFonts w:ascii="Times New Roman" w:hAnsi="Times New Roman" w:cs="Times New Roman"/>
          <w:sz w:val="24"/>
          <w:szCs w:val="24"/>
        </w:rPr>
        <w:t xml:space="preserve"> (</w:t>
      </w:r>
      <w:r w:rsidRPr="003C44F8">
        <w:rPr>
          <w:rFonts w:ascii="Times New Roman" w:hAnsi="Times New Roman" w:cs="Times New Roman"/>
          <w:sz w:val="24"/>
          <w:szCs w:val="24"/>
        </w:rPr>
        <w:t>ДКСБТ</w:t>
      </w:r>
      <w:r>
        <w:rPr>
          <w:rFonts w:ascii="Times New Roman" w:hAnsi="Times New Roman" w:cs="Times New Roman"/>
          <w:sz w:val="24"/>
          <w:szCs w:val="24"/>
        </w:rPr>
        <w:t>)</w:t>
      </w:r>
      <w:r w:rsidR="0069633A" w:rsidRPr="007B4A99">
        <w:rPr>
          <w:rFonts w:ascii="Times New Roman" w:hAnsi="Times New Roman" w:cs="Times New Roman"/>
          <w:sz w:val="24"/>
          <w:szCs w:val="24"/>
        </w:rPr>
        <w:t xml:space="preserve"> </w:t>
      </w:r>
      <w:r w:rsidRPr="007B4A99">
        <w:rPr>
          <w:rFonts w:ascii="Times New Roman" w:hAnsi="Times New Roman" w:cs="Times New Roman"/>
          <w:sz w:val="24"/>
          <w:szCs w:val="24"/>
        </w:rPr>
        <w:t>с</w:t>
      </w:r>
      <w:r>
        <w:rPr>
          <w:rFonts w:ascii="Times New Roman" w:hAnsi="Times New Roman" w:cs="Times New Roman"/>
          <w:sz w:val="24"/>
          <w:szCs w:val="24"/>
        </w:rPr>
        <w:t>е извлича</w:t>
      </w:r>
      <w:r w:rsidR="002E0F8D">
        <w:rPr>
          <w:rFonts w:ascii="Times New Roman" w:hAnsi="Times New Roman" w:cs="Times New Roman"/>
          <w:sz w:val="24"/>
          <w:szCs w:val="24"/>
        </w:rPr>
        <w:t>т</w:t>
      </w:r>
      <w:r w:rsidRPr="007B4A99">
        <w:rPr>
          <w:rFonts w:ascii="Times New Roman" w:hAnsi="Times New Roman" w:cs="Times New Roman"/>
          <w:sz w:val="24"/>
          <w:szCs w:val="24"/>
        </w:rPr>
        <w:t xml:space="preserve"> </w:t>
      </w:r>
      <w:r w:rsidR="0069633A" w:rsidRPr="007B4A99">
        <w:rPr>
          <w:rFonts w:ascii="Times New Roman" w:hAnsi="Times New Roman" w:cs="Times New Roman"/>
          <w:sz w:val="24"/>
          <w:szCs w:val="24"/>
        </w:rPr>
        <w:t>от регистрираните стокови тържища в 22 области в страната. Цените</w:t>
      </w:r>
      <w:r>
        <w:rPr>
          <w:rFonts w:ascii="Times New Roman" w:hAnsi="Times New Roman" w:cs="Times New Roman"/>
          <w:sz w:val="24"/>
          <w:szCs w:val="24"/>
        </w:rPr>
        <w:t>, с които</w:t>
      </w:r>
      <w:r w:rsidR="0069633A" w:rsidRPr="007B4A99">
        <w:rPr>
          <w:rFonts w:ascii="Times New Roman" w:hAnsi="Times New Roman" w:cs="Times New Roman"/>
          <w:sz w:val="24"/>
          <w:szCs w:val="24"/>
        </w:rPr>
        <w:t xml:space="preserve"> ДКСБТ</w:t>
      </w:r>
      <w:r>
        <w:rPr>
          <w:rFonts w:ascii="Times New Roman" w:hAnsi="Times New Roman" w:cs="Times New Roman"/>
          <w:sz w:val="24"/>
          <w:szCs w:val="24"/>
        </w:rPr>
        <w:t xml:space="preserve"> борави</w:t>
      </w:r>
      <w:r w:rsidR="0069633A" w:rsidRPr="007B4A99">
        <w:rPr>
          <w:rFonts w:ascii="Times New Roman" w:hAnsi="Times New Roman" w:cs="Times New Roman"/>
          <w:sz w:val="24"/>
          <w:szCs w:val="24"/>
        </w:rPr>
        <w:t xml:space="preserve"> са</w:t>
      </w:r>
      <w:r>
        <w:rPr>
          <w:rFonts w:ascii="Times New Roman" w:hAnsi="Times New Roman" w:cs="Times New Roman"/>
          <w:sz w:val="24"/>
          <w:szCs w:val="24"/>
        </w:rPr>
        <w:t xml:space="preserve"> тези</w:t>
      </w:r>
      <w:r w:rsidR="0069633A" w:rsidRPr="007B4A99">
        <w:rPr>
          <w:rFonts w:ascii="Times New Roman" w:hAnsi="Times New Roman" w:cs="Times New Roman"/>
          <w:sz w:val="24"/>
          <w:szCs w:val="24"/>
        </w:rPr>
        <w:t xml:space="preserve"> на едро, среднопретеглени</w:t>
      </w:r>
      <w:r>
        <w:rPr>
          <w:rFonts w:ascii="Times New Roman" w:hAnsi="Times New Roman" w:cs="Times New Roman"/>
          <w:sz w:val="24"/>
          <w:szCs w:val="24"/>
        </w:rPr>
        <w:t xml:space="preserve"> </w:t>
      </w:r>
      <w:r w:rsidR="0069633A" w:rsidRPr="007B4A99">
        <w:rPr>
          <w:rFonts w:ascii="Times New Roman" w:hAnsi="Times New Roman" w:cs="Times New Roman"/>
          <w:sz w:val="24"/>
          <w:szCs w:val="24"/>
        </w:rPr>
        <w:t>на база продадено количество. Обработката и анализът на данните се осъществяват чрез специално разработен софтуер на Държавната комисия.</w:t>
      </w:r>
      <w:r w:rsidR="00045782" w:rsidRPr="007B4A99">
        <w:rPr>
          <w:rFonts w:ascii="Times New Roman" w:hAnsi="Times New Roman" w:cs="Times New Roman"/>
          <w:sz w:val="24"/>
          <w:szCs w:val="24"/>
        </w:rPr>
        <w:t xml:space="preserve"> </w:t>
      </w:r>
      <w:r w:rsidR="0069633A" w:rsidRPr="007B4A99">
        <w:rPr>
          <w:rFonts w:ascii="Times New Roman" w:hAnsi="Times New Roman" w:cs="Times New Roman"/>
          <w:sz w:val="24"/>
          <w:szCs w:val="24"/>
        </w:rPr>
        <w:t xml:space="preserve">Цените на дребно </w:t>
      </w:r>
      <w:r>
        <w:rPr>
          <w:rFonts w:ascii="Times New Roman" w:hAnsi="Times New Roman" w:cs="Times New Roman"/>
          <w:sz w:val="24"/>
          <w:szCs w:val="24"/>
        </w:rPr>
        <w:t>биват</w:t>
      </w:r>
      <w:r w:rsidR="0069633A" w:rsidRPr="007B4A99">
        <w:rPr>
          <w:rFonts w:ascii="Times New Roman" w:hAnsi="Times New Roman" w:cs="Times New Roman"/>
          <w:sz w:val="24"/>
          <w:szCs w:val="24"/>
        </w:rPr>
        <w:t xml:space="preserve"> обединени от Системата за агропазарна информация и се предоставят от </w:t>
      </w:r>
      <w:r w:rsidR="00BB3544">
        <w:rPr>
          <w:rFonts w:ascii="Times New Roman" w:hAnsi="Times New Roman" w:cs="Times New Roman"/>
          <w:sz w:val="24"/>
          <w:szCs w:val="24"/>
        </w:rPr>
        <w:t>МЗХ</w:t>
      </w:r>
      <w:r w:rsidR="0069633A" w:rsidRPr="007B4A99">
        <w:rPr>
          <w:rFonts w:ascii="Times New Roman" w:hAnsi="Times New Roman" w:cs="Times New Roman"/>
          <w:sz w:val="24"/>
          <w:szCs w:val="24"/>
        </w:rPr>
        <w:t>. Те се наблюдават ежеседмично по области на страната, като са обхванати както големите търговски вериги, така и по-малките търговски обекти. В тях не се включват промоции в търговските обекти, а данните са налични както на национално ниво, така и з</w:t>
      </w:r>
      <w:r w:rsidR="009D1C2A" w:rsidRPr="007B4A99">
        <w:rPr>
          <w:rFonts w:ascii="Times New Roman" w:hAnsi="Times New Roman" w:cs="Times New Roman"/>
          <w:sz w:val="24"/>
          <w:szCs w:val="24"/>
        </w:rPr>
        <w:t>а всяка административна област.</w:t>
      </w:r>
    </w:p>
    <w:p w14:paraId="07BE52A7" w14:textId="00B09084" w:rsidR="0069633A" w:rsidRPr="007B4A99" w:rsidRDefault="009D1C2A"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 xml:space="preserve">Порталът </w:t>
      </w:r>
      <w:r w:rsidR="0069633A" w:rsidRPr="007B4A99">
        <w:rPr>
          <w:rFonts w:ascii="Times New Roman" w:hAnsi="Times New Roman" w:cs="Times New Roman"/>
          <w:sz w:val="24"/>
          <w:szCs w:val="24"/>
        </w:rPr>
        <w:t xml:space="preserve">предоставя информация </w:t>
      </w:r>
      <w:r w:rsidRPr="007B4A99">
        <w:rPr>
          <w:rFonts w:ascii="Times New Roman" w:hAnsi="Times New Roman" w:cs="Times New Roman"/>
          <w:sz w:val="24"/>
          <w:szCs w:val="24"/>
        </w:rPr>
        <w:t xml:space="preserve">и </w:t>
      </w:r>
      <w:r w:rsidR="0069633A" w:rsidRPr="007B4A99">
        <w:rPr>
          <w:rFonts w:ascii="Times New Roman" w:hAnsi="Times New Roman" w:cs="Times New Roman"/>
          <w:sz w:val="24"/>
          <w:szCs w:val="24"/>
        </w:rPr>
        <w:t xml:space="preserve">за цените на 11 основни хранителни продукти (олио, ориз, захар, прясно мляко, кисело мляко, масло, бяло сирене, кашкавал, яйца, цяло пиле охладено, адаптирано сухо мляко) </w:t>
      </w:r>
      <w:r w:rsidRPr="007B4A99">
        <w:rPr>
          <w:rFonts w:ascii="Times New Roman" w:hAnsi="Times New Roman" w:cs="Times New Roman"/>
          <w:sz w:val="24"/>
          <w:szCs w:val="24"/>
        </w:rPr>
        <w:t xml:space="preserve">и </w:t>
      </w:r>
      <w:r w:rsidR="0069633A" w:rsidRPr="007B4A99">
        <w:rPr>
          <w:rFonts w:ascii="Times New Roman" w:hAnsi="Times New Roman" w:cs="Times New Roman"/>
          <w:sz w:val="24"/>
          <w:szCs w:val="24"/>
        </w:rPr>
        <w:t xml:space="preserve">в 7 европейски държави. Данните се предоставят на седмична база от търговските аташета към Министерството на икономиката и индустрията. </w:t>
      </w:r>
      <w:r w:rsidRPr="007B4A99">
        <w:rPr>
          <w:rFonts w:ascii="Times New Roman" w:hAnsi="Times New Roman" w:cs="Times New Roman"/>
          <w:sz w:val="24"/>
          <w:szCs w:val="24"/>
        </w:rPr>
        <w:t>Т</w:t>
      </w:r>
      <w:r w:rsidR="0069633A" w:rsidRPr="007B4A99">
        <w:rPr>
          <w:rFonts w:ascii="Times New Roman" w:hAnsi="Times New Roman" w:cs="Times New Roman"/>
          <w:sz w:val="24"/>
          <w:szCs w:val="24"/>
        </w:rPr>
        <w:t>е се събират от 3 до 4 големи вериги, като приоритетно се избират такива, които оперират и в България. В мониторинга са включени европейските столици Берлин, Виена, Париж,</w:t>
      </w:r>
      <w:r w:rsidRPr="007B4A99">
        <w:rPr>
          <w:rFonts w:ascii="Times New Roman" w:hAnsi="Times New Roman" w:cs="Times New Roman"/>
          <w:sz w:val="24"/>
          <w:szCs w:val="24"/>
        </w:rPr>
        <w:t xml:space="preserve"> Букурещ, Атина, Прага и Загреб</w:t>
      </w:r>
      <w:r w:rsidR="0069633A" w:rsidRPr="007B4A99">
        <w:rPr>
          <w:rFonts w:ascii="Times New Roman" w:hAnsi="Times New Roman" w:cs="Times New Roman"/>
          <w:sz w:val="24"/>
          <w:szCs w:val="24"/>
        </w:rPr>
        <w:t xml:space="preserve">, като е предоставена информация </w:t>
      </w:r>
      <w:r w:rsidRPr="007B4A99">
        <w:rPr>
          <w:rFonts w:ascii="Times New Roman" w:hAnsi="Times New Roman" w:cs="Times New Roman"/>
          <w:sz w:val="24"/>
          <w:szCs w:val="24"/>
        </w:rPr>
        <w:t xml:space="preserve">и </w:t>
      </w:r>
      <w:r w:rsidR="0069633A" w:rsidRPr="007B4A99">
        <w:rPr>
          <w:rFonts w:ascii="Times New Roman" w:hAnsi="Times New Roman" w:cs="Times New Roman"/>
          <w:sz w:val="24"/>
          <w:szCs w:val="24"/>
        </w:rPr>
        <w:t>за нивата на данъчната надценка във всяка от европейските държави.</w:t>
      </w:r>
    </w:p>
    <w:p w14:paraId="17864373" w14:textId="4063456B" w:rsidR="003422C5" w:rsidRPr="007B4A99" w:rsidRDefault="00045782"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 xml:space="preserve">Още </w:t>
      </w:r>
      <w:r w:rsidR="00177948">
        <w:rPr>
          <w:rFonts w:ascii="Times New Roman" w:hAnsi="Times New Roman" w:cs="Times New Roman"/>
          <w:sz w:val="24"/>
          <w:szCs w:val="24"/>
        </w:rPr>
        <w:t>при</w:t>
      </w:r>
      <w:r w:rsidRPr="007B4A99">
        <w:rPr>
          <w:rFonts w:ascii="Times New Roman" w:hAnsi="Times New Roman" w:cs="Times New Roman"/>
          <w:sz w:val="24"/>
          <w:szCs w:val="24"/>
        </w:rPr>
        <w:t xml:space="preserve"> откриването на портала правителството </w:t>
      </w:r>
      <w:r w:rsidR="00B16388" w:rsidRPr="007B4A99">
        <w:rPr>
          <w:rFonts w:ascii="Times New Roman" w:hAnsi="Times New Roman" w:cs="Times New Roman"/>
          <w:sz w:val="24"/>
          <w:szCs w:val="24"/>
        </w:rPr>
        <w:t>обяв</w:t>
      </w:r>
      <w:r w:rsidR="00B16388">
        <w:rPr>
          <w:rFonts w:ascii="Times New Roman" w:hAnsi="Times New Roman" w:cs="Times New Roman"/>
          <w:sz w:val="24"/>
          <w:szCs w:val="24"/>
        </w:rPr>
        <w:t>я</w:t>
      </w:r>
      <w:r w:rsidR="00B16388" w:rsidRPr="007B4A99">
        <w:rPr>
          <w:rFonts w:ascii="Times New Roman" w:hAnsi="Times New Roman" w:cs="Times New Roman"/>
          <w:sz w:val="24"/>
          <w:szCs w:val="24"/>
        </w:rPr>
        <w:t>ва</w:t>
      </w:r>
      <w:r w:rsidRPr="007B4A99">
        <w:rPr>
          <w:rFonts w:ascii="Times New Roman" w:hAnsi="Times New Roman" w:cs="Times New Roman"/>
          <w:sz w:val="24"/>
          <w:szCs w:val="24"/>
        </w:rPr>
        <w:t xml:space="preserve">, че разработва два изцяло нови проекта на Закон за надценките на храни и Закон за търговията с храни, </w:t>
      </w:r>
      <w:r w:rsidRPr="007B4A99">
        <w:rPr>
          <w:rFonts w:ascii="Times New Roman" w:hAnsi="Times New Roman" w:cs="Times New Roman"/>
          <w:sz w:val="24"/>
          <w:szCs w:val="24"/>
        </w:rPr>
        <w:lastRenderedPageBreak/>
        <w:t xml:space="preserve">както и планира да приеме Наредбата за Централния регистър за проследимост на храните. </w:t>
      </w:r>
    </w:p>
    <w:p w14:paraId="05D1C618" w14:textId="14D649DA" w:rsidR="004403EF" w:rsidRPr="007B4A99" w:rsidRDefault="0069633A"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В средата на</w:t>
      </w:r>
      <w:r w:rsidR="003F5B06" w:rsidRPr="007B4A99">
        <w:rPr>
          <w:rFonts w:ascii="Times New Roman" w:hAnsi="Times New Roman" w:cs="Times New Roman"/>
          <w:sz w:val="24"/>
          <w:szCs w:val="24"/>
        </w:rPr>
        <w:t xml:space="preserve"> 2023 г. Министерство</w:t>
      </w:r>
      <w:r w:rsidR="004403EF" w:rsidRPr="007B4A99">
        <w:rPr>
          <w:rFonts w:ascii="Times New Roman" w:hAnsi="Times New Roman" w:cs="Times New Roman"/>
          <w:sz w:val="24"/>
          <w:szCs w:val="24"/>
        </w:rPr>
        <w:t>то</w:t>
      </w:r>
      <w:r w:rsidR="003F5B06" w:rsidRPr="007B4A99">
        <w:rPr>
          <w:rFonts w:ascii="Times New Roman" w:hAnsi="Times New Roman" w:cs="Times New Roman"/>
          <w:sz w:val="24"/>
          <w:szCs w:val="24"/>
        </w:rPr>
        <w:t xml:space="preserve"> на икономиката и индустрията предлага проект на изцяло нов Закон за надценките на хранителните продукти, който е с подчертано антикризисен характер</w:t>
      </w:r>
      <w:r w:rsidR="004403EF" w:rsidRPr="007B4A99">
        <w:rPr>
          <w:rStyle w:val="FootnoteReference"/>
          <w:rFonts w:ascii="Times New Roman" w:hAnsi="Times New Roman" w:cs="Times New Roman"/>
          <w:sz w:val="24"/>
          <w:szCs w:val="24"/>
        </w:rPr>
        <w:footnoteReference w:id="8"/>
      </w:r>
      <w:r w:rsidR="003F5B06" w:rsidRPr="007B4A99">
        <w:rPr>
          <w:rFonts w:ascii="Times New Roman" w:hAnsi="Times New Roman" w:cs="Times New Roman"/>
          <w:sz w:val="24"/>
          <w:szCs w:val="24"/>
        </w:rPr>
        <w:t>. Неговото действие е ограничено до шест месеца, което е обвързано с очакванията в рамките на този период да се задействат нормалните пазарни механизми и да се проявят съответните пазарни конкурентни взаимодействия, които да доведат до овладяване на рязкото нарастване на цените на хранителните стоки, продиктувано от повишаващите се цени на енергията и суровините.</w:t>
      </w:r>
      <w:r w:rsidR="004403EF" w:rsidRPr="007B4A99">
        <w:rPr>
          <w:rFonts w:ascii="Times New Roman" w:hAnsi="Times New Roman" w:cs="Times New Roman"/>
          <w:sz w:val="24"/>
          <w:szCs w:val="24"/>
        </w:rPr>
        <w:t xml:space="preserve"> </w:t>
      </w:r>
    </w:p>
    <w:p w14:paraId="08472EFA" w14:textId="34A7FF0D" w:rsidR="003F5B06" w:rsidRDefault="00FB0251" w:rsidP="00DD69D5">
      <w:pPr>
        <w:spacing w:after="0" w:line="240" w:lineRule="auto"/>
        <w:ind w:firstLine="539"/>
        <w:jc w:val="both"/>
        <w:rPr>
          <w:rStyle w:val="Hyperlink"/>
          <w:rFonts w:ascii="Times New Roman" w:hAnsi="Times New Roman" w:cs="Times New Roman"/>
          <w:color w:val="auto"/>
          <w:sz w:val="24"/>
          <w:szCs w:val="24"/>
          <w:u w:val="none"/>
        </w:rPr>
      </w:pPr>
      <w:r w:rsidRPr="007B4A99">
        <w:rPr>
          <w:rFonts w:ascii="Times New Roman" w:hAnsi="Times New Roman" w:cs="Times New Roman"/>
          <w:sz w:val="24"/>
          <w:szCs w:val="24"/>
        </w:rPr>
        <w:t>От всички планирани от българското правителство мерки през 2023 г.</w:t>
      </w:r>
      <w:r w:rsidR="00B16388">
        <w:rPr>
          <w:rFonts w:ascii="Times New Roman" w:hAnsi="Times New Roman" w:cs="Times New Roman"/>
          <w:sz w:val="24"/>
          <w:szCs w:val="24"/>
        </w:rPr>
        <w:t xml:space="preserve"> обаче, </w:t>
      </w:r>
      <w:r w:rsidRPr="007B4A99">
        <w:rPr>
          <w:rFonts w:ascii="Times New Roman" w:hAnsi="Times New Roman" w:cs="Times New Roman"/>
          <w:sz w:val="24"/>
          <w:szCs w:val="24"/>
        </w:rPr>
        <w:t>реализирана</w:t>
      </w:r>
      <w:r w:rsidR="00B16388">
        <w:rPr>
          <w:rFonts w:ascii="Times New Roman" w:hAnsi="Times New Roman" w:cs="Times New Roman"/>
          <w:sz w:val="24"/>
          <w:szCs w:val="24"/>
        </w:rPr>
        <w:t xml:space="preserve"> остава</w:t>
      </w:r>
      <w:r w:rsidRPr="007B4A99">
        <w:rPr>
          <w:rFonts w:ascii="Times New Roman" w:hAnsi="Times New Roman" w:cs="Times New Roman"/>
          <w:sz w:val="24"/>
          <w:szCs w:val="24"/>
        </w:rPr>
        <w:t xml:space="preserve"> само една</w:t>
      </w:r>
      <w:r w:rsidR="00B16388">
        <w:rPr>
          <w:rFonts w:ascii="Times New Roman" w:hAnsi="Times New Roman" w:cs="Times New Roman"/>
          <w:sz w:val="24"/>
          <w:szCs w:val="24"/>
        </w:rPr>
        <w:t>. Т</w:t>
      </w:r>
      <w:r w:rsidR="0007308D" w:rsidRPr="007B4A99">
        <w:rPr>
          <w:rFonts w:ascii="Times New Roman" w:hAnsi="Times New Roman" w:cs="Times New Roman"/>
          <w:sz w:val="24"/>
          <w:szCs w:val="24"/>
        </w:rPr>
        <w:t>ова е</w:t>
      </w:r>
      <w:r w:rsidRPr="007B4A99">
        <w:rPr>
          <w:rFonts w:ascii="Times New Roman" w:hAnsi="Times New Roman" w:cs="Times New Roman"/>
          <w:sz w:val="24"/>
          <w:szCs w:val="24"/>
        </w:rPr>
        <w:t xml:space="preserve"> </w:t>
      </w:r>
      <w:r w:rsidR="00B16388">
        <w:rPr>
          <w:rFonts w:ascii="Times New Roman" w:hAnsi="Times New Roman" w:cs="Times New Roman"/>
          <w:sz w:val="24"/>
          <w:szCs w:val="24"/>
        </w:rPr>
        <w:t xml:space="preserve">горепосоченият </w:t>
      </w:r>
      <w:r w:rsidR="00B16388" w:rsidRPr="007B4A99">
        <w:rPr>
          <w:rFonts w:ascii="Times New Roman" w:hAnsi="Times New Roman" w:cs="Times New Roman"/>
          <w:sz w:val="24"/>
          <w:szCs w:val="24"/>
        </w:rPr>
        <w:t>информацион</w:t>
      </w:r>
      <w:r w:rsidR="00B16388">
        <w:rPr>
          <w:rFonts w:ascii="Times New Roman" w:hAnsi="Times New Roman" w:cs="Times New Roman"/>
          <w:sz w:val="24"/>
          <w:szCs w:val="24"/>
        </w:rPr>
        <w:t>ен</w:t>
      </w:r>
      <w:r w:rsidR="00B16388" w:rsidRPr="007B4A99">
        <w:rPr>
          <w:rFonts w:ascii="Times New Roman" w:hAnsi="Times New Roman" w:cs="Times New Roman"/>
          <w:sz w:val="24"/>
          <w:szCs w:val="24"/>
        </w:rPr>
        <w:t xml:space="preserve"> </w:t>
      </w:r>
      <w:r w:rsidRPr="007B4A99">
        <w:rPr>
          <w:rFonts w:ascii="Times New Roman" w:hAnsi="Times New Roman" w:cs="Times New Roman"/>
          <w:sz w:val="24"/>
          <w:szCs w:val="24"/>
        </w:rPr>
        <w:t>портал за наблюдение и сравнение на цените на част от хранителните продукти в малката потребителска кошница</w:t>
      </w:r>
      <w:r w:rsidRPr="007B4A99">
        <w:rPr>
          <w:rStyle w:val="Hyperlink"/>
          <w:rFonts w:ascii="Times New Roman" w:hAnsi="Times New Roman" w:cs="Times New Roman"/>
          <w:color w:val="auto"/>
          <w:sz w:val="24"/>
          <w:szCs w:val="24"/>
          <w:u w:val="none"/>
        </w:rPr>
        <w:t xml:space="preserve">. Към настоящия момент </w:t>
      </w:r>
      <w:r w:rsidR="00B16388" w:rsidRPr="00B16388">
        <w:rPr>
          <w:rStyle w:val="Hyperlink"/>
          <w:rFonts w:ascii="Times New Roman" w:hAnsi="Times New Roman" w:cs="Times New Roman"/>
          <w:color w:val="auto"/>
          <w:sz w:val="24"/>
          <w:szCs w:val="24"/>
          <w:u w:val="none"/>
        </w:rPr>
        <w:t xml:space="preserve">липсва яснота относно степента на </w:t>
      </w:r>
      <w:r w:rsidR="00B16388">
        <w:rPr>
          <w:rStyle w:val="Hyperlink"/>
          <w:rFonts w:ascii="Times New Roman" w:hAnsi="Times New Roman" w:cs="Times New Roman"/>
          <w:color w:val="auto"/>
          <w:sz w:val="24"/>
          <w:szCs w:val="24"/>
          <w:u w:val="none"/>
        </w:rPr>
        <w:t xml:space="preserve">неговата </w:t>
      </w:r>
      <w:r w:rsidR="00B16388" w:rsidRPr="00B16388">
        <w:rPr>
          <w:rStyle w:val="Hyperlink"/>
          <w:rFonts w:ascii="Times New Roman" w:hAnsi="Times New Roman" w:cs="Times New Roman"/>
          <w:color w:val="auto"/>
          <w:sz w:val="24"/>
          <w:szCs w:val="24"/>
          <w:u w:val="none"/>
        </w:rPr>
        <w:t xml:space="preserve">ефективност и </w:t>
      </w:r>
      <w:r w:rsidR="00B16388">
        <w:rPr>
          <w:rStyle w:val="Hyperlink"/>
          <w:rFonts w:ascii="Times New Roman" w:hAnsi="Times New Roman" w:cs="Times New Roman"/>
          <w:color w:val="auto"/>
          <w:sz w:val="24"/>
          <w:szCs w:val="24"/>
          <w:u w:val="none"/>
        </w:rPr>
        <w:t xml:space="preserve">оценка </w:t>
      </w:r>
      <w:r w:rsidR="00B16388" w:rsidRPr="00B16388">
        <w:rPr>
          <w:rStyle w:val="Hyperlink"/>
          <w:rFonts w:ascii="Times New Roman" w:hAnsi="Times New Roman" w:cs="Times New Roman"/>
          <w:color w:val="auto"/>
          <w:sz w:val="24"/>
          <w:szCs w:val="24"/>
          <w:u w:val="none"/>
        </w:rPr>
        <w:t>доколко той е допринесъл за постигането на заложените цели.</w:t>
      </w:r>
    </w:p>
    <w:p w14:paraId="7EA78C64" w14:textId="77777777" w:rsidR="00F01717" w:rsidRDefault="00F01717" w:rsidP="00DD69D5">
      <w:pPr>
        <w:spacing w:after="0" w:line="240" w:lineRule="auto"/>
        <w:ind w:firstLine="539"/>
        <w:jc w:val="both"/>
        <w:rPr>
          <w:rStyle w:val="Hyperlink"/>
          <w:rFonts w:ascii="Times New Roman" w:hAnsi="Times New Roman" w:cs="Times New Roman"/>
          <w:color w:val="auto"/>
          <w:sz w:val="24"/>
          <w:szCs w:val="24"/>
          <w:u w:val="none"/>
        </w:rPr>
      </w:pPr>
    </w:p>
    <w:p w14:paraId="04154D84" w14:textId="0608E248" w:rsidR="007D1548" w:rsidRPr="007B4A99" w:rsidRDefault="004C638A" w:rsidP="00DD69D5">
      <w:pPr>
        <w:pStyle w:val="Heading1"/>
        <w:spacing w:line="240" w:lineRule="auto"/>
        <w:rPr>
          <w:rFonts w:ascii="Times New Roman" w:hAnsi="Times New Roman"/>
        </w:rPr>
      </w:pPr>
      <w:bookmarkStart w:id="4" w:name="_Toc198633076"/>
      <w:r w:rsidRPr="007B4A99">
        <w:t>Описание на пробле</w:t>
      </w:r>
      <w:r w:rsidR="002B111D" w:rsidRPr="007B4A99">
        <w:t>мит</w:t>
      </w:r>
      <w:r w:rsidR="00115CD9" w:rsidRPr="007B4A99">
        <w:t>е</w:t>
      </w:r>
      <w:bookmarkEnd w:id="4"/>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D00FEC" w:rsidRPr="007B4A99" w14:paraId="537C01F6" w14:textId="77777777" w:rsidTr="00D102E9">
        <w:tc>
          <w:tcPr>
            <w:tcW w:w="9062" w:type="dxa"/>
          </w:tcPr>
          <w:p w14:paraId="404B6645" w14:textId="77777777" w:rsidR="00D00FEC" w:rsidRPr="007B4A99" w:rsidRDefault="00D00FEC" w:rsidP="00DD69D5">
            <w:pPr>
              <w:spacing w:line="240" w:lineRule="auto"/>
              <w:ind w:left="313"/>
              <w:rPr>
                <w:rFonts w:ascii="Century" w:hAnsi="Century" w:cs="Times New Roman"/>
                <w:i/>
                <w:color w:val="1F4E79" w:themeColor="accent1" w:themeShade="80"/>
                <w:sz w:val="20"/>
                <w:szCs w:val="20"/>
              </w:rPr>
            </w:pPr>
            <w:r w:rsidRPr="007B4A99">
              <w:rPr>
                <w:rFonts w:ascii="Century" w:hAnsi="Century" w:cs="Times New Roman"/>
                <w:i/>
                <w:color w:val="1F4E79" w:themeColor="accent1" w:themeShade="80"/>
                <w:sz w:val="20"/>
                <w:szCs w:val="20"/>
              </w:rPr>
              <w:t>[Дефинирането на проблема е основополагащата ключова аналитична стъпка (първа от общо шест) в процеса по извършване на предварителна оценка на въздействието (Ръководство, РМС № 728 от 2019 г., стр. 18).</w:t>
            </w:r>
          </w:p>
          <w:p w14:paraId="279F2A14" w14:textId="77777777" w:rsidR="00D00FEC" w:rsidRPr="007B4A99" w:rsidRDefault="00D00FEC" w:rsidP="00DD69D5">
            <w:pPr>
              <w:pStyle w:val="7878"/>
              <w:ind w:left="313"/>
              <w:jc w:val="left"/>
            </w:pPr>
            <w:r w:rsidRPr="007B4A99">
              <w:t>По правило една предварителна оценка на въздействието изследва един възникнал проблем. Ако с предложения нормативен акт се решават повече от един проблем (което е повече от нормално), следва доклада за цялостна предварителна оценка на въздействие да са интегрирани „обособени оценки за всеки дефиниран проблем“ (Ръководство, РМС № 728 от 2019 г., стр. 26).</w:t>
            </w:r>
          </w:p>
          <w:p w14:paraId="201DFFE8" w14:textId="77777777" w:rsidR="00D00FEC" w:rsidRPr="007B4A99" w:rsidRDefault="00D00FEC" w:rsidP="00DD69D5">
            <w:pPr>
              <w:spacing w:line="240" w:lineRule="auto"/>
              <w:ind w:left="313"/>
              <w:rPr>
                <w:rFonts w:ascii="Century" w:hAnsi="Century" w:cs="Times New Roman"/>
                <w:i/>
                <w:color w:val="1F4E79" w:themeColor="accent1" w:themeShade="80"/>
                <w:sz w:val="20"/>
                <w:szCs w:val="20"/>
              </w:rPr>
            </w:pPr>
            <w:r w:rsidRPr="007B4A99">
              <w:rPr>
                <w:rFonts w:ascii="Century" w:hAnsi="Century" w:cs="Times New Roman"/>
                <w:i/>
                <w:color w:val="1F4E79" w:themeColor="accent1" w:themeShade="80"/>
                <w:sz w:val="20"/>
                <w:szCs w:val="20"/>
              </w:rPr>
              <w:t>Това е причината в доклада да се съдържа повече от един разгледан проблем.]</w:t>
            </w:r>
          </w:p>
          <w:p w14:paraId="39EF3B6D" w14:textId="77777777" w:rsidR="00D00FEC" w:rsidRPr="007B4A99" w:rsidRDefault="00D00FEC" w:rsidP="00DD69D5">
            <w:pPr>
              <w:pStyle w:val="ListParagraph"/>
              <w:numPr>
                <w:ilvl w:val="1"/>
                <w:numId w:val="1"/>
              </w:numPr>
              <w:spacing w:line="240" w:lineRule="auto"/>
              <w:ind w:left="313"/>
              <w:rPr>
                <w:rFonts w:ascii="Century" w:hAnsi="Century" w:cs="Times New Roman"/>
                <w:i/>
              </w:rPr>
            </w:pPr>
            <w:r w:rsidRPr="007B4A99">
              <w:rPr>
                <w:rFonts w:ascii="Century" w:hAnsi="Century" w:cs="Times New Roman"/>
                <w:i/>
              </w:rPr>
              <w:t>Описание на проблема/ите или въпросите, които се уреждат с проекта на нормативен акт (винаги, когато е възможно, проблемът трябва да има количествен показател (Ръководство, РМС № 728 от 2019 г., стр. 19)).</w:t>
            </w:r>
          </w:p>
          <w:p w14:paraId="29C79DC4" w14:textId="77777777" w:rsidR="00D00FEC" w:rsidRPr="007B4A99" w:rsidRDefault="00D00FEC" w:rsidP="00DD69D5">
            <w:pPr>
              <w:pStyle w:val="ListParagraph"/>
              <w:numPr>
                <w:ilvl w:val="1"/>
                <w:numId w:val="1"/>
              </w:numPr>
              <w:spacing w:line="240" w:lineRule="auto"/>
              <w:ind w:left="313"/>
              <w:rPr>
                <w:rFonts w:ascii="Century" w:hAnsi="Century" w:cs="Times New Roman"/>
                <w:i/>
              </w:rPr>
            </w:pPr>
            <w:r w:rsidRPr="007B4A99">
              <w:rPr>
                <w:rFonts w:ascii="Century" w:hAnsi="Century" w:cs="Times New Roman"/>
                <w:i/>
              </w:rPr>
              <w:t>Описание на причините за тяхното възникване;</w:t>
            </w:r>
          </w:p>
          <w:p w14:paraId="69FC2185" w14:textId="77777777" w:rsidR="00D00FEC" w:rsidRPr="007B4A99" w:rsidRDefault="00D00FEC" w:rsidP="00DD69D5">
            <w:pPr>
              <w:pStyle w:val="ListParagraph"/>
              <w:numPr>
                <w:ilvl w:val="1"/>
                <w:numId w:val="1"/>
              </w:numPr>
              <w:spacing w:line="240" w:lineRule="auto"/>
              <w:ind w:left="313"/>
              <w:rPr>
                <w:rFonts w:ascii="Century" w:hAnsi="Century" w:cs="Times New Roman"/>
                <w:i/>
              </w:rPr>
            </w:pPr>
            <w:r w:rsidRPr="007B4A99">
              <w:rPr>
                <w:rFonts w:ascii="Century" w:hAnsi="Century" w:cs="Times New Roman"/>
                <w:i/>
              </w:rPr>
              <w:t>Описание на проблемите в прилагането на съществуващото законодателство;</w:t>
            </w:r>
          </w:p>
          <w:p w14:paraId="089EE9CD" w14:textId="77777777" w:rsidR="00D00FEC" w:rsidRPr="007B4A99" w:rsidRDefault="00D00FEC" w:rsidP="00DD69D5">
            <w:pPr>
              <w:spacing w:line="240" w:lineRule="auto"/>
              <w:ind w:left="313"/>
            </w:pPr>
            <w:r w:rsidRPr="007B4A99">
              <w:rPr>
                <w:rFonts w:ascii="Century" w:hAnsi="Century" w:cs="Times New Roman"/>
                <w:i/>
              </w:rPr>
              <w:t>Описание на нововъзникналите обстоятелства.</w:t>
            </w:r>
          </w:p>
        </w:tc>
      </w:tr>
    </w:tbl>
    <w:p w14:paraId="576425D0" w14:textId="77777777" w:rsidR="00D00FEC" w:rsidRPr="007B4A99" w:rsidRDefault="00D00FEC" w:rsidP="00DD69D5">
      <w:pPr>
        <w:spacing w:after="0" w:line="240" w:lineRule="auto"/>
        <w:ind w:firstLine="709"/>
        <w:jc w:val="both"/>
        <w:rPr>
          <w:rFonts w:ascii="Times New Roman" w:hAnsi="Times New Roman" w:cs="Times New Roman"/>
          <w:color w:val="000000" w:themeColor="text1"/>
          <w:sz w:val="24"/>
          <w:szCs w:val="24"/>
        </w:rPr>
      </w:pPr>
    </w:p>
    <w:p w14:paraId="2DD558C4" w14:textId="2BF06F90" w:rsidR="002610A2" w:rsidRPr="007B4A99" w:rsidRDefault="002610A2" w:rsidP="00DD69D5">
      <w:pPr>
        <w:spacing w:after="0" w:line="240" w:lineRule="auto"/>
        <w:ind w:firstLine="567"/>
        <w:jc w:val="both"/>
        <w:rPr>
          <w:rFonts w:ascii="Times New Roman" w:eastAsia="Times New Roman" w:hAnsi="Times New Roman" w:cs="Times New Roman"/>
          <w:sz w:val="24"/>
          <w:szCs w:val="24"/>
        </w:rPr>
      </w:pPr>
      <w:r w:rsidRPr="007B4A99">
        <w:rPr>
          <w:rFonts w:ascii="Times New Roman" w:hAnsi="Times New Roman" w:cs="Times New Roman"/>
          <w:sz w:val="24"/>
          <w:szCs w:val="24"/>
        </w:rPr>
        <w:t>През целия</w:t>
      </w:r>
      <w:r w:rsidR="00D32292" w:rsidRPr="007B4A99">
        <w:rPr>
          <w:rFonts w:ascii="Times New Roman" w:hAnsi="Times New Roman" w:cs="Times New Roman"/>
          <w:sz w:val="24"/>
          <w:szCs w:val="24"/>
        </w:rPr>
        <w:t xml:space="preserve"> </w:t>
      </w:r>
      <w:r w:rsidR="001E593E" w:rsidRPr="007B4A99">
        <w:rPr>
          <w:rFonts w:ascii="Times New Roman" w:hAnsi="Times New Roman" w:cs="Times New Roman"/>
          <w:sz w:val="24"/>
          <w:szCs w:val="24"/>
        </w:rPr>
        <w:t>посочен</w:t>
      </w:r>
      <w:r w:rsidRPr="007B4A99">
        <w:rPr>
          <w:rFonts w:ascii="Times New Roman" w:hAnsi="Times New Roman" w:cs="Times New Roman"/>
          <w:sz w:val="24"/>
          <w:szCs w:val="24"/>
        </w:rPr>
        <w:t xml:space="preserve"> близо 15-годишен период</w:t>
      </w:r>
      <w:r w:rsidR="00B16388">
        <w:rPr>
          <w:rFonts w:ascii="Times New Roman" w:hAnsi="Times New Roman" w:cs="Times New Roman"/>
          <w:sz w:val="24"/>
          <w:szCs w:val="24"/>
        </w:rPr>
        <w:t>,</w:t>
      </w:r>
      <w:r w:rsidRPr="007B4A99">
        <w:rPr>
          <w:rFonts w:ascii="Times New Roman" w:hAnsi="Times New Roman" w:cs="Times New Roman"/>
          <w:sz w:val="24"/>
          <w:szCs w:val="24"/>
        </w:rPr>
        <w:t xml:space="preserve"> считано от 2011 г.</w:t>
      </w:r>
      <w:r w:rsidR="00AD7D1B" w:rsidRPr="007B4A99">
        <w:rPr>
          <w:rFonts w:ascii="Times New Roman" w:hAnsi="Times New Roman" w:cs="Times New Roman"/>
          <w:sz w:val="24"/>
          <w:szCs w:val="24"/>
        </w:rPr>
        <w:t xml:space="preserve"> до днес,</w:t>
      </w:r>
      <w:r w:rsidRPr="007B4A99">
        <w:rPr>
          <w:rFonts w:ascii="Times New Roman" w:hAnsi="Times New Roman" w:cs="Times New Roman"/>
          <w:sz w:val="24"/>
          <w:szCs w:val="24"/>
        </w:rPr>
        <w:t xml:space="preserve"> българската държава </w:t>
      </w:r>
      <w:r w:rsidR="000A2CF9" w:rsidRPr="007B4A99">
        <w:rPr>
          <w:rFonts w:ascii="Times New Roman" w:hAnsi="Times New Roman" w:cs="Times New Roman"/>
          <w:sz w:val="24"/>
          <w:szCs w:val="24"/>
        </w:rPr>
        <w:t xml:space="preserve">предприема поредица от инициативи, включително </w:t>
      </w:r>
      <w:r w:rsidRPr="007B4A99">
        <w:rPr>
          <w:rFonts w:ascii="Times New Roman" w:hAnsi="Times New Roman" w:cs="Times New Roman"/>
          <w:sz w:val="24"/>
          <w:szCs w:val="24"/>
        </w:rPr>
        <w:t xml:space="preserve">приема различни по своя характер и интензитет мерки, насочени към гарантиране на ефективно </w:t>
      </w:r>
      <w:r w:rsidRPr="007B4A99">
        <w:rPr>
          <w:rFonts w:ascii="Times New Roman" w:eastAsia="Times New Roman" w:hAnsi="Times New Roman" w:cs="Times New Roman"/>
          <w:sz w:val="24"/>
          <w:szCs w:val="24"/>
        </w:rPr>
        <w:t>функциониране на веригата на доставки на земеделски продукти и храни</w:t>
      </w:r>
      <w:r w:rsidR="000A2CF9" w:rsidRPr="007B4A99">
        <w:rPr>
          <w:rFonts w:ascii="Times New Roman" w:eastAsia="Times New Roman" w:hAnsi="Times New Roman" w:cs="Times New Roman"/>
          <w:sz w:val="24"/>
          <w:szCs w:val="24"/>
        </w:rPr>
        <w:t>. Всички те целят</w:t>
      </w:r>
      <w:r w:rsidR="00D32292" w:rsidRPr="007B4A99">
        <w:rPr>
          <w:rFonts w:ascii="Times New Roman" w:eastAsia="Times New Roman" w:hAnsi="Times New Roman" w:cs="Times New Roman"/>
          <w:sz w:val="24"/>
          <w:szCs w:val="24"/>
        </w:rPr>
        <w:t xml:space="preserve"> </w:t>
      </w:r>
      <w:r w:rsidRPr="007B4A99">
        <w:rPr>
          <w:rFonts w:ascii="Times New Roman" w:eastAsia="Times New Roman" w:hAnsi="Times New Roman" w:cs="Times New Roman"/>
          <w:sz w:val="24"/>
          <w:szCs w:val="24"/>
        </w:rPr>
        <w:t xml:space="preserve">стабилизиране на отделните звена и изравняване на положението на най-слабите и уязвими участници в нея, каквито са земеделските производители. Целта е </w:t>
      </w:r>
      <w:r w:rsidRPr="007B4A99">
        <w:rPr>
          <w:rFonts w:ascii="Times New Roman" w:eastAsia="Times New Roman" w:hAnsi="Times New Roman" w:cs="Times New Roman"/>
          <w:sz w:val="24"/>
          <w:szCs w:val="24"/>
        </w:rPr>
        <w:lastRenderedPageBreak/>
        <w:t>обезпечаване на устойчива добавена стойност за всички участващи във веригата оператори, която</w:t>
      </w:r>
      <w:r w:rsidR="00D32292" w:rsidRPr="007B4A99">
        <w:rPr>
          <w:rFonts w:ascii="Times New Roman" w:eastAsia="Times New Roman" w:hAnsi="Times New Roman" w:cs="Times New Roman"/>
          <w:sz w:val="24"/>
          <w:szCs w:val="24"/>
        </w:rPr>
        <w:t xml:space="preserve"> е</w:t>
      </w:r>
      <w:r w:rsidRPr="007B4A99">
        <w:rPr>
          <w:rFonts w:ascii="Times New Roman" w:eastAsia="Times New Roman" w:hAnsi="Times New Roman" w:cs="Times New Roman"/>
          <w:sz w:val="24"/>
          <w:szCs w:val="24"/>
        </w:rPr>
        <w:t xml:space="preserve"> в полза на потребителите</w:t>
      </w:r>
      <w:r w:rsidRPr="007B4A99">
        <w:rPr>
          <w:rFonts w:ascii="Times New Roman" w:hAnsi="Times New Roman" w:cs="Times New Roman"/>
          <w:sz w:val="24"/>
          <w:szCs w:val="24"/>
        </w:rPr>
        <w:t xml:space="preserve">, постигната в условията на </w:t>
      </w:r>
      <w:r w:rsidR="00D32292" w:rsidRPr="007B4A99">
        <w:rPr>
          <w:rFonts w:ascii="Times New Roman" w:hAnsi="Times New Roman" w:cs="Times New Roman"/>
          <w:sz w:val="24"/>
          <w:szCs w:val="24"/>
        </w:rPr>
        <w:t>реална</w:t>
      </w:r>
      <w:r w:rsidRPr="007B4A99">
        <w:rPr>
          <w:rFonts w:ascii="Times New Roman" w:hAnsi="Times New Roman" w:cs="Times New Roman"/>
          <w:sz w:val="24"/>
          <w:szCs w:val="24"/>
        </w:rPr>
        <w:t xml:space="preserve"> конкуренция и равнопоставеност</w:t>
      </w:r>
      <w:r w:rsidRPr="007B4A99">
        <w:rPr>
          <w:rFonts w:ascii="Times New Roman" w:eastAsia="Times New Roman" w:hAnsi="Times New Roman" w:cs="Times New Roman"/>
          <w:sz w:val="24"/>
          <w:szCs w:val="24"/>
        </w:rPr>
        <w:t xml:space="preserve">. </w:t>
      </w:r>
    </w:p>
    <w:p w14:paraId="5D7D777B" w14:textId="77777777" w:rsidR="00EE3369" w:rsidRPr="007B4A99" w:rsidRDefault="00EE3369" w:rsidP="00DD69D5">
      <w:pPr>
        <w:spacing w:after="0" w:line="240" w:lineRule="auto"/>
        <w:ind w:firstLine="567"/>
        <w:jc w:val="both"/>
        <w:rPr>
          <w:rFonts w:ascii="Times New Roman" w:eastAsia="Times New Roman" w:hAnsi="Times New Roman" w:cs="Times New Roman"/>
          <w:sz w:val="24"/>
          <w:szCs w:val="24"/>
        </w:rPr>
      </w:pPr>
    </w:p>
    <w:p w14:paraId="315D8F36" w14:textId="037FC477" w:rsidR="00EE3369" w:rsidRPr="007B4A99" w:rsidRDefault="00EE3369" w:rsidP="00DD69D5">
      <w:pPr>
        <w:spacing w:after="0" w:line="240" w:lineRule="auto"/>
        <w:ind w:firstLine="539"/>
        <w:jc w:val="both"/>
        <w:rPr>
          <w:rFonts w:ascii="Times New Roman" w:hAnsi="Times New Roman" w:cs="Times New Roman"/>
          <w:b/>
          <w:i/>
          <w:sz w:val="24"/>
          <w:szCs w:val="24"/>
        </w:rPr>
      </w:pPr>
      <w:r w:rsidRPr="007B4A99">
        <w:rPr>
          <w:rFonts w:ascii="Times New Roman" w:hAnsi="Times New Roman" w:cs="Times New Roman"/>
          <w:b/>
          <w:i/>
          <w:sz w:val="24"/>
          <w:szCs w:val="24"/>
        </w:rPr>
        <w:t xml:space="preserve">Нулев пакет с предложения </w:t>
      </w:r>
    </w:p>
    <w:p w14:paraId="5DF89F7A" w14:textId="0F4DDC11" w:rsidR="006D2945" w:rsidRPr="007B4A99" w:rsidRDefault="000A2CF9"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 xml:space="preserve">Инициативата на българската държава, започнала през 2011 г. и завършила през 2012 г. с изготвянето на Пълна предварителна оценка на въздействието на Проект на Закон за изменение и допълнение на Закона за защита на конкуренцията е наречена </w:t>
      </w:r>
      <w:r w:rsidRPr="00B275F3">
        <w:rPr>
          <w:rFonts w:ascii="Times New Roman" w:hAnsi="Times New Roman" w:cs="Times New Roman"/>
          <w:i/>
          <w:iCs/>
          <w:sz w:val="24"/>
          <w:szCs w:val="24"/>
        </w:rPr>
        <w:t>нулев пакет</w:t>
      </w:r>
      <w:r w:rsidRPr="007B4A99">
        <w:rPr>
          <w:rFonts w:ascii="Times New Roman" w:hAnsi="Times New Roman" w:cs="Times New Roman"/>
          <w:sz w:val="24"/>
          <w:szCs w:val="24"/>
        </w:rPr>
        <w:t xml:space="preserve">, защото тя не завършва с </w:t>
      </w:r>
      <w:r w:rsidR="006D2945" w:rsidRPr="007B4A99">
        <w:rPr>
          <w:rFonts w:ascii="Times New Roman" w:hAnsi="Times New Roman" w:cs="Times New Roman"/>
          <w:sz w:val="24"/>
          <w:szCs w:val="24"/>
        </w:rPr>
        <w:t xml:space="preserve">реализирането на </w:t>
      </w:r>
      <w:r w:rsidRPr="007B4A99">
        <w:rPr>
          <w:rFonts w:ascii="Times New Roman" w:hAnsi="Times New Roman" w:cs="Times New Roman"/>
          <w:sz w:val="24"/>
          <w:szCs w:val="24"/>
        </w:rPr>
        <w:t xml:space="preserve">препоръчания </w:t>
      </w:r>
      <w:r w:rsidR="006D2945" w:rsidRPr="007B4A99">
        <w:rPr>
          <w:rFonts w:ascii="Times New Roman" w:hAnsi="Times New Roman" w:cs="Times New Roman"/>
          <w:sz w:val="24"/>
          <w:szCs w:val="24"/>
        </w:rPr>
        <w:t xml:space="preserve">от оценката </w:t>
      </w:r>
      <w:r w:rsidRPr="007B4A99">
        <w:rPr>
          <w:rFonts w:ascii="Times New Roman" w:hAnsi="Times New Roman" w:cs="Times New Roman"/>
          <w:sz w:val="24"/>
          <w:szCs w:val="24"/>
        </w:rPr>
        <w:t>вариант на действие</w:t>
      </w:r>
      <w:r w:rsidR="006D2945" w:rsidRPr="007B4A99">
        <w:rPr>
          <w:rFonts w:ascii="Times New Roman" w:hAnsi="Times New Roman" w:cs="Times New Roman"/>
          <w:sz w:val="24"/>
          <w:szCs w:val="24"/>
        </w:rPr>
        <w:t xml:space="preserve">, който е промени в ЗЗК. </w:t>
      </w:r>
    </w:p>
    <w:p w14:paraId="4C72B19A" w14:textId="260B0142" w:rsidR="006D2945" w:rsidRPr="007B4A99" w:rsidRDefault="006D2945"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Дефинираните към онзи момент проблеми са следните:</w:t>
      </w:r>
    </w:p>
    <w:p w14:paraId="49E0AB08" w14:textId="34B3708D" w:rsidR="006D2945" w:rsidRPr="007B4A99" w:rsidRDefault="00B275F3" w:rsidP="00DD69D5">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006D2945" w:rsidRPr="00B275F3">
        <w:rPr>
          <w:rFonts w:ascii="Times New Roman" w:hAnsi="Times New Roman" w:cs="Times New Roman"/>
          <w:i/>
          <w:sz w:val="24"/>
          <w:szCs w:val="24"/>
        </w:rPr>
        <w:t xml:space="preserve">В отношенията по веригата производител на суровини – преработвател – дистрибутор – търговец и по-специално в сектора на търговията на дребно с бързооборотни стоки се наблюдават търговски практики, </w:t>
      </w:r>
      <w:r w:rsidR="006D2945" w:rsidRPr="00B275F3">
        <w:rPr>
          <w:rFonts w:ascii="Times New Roman" w:hAnsi="Times New Roman" w:cs="Times New Roman"/>
          <w:i/>
          <w:noProof/>
          <w:sz w:val="24"/>
          <w:szCs w:val="24"/>
        </w:rPr>
        <w:t>при които едни икономически оператори - големи търговци на дребно, благодарение на своите позиции на пазара, се стремят едностранно да налагат изгодни за тях условия на други икономически оператори</w:t>
      </w:r>
      <w:r w:rsidR="006D2945" w:rsidRPr="00B275F3">
        <w:rPr>
          <w:rFonts w:ascii="Times New Roman" w:hAnsi="Times New Roman" w:cs="Times New Roman"/>
          <w:i/>
          <w:sz w:val="24"/>
          <w:szCs w:val="24"/>
        </w:rPr>
        <w:t xml:space="preserve"> – производители/доставчици</w:t>
      </w:r>
      <w:r w:rsidR="00B16388" w:rsidRPr="00B275F3">
        <w:rPr>
          <w:rFonts w:ascii="Times New Roman" w:hAnsi="Times New Roman" w:cs="Times New Roman"/>
          <w:i/>
          <w:sz w:val="24"/>
          <w:szCs w:val="24"/>
        </w:rPr>
        <w:t>,</w:t>
      </w:r>
      <w:r w:rsidR="006D2945" w:rsidRPr="00B275F3">
        <w:rPr>
          <w:rFonts w:ascii="Times New Roman" w:hAnsi="Times New Roman" w:cs="Times New Roman"/>
          <w:i/>
          <w:noProof/>
          <w:sz w:val="24"/>
          <w:szCs w:val="24"/>
        </w:rPr>
        <w:t xml:space="preserve"> имащи </w:t>
      </w:r>
      <w:r w:rsidR="006D2945" w:rsidRPr="00B275F3">
        <w:rPr>
          <w:rFonts w:ascii="Times New Roman" w:hAnsi="Times New Roman" w:cs="Times New Roman"/>
          <w:i/>
          <w:sz w:val="24"/>
          <w:szCs w:val="24"/>
        </w:rPr>
        <w:t>значително по-слаби позиции на същия пазар, което сочи на поведение, определяно като упражняване на пазарна мощ, злоупотреба с икономическа зависимост, злоупотреба със значителна пазарна сила, изключителна сила при водене на преговори и др.</w:t>
      </w:r>
      <w:r>
        <w:rPr>
          <w:rFonts w:ascii="Times New Roman" w:hAnsi="Times New Roman" w:cs="Times New Roman"/>
          <w:sz w:val="24"/>
          <w:szCs w:val="24"/>
        </w:rPr>
        <w:t>“</w:t>
      </w:r>
    </w:p>
    <w:p w14:paraId="6D4BE92D" w14:textId="0AEA7A2D" w:rsidR="00EE3369" w:rsidRPr="007B4A99" w:rsidRDefault="00EE3369"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 xml:space="preserve">Според </w:t>
      </w:r>
      <w:r w:rsidR="006D2945" w:rsidRPr="007B4A99">
        <w:rPr>
          <w:rFonts w:ascii="Times New Roman" w:hAnsi="Times New Roman" w:cs="Times New Roman"/>
          <w:sz w:val="24"/>
          <w:szCs w:val="24"/>
        </w:rPr>
        <w:t>ОВ</w:t>
      </w:r>
      <w:r w:rsidRPr="007B4A99">
        <w:rPr>
          <w:rFonts w:ascii="Times New Roman" w:hAnsi="Times New Roman" w:cs="Times New Roman"/>
          <w:sz w:val="24"/>
          <w:szCs w:val="24"/>
        </w:rPr>
        <w:t xml:space="preserve"> от 2012 г., след присъединяването на България към ЕС процесът на консолидация, довел до появата на концентрация на големи икономически оператори - търговски вериги в целия сектор на търговия със стоки на дребно, по-специално храни и бързооборотни стоки, на ниво Съюз, наричани </w:t>
      </w:r>
      <w:r w:rsidR="00B16388">
        <w:rPr>
          <w:rFonts w:ascii="Times New Roman" w:hAnsi="Times New Roman" w:cs="Times New Roman"/>
          <w:sz w:val="24"/>
          <w:szCs w:val="24"/>
        </w:rPr>
        <w:t>„</w:t>
      </w:r>
      <w:r w:rsidRPr="007B4A99">
        <w:rPr>
          <w:rFonts w:ascii="Times New Roman" w:hAnsi="Times New Roman" w:cs="Times New Roman"/>
          <w:sz w:val="24"/>
          <w:szCs w:val="24"/>
        </w:rPr>
        <w:t>търговски вериги</w:t>
      </w:r>
      <w:r w:rsidR="00B16388">
        <w:rPr>
          <w:rFonts w:ascii="Times New Roman" w:hAnsi="Times New Roman" w:cs="Times New Roman"/>
          <w:sz w:val="24"/>
          <w:szCs w:val="24"/>
        </w:rPr>
        <w:t>“</w:t>
      </w:r>
      <w:r w:rsidRPr="007B4A99">
        <w:rPr>
          <w:rFonts w:ascii="Times New Roman" w:hAnsi="Times New Roman" w:cs="Times New Roman"/>
          <w:sz w:val="24"/>
          <w:szCs w:val="24"/>
        </w:rPr>
        <w:t xml:space="preserve">, обхваща и нашата страна. Непосредственият ефект от този процес е бързото навлизане на пазара на изключително силни търговци на дребно, притежаващи значително по-голяма сила на пазара в сравнение с преобладаващо дребните български производители и доставчици. </w:t>
      </w:r>
    </w:p>
    <w:p w14:paraId="143D4608" w14:textId="15E764D2" w:rsidR="00EE3369" w:rsidRPr="007B4A99" w:rsidRDefault="00EE3369"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 xml:space="preserve">На следващо място е бързото придобиване от тези икономически оператори на сериозен пазарен дял в сектора на търговията на дребно, което променя баланса в отношенията им с доставчиците и производителите. Накрая, тези икономически оператори се позиционират като най-значимия канал за реализиране на продукцията на доставчиците и производителите и като най-доброто средство за достъп до крайните потребители. </w:t>
      </w:r>
    </w:p>
    <w:p w14:paraId="0DB45CED" w14:textId="77777777" w:rsidR="00EE3369" w:rsidRPr="007B4A99" w:rsidRDefault="00EE3369"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 xml:space="preserve">Кумулацията на всички тези съвкупности от фактори води до появата на възможност за икономически силните контрагенти да определят и да налагат определени условия на пазара, които са в тяхна полза и които както доставчиците, така и крайните потребители са принудени да спазват. От доставчиците, най-често на бързооборотни стоки и храни, се изисква твърдо определена търговска отстъпка при доставка на стоки, съчетана със задължението за правенето на многобройни, различни и разнообразни допълнителни или допълващи отстъпки, които според вида си са наричани </w:t>
      </w:r>
      <w:r w:rsidRPr="00B275F3">
        <w:rPr>
          <w:rFonts w:ascii="Times New Roman" w:hAnsi="Times New Roman" w:cs="Times New Roman"/>
          <w:i/>
          <w:iCs/>
          <w:sz w:val="24"/>
          <w:szCs w:val="24"/>
        </w:rPr>
        <w:t>такси, бонуси, премии, рабати, санкции, глоби, неустойки</w:t>
      </w:r>
      <w:r w:rsidRPr="007B4A99">
        <w:rPr>
          <w:rFonts w:ascii="Times New Roman" w:hAnsi="Times New Roman" w:cs="Times New Roman"/>
          <w:sz w:val="24"/>
          <w:szCs w:val="24"/>
        </w:rPr>
        <w:t xml:space="preserve"> и други. </w:t>
      </w:r>
    </w:p>
    <w:p w14:paraId="5B5DB687" w14:textId="4A3428C8" w:rsidR="00EE3369" w:rsidRPr="007B4A99" w:rsidRDefault="00EE3369"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 xml:space="preserve">В доклада с ОВ от 2012 г. се констатира и това, че благодарение на своята по-голяма икономическа сила </w:t>
      </w:r>
      <w:r w:rsidR="00847DBC">
        <w:rPr>
          <w:rFonts w:ascii="Times New Roman" w:hAnsi="Times New Roman" w:cs="Times New Roman"/>
          <w:sz w:val="24"/>
          <w:szCs w:val="24"/>
        </w:rPr>
        <w:t>някои</w:t>
      </w:r>
      <w:r w:rsidRPr="007B4A99">
        <w:rPr>
          <w:rFonts w:ascii="Times New Roman" w:hAnsi="Times New Roman" w:cs="Times New Roman"/>
          <w:sz w:val="24"/>
          <w:szCs w:val="24"/>
        </w:rPr>
        <w:t xml:space="preserve"> търговци на дребно на бързооборотни стоки и храни могат да си позволят понякога да налагат изключително ниски изкупни цени. Това </w:t>
      </w:r>
      <w:r w:rsidRPr="007B4A99">
        <w:rPr>
          <w:rFonts w:ascii="Times New Roman" w:hAnsi="Times New Roman" w:cs="Times New Roman"/>
          <w:sz w:val="24"/>
          <w:szCs w:val="24"/>
        </w:rPr>
        <w:lastRenderedPageBreak/>
        <w:t>може да води до по-изгодни условия за крайните потребители, както и да мотивира доставчиците и производителите да намират варианти за оптимизация и подобряване на ефективността си на работа. Но прекалено големият ценови натиск върху тях може да влияе негативно на конкуренцията на пазара и да изтласка едни конкуренти за сметка на други, особено когато това са по-малки доставчици на пазара. ОВ установява и това, че има случаи, при които българските доставчици са третирани по различен начин в сравнение с чуждестранните, причината за което са централните споразумения на последните с търговските вериги, осигуряващи им по-добри търговски условия.</w:t>
      </w:r>
    </w:p>
    <w:p w14:paraId="3363631D" w14:textId="3369F8EF" w:rsidR="001E593E" w:rsidRPr="007B4A99" w:rsidRDefault="001E593E"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Още през 2012 г., основ</w:t>
      </w:r>
      <w:r w:rsidR="008F123D" w:rsidRPr="007B4A99">
        <w:rPr>
          <w:rFonts w:ascii="Times New Roman" w:hAnsi="Times New Roman" w:cs="Times New Roman"/>
          <w:sz w:val="24"/>
          <w:szCs w:val="24"/>
        </w:rPr>
        <w:t>ополагащите</w:t>
      </w:r>
      <w:r w:rsidRPr="007B4A99">
        <w:rPr>
          <w:rFonts w:ascii="Times New Roman" w:hAnsi="Times New Roman" w:cs="Times New Roman"/>
          <w:sz w:val="24"/>
          <w:szCs w:val="24"/>
        </w:rPr>
        <w:t xml:space="preserve"> дефицити </w:t>
      </w:r>
      <w:r w:rsidR="008F123D" w:rsidRPr="007B4A99">
        <w:rPr>
          <w:rFonts w:ascii="Times New Roman" w:hAnsi="Times New Roman" w:cs="Times New Roman"/>
          <w:sz w:val="24"/>
          <w:szCs w:val="24"/>
        </w:rPr>
        <w:t>при</w:t>
      </w:r>
      <w:r w:rsidRPr="007B4A99">
        <w:rPr>
          <w:rFonts w:ascii="Times New Roman" w:hAnsi="Times New Roman" w:cs="Times New Roman"/>
          <w:sz w:val="24"/>
          <w:szCs w:val="24"/>
        </w:rPr>
        <w:t xml:space="preserve"> функционирането на веригата на доставки на храни и земеделски продукти са обобщени по следния начин: </w:t>
      </w:r>
      <w:r w:rsidRPr="007B4A99">
        <w:rPr>
          <w:rFonts w:ascii="Times New Roman" w:hAnsi="Times New Roman" w:cs="Times New Roman"/>
          <w:i/>
          <w:sz w:val="24"/>
          <w:szCs w:val="24"/>
        </w:rPr>
        <w:t>краткосрочност</w:t>
      </w:r>
      <w:r w:rsidRPr="007B4A99">
        <w:rPr>
          <w:rFonts w:ascii="Times New Roman" w:hAnsi="Times New Roman" w:cs="Times New Roman"/>
          <w:sz w:val="24"/>
          <w:szCs w:val="24"/>
        </w:rPr>
        <w:t xml:space="preserve"> и </w:t>
      </w:r>
      <w:r w:rsidRPr="007B4A99">
        <w:rPr>
          <w:rFonts w:ascii="Times New Roman" w:hAnsi="Times New Roman" w:cs="Times New Roman"/>
          <w:i/>
          <w:sz w:val="24"/>
          <w:szCs w:val="24"/>
        </w:rPr>
        <w:t>едностранност</w:t>
      </w:r>
      <w:r w:rsidRPr="007B4A99">
        <w:rPr>
          <w:rFonts w:ascii="Times New Roman" w:hAnsi="Times New Roman" w:cs="Times New Roman"/>
          <w:sz w:val="24"/>
          <w:szCs w:val="24"/>
        </w:rPr>
        <w:t xml:space="preserve">, </w:t>
      </w:r>
      <w:r w:rsidRPr="007B4A99">
        <w:rPr>
          <w:rFonts w:ascii="Times New Roman" w:hAnsi="Times New Roman" w:cs="Times New Roman"/>
          <w:i/>
          <w:sz w:val="24"/>
          <w:szCs w:val="24"/>
        </w:rPr>
        <w:t>непредвидимост</w:t>
      </w:r>
      <w:r w:rsidRPr="007B4A99">
        <w:rPr>
          <w:rFonts w:ascii="Times New Roman" w:hAnsi="Times New Roman" w:cs="Times New Roman"/>
          <w:sz w:val="24"/>
          <w:szCs w:val="24"/>
        </w:rPr>
        <w:t xml:space="preserve"> и </w:t>
      </w:r>
      <w:r w:rsidRPr="007B4A99">
        <w:rPr>
          <w:rFonts w:ascii="Times New Roman" w:hAnsi="Times New Roman" w:cs="Times New Roman"/>
          <w:i/>
          <w:sz w:val="24"/>
          <w:szCs w:val="24"/>
        </w:rPr>
        <w:t>неравнопоставеност</w:t>
      </w:r>
      <w:r w:rsidRPr="007B4A99">
        <w:rPr>
          <w:rFonts w:ascii="Times New Roman" w:hAnsi="Times New Roman" w:cs="Times New Roman"/>
          <w:sz w:val="24"/>
          <w:szCs w:val="24"/>
        </w:rPr>
        <w:t xml:space="preserve">. </w:t>
      </w:r>
    </w:p>
    <w:p w14:paraId="06DE2C9A" w14:textId="637203AC" w:rsidR="001E593E" w:rsidRPr="007B4A99" w:rsidRDefault="001E593E"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i/>
          <w:sz w:val="24"/>
          <w:szCs w:val="24"/>
        </w:rPr>
        <w:t>Краткосрочността</w:t>
      </w:r>
      <w:r w:rsidRPr="007B4A99">
        <w:rPr>
          <w:rFonts w:ascii="Times New Roman" w:hAnsi="Times New Roman" w:cs="Times New Roman"/>
          <w:sz w:val="24"/>
          <w:szCs w:val="24"/>
        </w:rPr>
        <w:t xml:space="preserve"> се изразява в масовата практика, прилагана и днес</w:t>
      </w:r>
      <w:r w:rsidR="00194561">
        <w:rPr>
          <w:rFonts w:ascii="Times New Roman" w:hAnsi="Times New Roman" w:cs="Times New Roman"/>
          <w:sz w:val="24"/>
          <w:szCs w:val="24"/>
        </w:rPr>
        <w:t>,</w:t>
      </w:r>
      <w:r w:rsidRPr="007B4A99">
        <w:rPr>
          <w:rFonts w:ascii="Times New Roman" w:hAnsi="Times New Roman" w:cs="Times New Roman"/>
          <w:sz w:val="24"/>
          <w:szCs w:val="24"/>
        </w:rPr>
        <w:t xml:space="preserve"> на едногодишно уговаряне или сключване на договори, която в почти всички случаи се използва като основание, при новирането на срока за следващата година</w:t>
      </w:r>
      <w:r w:rsidR="00A9164D">
        <w:rPr>
          <w:rFonts w:ascii="Times New Roman" w:hAnsi="Times New Roman" w:cs="Times New Roman"/>
          <w:sz w:val="24"/>
          <w:szCs w:val="24"/>
        </w:rPr>
        <w:t>,</w:t>
      </w:r>
      <w:r w:rsidRPr="007B4A99">
        <w:rPr>
          <w:rFonts w:ascii="Times New Roman" w:hAnsi="Times New Roman" w:cs="Times New Roman"/>
          <w:sz w:val="24"/>
          <w:szCs w:val="24"/>
        </w:rPr>
        <w:t xml:space="preserve"> да бъде постигнато и изменение в правната уредба на отношенията, водещо до по-изгодни условия за търговеца на дребно.</w:t>
      </w:r>
    </w:p>
    <w:p w14:paraId="1461B3FD" w14:textId="77777777" w:rsidR="001E593E" w:rsidRPr="007B4A99" w:rsidRDefault="001E593E" w:rsidP="00DD69D5">
      <w:pPr>
        <w:spacing w:after="0" w:line="240" w:lineRule="auto"/>
        <w:ind w:firstLine="567"/>
        <w:jc w:val="both"/>
        <w:rPr>
          <w:lang w:bidi="bn-BD"/>
        </w:rPr>
      </w:pPr>
      <w:r w:rsidRPr="007B4A99">
        <w:rPr>
          <w:rFonts w:ascii="Times New Roman" w:hAnsi="Times New Roman" w:cs="Times New Roman"/>
          <w:i/>
          <w:sz w:val="24"/>
          <w:szCs w:val="24"/>
        </w:rPr>
        <w:t>Едностранността</w:t>
      </w:r>
      <w:r w:rsidRPr="007B4A99">
        <w:rPr>
          <w:rFonts w:ascii="Times New Roman" w:hAnsi="Times New Roman" w:cs="Times New Roman"/>
          <w:sz w:val="24"/>
          <w:szCs w:val="24"/>
        </w:rPr>
        <w:t xml:space="preserve"> се проявява както при определянето на цените и при налагането на основната отстъпка и допълнителните отстъпки от производителите и доставчиците, така и в други случаи, каквито са например внезапното </w:t>
      </w:r>
      <w:r w:rsidRPr="007B4A99">
        <w:rPr>
          <w:rStyle w:val="FontStyle30"/>
          <w:b w:val="0"/>
          <w:bCs w:val="0"/>
          <w:sz w:val="24"/>
          <w:szCs w:val="24"/>
        </w:rPr>
        <w:t>намаляване на крайната цена на даден продукт по еднолично решение на търговеца, да продава дадена стока на загуба за определен период от време</w:t>
      </w:r>
      <w:r w:rsidRPr="007B4A99">
        <w:rPr>
          <w:rFonts w:ascii="Times New Roman" w:hAnsi="Times New Roman" w:cs="Times New Roman"/>
          <w:sz w:val="24"/>
          <w:szCs w:val="24"/>
        </w:rPr>
        <w:t>.</w:t>
      </w:r>
      <w:r w:rsidRPr="007B4A99">
        <w:rPr>
          <w:lang w:bidi="bn-BD"/>
        </w:rPr>
        <w:t xml:space="preserve"> </w:t>
      </w:r>
    </w:p>
    <w:p w14:paraId="0342B28D" w14:textId="5DEE3DE7" w:rsidR="001E593E" w:rsidRPr="007B4A99" w:rsidRDefault="001E593E" w:rsidP="00DD69D5">
      <w:pPr>
        <w:pStyle w:val="Style31"/>
        <w:widowControl/>
        <w:spacing w:line="240" w:lineRule="auto"/>
        <w:ind w:firstLine="540"/>
      </w:pPr>
      <w:r w:rsidRPr="007B4A99">
        <w:rPr>
          <w:i/>
          <w:lang w:bidi="bn-BD"/>
        </w:rPr>
        <w:t>Непредвидимостта</w:t>
      </w:r>
      <w:r w:rsidRPr="007B4A99">
        <w:rPr>
          <w:lang w:bidi="bn-BD"/>
        </w:rPr>
        <w:t xml:space="preserve"> се свързва с факта, че много често крайната цена и начинът на нейното образуване от търговеца се определя</w:t>
      </w:r>
      <w:r w:rsidR="00847DBC">
        <w:rPr>
          <w:lang w:bidi="bn-BD"/>
        </w:rPr>
        <w:t>т</w:t>
      </w:r>
      <w:r w:rsidRPr="007B4A99">
        <w:rPr>
          <w:lang w:bidi="bn-BD"/>
        </w:rPr>
        <w:t xml:space="preserve"> непрозрачно и по критерии, които остават скрити за производителя и доставчика. Неясен е и общият процент на</w:t>
      </w:r>
      <w:r w:rsidRPr="007B4A99">
        <w:rPr>
          <w:rStyle w:val="FontStyle30"/>
          <w:b w:val="0"/>
          <w:bCs w:val="0"/>
          <w:sz w:val="24"/>
          <w:szCs w:val="24"/>
        </w:rPr>
        <w:t xml:space="preserve"> надценка, който големите търговци на дребно слагат върху доставната цена, както и</w:t>
      </w:r>
      <w:r w:rsidR="00A9164D">
        <w:rPr>
          <w:rStyle w:val="FontStyle30"/>
          <w:b w:val="0"/>
          <w:bCs w:val="0"/>
          <w:sz w:val="24"/>
          <w:szCs w:val="24"/>
        </w:rPr>
        <w:t xml:space="preserve"> наличието на</w:t>
      </w:r>
      <w:r w:rsidRPr="007B4A99">
        <w:rPr>
          <w:rStyle w:val="FontStyle30"/>
          <w:b w:val="0"/>
          <w:bCs w:val="0"/>
          <w:sz w:val="24"/>
          <w:szCs w:val="24"/>
        </w:rPr>
        <w:t xml:space="preserve"> д</w:t>
      </w:r>
      <w:r w:rsidRPr="007B4A99">
        <w:t>опълнителни</w:t>
      </w:r>
      <w:r w:rsidR="00A9164D">
        <w:t xml:space="preserve"> </w:t>
      </w:r>
      <w:r w:rsidRPr="007B4A99">
        <w:t>отстъпки,</w:t>
      </w:r>
      <w:r w:rsidR="00A9164D">
        <w:t xml:space="preserve"> които</w:t>
      </w:r>
      <w:r w:rsidRPr="007B4A99">
        <w:t xml:space="preserve"> често имат извънреден характер или се прилагат инцидентно. Всичко това води до правна и стопанска несигурност за производителите и доставчиците, които са в невъзможност за предвиждане на техните бизнес очаквания в краткосрочен план, както и за устойчиво дългосрочно бизнес планиране.</w:t>
      </w:r>
    </w:p>
    <w:p w14:paraId="30C88332" w14:textId="320CD7C8" w:rsidR="001E593E" w:rsidRPr="007B4A99" w:rsidRDefault="001E593E"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i/>
          <w:sz w:val="24"/>
          <w:szCs w:val="24"/>
        </w:rPr>
        <w:t>Равнопоставеността</w:t>
      </w:r>
      <w:r w:rsidRPr="007B4A99">
        <w:rPr>
          <w:rFonts w:ascii="Times New Roman" w:hAnsi="Times New Roman" w:cs="Times New Roman"/>
          <w:sz w:val="24"/>
          <w:szCs w:val="24"/>
        </w:rPr>
        <w:t xml:space="preserve"> в договорните отношения между търговците на дребно</w:t>
      </w:r>
      <w:r w:rsidR="00A9164D">
        <w:rPr>
          <w:rFonts w:ascii="Times New Roman" w:hAnsi="Times New Roman" w:cs="Times New Roman"/>
          <w:sz w:val="24"/>
          <w:szCs w:val="24"/>
        </w:rPr>
        <w:t>,</w:t>
      </w:r>
      <w:r w:rsidRPr="007B4A99">
        <w:rPr>
          <w:rFonts w:ascii="Times New Roman" w:hAnsi="Times New Roman" w:cs="Times New Roman"/>
          <w:sz w:val="24"/>
          <w:szCs w:val="24"/>
        </w:rPr>
        <w:t xml:space="preserve"> от една страна</w:t>
      </w:r>
      <w:r w:rsidR="00A9164D">
        <w:rPr>
          <w:rFonts w:ascii="Times New Roman" w:hAnsi="Times New Roman" w:cs="Times New Roman"/>
          <w:sz w:val="24"/>
          <w:szCs w:val="24"/>
        </w:rPr>
        <w:t>,</w:t>
      </w:r>
      <w:r w:rsidRPr="007B4A99">
        <w:rPr>
          <w:rFonts w:ascii="Times New Roman" w:hAnsi="Times New Roman" w:cs="Times New Roman"/>
          <w:sz w:val="24"/>
          <w:szCs w:val="24"/>
        </w:rPr>
        <w:t xml:space="preserve"> и производителите и доставчиците</w:t>
      </w:r>
      <w:r w:rsidR="00A9164D">
        <w:rPr>
          <w:rFonts w:ascii="Times New Roman" w:hAnsi="Times New Roman" w:cs="Times New Roman"/>
          <w:sz w:val="24"/>
          <w:szCs w:val="24"/>
        </w:rPr>
        <w:t>,</w:t>
      </w:r>
      <w:r w:rsidRPr="007B4A99">
        <w:rPr>
          <w:rFonts w:ascii="Times New Roman" w:hAnsi="Times New Roman" w:cs="Times New Roman"/>
          <w:sz w:val="24"/>
          <w:szCs w:val="24"/>
        </w:rPr>
        <w:t xml:space="preserve"> от друга</w:t>
      </w:r>
      <w:r w:rsidR="00A9164D">
        <w:rPr>
          <w:rFonts w:ascii="Times New Roman" w:hAnsi="Times New Roman" w:cs="Times New Roman"/>
          <w:sz w:val="24"/>
          <w:szCs w:val="24"/>
        </w:rPr>
        <w:t>,</w:t>
      </w:r>
      <w:r w:rsidRPr="007B4A99">
        <w:rPr>
          <w:rFonts w:ascii="Times New Roman" w:hAnsi="Times New Roman" w:cs="Times New Roman"/>
          <w:sz w:val="24"/>
          <w:szCs w:val="24"/>
        </w:rPr>
        <w:t xml:space="preserve"> е само привидна. Последните като най-уязвимите участници във веригата на доставки не разполагат с голям избор от канали за реализация на продукцията си и често са поставени в положение на зависимост, предизвикано от опасения за евентуално прекратяване на техните договори. Това дава възможност на другата</w:t>
      </w:r>
      <w:r w:rsidR="00194561">
        <w:rPr>
          <w:rFonts w:ascii="Times New Roman" w:hAnsi="Times New Roman" w:cs="Times New Roman"/>
          <w:sz w:val="24"/>
          <w:szCs w:val="24"/>
        </w:rPr>
        <w:t>,</w:t>
      </w:r>
      <w:r w:rsidRPr="007B4A99">
        <w:rPr>
          <w:rFonts w:ascii="Times New Roman" w:hAnsi="Times New Roman" w:cs="Times New Roman"/>
          <w:sz w:val="24"/>
          <w:szCs w:val="24"/>
        </w:rPr>
        <w:t xml:space="preserve"> по-силна страна по договора</w:t>
      </w:r>
      <w:r w:rsidR="00194561">
        <w:rPr>
          <w:rFonts w:ascii="Times New Roman" w:hAnsi="Times New Roman" w:cs="Times New Roman"/>
          <w:sz w:val="24"/>
          <w:szCs w:val="24"/>
        </w:rPr>
        <w:t>,</w:t>
      </w:r>
      <w:r w:rsidRPr="007B4A99">
        <w:rPr>
          <w:rFonts w:ascii="Times New Roman" w:hAnsi="Times New Roman" w:cs="Times New Roman"/>
          <w:sz w:val="24"/>
          <w:szCs w:val="24"/>
        </w:rPr>
        <w:t xml:space="preserve"> да налага допълнителни изисквания и условия, отклоняващи се от предварително уговореното. </w:t>
      </w:r>
    </w:p>
    <w:p w14:paraId="3E800E9C" w14:textId="77777777" w:rsidR="00EE3369" w:rsidRPr="007B4A99" w:rsidRDefault="00EE3369" w:rsidP="00DD69D5">
      <w:pPr>
        <w:spacing w:after="0" w:line="240" w:lineRule="auto"/>
        <w:ind w:firstLine="567"/>
        <w:jc w:val="both"/>
        <w:rPr>
          <w:rFonts w:ascii="Times New Roman" w:eastAsia="Times New Roman" w:hAnsi="Times New Roman" w:cs="Times New Roman"/>
          <w:i/>
          <w:sz w:val="24"/>
          <w:szCs w:val="24"/>
        </w:rPr>
      </w:pPr>
    </w:p>
    <w:p w14:paraId="646DBE4A" w14:textId="57A0C253" w:rsidR="00EE3369" w:rsidRPr="007B4A99" w:rsidRDefault="00EE3369" w:rsidP="00DD69D5">
      <w:pPr>
        <w:spacing w:after="0" w:line="240" w:lineRule="auto"/>
        <w:ind w:firstLine="567"/>
        <w:jc w:val="both"/>
        <w:rPr>
          <w:rFonts w:ascii="Times New Roman" w:eastAsia="Times New Roman" w:hAnsi="Times New Roman" w:cs="Times New Roman"/>
          <w:b/>
          <w:i/>
          <w:sz w:val="24"/>
          <w:szCs w:val="24"/>
        </w:rPr>
      </w:pPr>
      <w:r w:rsidRPr="007B4A99">
        <w:rPr>
          <w:rFonts w:ascii="Times New Roman" w:eastAsia="Times New Roman" w:hAnsi="Times New Roman" w:cs="Times New Roman"/>
          <w:b/>
          <w:i/>
          <w:sz w:val="24"/>
          <w:szCs w:val="24"/>
        </w:rPr>
        <w:t xml:space="preserve">Първи пакет законови мерки </w:t>
      </w:r>
    </w:p>
    <w:p w14:paraId="3C89B639" w14:textId="31BEE5C7" w:rsidR="006E7E83" w:rsidRPr="007B4A99" w:rsidRDefault="008F123D" w:rsidP="00DD69D5">
      <w:pPr>
        <w:tabs>
          <w:tab w:val="left" w:pos="851"/>
        </w:tabs>
        <w:spacing w:after="0" w:line="240" w:lineRule="auto"/>
        <w:ind w:firstLine="567"/>
        <w:jc w:val="both"/>
        <w:rPr>
          <w:rFonts w:ascii="Times New Roman" w:eastAsia="Times New Roman" w:hAnsi="Times New Roman" w:cs="Times New Roman"/>
          <w:sz w:val="24"/>
          <w:szCs w:val="24"/>
        </w:rPr>
      </w:pPr>
      <w:r w:rsidRPr="007B4A99">
        <w:rPr>
          <w:rFonts w:ascii="Times New Roman" w:eastAsia="Times New Roman" w:hAnsi="Times New Roman" w:cs="Times New Roman"/>
          <w:sz w:val="24"/>
          <w:szCs w:val="24"/>
        </w:rPr>
        <w:t xml:space="preserve">Съвременната история на опитите на българската държава за публична намеса в обществените отношения по веригата на доставки на земеделски продукти и храни за разрешаване на горните дефицити започва с </w:t>
      </w:r>
      <w:r w:rsidRPr="007B4A99">
        <w:rPr>
          <w:rFonts w:ascii="Times New Roman" w:eastAsia="Times New Roman" w:hAnsi="Times New Roman" w:cs="Times New Roman"/>
          <w:i/>
          <w:sz w:val="24"/>
          <w:szCs w:val="24"/>
        </w:rPr>
        <w:t>първи</w:t>
      </w:r>
      <w:r w:rsidR="00194561">
        <w:rPr>
          <w:rFonts w:ascii="Times New Roman" w:eastAsia="Times New Roman" w:hAnsi="Times New Roman" w:cs="Times New Roman"/>
          <w:i/>
          <w:sz w:val="24"/>
          <w:szCs w:val="24"/>
        </w:rPr>
        <w:t>я</w:t>
      </w:r>
      <w:r w:rsidRPr="007B4A99">
        <w:rPr>
          <w:rFonts w:ascii="Times New Roman" w:eastAsia="Times New Roman" w:hAnsi="Times New Roman" w:cs="Times New Roman"/>
          <w:i/>
          <w:sz w:val="24"/>
          <w:szCs w:val="24"/>
        </w:rPr>
        <w:t xml:space="preserve"> пакет</w:t>
      </w:r>
      <w:r w:rsidRPr="007B4A99">
        <w:rPr>
          <w:rFonts w:ascii="Times New Roman" w:eastAsia="Times New Roman" w:hAnsi="Times New Roman" w:cs="Times New Roman"/>
          <w:sz w:val="24"/>
          <w:szCs w:val="24"/>
        </w:rPr>
        <w:t xml:space="preserve"> законодателни мерки от 2015 г. За първи път в ЗЗК е въведена препоръчаната още през 2012 г. </w:t>
      </w:r>
      <w:r w:rsidR="008F7328" w:rsidRPr="007B4A99">
        <w:rPr>
          <w:rFonts w:ascii="Times New Roman" w:eastAsia="Times New Roman" w:hAnsi="Times New Roman" w:cs="Times New Roman"/>
          <w:sz w:val="24"/>
          <w:szCs w:val="24"/>
        </w:rPr>
        <w:t xml:space="preserve">забрана на всяко действие или бездействие на предприятие с по-силна позиция при договаряне, което е в </w:t>
      </w:r>
      <w:r w:rsidR="008F7328" w:rsidRPr="007B4A99">
        <w:rPr>
          <w:rFonts w:ascii="Times New Roman" w:eastAsia="Times New Roman" w:hAnsi="Times New Roman" w:cs="Times New Roman"/>
          <w:sz w:val="24"/>
          <w:szCs w:val="24"/>
        </w:rPr>
        <w:lastRenderedPageBreak/>
        <w:t>противоречие с добросъвестната търговска практика и уврежда или може да увреди интересите на по-слабата страна при договарянето и</w:t>
      </w:r>
      <w:r w:rsidR="00847DBC">
        <w:rPr>
          <w:rFonts w:ascii="Times New Roman" w:eastAsia="Times New Roman" w:hAnsi="Times New Roman" w:cs="Times New Roman"/>
          <w:sz w:val="24"/>
          <w:szCs w:val="24"/>
        </w:rPr>
        <w:t>ли</w:t>
      </w:r>
      <w:r w:rsidR="008F7328" w:rsidRPr="007B4A99">
        <w:rPr>
          <w:rFonts w:ascii="Times New Roman" w:eastAsia="Times New Roman" w:hAnsi="Times New Roman" w:cs="Times New Roman"/>
          <w:sz w:val="24"/>
          <w:szCs w:val="24"/>
        </w:rPr>
        <w:t xml:space="preserve"> на потребителите. </w:t>
      </w:r>
    </w:p>
    <w:p w14:paraId="3C177CE8" w14:textId="28802DDA" w:rsidR="008F7328" w:rsidRPr="007B4A99" w:rsidRDefault="008F7328" w:rsidP="00DD69D5">
      <w:pPr>
        <w:tabs>
          <w:tab w:val="left" w:pos="851"/>
        </w:tabs>
        <w:spacing w:after="0" w:line="240" w:lineRule="auto"/>
        <w:ind w:firstLine="567"/>
        <w:jc w:val="both"/>
        <w:rPr>
          <w:rFonts w:ascii="Times New Roman" w:eastAsia="Times New Roman" w:hAnsi="Times New Roman" w:cs="Times New Roman"/>
          <w:sz w:val="24"/>
          <w:szCs w:val="24"/>
        </w:rPr>
      </w:pPr>
      <w:r w:rsidRPr="007B4A99">
        <w:rPr>
          <w:rFonts w:ascii="Times New Roman" w:eastAsia="Times New Roman" w:hAnsi="Times New Roman" w:cs="Times New Roman"/>
          <w:sz w:val="24"/>
          <w:szCs w:val="24"/>
        </w:rPr>
        <w:t xml:space="preserve">Със закона е дадена дефиниция за недобросъвестност на забранените действия или бездействия, които са определени като такива, </w:t>
      </w:r>
      <w:r w:rsidR="00194561">
        <w:rPr>
          <w:rFonts w:ascii="Times New Roman" w:eastAsia="Times New Roman" w:hAnsi="Times New Roman" w:cs="Times New Roman"/>
          <w:sz w:val="24"/>
          <w:szCs w:val="24"/>
        </w:rPr>
        <w:t>поради факта че</w:t>
      </w:r>
      <w:r w:rsidRPr="007B4A99">
        <w:rPr>
          <w:rFonts w:ascii="Times New Roman" w:eastAsia="Times New Roman" w:hAnsi="Times New Roman" w:cs="Times New Roman"/>
          <w:sz w:val="24"/>
          <w:szCs w:val="24"/>
        </w:rPr>
        <w:t xml:space="preserve"> нямат обективно икономическо основание и са посочени примери като: </w:t>
      </w:r>
    </w:p>
    <w:p w14:paraId="084E150C" w14:textId="77777777" w:rsidR="008F7328" w:rsidRPr="007B4A99" w:rsidRDefault="008F7328" w:rsidP="00DD69D5">
      <w:pPr>
        <w:tabs>
          <w:tab w:val="left" w:pos="851"/>
        </w:tabs>
        <w:spacing w:after="0" w:line="240" w:lineRule="auto"/>
        <w:ind w:firstLine="567"/>
        <w:jc w:val="both"/>
        <w:rPr>
          <w:rFonts w:ascii="Times New Roman" w:eastAsia="Times New Roman" w:hAnsi="Times New Roman" w:cs="Times New Roman"/>
          <w:sz w:val="24"/>
          <w:szCs w:val="24"/>
        </w:rPr>
      </w:pPr>
      <w:r w:rsidRPr="007B4A99">
        <w:rPr>
          <w:rFonts w:ascii="Times New Roman" w:eastAsia="Times New Roman" w:hAnsi="Times New Roman" w:cs="Times New Roman"/>
          <w:sz w:val="24"/>
          <w:szCs w:val="24"/>
        </w:rPr>
        <w:t>1. необоснован отказ да се доставят или закупят стоки или услуги;</w:t>
      </w:r>
    </w:p>
    <w:p w14:paraId="7CCC43A8" w14:textId="77777777" w:rsidR="008F7328" w:rsidRPr="007B4A99" w:rsidRDefault="008F7328" w:rsidP="00DD69D5">
      <w:pPr>
        <w:tabs>
          <w:tab w:val="left" w:pos="851"/>
        </w:tabs>
        <w:spacing w:after="0" w:line="240" w:lineRule="auto"/>
        <w:ind w:firstLine="567"/>
        <w:jc w:val="both"/>
        <w:rPr>
          <w:rFonts w:ascii="Times New Roman" w:eastAsia="Times New Roman" w:hAnsi="Times New Roman" w:cs="Times New Roman"/>
          <w:sz w:val="24"/>
          <w:szCs w:val="24"/>
        </w:rPr>
      </w:pPr>
      <w:r w:rsidRPr="007B4A99">
        <w:rPr>
          <w:rFonts w:ascii="Times New Roman" w:eastAsia="Times New Roman" w:hAnsi="Times New Roman" w:cs="Times New Roman"/>
          <w:sz w:val="24"/>
          <w:szCs w:val="24"/>
        </w:rPr>
        <w:t>2. налагане на необосновано тежки или дискриминационни условия или</w:t>
      </w:r>
    </w:p>
    <w:p w14:paraId="2055298D" w14:textId="6723DE71" w:rsidR="008F7328" w:rsidRPr="007B4A99" w:rsidRDefault="008F7328" w:rsidP="00DD69D5">
      <w:pPr>
        <w:tabs>
          <w:tab w:val="left" w:pos="851"/>
        </w:tabs>
        <w:spacing w:after="0" w:line="240" w:lineRule="auto"/>
        <w:ind w:firstLine="567"/>
        <w:jc w:val="both"/>
        <w:rPr>
          <w:rFonts w:ascii="Times New Roman" w:eastAsia="Times New Roman" w:hAnsi="Times New Roman" w:cs="Times New Roman"/>
          <w:sz w:val="24"/>
          <w:szCs w:val="24"/>
        </w:rPr>
      </w:pPr>
      <w:r w:rsidRPr="007B4A99">
        <w:rPr>
          <w:rFonts w:ascii="Times New Roman" w:eastAsia="Times New Roman" w:hAnsi="Times New Roman" w:cs="Times New Roman"/>
          <w:sz w:val="24"/>
          <w:szCs w:val="24"/>
        </w:rPr>
        <w:t>3. неоснователно прекратяване на търговски отношения.</w:t>
      </w:r>
    </w:p>
    <w:p w14:paraId="463F7E1D" w14:textId="66B8754A" w:rsidR="008F7328" w:rsidRPr="007B4A99" w:rsidRDefault="006E7E83" w:rsidP="00DD69D5">
      <w:pPr>
        <w:tabs>
          <w:tab w:val="left" w:pos="851"/>
        </w:tabs>
        <w:spacing w:after="0" w:line="240" w:lineRule="auto"/>
        <w:ind w:firstLine="567"/>
        <w:jc w:val="both"/>
        <w:rPr>
          <w:rFonts w:ascii="Times New Roman" w:eastAsia="Times New Roman" w:hAnsi="Times New Roman" w:cs="Times New Roman"/>
          <w:sz w:val="24"/>
          <w:szCs w:val="24"/>
        </w:rPr>
      </w:pPr>
      <w:r w:rsidRPr="007B4A99">
        <w:rPr>
          <w:rFonts w:ascii="Times New Roman" w:eastAsia="Times New Roman" w:hAnsi="Times New Roman" w:cs="Times New Roman"/>
          <w:sz w:val="24"/>
          <w:szCs w:val="24"/>
        </w:rPr>
        <w:t>ЗЗК от 2015 г.</w:t>
      </w:r>
      <w:r w:rsidR="008F7328" w:rsidRPr="007B4A99">
        <w:rPr>
          <w:rFonts w:ascii="Times New Roman" w:eastAsia="Times New Roman" w:hAnsi="Times New Roman" w:cs="Times New Roman"/>
          <w:sz w:val="24"/>
          <w:szCs w:val="24"/>
        </w:rPr>
        <w:t xml:space="preserve"> е заложил и съответните обективни показатели, по които може да се установи наличието на по-силна позиция при договаряне, каквито са:</w:t>
      </w:r>
    </w:p>
    <w:p w14:paraId="66938537" w14:textId="77777777" w:rsidR="008F7328" w:rsidRPr="007B4A99" w:rsidRDefault="008F7328" w:rsidP="00DD69D5">
      <w:pPr>
        <w:tabs>
          <w:tab w:val="left" w:pos="851"/>
        </w:tabs>
        <w:spacing w:after="0" w:line="240" w:lineRule="auto"/>
        <w:ind w:firstLine="567"/>
        <w:jc w:val="both"/>
        <w:rPr>
          <w:rFonts w:ascii="Times New Roman" w:eastAsia="Times New Roman" w:hAnsi="Times New Roman" w:cs="Times New Roman"/>
          <w:sz w:val="24"/>
          <w:szCs w:val="24"/>
        </w:rPr>
      </w:pPr>
      <w:r w:rsidRPr="007B4A99">
        <w:rPr>
          <w:rFonts w:ascii="Times New Roman" w:eastAsia="Times New Roman" w:hAnsi="Times New Roman" w:cs="Times New Roman"/>
          <w:sz w:val="24"/>
          <w:szCs w:val="24"/>
        </w:rPr>
        <w:t>1. характеристиките на структурата на съответния пазар;</w:t>
      </w:r>
    </w:p>
    <w:p w14:paraId="5D2F54EA" w14:textId="7721366C" w:rsidR="008F7328" w:rsidRPr="007B4A99" w:rsidRDefault="008F7328" w:rsidP="00DD69D5">
      <w:pPr>
        <w:tabs>
          <w:tab w:val="left" w:pos="851"/>
        </w:tabs>
        <w:spacing w:after="0" w:line="240" w:lineRule="auto"/>
        <w:ind w:firstLine="567"/>
        <w:jc w:val="both"/>
        <w:rPr>
          <w:rFonts w:ascii="Times New Roman" w:eastAsia="Times New Roman" w:hAnsi="Times New Roman" w:cs="Times New Roman"/>
          <w:sz w:val="24"/>
          <w:szCs w:val="24"/>
        </w:rPr>
      </w:pPr>
      <w:r w:rsidRPr="007B4A99">
        <w:rPr>
          <w:rFonts w:ascii="Times New Roman" w:eastAsia="Times New Roman" w:hAnsi="Times New Roman" w:cs="Times New Roman"/>
          <w:sz w:val="24"/>
          <w:szCs w:val="24"/>
        </w:rPr>
        <w:t>2. конкретното правоотношение между засегнатите предприятия;</w:t>
      </w:r>
    </w:p>
    <w:p w14:paraId="5031BEE6" w14:textId="77777777" w:rsidR="008F7328" w:rsidRPr="007B4A99" w:rsidRDefault="008F7328" w:rsidP="00DD69D5">
      <w:pPr>
        <w:tabs>
          <w:tab w:val="left" w:pos="851"/>
        </w:tabs>
        <w:spacing w:after="0" w:line="240" w:lineRule="auto"/>
        <w:ind w:firstLine="567"/>
        <w:jc w:val="both"/>
        <w:rPr>
          <w:rFonts w:ascii="Times New Roman" w:eastAsia="Times New Roman" w:hAnsi="Times New Roman" w:cs="Times New Roman"/>
          <w:sz w:val="24"/>
          <w:szCs w:val="24"/>
        </w:rPr>
      </w:pPr>
      <w:r w:rsidRPr="007B4A99">
        <w:rPr>
          <w:rFonts w:ascii="Times New Roman" w:eastAsia="Times New Roman" w:hAnsi="Times New Roman" w:cs="Times New Roman"/>
          <w:sz w:val="24"/>
          <w:szCs w:val="24"/>
        </w:rPr>
        <w:t>3. степента на зависимост между тях;</w:t>
      </w:r>
    </w:p>
    <w:p w14:paraId="699A6915" w14:textId="77777777" w:rsidR="008F7328" w:rsidRPr="007B4A99" w:rsidRDefault="008F7328" w:rsidP="00DD69D5">
      <w:pPr>
        <w:tabs>
          <w:tab w:val="left" w:pos="851"/>
        </w:tabs>
        <w:spacing w:after="0" w:line="240" w:lineRule="auto"/>
        <w:ind w:firstLine="567"/>
        <w:jc w:val="both"/>
        <w:rPr>
          <w:rFonts w:ascii="Times New Roman" w:eastAsia="Times New Roman" w:hAnsi="Times New Roman" w:cs="Times New Roman"/>
          <w:sz w:val="24"/>
          <w:szCs w:val="24"/>
        </w:rPr>
      </w:pPr>
      <w:r w:rsidRPr="007B4A99">
        <w:rPr>
          <w:rFonts w:ascii="Times New Roman" w:eastAsia="Times New Roman" w:hAnsi="Times New Roman" w:cs="Times New Roman"/>
          <w:sz w:val="24"/>
          <w:szCs w:val="24"/>
        </w:rPr>
        <w:t>4. характерът на дейността им и разликата в нейния мащаб;</w:t>
      </w:r>
    </w:p>
    <w:p w14:paraId="10AAC534" w14:textId="7B98F736" w:rsidR="008F7328" w:rsidRPr="007B4A99" w:rsidRDefault="008F7328" w:rsidP="00DD69D5">
      <w:pPr>
        <w:tabs>
          <w:tab w:val="left" w:pos="851"/>
        </w:tabs>
        <w:spacing w:after="0" w:line="240" w:lineRule="auto"/>
        <w:ind w:firstLine="567"/>
        <w:jc w:val="both"/>
        <w:rPr>
          <w:rFonts w:ascii="Times New Roman" w:eastAsia="Times New Roman" w:hAnsi="Times New Roman" w:cs="Times New Roman"/>
          <w:sz w:val="24"/>
          <w:szCs w:val="24"/>
        </w:rPr>
      </w:pPr>
      <w:r w:rsidRPr="007B4A99">
        <w:rPr>
          <w:rFonts w:ascii="Times New Roman" w:eastAsia="Times New Roman" w:hAnsi="Times New Roman" w:cs="Times New Roman"/>
          <w:sz w:val="24"/>
          <w:szCs w:val="24"/>
        </w:rPr>
        <w:t>5. вероятността за намиране на алтернативен търговски партньор, включително съществуването на алтернативни източници на снабдяване, канали за разпространение и/или клиенти.</w:t>
      </w:r>
    </w:p>
    <w:p w14:paraId="4F4C2143" w14:textId="30692237" w:rsidR="008F123D" w:rsidRPr="007B4A99" w:rsidRDefault="006E7E83" w:rsidP="00DD69D5">
      <w:pPr>
        <w:tabs>
          <w:tab w:val="left" w:pos="851"/>
        </w:tabs>
        <w:spacing w:after="0" w:line="240" w:lineRule="auto"/>
        <w:ind w:firstLine="567"/>
        <w:jc w:val="both"/>
        <w:rPr>
          <w:rFonts w:ascii="Verdana" w:hAnsi="Verdana"/>
          <w:color w:val="565656"/>
          <w:sz w:val="21"/>
          <w:szCs w:val="21"/>
          <w:shd w:val="clear" w:color="auto" w:fill="FFFFFF"/>
        </w:rPr>
      </w:pPr>
      <w:r w:rsidRPr="007B4A99">
        <w:rPr>
          <w:rFonts w:ascii="Times New Roman" w:eastAsia="Times New Roman" w:hAnsi="Times New Roman" w:cs="Times New Roman"/>
          <w:sz w:val="24"/>
          <w:szCs w:val="24"/>
        </w:rPr>
        <w:t>Със</w:t>
      </w:r>
      <w:r w:rsidR="008F123D" w:rsidRPr="007B4A99">
        <w:rPr>
          <w:rFonts w:ascii="Times New Roman" w:eastAsia="Times New Roman" w:hAnsi="Times New Roman" w:cs="Times New Roman"/>
          <w:sz w:val="24"/>
          <w:szCs w:val="24"/>
        </w:rPr>
        <w:t xml:space="preserve"> същия</w:t>
      </w:r>
      <w:r w:rsidRPr="007B4A99">
        <w:rPr>
          <w:rFonts w:ascii="Times New Roman" w:eastAsia="Times New Roman" w:hAnsi="Times New Roman" w:cs="Times New Roman"/>
          <w:sz w:val="24"/>
          <w:szCs w:val="24"/>
        </w:rPr>
        <w:t>т</w:t>
      </w:r>
      <w:r w:rsidR="008F123D" w:rsidRPr="007B4A99">
        <w:rPr>
          <w:rFonts w:ascii="Times New Roman" w:eastAsia="Times New Roman" w:hAnsi="Times New Roman" w:cs="Times New Roman"/>
          <w:sz w:val="24"/>
          <w:szCs w:val="24"/>
        </w:rPr>
        <w:t xml:space="preserve"> пакет</w:t>
      </w:r>
      <w:r w:rsidRPr="007B4A99">
        <w:rPr>
          <w:rFonts w:ascii="Times New Roman" w:eastAsia="Times New Roman" w:hAnsi="Times New Roman" w:cs="Times New Roman"/>
          <w:sz w:val="24"/>
          <w:szCs w:val="24"/>
        </w:rPr>
        <w:t xml:space="preserve"> от мерки</w:t>
      </w:r>
      <w:r w:rsidR="008F123D" w:rsidRPr="007B4A99">
        <w:rPr>
          <w:rFonts w:ascii="Times New Roman" w:eastAsia="Times New Roman" w:hAnsi="Times New Roman" w:cs="Times New Roman"/>
          <w:sz w:val="24"/>
          <w:szCs w:val="24"/>
        </w:rPr>
        <w:t xml:space="preserve"> са </w:t>
      </w:r>
      <w:r w:rsidRPr="007B4A99">
        <w:rPr>
          <w:rFonts w:ascii="Times New Roman" w:eastAsia="Times New Roman" w:hAnsi="Times New Roman" w:cs="Times New Roman"/>
          <w:sz w:val="24"/>
          <w:szCs w:val="24"/>
        </w:rPr>
        <w:t>извършени</w:t>
      </w:r>
      <w:r w:rsidR="008F123D" w:rsidRPr="007B4A99">
        <w:rPr>
          <w:rFonts w:ascii="Times New Roman" w:eastAsia="Times New Roman" w:hAnsi="Times New Roman" w:cs="Times New Roman"/>
          <w:sz w:val="24"/>
          <w:szCs w:val="24"/>
        </w:rPr>
        <w:t xml:space="preserve"> изменения и допълнения в общия секторен Закон за храните (отм.)</w:t>
      </w:r>
      <w:r w:rsidR="00A9164D">
        <w:rPr>
          <w:rFonts w:ascii="Times New Roman" w:eastAsia="Times New Roman" w:hAnsi="Times New Roman" w:cs="Times New Roman"/>
          <w:sz w:val="24"/>
          <w:szCs w:val="24"/>
        </w:rPr>
        <w:t>,</w:t>
      </w:r>
      <w:r w:rsidR="008F123D" w:rsidRPr="007B4A99">
        <w:rPr>
          <w:rFonts w:ascii="Times New Roman" w:eastAsia="Times New Roman" w:hAnsi="Times New Roman" w:cs="Times New Roman"/>
          <w:sz w:val="24"/>
          <w:szCs w:val="24"/>
        </w:rPr>
        <w:t xml:space="preserve"> като</w:t>
      </w:r>
      <w:r w:rsidRPr="007B4A99">
        <w:rPr>
          <w:rFonts w:ascii="Times New Roman" w:eastAsia="Times New Roman" w:hAnsi="Times New Roman" w:cs="Times New Roman"/>
          <w:sz w:val="24"/>
          <w:szCs w:val="24"/>
        </w:rPr>
        <w:t xml:space="preserve"> са</w:t>
      </w:r>
      <w:r w:rsidR="008F123D" w:rsidRPr="007B4A99">
        <w:rPr>
          <w:rFonts w:ascii="Times New Roman" w:eastAsia="Times New Roman" w:hAnsi="Times New Roman" w:cs="Times New Roman"/>
          <w:sz w:val="24"/>
          <w:szCs w:val="24"/>
        </w:rPr>
        <w:t xml:space="preserve"> предвидени конкретни забрани, касаещи основното съдържание на договора за покупка на храни за последваща продажба. Според отменения Закон за храните, този договор не може да: </w:t>
      </w:r>
    </w:p>
    <w:p w14:paraId="36A4E97F" w14:textId="77777777" w:rsidR="008F123D" w:rsidRPr="007B4A99" w:rsidRDefault="008F123D" w:rsidP="00DD69D5">
      <w:pPr>
        <w:tabs>
          <w:tab w:val="left" w:pos="851"/>
        </w:tabs>
        <w:spacing w:after="0" w:line="240" w:lineRule="auto"/>
        <w:ind w:firstLine="567"/>
        <w:jc w:val="both"/>
        <w:rPr>
          <w:rFonts w:ascii="Times New Roman" w:eastAsia="Times New Roman" w:hAnsi="Times New Roman" w:cs="Times New Roman"/>
          <w:sz w:val="24"/>
          <w:szCs w:val="24"/>
        </w:rPr>
      </w:pPr>
      <w:r w:rsidRPr="007B4A99">
        <w:rPr>
          <w:rFonts w:ascii="Times New Roman" w:eastAsia="Times New Roman" w:hAnsi="Times New Roman" w:cs="Times New Roman"/>
          <w:sz w:val="24"/>
          <w:szCs w:val="24"/>
        </w:rPr>
        <w:t>1. съдържа забрана или ограничение за страна по договора да предлага или закупува стоки или услуги на или от трети лица;</w:t>
      </w:r>
    </w:p>
    <w:p w14:paraId="6F9E8506" w14:textId="77777777" w:rsidR="008F123D" w:rsidRPr="007B4A99" w:rsidRDefault="008F123D" w:rsidP="00DD69D5">
      <w:pPr>
        <w:tabs>
          <w:tab w:val="left" w:pos="851"/>
        </w:tabs>
        <w:spacing w:after="0" w:line="240" w:lineRule="auto"/>
        <w:ind w:firstLine="567"/>
        <w:jc w:val="both"/>
        <w:rPr>
          <w:rFonts w:ascii="Times New Roman" w:eastAsia="Times New Roman" w:hAnsi="Times New Roman" w:cs="Times New Roman"/>
          <w:sz w:val="24"/>
          <w:szCs w:val="24"/>
        </w:rPr>
      </w:pPr>
      <w:r w:rsidRPr="007B4A99">
        <w:rPr>
          <w:rFonts w:ascii="Times New Roman" w:eastAsia="Times New Roman" w:hAnsi="Times New Roman" w:cs="Times New Roman"/>
          <w:sz w:val="24"/>
          <w:szCs w:val="24"/>
        </w:rPr>
        <w:t>2. съдържа забрана или ограничение за страна по договора да предоставя същите или по-добри търговски условия на трети лица;</w:t>
      </w:r>
    </w:p>
    <w:p w14:paraId="2F6239DB" w14:textId="77777777" w:rsidR="008F123D" w:rsidRPr="007B4A99" w:rsidRDefault="008F123D" w:rsidP="00DD69D5">
      <w:pPr>
        <w:tabs>
          <w:tab w:val="left" w:pos="851"/>
        </w:tabs>
        <w:spacing w:after="0" w:line="240" w:lineRule="auto"/>
        <w:ind w:firstLine="567"/>
        <w:jc w:val="both"/>
        <w:rPr>
          <w:rFonts w:ascii="Times New Roman" w:eastAsia="Times New Roman" w:hAnsi="Times New Roman" w:cs="Times New Roman"/>
          <w:sz w:val="24"/>
          <w:szCs w:val="24"/>
        </w:rPr>
      </w:pPr>
      <w:r w:rsidRPr="007B4A99">
        <w:rPr>
          <w:rFonts w:ascii="Times New Roman" w:eastAsia="Times New Roman" w:hAnsi="Times New Roman" w:cs="Times New Roman"/>
          <w:sz w:val="24"/>
          <w:szCs w:val="24"/>
        </w:rPr>
        <w:t>3. предвижда санкции при предоставяне на същите или по-добри търговски условия на трети лица;</w:t>
      </w:r>
    </w:p>
    <w:p w14:paraId="66525801" w14:textId="77777777" w:rsidR="008F123D" w:rsidRPr="007B4A99" w:rsidRDefault="008F123D" w:rsidP="00DD69D5">
      <w:pPr>
        <w:tabs>
          <w:tab w:val="left" w:pos="851"/>
        </w:tabs>
        <w:spacing w:after="0" w:line="240" w:lineRule="auto"/>
        <w:ind w:firstLine="567"/>
        <w:jc w:val="both"/>
        <w:rPr>
          <w:rFonts w:ascii="Times New Roman" w:eastAsia="Times New Roman" w:hAnsi="Times New Roman" w:cs="Times New Roman"/>
          <w:sz w:val="24"/>
          <w:szCs w:val="24"/>
        </w:rPr>
      </w:pPr>
      <w:r w:rsidRPr="007B4A99">
        <w:rPr>
          <w:rFonts w:ascii="Times New Roman" w:eastAsia="Times New Roman" w:hAnsi="Times New Roman" w:cs="Times New Roman"/>
          <w:sz w:val="24"/>
          <w:szCs w:val="24"/>
        </w:rPr>
        <w:t>4. се изменя едностранно, освен ако това е изрично предвидено в договора;</w:t>
      </w:r>
    </w:p>
    <w:p w14:paraId="00070937" w14:textId="77777777" w:rsidR="008F123D" w:rsidRPr="007B4A99" w:rsidRDefault="008F123D" w:rsidP="00DD69D5">
      <w:pPr>
        <w:tabs>
          <w:tab w:val="left" w:pos="851"/>
        </w:tabs>
        <w:spacing w:after="0" w:line="240" w:lineRule="auto"/>
        <w:ind w:firstLine="567"/>
        <w:jc w:val="both"/>
        <w:rPr>
          <w:rFonts w:ascii="Times New Roman" w:eastAsia="Times New Roman" w:hAnsi="Times New Roman" w:cs="Times New Roman"/>
          <w:sz w:val="24"/>
          <w:szCs w:val="24"/>
        </w:rPr>
      </w:pPr>
      <w:r w:rsidRPr="007B4A99">
        <w:rPr>
          <w:rFonts w:ascii="Times New Roman" w:eastAsia="Times New Roman" w:hAnsi="Times New Roman" w:cs="Times New Roman"/>
          <w:sz w:val="24"/>
          <w:szCs w:val="24"/>
        </w:rPr>
        <w:t>5. предвижда възнаграждения за услуги, които не са реално предоставени;</w:t>
      </w:r>
    </w:p>
    <w:p w14:paraId="28F93735" w14:textId="77777777" w:rsidR="008F123D" w:rsidRPr="007B4A99" w:rsidRDefault="008F123D" w:rsidP="00DD69D5">
      <w:pPr>
        <w:tabs>
          <w:tab w:val="left" w:pos="851"/>
        </w:tabs>
        <w:spacing w:after="0" w:line="240" w:lineRule="auto"/>
        <w:ind w:firstLine="567"/>
        <w:jc w:val="both"/>
        <w:rPr>
          <w:rFonts w:ascii="Times New Roman" w:eastAsia="Times New Roman" w:hAnsi="Times New Roman" w:cs="Times New Roman"/>
          <w:sz w:val="24"/>
          <w:szCs w:val="24"/>
        </w:rPr>
      </w:pPr>
      <w:r w:rsidRPr="007B4A99">
        <w:rPr>
          <w:rFonts w:ascii="Times New Roman" w:eastAsia="Times New Roman" w:hAnsi="Times New Roman" w:cs="Times New Roman"/>
          <w:sz w:val="24"/>
          <w:szCs w:val="24"/>
        </w:rPr>
        <w:t>6. предвижда прехвърляне на неоправдан или непропорционален търговски риск към една от страните;</w:t>
      </w:r>
    </w:p>
    <w:p w14:paraId="7BC7B6E1" w14:textId="5BB58712" w:rsidR="008F123D" w:rsidRPr="007B4A99" w:rsidRDefault="008F123D" w:rsidP="00DD69D5">
      <w:pPr>
        <w:tabs>
          <w:tab w:val="left" w:pos="851"/>
        </w:tabs>
        <w:spacing w:after="0" w:line="240" w:lineRule="auto"/>
        <w:ind w:firstLine="567"/>
        <w:jc w:val="both"/>
        <w:rPr>
          <w:rFonts w:ascii="Times New Roman" w:eastAsia="Times New Roman" w:hAnsi="Times New Roman" w:cs="Times New Roman"/>
          <w:sz w:val="24"/>
          <w:szCs w:val="24"/>
        </w:rPr>
      </w:pPr>
      <w:r w:rsidRPr="007B4A99">
        <w:rPr>
          <w:rFonts w:ascii="Times New Roman" w:eastAsia="Times New Roman" w:hAnsi="Times New Roman" w:cs="Times New Roman"/>
          <w:sz w:val="24"/>
          <w:szCs w:val="24"/>
        </w:rPr>
        <w:t xml:space="preserve">7. предвижда срок за плащане, по-дълъг от 30 дни от датата на получаване на фактурата за доставка или друга покана за плащане; </w:t>
      </w:r>
    </w:p>
    <w:p w14:paraId="37BFE048" w14:textId="77777777" w:rsidR="008F123D" w:rsidRPr="007B4A99" w:rsidRDefault="008F123D" w:rsidP="00DD69D5">
      <w:pPr>
        <w:tabs>
          <w:tab w:val="left" w:pos="851"/>
        </w:tabs>
        <w:spacing w:after="0" w:line="240" w:lineRule="auto"/>
        <w:ind w:firstLine="567"/>
        <w:jc w:val="both"/>
        <w:rPr>
          <w:rFonts w:ascii="Times New Roman" w:eastAsia="Times New Roman" w:hAnsi="Times New Roman" w:cs="Times New Roman"/>
          <w:sz w:val="24"/>
          <w:szCs w:val="24"/>
        </w:rPr>
      </w:pPr>
      <w:r w:rsidRPr="007B4A99">
        <w:rPr>
          <w:rFonts w:ascii="Times New Roman" w:eastAsia="Times New Roman" w:hAnsi="Times New Roman" w:cs="Times New Roman"/>
          <w:sz w:val="24"/>
          <w:szCs w:val="24"/>
        </w:rPr>
        <w:t>8. съдържа забрана или ограничение за страна по договора да прехвърля вземания на трети лица.</w:t>
      </w:r>
    </w:p>
    <w:p w14:paraId="570BFE73" w14:textId="77777777" w:rsidR="008F123D" w:rsidRPr="007B4A99" w:rsidRDefault="008F123D" w:rsidP="00DD69D5">
      <w:pPr>
        <w:tabs>
          <w:tab w:val="left" w:pos="851"/>
        </w:tabs>
        <w:spacing w:after="0" w:line="240" w:lineRule="auto"/>
        <w:ind w:firstLine="567"/>
        <w:jc w:val="both"/>
        <w:rPr>
          <w:rFonts w:ascii="Times New Roman" w:eastAsia="Times New Roman" w:hAnsi="Times New Roman" w:cs="Times New Roman"/>
          <w:sz w:val="24"/>
          <w:szCs w:val="24"/>
        </w:rPr>
      </w:pPr>
      <w:r w:rsidRPr="007B4A99">
        <w:rPr>
          <w:rFonts w:ascii="Times New Roman" w:eastAsia="Times New Roman" w:hAnsi="Times New Roman" w:cs="Times New Roman"/>
          <w:sz w:val="24"/>
          <w:szCs w:val="24"/>
        </w:rPr>
        <w:t>Законът изрично прогласява нищожността на всякакви уговорки, които нарушават посочените забрани</w:t>
      </w:r>
      <w:r w:rsidRPr="007B4A99">
        <w:rPr>
          <w:rStyle w:val="FootnoteReference"/>
          <w:rFonts w:ascii="Times New Roman" w:eastAsia="Times New Roman" w:hAnsi="Times New Roman" w:cs="Times New Roman"/>
          <w:sz w:val="24"/>
          <w:szCs w:val="24"/>
        </w:rPr>
        <w:footnoteReference w:id="9"/>
      </w:r>
      <w:r w:rsidRPr="007B4A99">
        <w:rPr>
          <w:rFonts w:ascii="Times New Roman" w:eastAsia="Times New Roman" w:hAnsi="Times New Roman" w:cs="Times New Roman"/>
          <w:sz w:val="24"/>
          <w:szCs w:val="24"/>
        </w:rPr>
        <w:t>.</w:t>
      </w:r>
    </w:p>
    <w:p w14:paraId="022D68E2" w14:textId="752F5A9D" w:rsidR="008F123D" w:rsidRPr="007B4A99" w:rsidRDefault="006E7E83"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С</w:t>
      </w:r>
      <w:r w:rsidR="008F123D" w:rsidRPr="007B4A99">
        <w:rPr>
          <w:rFonts w:ascii="Times New Roman" w:hAnsi="Times New Roman" w:cs="Times New Roman"/>
          <w:sz w:val="24"/>
          <w:szCs w:val="24"/>
        </w:rPr>
        <w:t xml:space="preserve"> нова глава в Закона за храните е предвидено </w:t>
      </w:r>
      <w:r w:rsidR="009D4755">
        <w:rPr>
          <w:rFonts w:ascii="Times New Roman" w:hAnsi="Times New Roman" w:cs="Times New Roman"/>
          <w:sz w:val="24"/>
          <w:szCs w:val="24"/>
        </w:rPr>
        <w:t xml:space="preserve">и </w:t>
      </w:r>
      <w:r w:rsidR="008F123D" w:rsidRPr="007B4A99">
        <w:rPr>
          <w:rFonts w:ascii="Times New Roman" w:hAnsi="Times New Roman" w:cs="Times New Roman"/>
          <w:sz w:val="24"/>
          <w:szCs w:val="24"/>
        </w:rPr>
        <w:t>създаването</w:t>
      </w:r>
      <w:r w:rsidRPr="007B4A99">
        <w:rPr>
          <w:rFonts w:ascii="Times New Roman" w:hAnsi="Times New Roman" w:cs="Times New Roman"/>
          <w:sz w:val="24"/>
          <w:szCs w:val="24"/>
        </w:rPr>
        <w:t xml:space="preserve"> </w:t>
      </w:r>
      <w:r w:rsidR="008F123D" w:rsidRPr="007B4A99">
        <w:rPr>
          <w:rFonts w:ascii="Times New Roman" w:hAnsi="Times New Roman" w:cs="Times New Roman"/>
          <w:sz w:val="24"/>
          <w:szCs w:val="24"/>
        </w:rPr>
        <w:t xml:space="preserve">на </w:t>
      </w:r>
      <w:r w:rsidR="00D8595B" w:rsidRPr="007B4A99">
        <w:rPr>
          <w:rFonts w:ascii="Times New Roman" w:hAnsi="Times New Roman" w:cs="Times New Roman"/>
          <w:i/>
          <w:sz w:val="24"/>
          <w:szCs w:val="24"/>
        </w:rPr>
        <w:t>Национал</w:t>
      </w:r>
      <w:r w:rsidR="009D4755">
        <w:rPr>
          <w:rFonts w:ascii="Times New Roman" w:hAnsi="Times New Roman" w:cs="Times New Roman"/>
          <w:i/>
          <w:sz w:val="24"/>
          <w:szCs w:val="24"/>
        </w:rPr>
        <w:t>е</w:t>
      </w:r>
      <w:r w:rsidR="00D8595B">
        <w:rPr>
          <w:rFonts w:ascii="Times New Roman" w:hAnsi="Times New Roman" w:cs="Times New Roman"/>
          <w:i/>
          <w:sz w:val="24"/>
          <w:szCs w:val="24"/>
        </w:rPr>
        <w:t>н</w:t>
      </w:r>
      <w:r w:rsidR="00D8595B" w:rsidRPr="007B4A99">
        <w:rPr>
          <w:rFonts w:ascii="Times New Roman" w:hAnsi="Times New Roman" w:cs="Times New Roman"/>
          <w:i/>
          <w:sz w:val="24"/>
          <w:szCs w:val="24"/>
        </w:rPr>
        <w:t xml:space="preserve"> </w:t>
      </w:r>
      <w:r w:rsidR="008F123D" w:rsidRPr="007B4A99">
        <w:rPr>
          <w:rFonts w:ascii="Times New Roman" w:hAnsi="Times New Roman" w:cs="Times New Roman"/>
          <w:i/>
          <w:sz w:val="24"/>
          <w:szCs w:val="24"/>
        </w:rPr>
        <w:t>консултативен съвет за по-добро функциониране на веригата на предлагане на храни</w:t>
      </w:r>
      <w:r w:rsidR="008F123D" w:rsidRPr="007B4A99">
        <w:rPr>
          <w:rFonts w:ascii="Times New Roman" w:hAnsi="Times New Roman" w:cs="Times New Roman"/>
          <w:sz w:val="24"/>
          <w:szCs w:val="24"/>
        </w:rPr>
        <w:t xml:space="preserve">, към министъра на земеделието и храните, който обединява в състава си представители на изпълнителната власт и професионалните организации на производителите на храни и браншовите организации на търговците на храни. Неговите основни функции са </w:t>
      </w:r>
      <w:r w:rsidR="008F123D" w:rsidRPr="007B4A99">
        <w:rPr>
          <w:rFonts w:ascii="Times New Roman" w:hAnsi="Times New Roman" w:cs="Times New Roman"/>
          <w:sz w:val="24"/>
          <w:szCs w:val="24"/>
        </w:rPr>
        <w:lastRenderedPageBreak/>
        <w:t xml:space="preserve">свързани с даването на становища, мнения и препоръки по проблеми, установени по веригата на предлагане на храни и по проекти на нормативни актове, включително по тяхното прилагане, и др. Със същите промените в Закона за храните се създава и </w:t>
      </w:r>
      <w:r w:rsidR="008F123D" w:rsidRPr="007B4A99">
        <w:rPr>
          <w:rFonts w:ascii="Times New Roman" w:hAnsi="Times New Roman" w:cs="Times New Roman"/>
          <w:i/>
          <w:sz w:val="24"/>
          <w:szCs w:val="24"/>
        </w:rPr>
        <w:t>Помирителна комисия</w:t>
      </w:r>
      <w:r w:rsidR="008F123D" w:rsidRPr="007B4A99">
        <w:rPr>
          <w:rFonts w:ascii="Times New Roman" w:hAnsi="Times New Roman" w:cs="Times New Roman"/>
          <w:sz w:val="24"/>
          <w:szCs w:val="24"/>
        </w:rPr>
        <w:t xml:space="preserve"> към министъра на земеделието и храните, чиято основна задача е да съдейства за извънсъдебно разрешаване на спорове между производители и търговци на храни, включително и за спазването на добрите практики и неприлагането на нелоялни търговски практики.</w:t>
      </w:r>
    </w:p>
    <w:p w14:paraId="608AE02F" w14:textId="6540C3F9" w:rsidR="006E7E83" w:rsidRPr="007B4A99" w:rsidRDefault="006E7E83"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Измененията от първи</w:t>
      </w:r>
      <w:r w:rsidR="00395BA5">
        <w:rPr>
          <w:rFonts w:ascii="Times New Roman" w:hAnsi="Times New Roman" w:cs="Times New Roman"/>
          <w:sz w:val="24"/>
          <w:szCs w:val="24"/>
        </w:rPr>
        <w:t>я</w:t>
      </w:r>
      <w:r w:rsidRPr="007B4A99">
        <w:rPr>
          <w:rFonts w:ascii="Times New Roman" w:hAnsi="Times New Roman" w:cs="Times New Roman"/>
          <w:sz w:val="24"/>
          <w:szCs w:val="24"/>
        </w:rPr>
        <w:t xml:space="preserve"> пакет законови мерки от 2015 г. на практика завършват инициативата на българската държава, започнала през 2011 г. и </w:t>
      </w:r>
      <w:r w:rsidR="00A91BE9" w:rsidRPr="007B4A99">
        <w:rPr>
          <w:rFonts w:ascii="Times New Roman" w:hAnsi="Times New Roman" w:cs="Times New Roman"/>
          <w:sz w:val="24"/>
          <w:szCs w:val="24"/>
        </w:rPr>
        <w:t>преминала през изготвянето на цялостната</w:t>
      </w:r>
      <w:r w:rsidRPr="007B4A99">
        <w:rPr>
          <w:rFonts w:ascii="Times New Roman" w:hAnsi="Times New Roman" w:cs="Times New Roman"/>
          <w:sz w:val="24"/>
          <w:szCs w:val="24"/>
        </w:rPr>
        <w:t xml:space="preserve"> предварителна ОВ от 2012 г. Това, преди всичко</w:t>
      </w:r>
      <w:r w:rsidR="000149CC">
        <w:rPr>
          <w:rFonts w:ascii="Times New Roman" w:hAnsi="Times New Roman" w:cs="Times New Roman"/>
          <w:sz w:val="24"/>
          <w:szCs w:val="24"/>
        </w:rPr>
        <w:t>,</w:t>
      </w:r>
      <w:r w:rsidRPr="007B4A99">
        <w:rPr>
          <w:rFonts w:ascii="Times New Roman" w:hAnsi="Times New Roman" w:cs="Times New Roman"/>
          <w:sz w:val="24"/>
          <w:szCs w:val="24"/>
        </w:rPr>
        <w:t xml:space="preserve"> е доказателство, че в периода 2012 – 2015 г. проблемите, идентифицирани </w:t>
      </w:r>
      <w:r w:rsidR="00A91BE9" w:rsidRPr="007B4A99">
        <w:rPr>
          <w:rFonts w:ascii="Times New Roman" w:hAnsi="Times New Roman" w:cs="Times New Roman"/>
          <w:sz w:val="24"/>
          <w:szCs w:val="24"/>
        </w:rPr>
        <w:t>още през</w:t>
      </w:r>
      <w:r w:rsidRPr="007B4A99">
        <w:rPr>
          <w:rFonts w:ascii="Times New Roman" w:hAnsi="Times New Roman" w:cs="Times New Roman"/>
          <w:sz w:val="24"/>
          <w:szCs w:val="24"/>
        </w:rPr>
        <w:t xml:space="preserve"> 201</w:t>
      </w:r>
      <w:r w:rsidR="00A91BE9" w:rsidRPr="007B4A99">
        <w:rPr>
          <w:rFonts w:ascii="Times New Roman" w:hAnsi="Times New Roman" w:cs="Times New Roman"/>
          <w:sz w:val="24"/>
          <w:szCs w:val="24"/>
        </w:rPr>
        <w:t>1</w:t>
      </w:r>
      <w:r w:rsidRPr="007B4A99">
        <w:rPr>
          <w:rFonts w:ascii="Times New Roman" w:hAnsi="Times New Roman" w:cs="Times New Roman"/>
          <w:sz w:val="24"/>
          <w:szCs w:val="24"/>
        </w:rPr>
        <w:t xml:space="preserve"> г.</w:t>
      </w:r>
      <w:r w:rsidR="000149CC">
        <w:rPr>
          <w:rFonts w:ascii="Times New Roman" w:hAnsi="Times New Roman" w:cs="Times New Roman"/>
          <w:sz w:val="24"/>
          <w:szCs w:val="24"/>
        </w:rPr>
        <w:t>,</w:t>
      </w:r>
      <w:r w:rsidRPr="007B4A99">
        <w:rPr>
          <w:rFonts w:ascii="Times New Roman" w:hAnsi="Times New Roman" w:cs="Times New Roman"/>
          <w:sz w:val="24"/>
          <w:szCs w:val="24"/>
        </w:rPr>
        <w:t xml:space="preserve"> са продължили да съществуват. В този смисъл</w:t>
      </w:r>
      <w:r w:rsidR="000149CC">
        <w:rPr>
          <w:rFonts w:ascii="Times New Roman" w:hAnsi="Times New Roman" w:cs="Times New Roman"/>
          <w:sz w:val="24"/>
          <w:szCs w:val="24"/>
        </w:rPr>
        <w:t>,</w:t>
      </w:r>
      <w:r w:rsidRPr="007B4A99">
        <w:rPr>
          <w:rFonts w:ascii="Times New Roman" w:hAnsi="Times New Roman" w:cs="Times New Roman"/>
          <w:sz w:val="24"/>
          <w:szCs w:val="24"/>
        </w:rPr>
        <w:t xml:space="preserve"> законовите мерки от 2015 г. са насочени към разрешаването на проблеми, които са напълно идентични с тези, установени през 201</w:t>
      </w:r>
      <w:r w:rsidR="00A91BE9" w:rsidRPr="007B4A99">
        <w:rPr>
          <w:rFonts w:ascii="Times New Roman" w:hAnsi="Times New Roman" w:cs="Times New Roman"/>
          <w:sz w:val="24"/>
          <w:szCs w:val="24"/>
        </w:rPr>
        <w:t>1</w:t>
      </w:r>
      <w:r w:rsidRPr="007B4A99">
        <w:rPr>
          <w:rFonts w:ascii="Times New Roman" w:hAnsi="Times New Roman" w:cs="Times New Roman"/>
          <w:sz w:val="24"/>
          <w:szCs w:val="24"/>
        </w:rPr>
        <w:t xml:space="preserve"> г.</w:t>
      </w:r>
    </w:p>
    <w:p w14:paraId="231D572F" w14:textId="00AB0772" w:rsidR="008F123D" w:rsidRPr="007B4A99" w:rsidRDefault="006E7E83"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Липсват данни да е изготвяна последваща </w:t>
      </w:r>
      <w:r w:rsidR="000149CC">
        <w:rPr>
          <w:rFonts w:ascii="Times New Roman" w:hAnsi="Times New Roman" w:cs="Times New Roman"/>
          <w:sz w:val="24"/>
          <w:szCs w:val="24"/>
        </w:rPr>
        <w:t>ОВ</w:t>
      </w:r>
      <w:r w:rsidRPr="007B4A99">
        <w:rPr>
          <w:rFonts w:ascii="Times New Roman" w:hAnsi="Times New Roman" w:cs="Times New Roman"/>
          <w:sz w:val="24"/>
          <w:szCs w:val="24"/>
        </w:rPr>
        <w:t>, която да установи</w:t>
      </w:r>
      <w:r w:rsidR="00A91BE9" w:rsidRPr="007B4A99">
        <w:rPr>
          <w:rFonts w:ascii="Times New Roman" w:hAnsi="Times New Roman" w:cs="Times New Roman"/>
          <w:sz w:val="24"/>
          <w:szCs w:val="24"/>
        </w:rPr>
        <w:t>,</w:t>
      </w:r>
      <w:r w:rsidRPr="007B4A99">
        <w:rPr>
          <w:rFonts w:ascii="Times New Roman" w:hAnsi="Times New Roman" w:cs="Times New Roman"/>
          <w:sz w:val="24"/>
          <w:szCs w:val="24"/>
        </w:rPr>
        <w:t xml:space="preserve"> на базата на</w:t>
      </w:r>
      <w:r w:rsidR="00A91BE9" w:rsidRPr="007B4A99">
        <w:rPr>
          <w:rFonts w:ascii="Times New Roman" w:hAnsi="Times New Roman" w:cs="Times New Roman"/>
          <w:sz w:val="24"/>
          <w:szCs w:val="24"/>
        </w:rPr>
        <w:t xml:space="preserve"> безспорни</w:t>
      </w:r>
      <w:r w:rsidRPr="007B4A99">
        <w:rPr>
          <w:rFonts w:ascii="Times New Roman" w:hAnsi="Times New Roman" w:cs="Times New Roman"/>
          <w:sz w:val="24"/>
          <w:szCs w:val="24"/>
        </w:rPr>
        <w:t xml:space="preserve"> данни и доказателства, каква е била ефективността, ефикасността и полезността от този пакет от законодателни мерки. </w:t>
      </w:r>
      <w:r w:rsidR="008F123D" w:rsidRPr="007B4A99">
        <w:rPr>
          <w:rFonts w:ascii="Times New Roman" w:hAnsi="Times New Roman" w:cs="Times New Roman"/>
          <w:sz w:val="24"/>
          <w:szCs w:val="24"/>
        </w:rPr>
        <w:t>В последствие същите са отменени или заменени с нови, което означава</w:t>
      </w:r>
      <w:r w:rsidR="000149CC">
        <w:rPr>
          <w:rFonts w:ascii="Times New Roman" w:hAnsi="Times New Roman" w:cs="Times New Roman"/>
          <w:sz w:val="24"/>
          <w:szCs w:val="24"/>
        </w:rPr>
        <w:t>,</w:t>
      </w:r>
      <w:r w:rsidR="008F123D" w:rsidRPr="007B4A99">
        <w:rPr>
          <w:rFonts w:ascii="Times New Roman" w:hAnsi="Times New Roman" w:cs="Times New Roman"/>
          <w:sz w:val="24"/>
          <w:szCs w:val="24"/>
        </w:rPr>
        <w:t xml:space="preserve"> че не са постигнали своите цели, а </w:t>
      </w:r>
      <w:r w:rsidRPr="007B4A99">
        <w:rPr>
          <w:rFonts w:ascii="Times New Roman" w:hAnsi="Times New Roman" w:cs="Times New Roman"/>
          <w:sz w:val="24"/>
          <w:szCs w:val="24"/>
        </w:rPr>
        <w:t xml:space="preserve">държавата е била принудена да потърси </w:t>
      </w:r>
      <w:r w:rsidR="006B38E6" w:rsidRPr="007B4A99">
        <w:rPr>
          <w:rFonts w:ascii="Times New Roman" w:hAnsi="Times New Roman" w:cs="Times New Roman"/>
          <w:sz w:val="24"/>
          <w:szCs w:val="24"/>
        </w:rPr>
        <w:t xml:space="preserve">други варианти на действие за адресиране на проблемите, които </w:t>
      </w:r>
      <w:r w:rsidR="008F123D" w:rsidRPr="007B4A99">
        <w:rPr>
          <w:rFonts w:ascii="Times New Roman" w:hAnsi="Times New Roman" w:cs="Times New Roman"/>
          <w:sz w:val="24"/>
          <w:szCs w:val="24"/>
        </w:rPr>
        <w:t>е следвало да</w:t>
      </w:r>
      <w:r w:rsidR="006B38E6" w:rsidRPr="007B4A99">
        <w:rPr>
          <w:rFonts w:ascii="Times New Roman" w:hAnsi="Times New Roman" w:cs="Times New Roman"/>
          <w:sz w:val="24"/>
          <w:szCs w:val="24"/>
        </w:rPr>
        <w:t xml:space="preserve"> бъдат</w:t>
      </w:r>
      <w:r w:rsidR="008F123D" w:rsidRPr="007B4A99">
        <w:rPr>
          <w:rFonts w:ascii="Times New Roman" w:hAnsi="Times New Roman" w:cs="Times New Roman"/>
          <w:sz w:val="24"/>
          <w:szCs w:val="24"/>
        </w:rPr>
        <w:t xml:space="preserve"> разреш</w:t>
      </w:r>
      <w:r w:rsidR="006B38E6" w:rsidRPr="007B4A99">
        <w:rPr>
          <w:rFonts w:ascii="Times New Roman" w:hAnsi="Times New Roman" w:cs="Times New Roman"/>
          <w:sz w:val="24"/>
          <w:szCs w:val="24"/>
        </w:rPr>
        <w:t>ени</w:t>
      </w:r>
      <w:r w:rsidR="008F123D" w:rsidRPr="007B4A99">
        <w:rPr>
          <w:rFonts w:ascii="Times New Roman" w:hAnsi="Times New Roman" w:cs="Times New Roman"/>
          <w:sz w:val="24"/>
          <w:szCs w:val="24"/>
        </w:rPr>
        <w:t>.</w:t>
      </w:r>
    </w:p>
    <w:p w14:paraId="72E67245" w14:textId="77777777" w:rsidR="006E7E83" w:rsidRPr="007B4A99" w:rsidRDefault="006E7E83" w:rsidP="00DD69D5">
      <w:pPr>
        <w:spacing w:after="0" w:line="240" w:lineRule="auto"/>
        <w:ind w:firstLine="567"/>
        <w:jc w:val="both"/>
        <w:rPr>
          <w:rFonts w:ascii="Times New Roman" w:hAnsi="Times New Roman" w:cs="Times New Roman"/>
          <w:sz w:val="24"/>
          <w:szCs w:val="24"/>
        </w:rPr>
      </w:pPr>
    </w:p>
    <w:p w14:paraId="08BC5312" w14:textId="1BD95402" w:rsidR="00EE3369" w:rsidRPr="007B4A99" w:rsidRDefault="00EE3369" w:rsidP="00DD69D5">
      <w:pPr>
        <w:spacing w:after="0" w:line="240" w:lineRule="auto"/>
        <w:ind w:firstLine="567"/>
        <w:jc w:val="both"/>
        <w:rPr>
          <w:rFonts w:ascii="Times New Roman" w:hAnsi="Times New Roman" w:cs="Times New Roman"/>
          <w:b/>
          <w:i/>
          <w:sz w:val="24"/>
          <w:szCs w:val="24"/>
        </w:rPr>
      </w:pPr>
      <w:r w:rsidRPr="007B4A99">
        <w:rPr>
          <w:rFonts w:ascii="Times New Roman" w:hAnsi="Times New Roman" w:cs="Times New Roman"/>
          <w:b/>
          <w:i/>
          <w:sz w:val="24"/>
          <w:szCs w:val="24"/>
        </w:rPr>
        <w:t xml:space="preserve">Втори пакет законови мерки </w:t>
      </w:r>
    </w:p>
    <w:p w14:paraId="01C3993D" w14:textId="7B467A44" w:rsidR="006B38E6" w:rsidRPr="007B4A99" w:rsidRDefault="002610A2" w:rsidP="00DD69D5">
      <w:pPr>
        <w:spacing w:after="0" w:line="240" w:lineRule="auto"/>
        <w:ind w:firstLine="567"/>
        <w:jc w:val="both"/>
        <w:rPr>
          <w:rFonts w:ascii="Times New Roman" w:hAnsi="Times New Roman" w:cs="Times New Roman"/>
        </w:rPr>
      </w:pPr>
      <w:r w:rsidRPr="00D61DF9">
        <w:rPr>
          <w:rFonts w:ascii="Times New Roman" w:hAnsi="Times New Roman" w:cs="Times New Roman"/>
          <w:i/>
          <w:sz w:val="24"/>
          <w:szCs w:val="24"/>
        </w:rPr>
        <w:t>Вторият пакет</w:t>
      </w:r>
      <w:r w:rsidRPr="007B4A99">
        <w:rPr>
          <w:rFonts w:ascii="Times New Roman" w:hAnsi="Times New Roman" w:cs="Times New Roman"/>
          <w:sz w:val="24"/>
          <w:szCs w:val="24"/>
        </w:rPr>
        <w:t xml:space="preserve"> </w:t>
      </w:r>
      <w:r w:rsidR="00EE3369" w:rsidRPr="007B4A99">
        <w:rPr>
          <w:rFonts w:ascii="Times New Roman" w:hAnsi="Times New Roman" w:cs="Times New Roman"/>
          <w:sz w:val="24"/>
          <w:szCs w:val="24"/>
        </w:rPr>
        <w:t>със</w:t>
      </w:r>
      <w:r w:rsidRPr="007B4A99">
        <w:rPr>
          <w:rFonts w:ascii="Times New Roman" w:hAnsi="Times New Roman" w:cs="Times New Roman"/>
          <w:sz w:val="24"/>
          <w:szCs w:val="24"/>
        </w:rPr>
        <w:t xml:space="preserve"> законови мерки е приет през 2021 г. Той е още по-целенасочен и конкретен от първия</w:t>
      </w:r>
      <w:r w:rsidR="006B38E6" w:rsidRPr="007B4A99">
        <w:rPr>
          <w:rFonts w:ascii="Times New Roman" w:hAnsi="Times New Roman" w:cs="Times New Roman"/>
          <w:sz w:val="24"/>
          <w:szCs w:val="24"/>
        </w:rPr>
        <w:t>. С него за първи път в българското законодателство с въвеждат</w:t>
      </w:r>
      <w:r w:rsidRPr="007B4A99">
        <w:rPr>
          <w:rFonts w:ascii="Times New Roman" w:hAnsi="Times New Roman" w:cs="Times New Roman"/>
          <w:sz w:val="24"/>
          <w:szCs w:val="24"/>
        </w:rPr>
        <w:t xml:space="preserve"> експлицитни забрани </w:t>
      </w:r>
      <w:r w:rsidR="00A66EB8">
        <w:rPr>
          <w:rFonts w:ascii="Times New Roman" w:hAnsi="Times New Roman" w:cs="Times New Roman"/>
          <w:sz w:val="24"/>
          <w:szCs w:val="24"/>
        </w:rPr>
        <w:t>(</w:t>
      </w:r>
      <w:r w:rsidRPr="007B4A99">
        <w:rPr>
          <w:rFonts w:ascii="Times New Roman" w:hAnsi="Times New Roman" w:cs="Times New Roman"/>
          <w:sz w:val="24"/>
          <w:szCs w:val="24"/>
        </w:rPr>
        <w:t>абсолютни и условни</w:t>
      </w:r>
      <w:r w:rsidR="00A66EB8">
        <w:rPr>
          <w:rFonts w:ascii="Times New Roman" w:hAnsi="Times New Roman" w:cs="Times New Roman"/>
          <w:sz w:val="24"/>
          <w:szCs w:val="24"/>
        </w:rPr>
        <w:t>)</w:t>
      </w:r>
      <w:r w:rsidRPr="007B4A99">
        <w:rPr>
          <w:rFonts w:ascii="Times New Roman" w:hAnsi="Times New Roman" w:cs="Times New Roman"/>
          <w:sz w:val="24"/>
          <w:szCs w:val="24"/>
        </w:rPr>
        <w:t xml:space="preserve"> на списък от нелоялни търговски практики</w:t>
      </w:r>
      <w:r w:rsidR="006B38E6" w:rsidRPr="007B4A99">
        <w:rPr>
          <w:rFonts w:ascii="Times New Roman" w:hAnsi="Times New Roman" w:cs="Times New Roman"/>
          <w:sz w:val="24"/>
          <w:szCs w:val="24"/>
        </w:rPr>
        <w:t>,</w:t>
      </w:r>
      <w:r w:rsidRPr="007B4A99">
        <w:rPr>
          <w:rFonts w:ascii="Times New Roman" w:hAnsi="Times New Roman" w:cs="Times New Roman"/>
          <w:sz w:val="24"/>
          <w:szCs w:val="24"/>
        </w:rPr>
        <w:t xml:space="preserve"> специално по веригата за доставки на селскостопански и хранителни продукти.</w:t>
      </w:r>
      <w:r w:rsidR="00D32292" w:rsidRPr="007B4A99">
        <w:rPr>
          <w:rFonts w:ascii="Times New Roman" w:hAnsi="Times New Roman" w:cs="Times New Roman"/>
          <w:sz w:val="24"/>
          <w:szCs w:val="24"/>
        </w:rPr>
        <w:t xml:space="preserve"> </w:t>
      </w:r>
      <w:r w:rsidR="006B38E6" w:rsidRPr="007B4A99">
        <w:rPr>
          <w:rFonts w:ascii="Times New Roman" w:hAnsi="Times New Roman" w:cs="Times New Roman"/>
          <w:sz w:val="24"/>
          <w:szCs w:val="24"/>
        </w:rPr>
        <w:t>Този пакет е призван да въведе в националното ни законодателство изискванията, предвидени в Директива (ЕС) 2019/633 на Европейския парламент и на Съвета от 17 април 2019 година относно нелоялните търговски практики в отношенията между стопанските субекти във веригата за доставки на селскостопански и хранителни продукти</w:t>
      </w:r>
      <w:r w:rsidR="006B38E6" w:rsidRPr="007B4A99">
        <w:rPr>
          <w:rStyle w:val="FootnoteReference"/>
          <w:rFonts w:ascii="Times New Roman" w:hAnsi="Times New Roman" w:cs="Times New Roman"/>
          <w:sz w:val="24"/>
          <w:szCs w:val="24"/>
        </w:rPr>
        <w:footnoteReference w:id="10"/>
      </w:r>
      <w:r w:rsidR="006B38E6" w:rsidRPr="007B4A99">
        <w:rPr>
          <w:rFonts w:ascii="Times New Roman" w:hAnsi="Times New Roman" w:cs="Times New Roman"/>
        </w:rPr>
        <w:t xml:space="preserve">.  </w:t>
      </w:r>
    </w:p>
    <w:p w14:paraId="2B3F5A94" w14:textId="77777777" w:rsidR="00D61DF9" w:rsidRDefault="006B38E6" w:rsidP="00D61DF9">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За целта, в основния антимонополен национален </w:t>
      </w:r>
      <w:r w:rsidR="00A66EB8">
        <w:rPr>
          <w:rFonts w:ascii="Times New Roman" w:eastAsia="Times New Roman" w:hAnsi="Times New Roman" w:cs="Times New Roman"/>
          <w:sz w:val="24"/>
          <w:szCs w:val="24"/>
        </w:rPr>
        <w:t>ЗЗК</w:t>
      </w:r>
      <w:r w:rsidRPr="007B4A99">
        <w:rPr>
          <w:rFonts w:ascii="Times New Roman" w:eastAsia="Times New Roman" w:hAnsi="Times New Roman" w:cs="Times New Roman"/>
          <w:sz w:val="24"/>
          <w:szCs w:val="24"/>
        </w:rPr>
        <w:t xml:space="preserve"> са въведени поредица от нови разпоредби, произтичащи от </w:t>
      </w:r>
      <w:r w:rsidRPr="007B4A99">
        <w:rPr>
          <w:rFonts w:ascii="Times New Roman" w:hAnsi="Times New Roman" w:cs="Times New Roman"/>
          <w:sz w:val="24"/>
          <w:szCs w:val="24"/>
        </w:rPr>
        <w:t>Директива (ЕС) 2019/633</w:t>
      </w:r>
      <w:r w:rsidRPr="007B4A99">
        <w:rPr>
          <w:rFonts w:ascii="Times New Roman" w:eastAsia="Times New Roman" w:hAnsi="Times New Roman" w:cs="Times New Roman"/>
          <w:sz w:val="24"/>
          <w:szCs w:val="24"/>
        </w:rPr>
        <w:t xml:space="preserve">. На първо място е разширена компетентността на </w:t>
      </w:r>
      <w:r w:rsidR="000149CC">
        <w:rPr>
          <w:rFonts w:ascii="Times New Roman" w:eastAsia="Times New Roman" w:hAnsi="Times New Roman" w:cs="Times New Roman"/>
          <w:sz w:val="24"/>
          <w:szCs w:val="24"/>
        </w:rPr>
        <w:t>КЗК</w:t>
      </w:r>
      <w:r w:rsidR="00A66EB8">
        <w:rPr>
          <w:rFonts w:ascii="Times New Roman" w:eastAsia="Times New Roman" w:hAnsi="Times New Roman" w:cs="Times New Roman"/>
          <w:sz w:val="24"/>
          <w:szCs w:val="24"/>
        </w:rPr>
        <w:t>,</w:t>
      </w:r>
      <w:r w:rsidRPr="007B4A99">
        <w:rPr>
          <w:rFonts w:ascii="Times New Roman" w:eastAsia="Times New Roman" w:hAnsi="Times New Roman" w:cs="Times New Roman"/>
          <w:sz w:val="24"/>
          <w:szCs w:val="24"/>
        </w:rPr>
        <w:t xml:space="preserve"> като тя е определена като национален правоприлагащ орган по директивата. На следващо място, в закона е включена нова </w:t>
      </w:r>
      <w:r w:rsidRPr="007B4A99">
        <w:rPr>
          <w:rFonts w:ascii="Times New Roman" w:hAnsi="Times New Roman" w:cs="Times New Roman"/>
          <w:sz w:val="24"/>
          <w:szCs w:val="24"/>
        </w:rPr>
        <w:t xml:space="preserve">Глава седма </w:t>
      </w:r>
      <w:r w:rsidR="00A66EB8">
        <w:rPr>
          <w:rFonts w:ascii="Times New Roman" w:hAnsi="Times New Roman" w:cs="Times New Roman"/>
          <w:sz w:val="24"/>
          <w:szCs w:val="24"/>
        </w:rPr>
        <w:t>„</w:t>
      </w:r>
      <w:r w:rsidRPr="007B4A99">
        <w:rPr>
          <w:rFonts w:ascii="Times New Roman" w:hAnsi="Times New Roman" w:cs="Times New Roman"/>
          <w:sz w:val="24"/>
          <w:szCs w:val="24"/>
        </w:rPr>
        <w:t>б</w:t>
      </w:r>
      <w:r w:rsidR="00A66EB8">
        <w:rPr>
          <w:rFonts w:ascii="Times New Roman" w:hAnsi="Times New Roman" w:cs="Times New Roman"/>
          <w:sz w:val="24"/>
          <w:szCs w:val="24"/>
        </w:rPr>
        <w:t>“</w:t>
      </w:r>
      <w:r w:rsidRPr="007B4A99">
        <w:rPr>
          <w:rFonts w:ascii="Times New Roman" w:hAnsi="Times New Roman" w:cs="Times New Roman"/>
          <w:sz w:val="24"/>
          <w:szCs w:val="24"/>
        </w:rPr>
        <w:t>, озаглавена „Нелоялни търговски практики по веригата за доставки на селскостопански и хранителни продукти“, която е действаща и понастоящем</w:t>
      </w:r>
      <w:r w:rsidRPr="007B4A99">
        <w:rPr>
          <w:rStyle w:val="FootnoteReference"/>
          <w:rFonts w:ascii="Times New Roman" w:hAnsi="Times New Roman" w:cs="Times New Roman"/>
          <w:sz w:val="24"/>
          <w:szCs w:val="24"/>
        </w:rPr>
        <w:footnoteReference w:id="11"/>
      </w:r>
      <w:r w:rsidRPr="007B4A99">
        <w:rPr>
          <w:rFonts w:ascii="Times New Roman" w:hAnsi="Times New Roman" w:cs="Times New Roman"/>
          <w:sz w:val="24"/>
          <w:szCs w:val="24"/>
        </w:rPr>
        <w:t xml:space="preserve">. С нея са предвидени абсолютни </w:t>
      </w:r>
      <w:r w:rsidR="009402FD" w:rsidRPr="007B4A99">
        <w:rPr>
          <w:rFonts w:ascii="Times New Roman" w:hAnsi="Times New Roman" w:cs="Times New Roman"/>
          <w:sz w:val="24"/>
          <w:szCs w:val="24"/>
        </w:rPr>
        <w:t xml:space="preserve">и условни забрани </w:t>
      </w:r>
      <w:r w:rsidRPr="007B4A99">
        <w:rPr>
          <w:rFonts w:ascii="Times New Roman" w:hAnsi="Times New Roman" w:cs="Times New Roman"/>
          <w:sz w:val="24"/>
          <w:szCs w:val="24"/>
        </w:rPr>
        <w:t xml:space="preserve">на нелоялни търговски практики в отношенията между купувачите и доставчиците във веригата </w:t>
      </w:r>
      <w:r w:rsidR="00D61DF9">
        <w:rPr>
          <w:rFonts w:ascii="Times New Roman" w:hAnsi="Times New Roman" w:cs="Times New Roman"/>
          <w:sz w:val="24"/>
          <w:szCs w:val="24"/>
        </w:rPr>
        <w:t>н</w:t>
      </w:r>
      <w:r w:rsidRPr="007B4A99">
        <w:rPr>
          <w:rFonts w:ascii="Times New Roman" w:hAnsi="Times New Roman" w:cs="Times New Roman"/>
          <w:sz w:val="24"/>
          <w:szCs w:val="24"/>
        </w:rPr>
        <w:t>а доставки на селско</w:t>
      </w:r>
      <w:r w:rsidR="009402FD" w:rsidRPr="007B4A99">
        <w:rPr>
          <w:rFonts w:ascii="Times New Roman" w:hAnsi="Times New Roman" w:cs="Times New Roman"/>
          <w:sz w:val="24"/>
          <w:szCs w:val="24"/>
        </w:rPr>
        <w:t xml:space="preserve">стопански и хранителни продукти. </w:t>
      </w:r>
    </w:p>
    <w:p w14:paraId="00D8EE58" w14:textId="3882A167" w:rsidR="009402FD" w:rsidRPr="007B4A99" w:rsidRDefault="009402FD" w:rsidP="00D61DF9">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lastRenderedPageBreak/>
        <w:t xml:space="preserve">Абсолютните забрани </w:t>
      </w:r>
      <w:r w:rsidR="00A66EB8">
        <w:rPr>
          <w:rFonts w:ascii="Times New Roman" w:hAnsi="Times New Roman" w:cs="Times New Roman"/>
          <w:sz w:val="24"/>
          <w:szCs w:val="24"/>
        </w:rPr>
        <w:t>представляват</w:t>
      </w:r>
      <w:r w:rsidR="00A66EB8" w:rsidRPr="007B4A99">
        <w:rPr>
          <w:rFonts w:ascii="Times New Roman" w:hAnsi="Times New Roman" w:cs="Times New Roman"/>
          <w:sz w:val="24"/>
          <w:szCs w:val="24"/>
        </w:rPr>
        <w:t xml:space="preserve"> </w:t>
      </w:r>
      <w:r w:rsidR="00A66EB8">
        <w:rPr>
          <w:rFonts w:ascii="Times New Roman" w:hAnsi="Times New Roman" w:cs="Times New Roman"/>
          <w:sz w:val="24"/>
          <w:szCs w:val="24"/>
        </w:rPr>
        <w:t xml:space="preserve">в своята </w:t>
      </w:r>
      <w:r w:rsidR="00A91BE9" w:rsidRPr="007B4A99">
        <w:rPr>
          <w:rFonts w:ascii="Times New Roman" w:hAnsi="Times New Roman" w:cs="Times New Roman"/>
          <w:sz w:val="24"/>
          <w:szCs w:val="24"/>
        </w:rPr>
        <w:t>същност</w:t>
      </w:r>
      <w:r w:rsidRPr="007B4A99">
        <w:rPr>
          <w:rFonts w:ascii="Times New Roman" w:hAnsi="Times New Roman" w:cs="Times New Roman"/>
          <w:sz w:val="24"/>
          <w:szCs w:val="24"/>
        </w:rPr>
        <w:t xml:space="preserve"> определените от ЕК десет „черни“ нелоялни търговски практики</w:t>
      </w:r>
      <w:r w:rsidR="00D61DF9">
        <w:rPr>
          <w:rFonts w:ascii="Times New Roman" w:hAnsi="Times New Roman" w:cs="Times New Roman"/>
          <w:sz w:val="24"/>
          <w:szCs w:val="24"/>
        </w:rPr>
        <w:t>, които са</w:t>
      </w:r>
      <w:r w:rsidRPr="007B4A99">
        <w:rPr>
          <w:rFonts w:ascii="Times New Roman" w:hAnsi="Times New Roman" w:cs="Times New Roman"/>
          <w:sz w:val="24"/>
          <w:szCs w:val="24"/>
        </w:rPr>
        <w:t>:</w:t>
      </w:r>
    </w:p>
    <w:p w14:paraId="1D3C5B65" w14:textId="3B3F7540" w:rsidR="009402FD" w:rsidRPr="007B4A99" w:rsidRDefault="009402FD" w:rsidP="00DD69D5">
      <w:pPr>
        <w:tabs>
          <w:tab w:val="left" w:pos="851"/>
        </w:tabs>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w:t>
      </w:r>
      <w:r w:rsidRPr="007B4A99">
        <w:rPr>
          <w:rFonts w:ascii="Times New Roman" w:hAnsi="Times New Roman" w:cs="Times New Roman"/>
          <w:sz w:val="24"/>
          <w:szCs w:val="24"/>
        </w:rPr>
        <w:tab/>
      </w:r>
      <w:r w:rsidR="00D61DF9" w:rsidRPr="007B4A99">
        <w:rPr>
          <w:rFonts w:ascii="Times New Roman" w:hAnsi="Times New Roman" w:cs="Times New Roman"/>
          <w:sz w:val="24"/>
          <w:szCs w:val="24"/>
        </w:rPr>
        <w:t xml:space="preserve">извършване </w:t>
      </w:r>
      <w:r w:rsidRPr="007B4A99">
        <w:rPr>
          <w:rFonts w:ascii="Times New Roman" w:hAnsi="Times New Roman" w:cs="Times New Roman"/>
          <w:sz w:val="24"/>
          <w:szCs w:val="24"/>
        </w:rPr>
        <w:t>на плащане за нетрайни селскостопански и хранителни продукти по-късно от 30 дни от договореното;</w:t>
      </w:r>
    </w:p>
    <w:p w14:paraId="2F8AF8BA" w14:textId="39A53F15" w:rsidR="009402FD" w:rsidRPr="007B4A99" w:rsidRDefault="009402FD" w:rsidP="00DD69D5">
      <w:pPr>
        <w:tabs>
          <w:tab w:val="left" w:pos="851"/>
        </w:tabs>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w:t>
      </w:r>
      <w:r w:rsidRPr="007B4A99">
        <w:rPr>
          <w:rFonts w:ascii="Times New Roman" w:hAnsi="Times New Roman" w:cs="Times New Roman"/>
          <w:sz w:val="24"/>
          <w:szCs w:val="24"/>
        </w:rPr>
        <w:tab/>
      </w:r>
      <w:r w:rsidR="00D61DF9" w:rsidRPr="007B4A99">
        <w:rPr>
          <w:rFonts w:ascii="Times New Roman" w:hAnsi="Times New Roman" w:cs="Times New Roman"/>
          <w:sz w:val="24"/>
          <w:szCs w:val="24"/>
        </w:rPr>
        <w:t xml:space="preserve">извършване </w:t>
      </w:r>
      <w:r w:rsidRPr="007B4A99">
        <w:rPr>
          <w:rFonts w:ascii="Times New Roman" w:hAnsi="Times New Roman" w:cs="Times New Roman"/>
          <w:sz w:val="24"/>
          <w:szCs w:val="24"/>
        </w:rPr>
        <w:t>на плащане за други селскостопански и хранителни продукти по-късно от 60 дни от договореното;</w:t>
      </w:r>
    </w:p>
    <w:p w14:paraId="0174BE0B" w14:textId="353A4381" w:rsidR="009402FD" w:rsidRPr="007B4A99" w:rsidRDefault="009402FD" w:rsidP="00DD69D5">
      <w:pPr>
        <w:tabs>
          <w:tab w:val="left" w:pos="851"/>
        </w:tabs>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w:t>
      </w:r>
      <w:r w:rsidRPr="007B4A99">
        <w:rPr>
          <w:rFonts w:ascii="Times New Roman" w:hAnsi="Times New Roman" w:cs="Times New Roman"/>
          <w:sz w:val="24"/>
          <w:szCs w:val="24"/>
        </w:rPr>
        <w:tab/>
      </w:r>
      <w:r w:rsidR="00D61DF9" w:rsidRPr="007B4A99">
        <w:rPr>
          <w:rFonts w:ascii="Times New Roman" w:hAnsi="Times New Roman" w:cs="Times New Roman"/>
          <w:sz w:val="24"/>
          <w:szCs w:val="24"/>
        </w:rPr>
        <w:t xml:space="preserve">отказ </w:t>
      </w:r>
      <w:r w:rsidRPr="007B4A99">
        <w:rPr>
          <w:rFonts w:ascii="Times New Roman" w:hAnsi="Times New Roman" w:cs="Times New Roman"/>
          <w:sz w:val="24"/>
          <w:szCs w:val="24"/>
        </w:rPr>
        <w:t>от поръчки на нетрайни селскостопански и хранителни продукти с кратко предизвестие;</w:t>
      </w:r>
    </w:p>
    <w:p w14:paraId="76AB6C3E" w14:textId="41A849DE" w:rsidR="009402FD" w:rsidRPr="007B4A99" w:rsidRDefault="009402FD" w:rsidP="00DD69D5">
      <w:pPr>
        <w:tabs>
          <w:tab w:val="left" w:pos="851"/>
        </w:tabs>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w:t>
      </w:r>
      <w:r w:rsidRPr="007B4A99">
        <w:rPr>
          <w:rFonts w:ascii="Times New Roman" w:hAnsi="Times New Roman" w:cs="Times New Roman"/>
          <w:sz w:val="24"/>
          <w:szCs w:val="24"/>
        </w:rPr>
        <w:tab/>
      </w:r>
      <w:r w:rsidR="00D61DF9" w:rsidRPr="007B4A99">
        <w:rPr>
          <w:rFonts w:ascii="Times New Roman" w:hAnsi="Times New Roman" w:cs="Times New Roman"/>
          <w:sz w:val="24"/>
          <w:szCs w:val="24"/>
        </w:rPr>
        <w:t xml:space="preserve">едностранни </w:t>
      </w:r>
      <w:r w:rsidRPr="007B4A99">
        <w:rPr>
          <w:rFonts w:ascii="Times New Roman" w:hAnsi="Times New Roman" w:cs="Times New Roman"/>
          <w:sz w:val="24"/>
          <w:szCs w:val="24"/>
        </w:rPr>
        <w:t>промени в договора от страна на купувача;</w:t>
      </w:r>
    </w:p>
    <w:p w14:paraId="29649095" w14:textId="196031A7" w:rsidR="009402FD" w:rsidRPr="007B4A99" w:rsidRDefault="009402FD" w:rsidP="00DD69D5">
      <w:pPr>
        <w:tabs>
          <w:tab w:val="left" w:pos="851"/>
        </w:tabs>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w:t>
      </w:r>
      <w:r w:rsidRPr="007B4A99">
        <w:rPr>
          <w:rFonts w:ascii="Times New Roman" w:hAnsi="Times New Roman" w:cs="Times New Roman"/>
          <w:sz w:val="24"/>
          <w:szCs w:val="24"/>
        </w:rPr>
        <w:tab/>
      </w:r>
      <w:r w:rsidR="00D61DF9" w:rsidRPr="007B4A99">
        <w:rPr>
          <w:rFonts w:ascii="Times New Roman" w:hAnsi="Times New Roman" w:cs="Times New Roman"/>
          <w:sz w:val="24"/>
          <w:szCs w:val="24"/>
        </w:rPr>
        <w:t>плащания</w:t>
      </w:r>
      <w:r w:rsidRPr="007B4A99">
        <w:rPr>
          <w:rFonts w:ascii="Times New Roman" w:hAnsi="Times New Roman" w:cs="Times New Roman"/>
          <w:sz w:val="24"/>
          <w:szCs w:val="24"/>
        </w:rPr>
        <w:t>, които не са свързани с конкретна сделка;</w:t>
      </w:r>
    </w:p>
    <w:p w14:paraId="120B69BE" w14:textId="2AA440DF" w:rsidR="009402FD" w:rsidRPr="007B4A99" w:rsidRDefault="009402FD" w:rsidP="00DD69D5">
      <w:pPr>
        <w:tabs>
          <w:tab w:val="left" w:pos="851"/>
        </w:tabs>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w:t>
      </w:r>
      <w:r w:rsidRPr="007B4A99">
        <w:rPr>
          <w:rFonts w:ascii="Times New Roman" w:hAnsi="Times New Roman" w:cs="Times New Roman"/>
          <w:sz w:val="24"/>
          <w:szCs w:val="24"/>
        </w:rPr>
        <w:tab/>
      </w:r>
      <w:r w:rsidR="00D61DF9" w:rsidRPr="007B4A99">
        <w:rPr>
          <w:rFonts w:ascii="Times New Roman" w:hAnsi="Times New Roman" w:cs="Times New Roman"/>
          <w:sz w:val="24"/>
          <w:szCs w:val="24"/>
        </w:rPr>
        <w:t xml:space="preserve">прехвърляне </w:t>
      </w:r>
      <w:r w:rsidRPr="007B4A99">
        <w:rPr>
          <w:rFonts w:ascii="Times New Roman" w:hAnsi="Times New Roman" w:cs="Times New Roman"/>
          <w:sz w:val="24"/>
          <w:szCs w:val="24"/>
        </w:rPr>
        <w:t>на доставчика на риска от похабяване и бракуване;</w:t>
      </w:r>
    </w:p>
    <w:p w14:paraId="5AE447AF" w14:textId="5187CAC0" w:rsidR="009402FD" w:rsidRPr="007B4A99" w:rsidRDefault="009402FD" w:rsidP="00DD69D5">
      <w:pPr>
        <w:tabs>
          <w:tab w:val="left" w:pos="851"/>
        </w:tabs>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w:t>
      </w:r>
      <w:r w:rsidRPr="007B4A99">
        <w:rPr>
          <w:rFonts w:ascii="Times New Roman" w:hAnsi="Times New Roman" w:cs="Times New Roman"/>
          <w:sz w:val="24"/>
          <w:szCs w:val="24"/>
        </w:rPr>
        <w:tab/>
      </w:r>
      <w:r w:rsidR="00D61DF9" w:rsidRPr="007B4A99">
        <w:rPr>
          <w:rFonts w:ascii="Times New Roman" w:hAnsi="Times New Roman" w:cs="Times New Roman"/>
          <w:sz w:val="24"/>
          <w:szCs w:val="24"/>
        </w:rPr>
        <w:t xml:space="preserve">отказ </w:t>
      </w:r>
      <w:r w:rsidRPr="007B4A99">
        <w:rPr>
          <w:rFonts w:ascii="Times New Roman" w:hAnsi="Times New Roman" w:cs="Times New Roman"/>
          <w:sz w:val="24"/>
          <w:szCs w:val="24"/>
        </w:rPr>
        <w:t>на купувача да потвърди в писмен вид договор за доставка въпреки искане на доставчика;</w:t>
      </w:r>
    </w:p>
    <w:p w14:paraId="029EDE1E" w14:textId="10CD4D1C" w:rsidR="009402FD" w:rsidRPr="007B4A99" w:rsidRDefault="009402FD" w:rsidP="00DD69D5">
      <w:pPr>
        <w:tabs>
          <w:tab w:val="left" w:pos="851"/>
        </w:tabs>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w:t>
      </w:r>
      <w:r w:rsidRPr="007B4A99">
        <w:rPr>
          <w:rFonts w:ascii="Times New Roman" w:hAnsi="Times New Roman" w:cs="Times New Roman"/>
          <w:sz w:val="24"/>
          <w:szCs w:val="24"/>
        </w:rPr>
        <w:tab/>
      </w:r>
      <w:r w:rsidR="00D61DF9" w:rsidRPr="007B4A99">
        <w:rPr>
          <w:rFonts w:ascii="Times New Roman" w:hAnsi="Times New Roman" w:cs="Times New Roman"/>
          <w:sz w:val="24"/>
          <w:szCs w:val="24"/>
        </w:rPr>
        <w:t xml:space="preserve">неправомерно </w:t>
      </w:r>
      <w:r w:rsidRPr="007B4A99">
        <w:rPr>
          <w:rFonts w:ascii="Times New Roman" w:hAnsi="Times New Roman" w:cs="Times New Roman"/>
          <w:sz w:val="24"/>
          <w:szCs w:val="24"/>
        </w:rPr>
        <w:t>използване на търговски тайни от страна на купувача;</w:t>
      </w:r>
    </w:p>
    <w:p w14:paraId="23BBDAB3" w14:textId="6929A144" w:rsidR="009402FD" w:rsidRPr="007B4A99" w:rsidRDefault="009402FD" w:rsidP="00DD69D5">
      <w:pPr>
        <w:tabs>
          <w:tab w:val="left" w:pos="851"/>
        </w:tabs>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w:t>
      </w:r>
      <w:r w:rsidRPr="007B4A99">
        <w:rPr>
          <w:rFonts w:ascii="Times New Roman" w:hAnsi="Times New Roman" w:cs="Times New Roman"/>
          <w:sz w:val="24"/>
          <w:szCs w:val="24"/>
        </w:rPr>
        <w:tab/>
      </w:r>
      <w:r w:rsidR="00D61DF9" w:rsidRPr="007B4A99">
        <w:rPr>
          <w:rFonts w:ascii="Times New Roman" w:hAnsi="Times New Roman" w:cs="Times New Roman"/>
          <w:sz w:val="24"/>
          <w:szCs w:val="24"/>
        </w:rPr>
        <w:t xml:space="preserve">предприемане </w:t>
      </w:r>
      <w:r w:rsidRPr="007B4A99">
        <w:rPr>
          <w:rFonts w:ascii="Times New Roman" w:hAnsi="Times New Roman" w:cs="Times New Roman"/>
          <w:sz w:val="24"/>
          <w:szCs w:val="24"/>
        </w:rPr>
        <w:t>на ответни търговски действия от купувача;</w:t>
      </w:r>
    </w:p>
    <w:p w14:paraId="4CA705BB" w14:textId="2185F61C" w:rsidR="009402FD" w:rsidRPr="007B4A99" w:rsidRDefault="009402FD" w:rsidP="00DD69D5">
      <w:pPr>
        <w:tabs>
          <w:tab w:val="left" w:pos="851"/>
        </w:tabs>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w:t>
      </w:r>
      <w:r w:rsidRPr="007B4A99">
        <w:rPr>
          <w:rFonts w:ascii="Times New Roman" w:hAnsi="Times New Roman" w:cs="Times New Roman"/>
          <w:sz w:val="24"/>
          <w:szCs w:val="24"/>
        </w:rPr>
        <w:tab/>
      </w:r>
      <w:r w:rsidR="00D61DF9" w:rsidRPr="007B4A99">
        <w:rPr>
          <w:rFonts w:ascii="Times New Roman" w:hAnsi="Times New Roman" w:cs="Times New Roman"/>
          <w:sz w:val="24"/>
          <w:szCs w:val="24"/>
        </w:rPr>
        <w:t xml:space="preserve">прехвърляне </w:t>
      </w:r>
      <w:r w:rsidRPr="007B4A99">
        <w:rPr>
          <w:rFonts w:ascii="Times New Roman" w:hAnsi="Times New Roman" w:cs="Times New Roman"/>
          <w:sz w:val="24"/>
          <w:szCs w:val="24"/>
        </w:rPr>
        <w:t>на разходи за разглеждане на жалби на клиенти към доставчика.</w:t>
      </w:r>
    </w:p>
    <w:p w14:paraId="4746DED8" w14:textId="18AF2EA5" w:rsidR="009402FD" w:rsidRPr="007B4A99" w:rsidRDefault="006B38E6" w:rsidP="00DD69D5">
      <w:pPr>
        <w:tabs>
          <w:tab w:val="left" w:pos="851"/>
        </w:tabs>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ЗЗК урежда и т</w:t>
      </w:r>
      <w:r w:rsidRPr="00D61DF9">
        <w:rPr>
          <w:rFonts w:ascii="Times New Roman" w:hAnsi="Times New Roman" w:cs="Times New Roman"/>
          <w:sz w:val="24"/>
          <w:szCs w:val="24"/>
        </w:rPr>
        <w:t>.нар. условни забрани</w:t>
      </w:r>
      <w:r w:rsidR="00A91BE9" w:rsidRPr="007B4A99">
        <w:rPr>
          <w:rFonts w:ascii="Times New Roman" w:hAnsi="Times New Roman" w:cs="Times New Roman"/>
          <w:sz w:val="24"/>
          <w:szCs w:val="24"/>
        </w:rPr>
        <w:t xml:space="preserve">, които </w:t>
      </w:r>
      <w:r w:rsidR="009402FD" w:rsidRPr="007B4A99">
        <w:rPr>
          <w:rFonts w:ascii="Times New Roman" w:hAnsi="Times New Roman" w:cs="Times New Roman"/>
          <w:sz w:val="24"/>
          <w:szCs w:val="24"/>
        </w:rPr>
        <w:t>не позволяват</w:t>
      </w:r>
      <w:r w:rsidRPr="007B4A99">
        <w:rPr>
          <w:rFonts w:ascii="Times New Roman" w:hAnsi="Times New Roman" w:cs="Times New Roman"/>
          <w:sz w:val="24"/>
          <w:szCs w:val="24"/>
        </w:rPr>
        <w:t xml:space="preserve"> прилагане</w:t>
      </w:r>
      <w:r w:rsidR="009402FD" w:rsidRPr="007B4A99">
        <w:rPr>
          <w:rFonts w:ascii="Times New Roman" w:hAnsi="Times New Roman" w:cs="Times New Roman"/>
          <w:sz w:val="24"/>
          <w:szCs w:val="24"/>
        </w:rPr>
        <w:t>то</w:t>
      </w:r>
      <w:r w:rsidRPr="007B4A99">
        <w:rPr>
          <w:rFonts w:ascii="Times New Roman" w:hAnsi="Times New Roman" w:cs="Times New Roman"/>
          <w:sz w:val="24"/>
          <w:szCs w:val="24"/>
        </w:rPr>
        <w:t xml:space="preserve"> на</w:t>
      </w:r>
      <w:r w:rsidR="009402FD" w:rsidRPr="007B4A99">
        <w:rPr>
          <w:rFonts w:ascii="Times New Roman" w:hAnsi="Times New Roman" w:cs="Times New Roman"/>
          <w:sz w:val="24"/>
          <w:szCs w:val="24"/>
        </w:rPr>
        <w:t xml:space="preserve"> определени нелоялни</w:t>
      </w:r>
      <w:r w:rsidRPr="007B4A99">
        <w:rPr>
          <w:rFonts w:ascii="Times New Roman" w:hAnsi="Times New Roman" w:cs="Times New Roman"/>
          <w:sz w:val="24"/>
          <w:szCs w:val="24"/>
        </w:rPr>
        <w:t xml:space="preserve"> търговски практики, освен ако те не са предварително ясно и недвусмислено договорени между страните по договора за доставка на селскостопански и хранителни продукти</w:t>
      </w:r>
      <w:r w:rsidR="009402FD" w:rsidRPr="007B4A99">
        <w:rPr>
          <w:rFonts w:ascii="Times New Roman" w:hAnsi="Times New Roman" w:cs="Times New Roman"/>
          <w:sz w:val="24"/>
          <w:szCs w:val="24"/>
        </w:rPr>
        <w:t xml:space="preserve">. Това са т.нар. от </w:t>
      </w:r>
      <w:r w:rsidR="00A91BE9" w:rsidRPr="007B4A99">
        <w:rPr>
          <w:rFonts w:ascii="Times New Roman" w:hAnsi="Times New Roman" w:cs="Times New Roman"/>
          <w:sz w:val="24"/>
          <w:szCs w:val="24"/>
        </w:rPr>
        <w:t>Е</w:t>
      </w:r>
      <w:r w:rsidR="009402FD" w:rsidRPr="007B4A99">
        <w:rPr>
          <w:rFonts w:ascii="Times New Roman" w:hAnsi="Times New Roman" w:cs="Times New Roman"/>
          <w:sz w:val="24"/>
          <w:szCs w:val="24"/>
        </w:rPr>
        <w:t>К шест „сиви“ нелоялни търговски практики, както следва:</w:t>
      </w:r>
    </w:p>
    <w:p w14:paraId="04DFE2F5" w14:textId="07AB770F" w:rsidR="009402FD" w:rsidRPr="007B4A99" w:rsidRDefault="009402FD" w:rsidP="00DD69D5">
      <w:pPr>
        <w:tabs>
          <w:tab w:val="left" w:pos="851"/>
        </w:tabs>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w:t>
      </w:r>
      <w:r w:rsidRPr="007B4A99">
        <w:rPr>
          <w:rFonts w:ascii="Times New Roman" w:hAnsi="Times New Roman" w:cs="Times New Roman"/>
          <w:sz w:val="24"/>
          <w:szCs w:val="24"/>
        </w:rPr>
        <w:tab/>
      </w:r>
      <w:r w:rsidR="00D61DF9" w:rsidRPr="007B4A99">
        <w:rPr>
          <w:rFonts w:ascii="Times New Roman" w:hAnsi="Times New Roman" w:cs="Times New Roman"/>
          <w:sz w:val="24"/>
          <w:szCs w:val="24"/>
        </w:rPr>
        <w:t xml:space="preserve">връщане </w:t>
      </w:r>
      <w:r w:rsidRPr="007B4A99">
        <w:rPr>
          <w:rFonts w:ascii="Times New Roman" w:hAnsi="Times New Roman" w:cs="Times New Roman"/>
          <w:sz w:val="24"/>
          <w:szCs w:val="24"/>
        </w:rPr>
        <w:t>на непродадени продукти;</w:t>
      </w:r>
    </w:p>
    <w:p w14:paraId="1C12865B" w14:textId="53895635" w:rsidR="009402FD" w:rsidRPr="007B4A99" w:rsidRDefault="009402FD" w:rsidP="00DD69D5">
      <w:pPr>
        <w:tabs>
          <w:tab w:val="left" w:pos="851"/>
        </w:tabs>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w:t>
      </w:r>
      <w:r w:rsidRPr="007B4A99">
        <w:rPr>
          <w:rFonts w:ascii="Times New Roman" w:hAnsi="Times New Roman" w:cs="Times New Roman"/>
          <w:sz w:val="24"/>
          <w:szCs w:val="24"/>
        </w:rPr>
        <w:tab/>
      </w:r>
      <w:r w:rsidR="00D61DF9" w:rsidRPr="007B4A99">
        <w:rPr>
          <w:rFonts w:ascii="Times New Roman" w:hAnsi="Times New Roman" w:cs="Times New Roman"/>
          <w:sz w:val="24"/>
          <w:szCs w:val="24"/>
        </w:rPr>
        <w:t xml:space="preserve">плащане </w:t>
      </w:r>
      <w:r w:rsidRPr="007B4A99">
        <w:rPr>
          <w:rFonts w:ascii="Times New Roman" w:hAnsi="Times New Roman" w:cs="Times New Roman"/>
          <w:sz w:val="24"/>
          <w:szCs w:val="24"/>
        </w:rPr>
        <w:t>от доставчика за складиране, излагане и включване в продуктовата гама на негови продукти;</w:t>
      </w:r>
    </w:p>
    <w:p w14:paraId="0DB91120" w14:textId="3CCA4FED" w:rsidR="009402FD" w:rsidRPr="007B4A99" w:rsidRDefault="009402FD" w:rsidP="00DD69D5">
      <w:pPr>
        <w:tabs>
          <w:tab w:val="left" w:pos="851"/>
        </w:tabs>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w:t>
      </w:r>
      <w:r w:rsidRPr="007B4A99">
        <w:rPr>
          <w:rFonts w:ascii="Times New Roman" w:hAnsi="Times New Roman" w:cs="Times New Roman"/>
          <w:sz w:val="24"/>
          <w:szCs w:val="24"/>
        </w:rPr>
        <w:tab/>
      </w:r>
      <w:r w:rsidR="00D61DF9" w:rsidRPr="007B4A99">
        <w:rPr>
          <w:rFonts w:ascii="Times New Roman" w:hAnsi="Times New Roman" w:cs="Times New Roman"/>
          <w:sz w:val="24"/>
          <w:szCs w:val="24"/>
        </w:rPr>
        <w:t xml:space="preserve">плащане </w:t>
      </w:r>
      <w:r w:rsidRPr="007B4A99">
        <w:rPr>
          <w:rFonts w:ascii="Times New Roman" w:hAnsi="Times New Roman" w:cs="Times New Roman"/>
          <w:sz w:val="24"/>
          <w:szCs w:val="24"/>
        </w:rPr>
        <w:t>от доставчика за промоция;</w:t>
      </w:r>
    </w:p>
    <w:p w14:paraId="0FD2B7B8" w14:textId="55A891E9" w:rsidR="009402FD" w:rsidRPr="007B4A99" w:rsidRDefault="009402FD" w:rsidP="00DD69D5">
      <w:pPr>
        <w:tabs>
          <w:tab w:val="left" w:pos="851"/>
        </w:tabs>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w:t>
      </w:r>
      <w:r w:rsidRPr="007B4A99">
        <w:rPr>
          <w:rFonts w:ascii="Times New Roman" w:hAnsi="Times New Roman" w:cs="Times New Roman"/>
          <w:sz w:val="24"/>
          <w:szCs w:val="24"/>
        </w:rPr>
        <w:tab/>
      </w:r>
      <w:r w:rsidR="00D61DF9" w:rsidRPr="007B4A99">
        <w:rPr>
          <w:rFonts w:ascii="Times New Roman" w:hAnsi="Times New Roman" w:cs="Times New Roman"/>
          <w:sz w:val="24"/>
          <w:szCs w:val="24"/>
        </w:rPr>
        <w:t xml:space="preserve">плащане </w:t>
      </w:r>
      <w:r w:rsidRPr="007B4A99">
        <w:rPr>
          <w:rFonts w:ascii="Times New Roman" w:hAnsi="Times New Roman" w:cs="Times New Roman"/>
          <w:sz w:val="24"/>
          <w:szCs w:val="24"/>
        </w:rPr>
        <w:t>от доставчика за предлагане на пазара;</w:t>
      </w:r>
    </w:p>
    <w:p w14:paraId="37216CAE" w14:textId="2746088E" w:rsidR="003422C5" w:rsidRPr="007B4A99" w:rsidRDefault="009402FD" w:rsidP="00DD69D5">
      <w:pPr>
        <w:tabs>
          <w:tab w:val="left" w:pos="851"/>
        </w:tabs>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w:t>
      </w:r>
      <w:r w:rsidRPr="007B4A99">
        <w:rPr>
          <w:rFonts w:ascii="Times New Roman" w:hAnsi="Times New Roman" w:cs="Times New Roman"/>
          <w:sz w:val="24"/>
          <w:szCs w:val="24"/>
        </w:rPr>
        <w:tab/>
      </w:r>
      <w:r w:rsidR="00D61DF9" w:rsidRPr="007B4A99">
        <w:rPr>
          <w:rFonts w:ascii="Times New Roman" w:hAnsi="Times New Roman" w:cs="Times New Roman"/>
          <w:sz w:val="24"/>
          <w:szCs w:val="24"/>
        </w:rPr>
        <w:t xml:space="preserve">плащане </w:t>
      </w:r>
      <w:r w:rsidRPr="007B4A99">
        <w:rPr>
          <w:rFonts w:ascii="Times New Roman" w:hAnsi="Times New Roman" w:cs="Times New Roman"/>
          <w:sz w:val="24"/>
          <w:szCs w:val="24"/>
        </w:rPr>
        <w:t>от доставчика за реклама;</w:t>
      </w:r>
    </w:p>
    <w:p w14:paraId="0780C2D4" w14:textId="3996C826" w:rsidR="009402FD" w:rsidRPr="007B4A99" w:rsidRDefault="009402FD" w:rsidP="00DD69D5">
      <w:pPr>
        <w:tabs>
          <w:tab w:val="left" w:pos="851"/>
        </w:tabs>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w:t>
      </w:r>
      <w:r w:rsidRPr="007B4A99">
        <w:rPr>
          <w:rFonts w:ascii="Times New Roman" w:hAnsi="Times New Roman" w:cs="Times New Roman"/>
          <w:sz w:val="24"/>
          <w:szCs w:val="24"/>
        </w:rPr>
        <w:tab/>
      </w:r>
      <w:r w:rsidR="00D61DF9" w:rsidRPr="007B4A99">
        <w:rPr>
          <w:rFonts w:ascii="Times New Roman" w:hAnsi="Times New Roman" w:cs="Times New Roman"/>
          <w:sz w:val="24"/>
          <w:szCs w:val="24"/>
        </w:rPr>
        <w:t xml:space="preserve">плащане </w:t>
      </w:r>
      <w:r w:rsidRPr="007B4A99">
        <w:rPr>
          <w:rFonts w:ascii="Times New Roman" w:hAnsi="Times New Roman" w:cs="Times New Roman"/>
          <w:sz w:val="24"/>
          <w:szCs w:val="24"/>
        </w:rPr>
        <w:t>от доставчика за персонал на купувача, ангажиран с оборудване на помещения</w:t>
      </w:r>
      <w:r w:rsidRPr="007B4A99">
        <w:rPr>
          <w:rStyle w:val="FootnoteReference"/>
          <w:rFonts w:ascii="Times New Roman" w:hAnsi="Times New Roman" w:cs="Times New Roman"/>
          <w:sz w:val="24"/>
          <w:szCs w:val="24"/>
        </w:rPr>
        <w:footnoteReference w:id="12"/>
      </w:r>
      <w:r w:rsidRPr="007B4A99">
        <w:rPr>
          <w:rFonts w:ascii="Times New Roman" w:hAnsi="Times New Roman" w:cs="Times New Roman"/>
          <w:sz w:val="24"/>
          <w:szCs w:val="24"/>
        </w:rPr>
        <w:t>.</w:t>
      </w:r>
    </w:p>
    <w:p w14:paraId="5F05D748" w14:textId="553D2E15" w:rsidR="006B38E6" w:rsidRPr="007B4A99" w:rsidRDefault="006B38E6" w:rsidP="00DD69D5">
      <w:pPr>
        <w:tabs>
          <w:tab w:val="left" w:pos="851"/>
        </w:tabs>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Законът ясно е предвидил </w:t>
      </w:r>
      <w:r w:rsidR="00A66EB8" w:rsidRPr="007B4A99">
        <w:rPr>
          <w:rFonts w:ascii="Times New Roman" w:hAnsi="Times New Roman" w:cs="Times New Roman"/>
          <w:sz w:val="24"/>
          <w:szCs w:val="24"/>
        </w:rPr>
        <w:t>кръг</w:t>
      </w:r>
      <w:r w:rsidR="00A66EB8">
        <w:rPr>
          <w:rFonts w:ascii="Times New Roman" w:hAnsi="Times New Roman" w:cs="Times New Roman"/>
          <w:sz w:val="24"/>
          <w:szCs w:val="24"/>
        </w:rPr>
        <w:t>а</w:t>
      </w:r>
      <w:r w:rsidR="00A66EB8" w:rsidRPr="007B4A99">
        <w:rPr>
          <w:rFonts w:ascii="Times New Roman" w:hAnsi="Times New Roman" w:cs="Times New Roman"/>
          <w:sz w:val="24"/>
          <w:szCs w:val="24"/>
        </w:rPr>
        <w:t xml:space="preserve"> </w:t>
      </w:r>
      <w:r w:rsidRPr="007B4A99">
        <w:rPr>
          <w:rFonts w:ascii="Times New Roman" w:hAnsi="Times New Roman" w:cs="Times New Roman"/>
          <w:sz w:val="24"/>
          <w:szCs w:val="24"/>
        </w:rPr>
        <w:t xml:space="preserve">от субекти със съответните годишни обороти, които попадат в обхвата на тези забрани и различните хипотези, в които забраните не се прилагат.   </w:t>
      </w:r>
    </w:p>
    <w:p w14:paraId="29712F09" w14:textId="77777777" w:rsidR="00D61DF9" w:rsidRDefault="006B38E6"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Това</w:t>
      </w:r>
      <w:r w:rsidR="000149CC">
        <w:rPr>
          <w:rFonts w:ascii="Times New Roman" w:hAnsi="Times New Roman" w:cs="Times New Roman"/>
          <w:sz w:val="24"/>
          <w:szCs w:val="24"/>
        </w:rPr>
        <w:t>,</w:t>
      </w:r>
      <w:r w:rsidRPr="007B4A99">
        <w:rPr>
          <w:rFonts w:ascii="Times New Roman" w:hAnsi="Times New Roman" w:cs="Times New Roman"/>
          <w:sz w:val="24"/>
          <w:szCs w:val="24"/>
        </w:rPr>
        <w:t xml:space="preserve"> което прави сериозно впечатление</w:t>
      </w:r>
      <w:r w:rsidR="00A66EB8">
        <w:rPr>
          <w:rFonts w:ascii="Times New Roman" w:hAnsi="Times New Roman" w:cs="Times New Roman"/>
          <w:sz w:val="24"/>
          <w:szCs w:val="24"/>
        </w:rPr>
        <w:t xml:space="preserve"> </w:t>
      </w:r>
      <w:r w:rsidR="006B128D">
        <w:rPr>
          <w:rFonts w:ascii="Times New Roman" w:hAnsi="Times New Roman" w:cs="Times New Roman"/>
          <w:sz w:val="24"/>
          <w:szCs w:val="24"/>
        </w:rPr>
        <w:t>от</w:t>
      </w:r>
      <w:r w:rsidR="00A66EB8">
        <w:rPr>
          <w:rFonts w:ascii="Times New Roman" w:hAnsi="Times New Roman" w:cs="Times New Roman"/>
          <w:sz w:val="24"/>
          <w:szCs w:val="24"/>
        </w:rPr>
        <w:t xml:space="preserve"> новото европейско законодателство</w:t>
      </w:r>
      <w:r w:rsidR="000149CC">
        <w:rPr>
          <w:rFonts w:ascii="Times New Roman" w:hAnsi="Times New Roman" w:cs="Times New Roman"/>
          <w:sz w:val="24"/>
          <w:szCs w:val="24"/>
        </w:rPr>
        <w:t>,</w:t>
      </w:r>
      <w:r w:rsidRPr="007B4A99">
        <w:rPr>
          <w:rFonts w:ascii="Times New Roman" w:hAnsi="Times New Roman" w:cs="Times New Roman"/>
          <w:sz w:val="24"/>
          <w:szCs w:val="24"/>
        </w:rPr>
        <w:t xml:space="preserve"> е, че на ниво на ЕС са установени и съответно забранени нови и непознати към 201</w:t>
      </w:r>
      <w:r w:rsidR="00A91BE9" w:rsidRPr="007B4A99">
        <w:rPr>
          <w:rFonts w:ascii="Times New Roman" w:hAnsi="Times New Roman" w:cs="Times New Roman"/>
          <w:sz w:val="24"/>
          <w:szCs w:val="24"/>
        </w:rPr>
        <w:t>1</w:t>
      </w:r>
      <w:r w:rsidRPr="007B4A99">
        <w:rPr>
          <w:rFonts w:ascii="Times New Roman" w:hAnsi="Times New Roman" w:cs="Times New Roman"/>
          <w:sz w:val="24"/>
          <w:szCs w:val="24"/>
        </w:rPr>
        <w:t xml:space="preserve"> г. нелоялни търговски практики</w:t>
      </w:r>
      <w:r w:rsidR="00A91BE9" w:rsidRPr="007B4A99">
        <w:rPr>
          <w:rFonts w:ascii="Times New Roman" w:hAnsi="Times New Roman" w:cs="Times New Roman"/>
          <w:sz w:val="24"/>
          <w:szCs w:val="24"/>
        </w:rPr>
        <w:t>,</w:t>
      </w:r>
      <w:r w:rsidR="005D2436" w:rsidRPr="007B4A99">
        <w:rPr>
          <w:rFonts w:ascii="Times New Roman" w:hAnsi="Times New Roman" w:cs="Times New Roman"/>
          <w:sz w:val="24"/>
          <w:szCs w:val="24"/>
        </w:rPr>
        <w:t xml:space="preserve"> както от черния</w:t>
      </w:r>
      <w:r w:rsidR="00A91BE9" w:rsidRPr="007B4A99">
        <w:rPr>
          <w:rFonts w:ascii="Times New Roman" w:hAnsi="Times New Roman" w:cs="Times New Roman"/>
          <w:sz w:val="24"/>
          <w:szCs w:val="24"/>
        </w:rPr>
        <w:t>,</w:t>
      </w:r>
      <w:r w:rsidR="005D2436" w:rsidRPr="007B4A99">
        <w:rPr>
          <w:rFonts w:ascii="Times New Roman" w:hAnsi="Times New Roman" w:cs="Times New Roman"/>
          <w:sz w:val="24"/>
          <w:szCs w:val="24"/>
        </w:rPr>
        <w:t xml:space="preserve"> така от сивия списък</w:t>
      </w:r>
      <w:r w:rsidRPr="007B4A99">
        <w:rPr>
          <w:rFonts w:ascii="Times New Roman" w:hAnsi="Times New Roman" w:cs="Times New Roman"/>
          <w:sz w:val="24"/>
          <w:szCs w:val="24"/>
        </w:rPr>
        <w:t xml:space="preserve">. </w:t>
      </w:r>
      <w:r w:rsidR="005D2436" w:rsidRPr="007B4A99">
        <w:rPr>
          <w:rFonts w:ascii="Times New Roman" w:hAnsi="Times New Roman" w:cs="Times New Roman"/>
          <w:sz w:val="24"/>
          <w:szCs w:val="24"/>
        </w:rPr>
        <w:t>От черни</w:t>
      </w:r>
      <w:r w:rsidR="00A91BE9" w:rsidRPr="007B4A99">
        <w:rPr>
          <w:rFonts w:ascii="Times New Roman" w:hAnsi="Times New Roman" w:cs="Times New Roman"/>
          <w:sz w:val="24"/>
          <w:szCs w:val="24"/>
        </w:rPr>
        <w:t>я</w:t>
      </w:r>
      <w:r w:rsidR="00D61DF9">
        <w:rPr>
          <w:rFonts w:ascii="Times New Roman" w:hAnsi="Times New Roman" w:cs="Times New Roman"/>
          <w:sz w:val="24"/>
          <w:szCs w:val="24"/>
        </w:rPr>
        <w:t xml:space="preserve"> списък</w:t>
      </w:r>
      <w:r w:rsidR="00A91BE9" w:rsidRPr="007B4A99">
        <w:rPr>
          <w:rFonts w:ascii="Times New Roman" w:hAnsi="Times New Roman" w:cs="Times New Roman"/>
          <w:sz w:val="24"/>
          <w:szCs w:val="24"/>
        </w:rPr>
        <w:t xml:space="preserve"> нови</w:t>
      </w:r>
      <w:r w:rsidR="005D2436" w:rsidRPr="007B4A99">
        <w:rPr>
          <w:rFonts w:ascii="Times New Roman" w:hAnsi="Times New Roman" w:cs="Times New Roman"/>
          <w:sz w:val="24"/>
          <w:szCs w:val="24"/>
        </w:rPr>
        <w:t xml:space="preserve"> нелоялни търговски практики са например</w:t>
      </w:r>
      <w:r w:rsidRPr="007B4A99">
        <w:rPr>
          <w:rFonts w:ascii="Times New Roman" w:hAnsi="Times New Roman" w:cs="Times New Roman"/>
          <w:sz w:val="24"/>
          <w:szCs w:val="24"/>
        </w:rPr>
        <w:t xml:space="preserve"> неправомерното придобиване или използване на търговска тайна на доставчика, отправянето на предупреждение към доставчика да не упражнява свои законни права като подаване на жалби и други</w:t>
      </w:r>
      <w:r w:rsidR="00A91BE9" w:rsidRPr="007B4A99">
        <w:rPr>
          <w:rFonts w:ascii="Times New Roman" w:hAnsi="Times New Roman" w:cs="Times New Roman"/>
          <w:sz w:val="24"/>
          <w:szCs w:val="24"/>
        </w:rPr>
        <w:t xml:space="preserve"> под страх от предприемане на ответни търговски действия</w:t>
      </w:r>
      <w:r w:rsidRPr="007B4A99">
        <w:rPr>
          <w:rFonts w:ascii="Times New Roman" w:hAnsi="Times New Roman" w:cs="Times New Roman"/>
          <w:sz w:val="24"/>
          <w:szCs w:val="24"/>
        </w:rPr>
        <w:t xml:space="preserve"> или покриването от доставчика на разходи, направени от търговеца по разглеждане на жалби на потребители във връзка с продажбата на продукти, доставени от него и др. </w:t>
      </w:r>
    </w:p>
    <w:p w14:paraId="22D34195" w14:textId="5484FF3F" w:rsidR="006B38E6" w:rsidRPr="007B4A99" w:rsidRDefault="005D2436"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lastRenderedPageBreak/>
        <w:t xml:space="preserve">В списъка на „сивите“ нелоялни търговски практики </w:t>
      </w:r>
      <w:r w:rsidR="00A91BE9" w:rsidRPr="007B4A99">
        <w:rPr>
          <w:rFonts w:ascii="Times New Roman" w:hAnsi="Times New Roman" w:cs="Times New Roman"/>
          <w:sz w:val="24"/>
          <w:szCs w:val="24"/>
        </w:rPr>
        <w:t>нова</w:t>
      </w:r>
      <w:r w:rsidRPr="007B4A99">
        <w:rPr>
          <w:rFonts w:ascii="Times New Roman" w:hAnsi="Times New Roman" w:cs="Times New Roman"/>
          <w:sz w:val="24"/>
          <w:szCs w:val="24"/>
        </w:rPr>
        <w:t xml:space="preserve"> е практиката на искане на заплащане от доставчика на купувача на разходи (най-често за персонал) за оборудване или поддържане на помещения, използвани за продажбата на продуктите на доставчика.</w:t>
      </w:r>
      <w:r w:rsidR="00A91BE9" w:rsidRPr="007B4A99">
        <w:rPr>
          <w:rFonts w:ascii="Times New Roman" w:hAnsi="Times New Roman" w:cs="Times New Roman"/>
          <w:sz w:val="24"/>
          <w:szCs w:val="24"/>
        </w:rPr>
        <w:t xml:space="preserve"> </w:t>
      </w:r>
      <w:r w:rsidR="006B38E6" w:rsidRPr="007B4A99">
        <w:rPr>
          <w:rFonts w:ascii="Times New Roman" w:hAnsi="Times New Roman" w:cs="Times New Roman"/>
          <w:sz w:val="24"/>
          <w:szCs w:val="24"/>
        </w:rPr>
        <w:t xml:space="preserve">Това сочи, че </w:t>
      </w:r>
      <w:r w:rsidR="009831AC" w:rsidRPr="007B4A99">
        <w:rPr>
          <w:rFonts w:ascii="Times New Roman" w:hAnsi="Times New Roman" w:cs="Times New Roman"/>
          <w:sz w:val="24"/>
          <w:szCs w:val="24"/>
        </w:rPr>
        <w:t xml:space="preserve">списъкът с </w:t>
      </w:r>
      <w:r w:rsidR="006B38E6" w:rsidRPr="007B4A99">
        <w:rPr>
          <w:rFonts w:ascii="Times New Roman" w:hAnsi="Times New Roman" w:cs="Times New Roman"/>
          <w:sz w:val="24"/>
          <w:szCs w:val="24"/>
        </w:rPr>
        <w:t>нелоялните търговски практики, прилагани от купувачите</w:t>
      </w:r>
      <w:r w:rsidR="009831AC" w:rsidRPr="007B4A99">
        <w:rPr>
          <w:rFonts w:ascii="Times New Roman" w:hAnsi="Times New Roman" w:cs="Times New Roman"/>
          <w:sz w:val="24"/>
          <w:szCs w:val="24"/>
        </w:rPr>
        <w:t>,</w:t>
      </w:r>
      <w:r w:rsidR="006B38E6" w:rsidRPr="007B4A99">
        <w:rPr>
          <w:rFonts w:ascii="Times New Roman" w:hAnsi="Times New Roman" w:cs="Times New Roman"/>
          <w:sz w:val="24"/>
          <w:szCs w:val="24"/>
        </w:rPr>
        <w:t xml:space="preserve"> специално по веригата на доставки на земеделски продукти и храни в целия Съюз</w:t>
      </w:r>
      <w:r w:rsidR="00A66EB8">
        <w:rPr>
          <w:rFonts w:ascii="Times New Roman" w:hAnsi="Times New Roman" w:cs="Times New Roman"/>
          <w:sz w:val="24"/>
          <w:szCs w:val="24"/>
        </w:rPr>
        <w:t>,</w:t>
      </w:r>
      <w:r w:rsidR="006B38E6" w:rsidRPr="007B4A99">
        <w:rPr>
          <w:rFonts w:ascii="Times New Roman" w:hAnsi="Times New Roman" w:cs="Times New Roman"/>
          <w:sz w:val="24"/>
          <w:szCs w:val="24"/>
        </w:rPr>
        <w:t xml:space="preserve"> се </w:t>
      </w:r>
      <w:r w:rsidR="009831AC" w:rsidRPr="007B4A99">
        <w:rPr>
          <w:rFonts w:ascii="Times New Roman" w:hAnsi="Times New Roman" w:cs="Times New Roman"/>
          <w:sz w:val="24"/>
          <w:szCs w:val="24"/>
        </w:rPr>
        <w:t xml:space="preserve">е обогатил и разширил. </w:t>
      </w:r>
      <w:r w:rsidR="00A66EB8">
        <w:rPr>
          <w:rFonts w:ascii="Times New Roman" w:hAnsi="Times New Roman" w:cs="Times New Roman"/>
          <w:sz w:val="24"/>
          <w:szCs w:val="24"/>
        </w:rPr>
        <w:t>Съществува</w:t>
      </w:r>
      <w:r w:rsidR="00D61DF9">
        <w:rPr>
          <w:rFonts w:ascii="Times New Roman" w:hAnsi="Times New Roman" w:cs="Times New Roman"/>
          <w:sz w:val="24"/>
          <w:szCs w:val="24"/>
        </w:rPr>
        <w:t>л</w:t>
      </w:r>
      <w:r w:rsidR="00A66EB8">
        <w:rPr>
          <w:rFonts w:ascii="Times New Roman" w:hAnsi="Times New Roman" w:cs="Times New Roman"/>
          <w:sz w:val="24"/>
          <w:szCs w:val="24"/>
        </w:rPr>
        <w:t>ите до този момент</w:t>
      </w:r>
      <w:r w:rsidR="00A66EB8" w:rsidRPr="007B4A99">
        <w:rPr>
          <w:rFonts w:ascii="Times New Roman" w:hAnsi="Times New Roman" w:cs="Times New Roman"/>
          <w:sz w:val="24"/>
          <w:szCs w:val="24"/>
        </w:rPr>
        <w:t xml:space="preserve"> </w:t>
      </w:r>
      <w:r w:rsidR="009831AC" w:rsidRPr="007B4A99">
        <w:rPr>
          <w:rFonts w:ascii="Times New Roman" w:hAnsi="Times New Roman" w:cs="Times New Roman"/>
          <w:sz w:val="24"/>
          <w:szCs w:val="24"/>
        </w:rPr>
        <w:t>практики</w:t>
      </w:r>
      <w:r w:rsidR="006B38E6" w:rsidRPr="007B4A99">
        <w:rPr>
          <w:rFonts w:ascii="Times New Roman" w:hAnsi="Times New Roman" w:cs="Times New Roman"/>
          <w:sz w:val="24"/>
          <w:szCs w:val="24"/>
        </w:rPr>
        <w:t xml:space="preserve"> са еволюирали</w:t>
      </w:r>
      <w:r w:rsidR="009831AC" w:rsidRPr="007B4A99">
        <w:rPr>
          <w:rFonts w:ascii="Times New Roman" w:hAnsi="Times New Roman" w:cs="Times New Roman"/>
          <w:sz w:val="24"/>
          <w:szCs w:val="24"/>
        </w:rPr>
        <w:t>,</w:t>
      </w:r>
      <w:r w:rsidR="006B38E6" w:rsidRPr="007B4A99">
        <w:rPr>
          <w:rFonts w:ascii="Times New Roman" w:hAnsi="Times New Roman" w:cs="Times New Roman"/>
          <w:sz w:val="24"/>
          <w:szCs w:val="24"/>
        </w:rPr>
        <w:t xml:space="preserve"> </w:t>
      </w:r>
      <w:r w:rsidR="009831AC" w:rsidRPr="007B4A99">
        <w:rPr>
          <w:rFonts w:ascii="Times New Roman" w:hAnsi="Times New Roman" w:cs="Times New Roman"/>
          <w:sz w:val="24"/>
          <w:szCs w:val="24"/>
        </w:rPr>
        <w:t xml:space="preserve">претърпели </w:t>
      </w:r>
      <w:r w:rsidR="006B38E6" w:rsidRPr="007B4A99">
        <w:rPr>
          <w:rFonts w:ascii="Times New Roman" w:hAnsi="Times New Roman" w:cs="Times New Roman"/>
          <w:sz w:val="24"/>
          <w:szCs w:val="24"/>
        </w:rPr>
        <w:t xml:space="preserve">са </w:t>
      </w:r>
      <w:r w:rsidR="009831AC" w:rsidRPr="007B4A99">
        <w:rPr>
          <w:rFonts w:ascii="Times New Roman" w:hAnsi="Times New Roman" w:cs="Times New Roman"/>
          <w:sz w:val="24"/>
          <w:szCs w:val="24"/>
        </w:rPr>
        <w:t xml:space="preserve">определена </w:t>
      </w:r>
      <w:r w:rsidR="006B38E6" w:rsidRPr="007B4A99">
        <w:rPr>
          <w:rFonts w:ascii="Times New Roman" w:hAnsi="Times New Roman" w:cs="Times New Roman"/>
          <w:sz w:val="24"/>
          <w:szCs w:val="24"/>
        </w:rPr>
        <w:t>модификация</w:t>
      </w:r>
      <w:r w:rsidR="009831AC" w:rsidRPr="007B4A99">
        <w:rPr>
          <w:rFonts w:ascii="Times New Roman" w:hAnsi="Times New Roman" w:cs="Times New Roman"/>
          <w:sz w:val="24"/>
          <w:szCs w:val="24"/>
        </w:rPr>
        <w:t xml:space="preserve"> или са се появили изцяло нови</w:t>
      </w:r>
      <w:r w:rsidR="006B38E6" w:rsidRPr="007B4A99">
        <w:rPr>
          <w:rFonts w:ascii="Times New Roman" w:hAnsi="Times New Roman" w:cs="Times New Roman"/>
          <w:sz w:val="24"/>
          <w:szCs w:val="24"/>
        </w:rPr>
        <w:t xml:space="preserve">. </w:t>
      </w:r>
    </w:p>
    <w:p w14:paraId="7E20CBCE" w14:textId="615A1948" w:rsidR="006B38E6" w:rsidRPr="007B4A99" w:rsidRDefault="006B38E6" w:rsidP="00DD69D5">
      <w:pPr>
        <w:tabs>
          <w:tab w:val="left" w:pos="851"/>
        </w:tabs>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lang w:eastAsia="en-GB"/>
        </w:rPr>
        <w:t xml:space="preserve">За обезпечаване наблюдението и контрола за изпълнение на закона е изменена частта от него, посветена на </w:t>
      </w:r>
      <w:r w:rsidR="009831AC" w:rsidRPr="007B4A99">
        <w:rPr>
          <w:rFonts w:ascii="Times New Roman" w:hAnsi="Times New Roman" w:cs="Times New Roman"/>
          <w:sz w:val="24"/>
          <w:szCs w:val="24"/>
          <w:lang w:eastAsia="en-GB"/>
        </w:rPr>
        <w:t xml:space="preserve">компетентността </w:t>
      </w:r>
      <w:r w:rsidRPr="007B4A99">
        <w:rPr>
          <w:rFonts w:ascii="Times New Roman" w:hAnsi="Times New Roman" w:cs="Times New Roman"/>
          <w:sz w:val="24"/>
          <w:szCs w:val="24"/>
          <w:lang w:eastAsia="en-GB"/>
        </w:rPr>
        <w:t>на КЗК</w:t>
      </w:r>
      <w:r w:rsidR="009831AC" w:rsidRPr="007B4A99">
        <w:rPr>
          <w:rFonts w:ascii="Times New Roman" w:hAnsi="Times New Roman" w:cs="Times New Roman"/>
          <w:sz w:val="24"/>
          <w:szCs w:val="24"/>
          <w:lang w:eastAsia="en-GB"/>
        </w:rPr>
        <w:t>, като са предвидени нови правомощия</w:t>
      </w:r>
      <w:r w:rsidRPr="007B4A99">
        <w:rPr>
          <w:rFonts w:ascii="Times New Roman" w:hAnsi="Times New Roman" w:cs="Times New Roman"/>
          <w:sz w:val="24"/>
          <w:szCs w:val="24"/>
          <w:lang w:eastAsia="en-GB"/>
        </w:rPr>
        <w:t xml:space="preserve"> </w:t>
      </w:r>
      <w:r w:rsidR="009831AC" w:rsidRPr="007B4A99">
        <w:rPr>
          <w:rFonts w:ascii="Times New Roman" w:hAnsi="Times New Roman" w:cs="Times New Roman"/>
          <w:sz w:val="24"/>
          <w:szCs w:val="24"/>
          <w:lang w:eastAsia="en-GB"/>
        </w:rPr>
        <w:t>относно</w:t>
      </w:r>
      <w:r w:rsidRPr="007B4A99">
        <w:rPr>
          <w:rFonts w:ascii="Times New Roman" w:hAnsi="Times New Roman" w:cs="Times New Roman"/>
          <w:sz w:val="24"/>
          <w:szCs w:val="24"/>
          <w:lang w:eastAsia="en-GB"/>
        </w:rPr>
        <w:t xml:space="preserve"> извършване</w:t>
      </w:r>
      <w:r w:rsidR="009831AC" w:rsidRPr="007B4A99">
        <w:rPr>
          <w:rFonts w:ascii="Times New Roman" w:hAnsi="Times New Roman" w:cs="Times New Roman"/>
          <w:sz w:val="24"/>
          <w:szCs w:val="24"/>
          <w:lang w:eastAsia="en-GB"/>
        </w:rPr>
        <w:t>то</w:t>
      </w:r>
      <w:r w:rsidRPr="007B4A99">
        <w:rPr>
          <w:rFonts w:ascii="Times New Roman" w:hAnsi="Times New Roman" w:cs="Times New Roman"/>
          <w:sz w:val="24"/>
          <w:szCs w:val="24"/>
          <w:lang w:eastAsia="en-GB"/>
        </w:rPr>
        <w:t xml:space="preserve"> на проверки на място</w:t>
      </w:r>
      <w:r w:rsidR="009831AC" w:rsidRPr="007B4A99">
        <w:rPr>
          <w:rFonts w:ascii="Times New Roman" w:hAnsi="Times New Roman" w:cs="Times New Roman"/>
          <w:sz w:val="24"/>
          <w:szCs w:val="24"/>
          <w:lang w:eastAsia="en-GB"/>
        </w:rPr>
        <w:t>,</w:t>
      </w:r>
      <w:r w:rsidRPr="007B4A99">
        <w:rPr>
          <w:rFonts w:ascii="Times New Roman" w:hAnsi="Times New Roman" w:cs="Times New Roman"/>
          <w:sz w:val="24"/>
          <w:szCs w:val="24"/>
          <w:lang w:eastAsia="en-GB"/>
        </w:rPr>
        <w:t xml:space="preserve"> заедно с </w:t>
      </w:r>
      <w:r w:rsidR="009831AC" w:rsidRPr="007B4A99">
        <w:rPr>
          <w:rFonts w:ascii="Times New Roman" w:hAnsi="Times New Roman" w:cs="Times New Roman"/>
          <w:sz w:val="24"/>
          <w:szCs w:val="24"/>
          <w:lang w:eastAsia="en-GB"/>
        </w:rPr>
        <w:t xml:space="preserve">нови </w:t>
      </w:r>
      <w:r w:rsidRPr="007B4A99">
        <w:rPr>
          <w:rFonts w:ascii="Times New Roman" w:hAnsi="Times New Roman" w:cs="Times New Roman"/>
          <w:sz w:val="24"/>
          <w:szCs w:val="24"/>
          <w:lang w:eastAsia="en-GB"/>
        </w:rPr>
        <w:t>процедури за събиране на доказателства. В тази връзка са уредени права за влизане на служители</w:t>
      </w:r>
      <w:r w:rsidR="009831AC" w:rsidRPr="007B4A99">
        <w:rPr>
          <w:rFonts w:ascii="Times New Roman" w:hAnsi="Times New Roman" w:cs="Times New Roman"/>
          <w:sz w:val="24"/>
          <w:szCs w:val="24"/>
          <w:lang w:eastAsia="en-GB"/>
        </w:rPr>
        <w:t xml:space="preserve"> на комисията</w:t>
      </w:r>
      <w:r w:rsidRPr="007B4A99">
        <w:rPr>
          <w:rFonts w:ascii="Times New Roman" w:hAnsi="Times New Roman" w:cs="Times New Roman"/>
          <w:sz w:val="24"/>
          <w:szCs w:val="24"/>
          <w:lang w:eastAsia="en-GB"/>
        </w:rPr>
        <w:t xml:space="preserve"> в помещенията, превозните средства и другите обекти, използвани от предприятията, сдруженията на предприятия или купувачите на селскостопански и хранителни продукти, включително в домовете на всеки представител или член на управителните органи или на персонала. Установени са и правила за преглеждане и изземване на всякакви документи на </w:t>
      </w:r>
      <w:r w:rsidR="009831AC" w:rsidRPr="007B4A99">
        <w:rPr>
          <w:rFonts w:ascii="Times New Roman" w:hAnsi="Times New Roman" w:cs="Times New Roman"/>
          <w:sz w:val="24"/>
          <w:szCs w:val="24"/>
          <w:lang w:eastAsia="en-GB"/>
        </w:rPr>
        <w:t>всички възможни</w:t>
      </w:r>
      <w:r w:rsidRPr="007B4A99">
        <w:rPr>
          <w:rFonts w:ascii="Times New Roman" w:hAnsi="Times New Roman" w:cs="Times New Roman"/>
          <w:sz w:val="24"/>
          <w:szCs w:val="24"/>
          <w:lang w:eastAsia="en-GB"/>
        </w:rPr>
        <w:t xml:space="preserve"> носители във връзка с тяхната дейност, както и за снемане и документиране на показания и други действия по събирането на доказателства. Регламентирани са и хипотезите, при които въпросните обекти могат да бъдат запечатвани за определен срок.</w:t>
      </w:r>
    </w:p>
    <w:p w14:paraId="5888D5D7" w14:textId="62FCDC1E" w:rsidR="009831AC" w:rsidRPr="007B4A99" w:rsidRDefault="006B38E6" w:rsidP="00DD69D5">
      <w:pPr>
        <w:tabs>
          <w:tab w:val="left" w:pos="851"/>
        </w:tabs>
        <w:spacing w:after="0" w:line="240" w:lineRule="auto"/>
        <w:ind w:firstLine="567"/>
        <w:jc w:val="both"/>
      </w:pPr>
      <w:r w:rsidRPr="007B4A99">
        <w:rPr>
          <w:rFonts w:ascii="Times New Roman" w:hAnsi="Times New Roman" w:cs="Times New Roman"/>
          <w:sz w:val="24"/>
          <w:szCs w:val="24"/>
          <w:lang w:eastAsia="en-GB"/>
        </w:rPr>
        <w:t>Глава дванадесета от ЗЗК е разширена, като</w:t>
      </w:r>
      <w:r w:rsidR="000149CC">
        <w:rPr>
          <w:rFonts w:ascii="Times New Roman" w:hAnsi="Times New Roman" w:cs="Times New Roman"/>
          <w:sz w:val="24"/>
          <w:szCs w:val="24"/>
          <w:lang w:eastAsia="en-GB"/>
        </w:rPr>
        <w:t xml:space="preserve"> регламентираното</w:t>
      </w:r>
      <w:r w:rsidR="000149CC" w:rsidRPr="007B4A99">
        <w:rPr>
          <w:rFonts w:ascii="Times New Roman" w:hAnsi="Times New Roman" w:cs="Times New Roman"/>
          <w:sz w:val="24"/>
          <w:szCs w:val="24"/>
          <w:lang w:eastAsia="en-GB"/>
        </w:rPr>
        <w:t xml:space="preserve"> </w:t>
      </w:r>
      <w:r w:rsidRPr="007B4A99">
        <w:rPr>
          <w:rFonts w:ascii="Times New Roman" w:hAnsi="Times New Roman" w:cs="Times New Roman"/>
          <w:sz w:val="24"/>
          <w:szCs w:val="24"/>
          <w:lang w:eastAsia="en-GB"/>
        </w:rPr>
        <w:t>в нея преди промените от 2021 г. отделно производство по установяване на нарушения и налагане на санкции при нарушаване на забрана за нелоялна конкуренция, след тях обхваща и нарушенията на забраните за н</w:t>
      </w:r>
      <w:r w:rsidRPr="007B4A99">
        <w:rPr>
          <w:rFonts w:ascii="Times New Roman" w:hAnsi="Times New Roman" w:cs="Times New Roman"/>
          <w:sz w:val="24"/>
          <w:szCs w:val="24"/>
        </w:rPr>
        <w:t>елоялни търговски практики по веригата за доставки на селскостопански и хранителни продукти</w:t>
      </w:r>
      <w:r w:rsidRPr="007B4A99">
        <w:rPr>
          <w:rFonts w:ascii="Times New Roman" w:hAnsi="Times New Roman" w:cs="Times New Roman"/>
          <w:sz w:val="24"/>
          <w:szCs w:val="24"/>
          <w:lang w:eastAsia="en-GB"/>
        </w:rPr>
        <w:t>.</w:t>
      </w:r>
      <w:r w:rsidRPr="007B4A99">
        <w:t xml:space="preserve"> </w:t>
      </w:r>
    </w:p>
    <w:p w14:paraId="4B379832" w14:textId="19954A6F" w:rsidR="006B38E6" w:rsidRPr="007B4A99" w:rsidRDefault="006B38E6" w:rsidP="00DD69D5">
      <w:pPr>
        <w:tabs>
          <w:tab w:val="left" w:pos="851"/>
        </w:tabs>
        <w:spacing w:after="0" w:line="240" w:lineRule="auto"/>
        <w:ind w:firstLine="567"/>
        <w:jc w:val="both"/>
        <w:rPr>
          <w:rFonts w:ascii="Times New Roman" w:hAnsi="Times New Roman" w:cs="Times New Roman"/>
          <w:i/>
          <w:sz w:val="24"/>
          <w:szCs w:val="24"/>
          <w:lang w:eastAsia="en-GB"/>
        </w:rPr>
      </w:pPr>
      <w:r w:rsidRPr="007B4A99">
        <w:rPr>
          <w:rFonts w:ascii="Times New Roman" w:hAnsi="Times New Roman" w:cs="Times New Roman"/>
          <w:sz w:val="24"/>
          <w:szCs w:val="24"/>
          <w:lang w:eastAsia="en-GB"/>
        </w:rPr>
        <w:t xml:space="preserve">В глава четиринадесета от закона са предвидени изрични имуществени санкции за нарушение на абсолютните и относителните забрани на нелоялни търговски практики по веригата за доставки на селскостопански и хранителни продукти. В допълнителните разпоредби на ЗЗК са въведени новите легални дефиниции за </w:t>
      </w:r>
      <w:r w:rsidR="00A66EB8">
        <w:rPr>
          <w:rFonts w:ascii="Times New Roman" w:hAnsi="Times New Roman" w:cs="Times New Roman"/>
          <w:sz w:val="24"/>
          <w:szCs w:val="24"/>
          <w:lang w:eastAsia="en-GB"/>
        </w:rPr>
        <w:t>„</w:t>
      </w:r>
      <w:r w:rsidRPr="007B4A99">
        <w:rPr>
          <w:rFonts w:ascii="Times New Roman" w:hAnsi="Times New Roman" w:cs="Times New Roman"/>
          <w:sz w:val="24"/>
          <w:szCs w:val="24"/>
          <w:lang w:eastAsia="en-GB"/>
        </w:rPr>
        <w:t>селскостопански и хранителни продукти</w:t>
      </w:r>
      <w:r w:rsidR="00A66EB8">
        <w:rPr>
          <w:rFonts w:ascii="Times New Roman" w:hAnsi="Times New Roman" w:cs="Times New Roman"/>
          <w:sz w:val="24"/>
          <w:szCs w:val="24"/>
          <w:lang w:eastAsia="en-GB"/>
        </w:rPr>
        <w:t>“</w:t>
      </w:r>
      <w:r w:rsidRPr="007B4A99">
        <w:rPr>
          <w:rFonts w:ascii="Times New Roman" w:hAnsi="Times New Roman" w:cs="Times New Roman"/>
          <w:sz w:val="24"/>
          <w:szCs w:val="24"/>
          <w:lang w:eastAsia="en-GB"/>
        </w:rPr>
        <w:t xml:space="preserve">, </w:t>
      </w:r>
      <w:r w:rsidR="00A66EB8">
        <w:rPr>
          <w:rFonts w:ascii="Times New Roman" w:hAnsi="Times New Roman" w:cs="Times New Roman"/>
          <w:sz w:val="24"/>
          <w:szCs w:val="24"/>
          <w:lang w:eastAsia="en-GB"/>
        </w:rPr>
        <w:t>„</w:t>
      </w:r>
      <w:r w:rsidRPr="007B4A99">
        <w:rPr>
          <w:rFonts w:ascii="Times New Roman" w:hAnsi="Times New Roman" w:cs="Times New Roman"/>
          <w:sz w:val="24"/>
          <w:szCs w:val="24"/>
          <w:lang w:eastAsia="en-GB"/>
        </w:rPr>
        <w:t>нетрайни селскостопански и хранителни продукти</w:t>
      </w:r>
      <w:r w:rsidR="00A66EB8">
        <w:rPr>
          <w:rFonts w:ascii="Times New Roman" w:hAnsi="Times New Roman" w:cs="Times New Roman"/>
          <w:sz w:val="24"/>
          <w:szCs w:val="24"/>
          <w:lang w:eastAsia="en-GB"/>
        </w:rPr>
        <w:t>“</w:t>
      </w:r>
      <w:r w:rsidRPr="007B4A99">
        <w:rPr>
          <w:rFonts w:ascii="Times New Roman" w:hAnsi="Times New Roman" w:cs="Times New Roman"/>
          <w:sz w:val="24"/>
          <w:szCs w:val="24"/>
          <w:lang w:eastAsia="en-GB"/>
        </w:rPr>
        <w:t xml:space="preserve">, </w:t>
      </w:r>
      <w:r w:rsidR="00A66EB8">
        <w:rPr>
          <w:rFonts w:ascii="Times New Roman" w:hAnsi="Times New Roman" w:cs="Times New Roman"/>
          <w:sz w:val="24"/>
          <w:szCs w:val="24"/>
          <w:lang w:eastAsia="en-GB"/>
        </w:rPr>
        <w:t>„</w:t>
      </w:r>
      <w:r w:rsidRPr="007B4A99">
        <w:rPr>
          <w:rFonts w:ascii="Times New Roman" w:hAnsi="Times New Roman" w:cs="Times New Roman"/>
          <w:sz w:val="24"/>
          <w:szCs w:val="24"/>
          <w:lang w:eastAsia="en-GB"/>
        </w:rPr>
        <w:t>купувач на селскостопански и хранителни продукти</w:t>
      </w:r>
      <w:r w:rsidR="00A66EB8">
        <w:rPr>
          <w:rFonts w:ascii="Times New Roman" w:hAnsi="Times New Roman" w:cs="Times New Roman"/>
          <w:sz w:val="24"/>
          <w:szCs w:val="24"/>
          <w:lang w:eastAsia="en-GB"/>
        </w:rPr>
        <w:t>“</w:t>
      </w:r>
      <w:r w:rsidRPr="007B4A99">
        <w:rPr>
          <w:rFonts w:ascii="Times New Roman" w:hAnsi="Times New Roman" w:cs="Times New Roman"/>
          <w:sz w:val="24"/>
          <w:szCs w:val="24"/>
          <w:lang w:eastAsia="en-GB"/>
        </w:rPr>
        <w:t xml:space="preserve">, </w:t>
      </w:r>
      <w:r w:rsidR="00A66EB8">
        <w:rPr>
          <w:rFonts w:ascii="Times New Roman" w:hAnsi="Times New Roman" w:cs="Times New Roman"/>
          <w:sz w:val="24"/>
          <w:szCs w:val="24"/>
          <w:lang w:eastAsia="en-GB"/>
        </w:rPr>
        <w:t>„</w:t>
      </w:r>
      <w:r w:rsidRPr="007B4A99">
        <w:rPr>
          <w:rFonts w:ascii="Times New Roman" w:hAnsi="Times New Roman" w:cs="Times New Roman"/>
          <w:sz w:val="24"/>
          <w:szCs w:val="24"/>
          <w:lang w:eastAsia="en-GB"/>
        </w:rPr>
        <w:t>доставчик на селскостопански и хранителни продукти</w:t>
      </w:r>
      <w:r w:rsidR="00A66EB8">
        <w:rPr>
          <w:rFonts w:ascii="Times New Roman" w:hAnsi="Times New Roman" w:cs="Times New Roman"/>
          <w:sz w:val="24"/>
          <w:szCs w:val="24"/>
          <w:lang w:eastAsia="en-GB"/>
        </w:rPr>
        <w:t>“</w:t>
      </w:r>
      <w:r w:rsidRPr="007B4A99">
        <w:rPr>
          <w:rFonts w:ascii="Times New Roman" w:hAnsi="Times New Roman" w:cs="Times New Roman"/>
          <w:sz w:val="24"/>
          <w:szCs w:val="24"/>
          <w:lang w:eastAsia="en-GB"/>
        </w:rPr>
        <w:t xml:space="preserve"> и други, които са идентични с определенията, дадени в </w:t>
      </w:r>
      <w:r w:rsidRPr="007B4A99">
        <w:rPr>
          <w:rFonts w:ascii="Times New Roman" w:hAnsi="Times New Roman" w:cs="Times New Roman"/>
          <w:sz w:val="24"/>
          <w:szCs w:val="24"/>
        </w:rPr>
        <w:t>Директива</w:t>
      </w:r>
      <w:r w:rsidR="009831AC" w:rsidRPr="007B4A99">
        <w:rPr>
          <w:rFonts w:ascii="Times New Roman" w:hAnsi="Times New Roman" w:cs="Times New Roman"/>
          <w:sz w:val="24"/>
          <w:szCs w:val="24"/>
        </w:rPr>
        <w:t xml:space="preserve"> (ЕС)</w:t>
      </w:r>
      <w:r w:rsidRPr="007B4A99">
        <w:rPr>
          <w:rFonts w:ascii="Times New Roman" w:hAnsi="Times New Roman" w:cs="Times New Roman"/>
          <w:sz w:val="24"/>
          <w:szCs w:val="24"/>
        </w:rPr>
        <w:t xml:space="preserve"> 2019/633</w:t>
      </w:r>
      <w:r w:rsidRPr="007B4A99">
        <w:rPr>
          <w:rFonts w:ascii="Times New Roman" w:hAnsi="Times New Roman" w:cs="Times New Roman"/>
          <w:i/>
          <w:sz w:val="24"/>
          <w:szCs w:val="24"/>
          <w:lang w:eastAsia="en-GB"/>
        </w:rPr>
        <w:t>.</w:t>
      </w:r>
    </w:p>
    <w:p w14:paraId="38F52B0A" w14:textId="37B9680B" w:rsidR="00B36369" w:rsidRPr="007B4A99" w:rsidRDefault="00310552" w:rsidP="00DD69D5">
      <w:pPr>
        <w:tabs>
          <w:tab w:val="left" w:pos="851"/>
        </w:tabs>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Директива</w:t>
      </w:r>
      <w:r w:rsidR="000149CC">
        <w:rPr>
          <w:rFonts w:ascii="Times New Roman" w:hAnsi="Times New Roman" w:cs="Times New Roman"/>
          <w:sz w:val="24"/>
          <w:szCs w:val="24"/>
        </w:rPr>
        <w:t xml:space="preserve">та </w:t>
      </w:r>
      <w:r w:rsidRPr="007B4A99">
        <w:rPr>
          <w:rFonts w:ascii="Times New Roman" w:hAnsi="Times New Roman" w:cs="Times New Roman"/>
          <w:sz w:val="24"/>
          <w:szCs w:val="24"/>
        </w:rPr>
        <w:t xml:space="preserve">залага </w:t>
      </w:r>
      <w:r w:rsidR="003D213A">
        <w:rPr>
          <w:rFonts w:ascii="Times New Roman" w:hAnsi="Times New Roman" w:cs="Times New Roman"/>
          <w:sz w:val="24"/>
          <w:szCs w:val="24"/>
        </w:rPr>
        <w:t xml:space="preserve">и </w:t>
      </w:r>
      <w:r w:rsidRPr="007B4A99">
        <w:rPr>
          <w:rFonts w:ascii="Times New Roman" w:hAnsi="Times New Roman" w:cs="Times New Roman"/>
          <w:sz w:val="24"/>
          <w:szCs w:val="24"/>
        </w:rPr>
        <w:t xml:space="preserve">схема за </w:t>
      </w:r>
      <w:r w:rsidR="00B36369" w:rsidRPr="007B4A99">
        <w:rPr>
          <w:rFonts w:ascii="Times New Roman" w:hAnsi="Times New Roman" w:cs="Times New Roman"/>
          <w:sz w:val="24"/>
          <w:szCs w:val="24"/>
        </w:rPr>
        <w:t xml:space="preserve">проследяемост, </w:t>
      </w:r>
      <w:r w:rsidRPr="007B4A99">
        <w:rPr>
          <w:rFonts w:ascii="Times New Roman" w:hAnsi="Times New Roman" w:cs="Times New Roman"/>
          <w:sz w:val="24"/>
          <w:szCs w:val="24"/>
        </w:rPr>
        <w:t>мониторинг и последваща оценка на собственото си представяне</w:t>
      </w:r>
      <w:r w:rsidR="00B36369" w:rsidRPr="007B4A99">
        <w:rPr>
          <w:rFonts w:ascii="Times New Roman" w:hAnsi="Times New Roman" w:cs="Times New Roman"/>
          <w:sz w:val="24"/>
          <w:szCs w:val="24"/>
        </w:rPr>
        <w:t xml:space="preserve">. Тя предвижда създаването и управлението на </w:t>
      </w:r>
      <w:r w:rsidR="00B36369" w:rsidRPr="003D213A">
        <w:rPr>
          <w:rFonts w:ascii="Times New Roman" w:hAnsi="Times New Roman" w:cs="Times New Roman"/>
          <w:i/>
          <w:sz w:val="24"/>
          <w:szCs w:val="24"/>
        </w:rPr>
        <w:t>публичен уебсайт</w:t>
      </w:r>
      <w:r w:rsidR="00B36369" w:rsidRPr="007B4A99">
        <w:rPr>
          <w:rFonts w:ascii="Times New Roman" w:hAnsi="Times New Roman" w:cs="Times New Roman"/>
          <w:sz w:val="24"/>
          <w:szCs w:val="24"/>
        </w:rPr>
        <w:t xml:space="preserve"> от Комисията, който осигурява възможност за обмен на информация между правоприлагащите органи, предоставя данни за контакт с тях и връзки към техните интернет страници или тези на други компетентни органи на държавите членки, както и предоставя информация относно мерките за транспониране на </w:t>
      </w:r>
      <w:r w:rsidR="000149CC">
        <w:rPr>
          <w:rFonts w:ascii="Times New Roman" w:hAnsi="Times New Roman" w:cs="Times New Roman"/>
          <w:sz w:val="24"/>
          <w:szCs w:val="24"/>
        </w:rPr>
        <w:t>акта</w:t>
      </w:r>
      <w:r w:rsidR="00B36369" w:rsidRPr="007B4A99">
        <w:rPr>
          <w:rFonts w:ascii="Times New Roman" w:hAnsi="Times New Roman" w:cs="Times New Roman"/>
          <w:sz w:val="24"/>
          <w:szCs w:val="24"/>
        </w:rPr>
        <w:t>.</w:t>
      </w:r>
    </w:p>
    <w:p w14:paraId="2971EB25" w14:textId="698A292E" w:rsidR="00310552" w:rsidRPr="007B4A99" w:rsidRDefault="00B36369" w:rsidP="00DD69D5">
      <w:pPr>
        <w:tabs>
          <w:tab w:val="left" w:pos="851"/>
        </w:tabs>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Директивата урежда задължение за</w:t>
      </w:r>
      <w:r w:rsidR="00310552" w:rsidRPr="007B4A99">
        <w:rPr>
          <w:rFonts w:ascii="Times New Roman" w:hAnsi="Times New Roman" w:cs="Times New Roman"/>
          <w:sz w:val="24"/>
          <w:szCs w:val="24"/>
        </w:rPr>
        <w:t xml:space="preserve"> държавите членки да гарантират, че техните правоприлагащи органи </w:t>
      </w:r>
      <w:r w:rsidR="00310552" w:rsidRPr="003D213A">
        <w:rPr>
          <w:rFonts w:ascii="Times New Roman" w:hAnsi="Times New Roman" w:cs="Times New Roman"/>
          <w:i/>
          <w:sz w:val="24"/>
          <w:szCs w:val="24"/>
        </w:rPr>
        <w:t>публикуват годишен доклад</w:t>
      </w:r>
      <w:r w:rsidR="00310552" w:rsidRPr="007B4A99">
        <w:rPr>
          <w:rFonts w:ascii="Times New Roman" w:hAnsi="Times New Roman" w:cs="Times New Roman"/>
          <w:b/>
          <w:i/>
          <w:sz w:val="24"/>
          <w:szCs w:val="24"/>
        </w:rPr>
        <w:t xml:space="preserve"> </w:t>
      </w:r>
      <w:r w:rsidR="00310552" w:rsidRPr="007B4A99">
        <w:rPr>
          <w:rFonts w:ascii="Times New Roman" w:hAnsi="Times New Roman" w:cs="Times New Roman"/>
          <w:sz w:val="24"/>
          <w:szCs w:val="24"/>
        </w:rPr>
        <w:t xml:space="preserve">за дейностите си, които попадат в нейния обхват. В него те посочват броя на получените жалби и броя на започналите или приключилите разследвания в рамките на предходната година. За всяко приключило разследване докладът съдържа обобщено описание на случая, на резултата </w:t>
      </w:r>
      <w:r w:rsidR="00310552" w:rsidRPr="007B4A99">
        <w:rPr>
          <w:rFonts w:ascii="Times New Roman" w:hAnsi="Times New Roman" w:cs="Times New Roman"/>
          <w:sz w:val="24"/>
          <w:szCs w:val="24"/>
        </w:rPr>
        <w:lastRenderedPageBreak/>
        <w:t>от разследването и, ако е приложимо, на взетото решение, при спазване на изискванията за поверителност.</w:t>
      </w:r>
    </w:p>
    <w:p w14:paraId="2BB39EF7" w14:textId="5ED940F1" w:rsidR="00BF28C8" w:rsidRPr="007B4A99" w:rsidRDefault="00310552" w:rsidP="00DD69D5">
      <w:pPr>
        <w:tabs>
          <w:tab w:val="left" w:pos="851"/>
        </w:tabs>
        <w:spacing w:after="0" w:line="240" w:lineRule="auto"/>
        <w:ind w:firstLine="567"/>
        <w:jc w:val="both"/>
      </w:pPr>
      <w:r w:rsidRPr="007B4A99">
        <w:rPr>
          <w:rFonts w:ascii="Times New Roman" w:hAnsi="Times New Roman" w:cs="Times New Roman"/>
          <w:sz w:val="24"/>
          <w:szCs w:val="24"/>
        </w:rPr>
        <w:t>Според директивата</w:t>
      </w:r>
      <w:r w:rsidR="000149CC">
        <w:rPr>
          <w:rFonts w:ascii="Times New Roman" w:hAnsi="Times New Roman" w:cs="Times New Roman"/>
          <w:sz w:val="24"/>
          <w:szCs w:val="24"/>
        </w:rPr>
        <w:t>,</w:t>
      </w:r>
      <w:r w:rsidRPr="007B4A99">
        <w:rPr>
          <w:rFonts w:ascii="Times New Roman" w:hAnsi="Times New Roman" w:cs="Times New Roman"/>
          <w:sz w:val="24"/>
          <w:szCs w:val="24"/>
        </w:rPr>
        <w:t xml:space="preserve"> до 15 март </w:t>
      </w:r>
      <w:r w:rsidR="00BF28C8" w:rsidRPr="007B4A99">
        <w:rPr>
          <w:rFonts w:ascii="Times New Roman" w:hAnsi="Times New Roman" w:cs="Times New Roman"/>
          <w:sz w:val="24"/>
          <w:szCs w:val="24"/>
        </w:rPr>
        <w:t xml:space="preserve">на </w:t>
      </w:r>
      <w:r w:rsidRPr="007B4A99">
        <w:rPr>
          <w:rFonts w:ascii="Times New Roman" w:hAnsi="Times New Roman" w:cs="Times New Roman"/>
          <w:sz w:val="24"/>
          <w:szCs w:val="24"/>
        </w:rPr>
        <w:t xml:space="preserve">всяка година държавите членки изпращат на </w:t>
      </w:r>
      <w:r w:rsidR="000149CC">
        <w:rPr>
          <w:rFonts w:ascii="Times New Roman" w:hAnsi="Times New Roman" w:cs="Times New Roman"/>
          <w:sz w:val="24"/>
          <w:szCs w:val="24"/>
        </w:rPr>
        <w:t>Европейската комисия</w:t>
      </w:r>
      <w:r w:rsidR="000149CC" w:rsidRPr="007B4A99">
        <w:rPr>
          <w:rFonts w:ascii="Times New Roman" w:hAnsi="Times New Roman" w:cs="Times New Roman"/>
          <w:sz w:val="24"/>
          <w:szCs w:val="24"/>
        </w:rPr>
        <w:t xml:space="preserve"> </w:t>
      </w:r>
      <w:r w:rsidRPr="003D213A">
        <w:rPr>
          <w:rFonts w:ascii="Times New Roman" w:hAnsi="Times New Roman" w:cs="Times New Roman"/>
          <w:i/>
          <w:sz w:val="24"/>
          <w:szCs w:val="24"/>
        </w:rPr>
        <w:t>доклад относно нелоялните търговски практики</w:t>
      </w:r>
      <w:r w:rsidRPr="007B4A99">
        <w:rPr>
          <w:rFonts w:ascii="Times New Roman" w:hAnsi="Times New Roman" w:cs="Times New Roman"/>
          <w:sz w:val="24"/>
          <w:szCs w:val="24"/>
        </w:rPr>
        <w:t xml:space="preserve"> в отношенията между стопанските субекти във веригата за доставки на селскостопански и хранителни продукти. Той следва да съдържа по-конкретно всички съществени данни относно прилагането и изпълнението на правилата по нея в съответната държава членка в рамките на предходната година.</w:t>
      </w:r>
      <w:r w:rsidR="00BF28C8" w:rsidRPr="007B4A99">
        <w:t xml:space="preserve"> </w:t>
      </w:r>
    </w:p>
    <w:p w14:paraId="34ACFC41" w14:textId="31DDE048" w:rsidR="00BF28C8" w:rsidRPr="007B4A99" w:rsidRDefault="00B36369" w:rsidP="00DD69D5">
      <w:pPr>
        <w:tabs>
          <w:tab w:val="left" w:pos="851"/>
        </w:tabs>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Директива (ЕС) 2019/633 </w:t>
      </w:r>
      <w:r w:rsidR="00BF28C8" w:rsidRPr="007B4A99">
        <w:rPr>
          <w:rFonts w:ascii="Times New Roman" w:hAnsi="Times New Roman" w:cs="Times New Roman"/>
          <w:sz w:val="24"/>
          <w:szCs w:val="24"/>
        </w:rPr>
        <w:t xml:space="preserve">задължава </w:t>
      </w:r>
      <w:r w:rsidR="000149CC">
        <w:rPr>
          <w:rFonts w:ascii="Times New Roman" w:hAnsi="Times New Roman" w:cs="Times New Roman"/>
          <w:sz w:val="24"/>
          <w:szCs w:val="24"/>
        </w:rPr>
        <w:t xml:space="preserve">Комисията </w:t>
      </w:r>
      <w:r w:rsidR="00BF28C8" w:rsidRPr="007B4A99">
        <w:rPr>
          <w:rFonts w:ascii="Times New Roman" w:hAnsi="Times New Roman" w:cs="Times New Roman"/>
          <w:sz w:val="24"/>
          <w:szCs w:val="24"/>
        </w:rPr>
        <w:t xml:space="preserve">до 1 ноември 2025 г. да извърши </w:t>
      </w:r>
      <w:r w:rsidR="00BF28C8" w:rsidRPr="002E211A">
        <w:rPr>
          <w:rFonts w:ascii="Times New Roman" w:hAnsi="Times New Roman" w:cs="Times New Roman"/>
          <w:sz w:val="24"/>
          <w:szCs w:val="24"/>
        </w:rPr>
        <w:t xml:space="preserve">първата </w:t>
      </w:r>
      <w:r w:rsidR="00BF28C8" w:rsidRPr="002E211A">
        <w:rPr>
          <w:rFonts w:ascii="Times New Roman" w:hAnsi="Times New Roman" w:cs="Times New Roman"/>
          <w:i/>
          <w:sz w:val="24"/>
          <w:szCs w:val="24"/>
        </w:rPr>
        <w:t>последваща оценка на въздействието</w:t>
      </w:r>
      <w:r w:rsidR="00BF28C8" w:rsidRPr="007B4A99">
        <w:rPr>
          <w:rFonts w:ascii="Times New Roman" w:hAnsi="Times New Roman" w:cs="Times New Roman"/>
          <w:sz w:val="24"/>
          <w:szCs w:val="24"/>
        </w:rPr>
        <w:t xml:space="preserve"> </w:t>
      </w:r>
      <w:r w:rsidR="002E211A">
        <w:rPr>
          <w:rFonts w:ascii="Times New Roman" w:hAnsi="Times New Roman" w:cs="Times New Roman"/>
          <w:sz w:val="24"/>
          <w:szCs w:val="24"/>
        </w:rPr>
        <w:t>на</w:t>
      </w:r>
      <w:r w:rsidR="00BF28C8" w:rsidRPr="007B4A99">
        <w:rPr>
          <w:rFonts w:ascii="Times New Roman" w:hAnsi="Times New Roman" w:cs="Times New Roman"/>
          <w:sz w:val="24"/>
          <w:szCs w:val="24"/>
        </w:rPr>
        <w:t xml:space="preserve"> нейното изпълнение, която следва да се отнася най-малко до: ефективността на мерките, предприети на национално равнище с цел борба с нелоялните търговски практики във веригата за доставки на селскостопански и хранителни продукти и до ефективността на сътрудничеството между компетентните правоприлагащи</w:t>
      </w:r>
      <w:r w:rsidR="000149CC">
        <w:rPr>
          <w:rFonts w:ascii="Times New Roman" w:hAnsi="Times New Roman" w:cs="Times New Roman"/>
          <w:sz w:val="24"/>
          <w:szCs w:val="24"/>
        </w:rPr>
        <w:t xml:space="preserve"> органи</w:t>
      </w:r>
      <w:r w:rsidR="00BF28C8" w:rsidRPr="007B4A99">
        <w:rPr>
          <w:rFonts w:ascii="Times New Roman" w:hAnsi="Times New Roman" w:cs="Times New Roman"/>
          <w:sz w:val="24"/>
          <w:szCs w:val="24"/>
        </w:rPr>
        <w:t>. За основа на последващата ОВ</w:t>
      </w:r>
      <w:r w:rsidR="000149CC">
        <w:rPr>
          <w:rFonts w:ascii="Times New Roman" w:hAnsi="Times New Roman" w:cs="Times New Roman"/>
          <w:sz w:val="24"/>
          <w:szCs w:val="24"/>
        </w:rPr>
        <w:t xml:space="preserve"> ще се ползват</w:t>
      </w:r>
      <w:r w:rsidR="00BF28C8" w:rsidRPr="007B4A99">
        <w:rPr>
          <w:rFonts w:ascii="Times New Roman" w:hAnsi="Times New Roman" w:cs="Times New Roman"/>
          <w:sz w:val="24"/>
          <w:szCs w:val="24"/>
        </w:rPr>
        <w:t xml:space="preserve"> годишните доклади от държавите членки.</w:t>
      </w:r>
    </w:p>
    <w:p w14:paraId="7E35B7F8" w14:textId="27F1FE14" w:rsidR="006B38E6" w:rsidRPr="007B4A99" w:rsidRDefault="006B38E6"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Според последния публикуван отчет за дейността на КЗК за 2023 г.</w:t>
      </w:r>
      <w:r w:rsidR="00B36369" w:rsidRPr="007B4A99">
        <w:rPr>
          <w:rFonts w:ascii="Times New Roman" w:hAnsi="Times New Roman" w:cs="Times New Roman"/>
          <w:sz w:val="24"/>
          <w:szCs w:val="24"/>
        </w:rPr>
        <w:t>,</w:t>
      </w:r>
      <w:r w:rsidRPr="007B4A99">
        <w:rPr>
          <w:rFonts w:ascii="Times New Roman" w:hAnsi="Times New Roman" w:cs="Times New Roman"/>
          <w:sz w:val="24"/>
          <w:szCs w:val="24"/>
        </w:rPr>
        <w:t xml:space="preserve"> през отчетния период </w:t>
      </w:r>
      <w:r w:rsidR="00310552" w:rsidRPr="007B4A99">
        <w:rPr>
          <w:rFonts w:ascii="Times New Roman" w:hAnsi="Times New Roman" w:cs="Times New Roman"/>
          <w:sz w:val="24"/>
          <w:szCs w:val="24"/>
        </w:rPr>
        <w:t>комисията</w:t>
      </w:r>
      <w:r w:rsidRPr="007B4A99">
        <w:rPr>
          <w:rFonts w:ascii="Times New Roman" w:hAnsi="Times New Roman" w:cs="Times New Roman"/>
          <w:sz w:val="24"/>
          <w:szCs w:val="24"/>
        </w:rPr>
        <w:t xml:space="preserve"> </w:t>
      </w:r>
      <w:r w:rsidR="00D0312F">
        <w:rPr>
          <w:rFonts w:ascii="Times New Roman" w:hAnsi="Times New Roman" w:cs="Times New Roman"/>
          <w:sz w:val="24"/>
          <w:szCs w:val="24"/>
        </w:rPr>
        <w:t>е</w:t>
      </w:r>
      <w:r w:rsidR="00D0312F" w:rsidRPr="007B4A99">
        <w:rPr>
          <w:rFonts w:ascii="Times New Roman" w:hAnsi="Times New Roman" w:cs="Times New Roman"/>
          <w:sz w:val="24"/>
          <w:szCs w:val="24"/>
        </w:rPr>
        <w:t xml:space="preserve"> </w:t>
      </w:r>
      <w:r w:rsidRPr="007B4A99">
        <w:rPr>
          <w:rFonts w:ascii="Times New Roman" w:hAnsi="Times New Roman" w:cs="Times New Roman"/>
          <w:sz w:val="24"/>
          <w:szCs w:val="24"/>
        </w:rPr>
        <w:t xml:space="preserve">била изключително активна и в сектора на търговия с хранителни продукти. </w:t>
      </w:r>
      <w:r w:rsidR="00310552" w:rsidRPr="007B4A99">
        <w:rPr>
          <w:rFonts w:ascii="Times New Roman" w:hAnsi="Times New Roman" w:cs="Times New Roman"/>
          <w:sz w:val="24"/>
          <w:szCs w:val="24"/>
        </w:rPr>
        <w:t>Б</w:t>
      </w:r>
      <w:r w:rsidRPr="007B4A99">
        <w:rPr>
          <w:rFonts w:ascii="Times New Roman" w:hAnsi="Times New Roman" w:cs="Times New Roman"/>
          <w:sz w:val="24"/>
          <w:szCs w:val="24"/>
        </w:rPr>
        <w:t xml:space="preserve">или </w:t>
      </w:r>
      <w:r w:rsidR="00310552" w:rsidRPr="007B4A99">
        <w:rPr>
          <w:rFonts w:ascii="Times New Roman" w:hAnsi="Times New Roman" w:cs="Times New Roman"/>
          <w:sz w:val="24"/>
          <w:szCs w:val="24"/>
        </w:rPr>
        <w:t xml:space="preserve">са </w:t>
      </w:r>
      <w:r w:rsidRPr="007B4A99">
        <w:rPr>
          <w:rFonts w:ascii="Times New Roman" w:hAnsi="Times New Roman" w:cs="Times New Roman"/>
          <w:sz w:val="24"/>
          <w:szCs w:val="24"/>
        </w:rPr>
        <w:t xml:space="preserve">образувани три антитръстови производства, предвид наблюдаваното през първите месеци на годината на пазара на хранителни продукти в страната, значително и масово увеличение на цените на </w:t>
      </w:r>
      <w:r w:rsidR="00E164D8">
        <w:rPr>
          <w:rFonts w:ascii="Times New Roman" w:hAnsi="Times New Roman" w:cs="Times New Roman"/>
          <w:sz w:val="24"/>
          <w:szCs w:val="24"/>
        </w:rPr>
        <w:t>бързо</w:t>
      </w:r>
      <w:r w:rsidR="00E164D8" w:rsidRPr="007B4A99">
        <w:rPr>
          <w:rFonts w:ascii="Times New Roman" w:hAnsi="Times New Roman" w:cs="Times New Roman"/>
          <w:sz w:val="24"/>
          <w:szCs w:val="24"/>
        </w:rPr>
        <w:t>оборотните</w:t>
      </w:r>
      <w:r w:rsidRPr="007B4A99">
        <w:rPr>
          <w:rFonts w:ascii="Times New Roman" w:hAnsi="Times New Roman" w:cs="Times New Roman"/>
          <w:sz w:val="24"/>
          <w:szCs w:val="24"/>
        </w:rPr>
        <w:t xml:space="preserve"> стоки, определяни като основни, което особено осезаемо </w:t>
      </w:r>
      <w:r w:rsidR="00310552" w:rsidRPr="007B4A99">
        <w:rPr>
          <w:rFonts w:ascii="Times New Roman" w:hAnsi="Times New Roman" w:cs="Times New Roman"/>
          <w:sz w:val="24"/>
          <w:szCs w:val="24"/>
        </w:rPr>
        <w:t xml:space="preserve">е </w:t>
      </w:r>
      <w:r w:rsidRPr="007B4A99">
        <w:rPr>
          <w:rFonts w:ascii="Times New Roman" w:hAnsi="Times New Roman" w:cs="Times New Roman"/>
          <w:sz w:val="24"/>
          <w:szCs w:val="24"/>
        </w:rPr>
        <w:t>зас</w:t>
      </w:r>
      <w:r w:rsidR="00310552" w:rsidRPr="007B4A99">
        <w:rPr>
          <w:rFonts w:ascii="Times New Roman" w:hAnsi="Times New Roman" w:cs="Times New Roman"/>
          <w:sz w:val="24"/>
          <w:szCs w:val="24"/>
        </w:rPr>
        <w:t>е</w:t>
      </w:r>
      <w:r w:rsidRPr="007B4A99">
        <w:rPr>
          <w:rFonts w:ascii="Times New Roman" w:hAnsi="Times New Roman" w:cs="Times New Roman"/>
          <w:sz w:val="24"/>
          <w:szCs w:val="24"/>
        </w:rPr>
        <w:t>г</w:t>
      </w:r>
      <w:r w:rsidR="00310552" w:rsidRPr="007B4A99">
        <w:rPr>
          <w:rFonts w:ascii="Times New Roman" w:hAnsi="Times New Roman" w:cs="Times New Roman"/>
          <w:sz w:val="24"/>
          <w:szCs w:val="24"/>
        </w:rPr>
        <w:t>н</w:t>
      </w:r>
      <w:r w:rsidRPr="007B4A99">
        <w:rPr>
          <w:rFonts w:ascii="Times New Roman" w:hAnsi="Times New Roman" w:cs="Times New Roman"/>
          <w:sz w:val="24"/>
          <w:szCs w:val="24"/>
        </w:rPr>
        <w:t>а</w:t>
      </w:r>
      <w:r w:rsidR="00310552" w:rsidRPr="007B4A99">
        <w:rPr>
          <w:rFonts w:ascii="Times New Roman" w:hAnsi="Times New Roman" w:cs="Times New Roman"/>
          <w:sz w:val="24"/>
          <w:szCs w:val="24"/>
        </w:rPr>
        <w:t>ло</w:t>
      </w:r>
      <w:r w:rsidRPr="007B4A99">
        <w:rPr>
          <w:rFonts w:ascii="Times New Roman" w:hAnsi="Times New Roman" w:cs="Times New Roman"/>
          <w:sz w:val="24"/>
          <w:szCs w:val="24"/>
        </w:rPr>
        <w:t xml:space="preserve"> интересите на българските потребители. Въпреки отчетеното от НСИ в края на 2023 г. забавяне на инфлацията в страната, цените на хранителните стоки </w:t>
      </w:r>
      <w:r w:rsidR="00310552" w:rsidRPr="007B4A99">
        <w:rPr>
          <w:rFonts w:ascii="Times New Roman" w:hAnsi="Times New Roman" w:cs="Times New Roman"/>
          <w:sz w:val="24"/>
          <w:szCs w:val="24"/>
        </w:rPr>
        <w:t xml:space="preserve">са </w:t>
      </w:r>
      <w:r w:rsidRPr="007B4A99">
        <w:rPr>
          <w:rFonts w:ascii="Times New Roman" w:hAnsi="Times New Roman" w:cs="Times New Roman"/>
          <w:sz w:val="24"/>
          <w:szCs w:val="24"/>
        </w:rPr>
        <w:t>оста</w:t>
      </w:r>
      <w:r w:rsidR="00310552" w:rsidRPr="007B4A99">
        <w:rPr>
          <w:rFonts w:ascii="Times New Roman" w:hAnsi="Times New Roman" w:cs="Times New Roman"/>
          <w:sz w:val="24"/>
          <w:szCs w:val="24"/>
        </w:rPr>
        <w:t xml:space="preserve">нали </w:t>
      </w:r>
      <w:r w:rsidRPr="007B4A99">
        <w:rPr>
          <w:rFonts w:ascii="Times New Roman" w:hAnsi="Times New Roman" w:cs="Times New Roman"/>
          <w:sz w:val="24"/>
          <w:szCs w:val="24"/>
        </w:rPr>
        <w:t xml:space="preserve">на относително високо ниво. По тази тема отчетът на Комисията приключва с </w:t>
      </w:r>
      <w:r w:rsidR="00E164D8" w:rsidRPr="007B4A99">
        <w:rPr>
          <w:rFonts w:ascii="Times New Roman" w:hAnsi="Times New Roman" w:cs="Times New Roman"/>
          <w:sz w:val="24"/>
          <w:szCs w:val="24"/>
        </w:rPr>
        <w:t>пожелателното</w:t>
      </w:r>
      <w:r w:rsidRPr="007B4A99">
        <w:rPr>
          <w:rFonts w:ascii="Times New Roman" w:hAnsi="Times New Roman" w:cs="Times New Roman"/>
          <w:sz w:val="24"/>
          <w:szCs w:val="24"/>
        </w:rPr>
        <w:t xml:space="preserve"> изречение, че тя  ще продължи да следи поведението на всички участници в сектора на взаимосвързаните пазари на производството и търговията с жизнено важни хранителни стоки, с оглед предприемане на евентуални действия от нейна страна, които да подпомогнат конкурентния процес и да допринесат за правилното развитие на пазарната среда.</w:t>
      </w:r>
    </w:p>
    <w:p w14:paraId="6DDF9A94" w14:textId="09AD0987" w:rsidR="006B38E6" w:rsidRPr="007B4A99" w:rsidRDefault="006B38E6"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В</w:t>
      </w:r>
      <w:r w:rsidR="00310552" w:rsidRPr="007B4A99">
        <w:rPr>
          <w:rFonts w:ascii="Times New Roman" w:hAnsi="Times New Roman" w:cs="Times New Roman"/>
          <w:sz w:val="24"/>
          <w:szCs w:val="24"/>
        </w:rPr>
        <w:t xml:space="preserve"> същия</w:t>
      </w:r>
      <w:r w:rsidRPr="007B4A99">
        <w:rPr>
          <w:rFonts w:ascii="Times New Roman" w:hAnsi="Times New Roman" w:cs="Times New Roman"/>
          <w:sz w:val="24"/>
          <w:szCs w:val="24"/>
        </w:rPr>
        <w:t xml:space="preserve"> годиш</w:t>
      </w:r>
      <w:r w:rsidR="00310552" w:rsidRPr="007B4A99">
        <w:rPr>
          <w:rFonts w:ascii="Times New Roman" w:hAnsi="Times New Roman" w:cs="Times New Roman"/>
          <w:sz w:val="24"/>
          <w:szCs w:val="24"/>
        </w:rPr>
        <w:t>е</w:t>
      </w:r>
      <w:r w:rsidRPr="007B4A99">
        <w:rPr>
          <w:rFonts w:ascii="Times New Roman" w:hAnsi="Times New Roman" w:cs="Times New Roman"/>
          <w:sz w:val="24"/>
          <w:szCs w:val="24"/>
        </w:rPr>
        <w:t>н отчет за</w:t>
      </w:r>
      <w:r w:rsidR="00310552" w:rsidRPr="007B4A99">
        <w:rPr>
          <w:rFonts w:ascii="Times New Roman" w:hAnsi="Times New Roman" w:cs="Times New Roman"/>
          <w:sz w:val="24"/>
          <w:szCs w:val="24"/>
        </w:rPr>
        <w:t xml:space="preserve"> дейността си през</w:t>
      </w:r>
      <w:r w:rsidRPr="007B4A99">
        <w:rPr>
          <w:rFonts w:ascii="Times New Roman" w:hAnsi="Times New Roman" w:cs="Times New Roman"/>
          <w:sz w:val="24"/>
          <w:szCs w:val="24"/>
        </w:rPr>
        <w:t xml:space="preserve"> 2023 г. КЗК посочва, че предвид последните изменения в ЗЗК и въвеждането на забранените търговски практики във веригата за доставки на селскостопански и хранителни продукти, основни приоритети в дейността на Комисията в областта на нелоялната конкуренция и нелоялните търговски практики ще </w:t>
      </w:r>
      <w:r w:rsidR="00D0312F" w:rsidRPr="007B4A99">
        <w:rPr>
          <w:rFonts w:ascii="Times New Roman" w:hAnsi="Times New Roman" w:cs="Times New Roman"/>
          <w:sz w:val="24"/>
          <w:szCs w:val="24"/>
        </w:rPr>
        <w:t>бъд</w:t>
      </w:r>
      <w:r w:rsidR="00D0312F">
        <w:rPr>
          <w:rFonts w:ascii="Times New Roman" w:hAnsi="Times New Roman" w:cs="Times New Roman"/>
          <w:sz w:val="24"/>
          <w:szCs w:val="24"/>
        </w:rPr>
        <w:t>ат</w:t>
      </w:r>
      <w:r w:rsidR="00D0312F" w:rsidRPr="007B4A99">
        <w:rPr>
          <w:rFonts w:ascii="Times New Roman" w:hAnsi="Times New Roman" w:cs="Times New Roman"/>
          <w:sz w:val="24"/>
          <w:szCs w:val="24"/>
        </w:rPr>
        <w:t xml:space="preserve"> </w:t>
      </w:r>
      <w:r w:rsidRPr="007B4A99">
        <w:rPr>
          <w:rFonts w:ascii="Times New Roman" w:hAnsi="Times New Roman" w:cs="Times New Roman"/>
          <w:sz w:val="24"/>
          <w:szCs w:val="24"/>
        </w:rPr>
        <w:t>съдействие</w:t>
      </w:r>
      <w:r w:rsidR="00D0312F">
        <w:rPr>
          <w:rFonts w:ascii="Times New Roman" w:hAnsi="Times New Roman" w:cs="Times New Roman"/>
          <w:sz w:val="24"/>
          <w:szCs w:val="24"/>
        </w:rPr>
        <w:t>то</w:t>
      </w:r>
      <w:r w:rsidRPr="007B4A99">
        <w:rPr>
          <w:rFonts w:ascii="Times New Roman" w:hAnsi="Times New Roman" w:cs="Times New Roman"/>
          <w:sz w:val="24"/>
          <w:szCs w:val="24"/>
        </w:rPr>
        <w:t xml:space="preserve"> за развитието на конкурентната среда и защита</w:t>
      </w:r>
      <w:r w:rsidR="00D0312F">
        <w:rPr>
          <w:rFonts w:ascii="Times New Roman" w:hAnsi="Times New Roman" w:cs="Times New Roman"/>
          <w:sz w:val="24"/>
          <w:szCs w:val="24"/>
        </w:rPr>
        <w:t>та</w:t>
      </w:r>
      <w:r w:rsidRPr="007B4A99">
        <w:rPr>
          <w:rFonts w:ascii="Times New Roman" w:hAnsi="Times New Roman" w:cs="Times New Roman"/>
          <w:sz w:val="24"/>
          <w:szCs w:val="24"/>
        </w:rPr>
        <w:t xml:space="preserve"> на свободната инициатива в стопанската дейност, защита</w:t>
      </w:r>
      <w:r w:rsidR="00D0312F">
        <w:rPr>
          <w:rFonts w:ascii="Times New Roman" w:hAnsi="Times New Roman" w:cs="Times New Roman"/>
          <w:sz w:val="24"/>
          <w:szCs w:val="24"/>
        </w:rPr>
        <w:t>та</w:t>
      </w:r>
      <w:r w:rsidRPr="007B4A99">
        <w:rPr>
          <w:rFonts w:ascii="Times New Roman" w:hAnsi="Times New Roman" w:cs="Times New Roman"/>
          <w:sz w:val="24"/>
          <w:szCs w:val="24"/>
        </w:rPr>
        <w:t xml:space="preserve"> на селскостопанските производители и доставчиците на селскостопански и хранителни продукти чрез практиката по прилагане на разпоредбите от Глава седма и Глава седма „б“ от ЗЗК. </w:t>
      </w:r>
    </w:p>
    <w:p w14:paraId="363A18C7" w14:textId="77777777" w:rsidR="006B38E6" w:rsidRPr="007B4A99" w:rsidRDefault="006B38E6"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В тази връзка се предвижда да бъдат изпълнени следните цели: </w:t>
      </w:r>
    </w:p>
    <w:p w14:paraId="6DD54B41" w14:textId="77777777" w:rsidR="006B38E6" w:rsidRPr="007B4A99" w:rsidRDefault="006B38E6"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1. непрекъснат мониторинг върху поведението на предприятията при осъществяване на стопанската им дейност с оглед спазването на действащите забрани за нелоялна конкуренция и по-конкретно разпространението на реклами, които могат да имат заблуждаващ характер, провеждането на промоции, включително и такива с предоставяне на награди със значителна стойност, обвързани с извършването на покупки и др.; </w:t>
      </w:r>
    </w:p>
    <w:p w14:paraId="2AB4E8F6" w14:textId="77777777" w:rsidR="006B38E6" w:rsidRPr="007B4A99" w:rsidRDefault="006B38E6"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lastRenderedPageBreak/>
        <w:t xml:space="preserve">2. мониторинг върху поведението на предприятията – купувачи на селскостопански и хранителните продукти с оглед спазването на забраните за нелоялни търговски практики в съответния сектор; </w:t>
      </w:r>
    </w:p>
    <w:p w14:paraId="7959F204" w14:textId="77777777" w:rsidR="006B38E6" w:rsidRPr="007B4A99" w:rsidRDefault="006B38E6"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3. популяризиране на практиката на КЗК при установяване на нарушения по Глава седма и Глава седма „б” от ЗЗК чрез публикуване на специализирана информация, участие в срещи и семинари с представители на бизнеса, регулаторни органи, неправителствени организации и др.; </w:t>
      </w:r>
    </w:p>
    <w:p w14:paraId="0AA67CB1" w14:textId="5623AD34" w:rsidR="006B38E6" w:rsidRPr="007B4A99" w:rsidRDefault="006B38E6"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4. повишаване на ефективността при прилагането на ЗЗК във връзка с установяване на нарушенията по Глава седма и Глава седма „б” от ЗЗК, включително чрез активен диалог и взаимодействие с други държавни органи, браншови асоциации, включително в сектора на селскостопански и хранителни продукти, както и органи за саморегулация в лицето на Националния съвет за саморегулация, който следи за етиката в търговската комуникация</w:t>
      </w:r>
      <w:r w:rsidR="00BF28C8" w:rsidRPr="007B4A99">
        <w:rPr>
          <w:rStyle w:val="FootnoteReference"/>
          <w:rFonts w:ascii="Times New Roman" w:hAnsi="Times New Roman" w:cs="Times New Roman"/>
          <w:sz w:val="24"/>
          <w:szCs w:val="24"/>
        </w:rPr>
        <w:footnoteReference w:id="13"/>
      </w:r>
      <w:r w:rsidRPr="007B4A99">
        <w:rPr>
          <w:rFonts w:ascii="Times New Roman" w:hAnsi="Times New Roman" w:cs="Times New Roman"/>
          <w:sz w:val="24"/>
          <w:szCs w:val="24"/>
        </w:rPr>
        <w:t>.</w:t>
      </w:r>
    </w:p>
    <w:p w14:paraId="421C80D3" w14:textId="4E5345BA" w:rsidR="003422C5" w:rsidRPr="007B4A99" w:rsidRDefault="003422C5"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В раздел „Новини“ на интернет страницата на КЗК е публикувана новина от  07.03.2023 г., според която Комисия за защита на конкуренцията разширява обхвата на инициираното проучване за нелоялни търговски практики от страна на големите хранителни вериги при доставката на селскостопански и хранителни продукти. До настоящия момент са изискани данни и доказателства от Комисията за защита на потребителите, от асоциации на производители на хранителни продукти и от доставчици на определени продукти. Поетапно се очаква да постъпват съответните документи, като в хода на проучването КЗК разширява неговия обхват по отношение на продуктите, чийто цени са особено чувствителни за потребителите, като изисква допълнителни данни от множество производители и доставчици. Целта на проучването е събирането на надлежни данни и доказателства относно поведението на големите търговски вериги в отношенията им с техните доставчици – дали същите понасят необосновано тежки търговски условия по смисъла на чл. 37в и чл. 37в от ЗЗК, което рефлектира при формирането на цените към крайните потребители.</w:t>
      </w:r>
    </w:p>
    <w:p w14:paraId="092B321A" w14:textId="17F15952" w:rsidR="003422C5" w:rsidRDefault="003422C5"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По-конкретно</w:t>
      </w:r>
      <w:r w:rsidR="007F5494">
        <w:rPr>
          <w:rFonts w:ascii="Times New Roman" w:hAnsi="Times New Roman" w:cs="Times New Roman"/>
          <w:sz w:val="24"/>
          <w:szCs w:val="24"/>
        </w:rPr>
        <w:t>,</w:t>
      </w:r>
      <w:r w:rsidRPr="007B4A99">
        <w:rPr>
          <w:rFonts w:ascii="Times New Roman" w:hAnsi="Times New Roman" w:cs="Times New Roman"/>
          <w:sz w:val="24"/>
          <w:szCs w:val="24"/>
        </w:rPr>
        <w:t xml:space="preserve"> </w:t>
      </w:r>
      <w:r w:rsidR="00A50520">
        <w:rPr>
          <w:rFonts w:ascii="Times New Roman" w:hAnsi="Times New Roman" w:cs="Times New Roman"/>
          <w:sz w:val="24"/>
          <w:szCs w:val="24"/>
        </w:rPr>
        <w:t xml:space="preserve">според КЗК, </w:t>
      </w:r>
      <w:r w:rsidRPr="007B4A99">
        <w:rPr>
          <w:rFonts w:ascii="Times New Roman" w:hAnsi="Times New Roman" w:cs="Times New Roman"/>
          <w:sz w:val="24"/>
          <w:szCs w:val="24"/>
        </w:rPr>
        <w:t>подобно поведение би могло да се изразява в неправомерното налагане на такси, отстъпки и други търговски условия, които са в ущърб на доставчиците и водят до намаление на доставните цени, от една страна. От друга страна, следва да се установи дали това се отразява при формирането на крайните цени към потребителите</w:t>
      </w:r>
      <w:r w:rsidR="00D0312F">
        <w:rPr>
          <w:rFonts w:ascii="Times New Roman" w:hAnsi="Times New Roman" w:cs="Times New Roman"/>
          <w:sz w:val="24"/>
          <w:szCs w:val="24"/>
        </w:rPr>
        <w:t>,</w:t>
      </w:r>
      <w:r w:rsidRPr="007B4A99">
        <w:rPr>
          <w:rFonts w:ascii="Times New Roman" w:hAnsi="Times New Roman" w:cs="Times New Roman"/>
          <w:sz w:val="24"/>
          <w:szCs w:val="24"/>
        </w:rPr>
        <w:t xml:space="preserve"> или ползите от наложените условия остават само за търговските вериги, и още повече</w:t>
      </w:r>
      <w:r w:rsidR="00D0312F">
        <w:rPr>
          <w:rFonts w:ascii="Times New Roman" w:hAnsi="Times New Roman" w:cs="Times New Roman"/>
          <w:sz w:val="24"/>
          <w:szCs w:val="24"/>
        </w:rPr>
        <w:t>,</w:t>
      </w:r>
      <w:r w:rsidRPr="007B4A99">
        <w:rPr>
          <w:rFonts w:ascii="Times New Roman" w:hAnsi="Times New Roman" w:cs="Times New Roman"/>
          <w:sz w:val="24"/>
          <w:szCs w:val="24"/>
        </w:rPr>
        <w:t xml:space="preserve"> дали цените на дребно дори се увеличават. В случай че от събраните информация и доказателства възникнат основателни съмнения за извършени нарушения на ЗЗК, КЗК ще се самосезира, за да санкционира и прекрати неправомерните действия</w:t>
      </w:r>
      <w:r w:rsidRPr="007B4A99">
        <w:rPr>
          <w:rStyle w:val="FootnoteReference"/>
          <w:rFonts w:ascii="Times New Roman" w:hAnsi="Times New Roman" w:cs="Times New Roman"/>
          <w:sz w:val="24"/>
          <w:szCs w:val="24"/>
        </w:rPr>
        <w:footnoteReference w:id="14"/>
      </w:r>
      <w:r w:rsidRPr="007B4A99">
        <w:rPr>
          <w:rFonts w:ascii="Times New Roman" w:hAnsi="Times New Roman" w:cs="Times New Roman"/>
          <w:sz w:val="24"/>
          <w:szCs w:val="24"/>
        </w:rPr>
        <w:t>.</w:t>
      </w:r>
    </w:p>
    <w:p w14:paraId="65C85DBD" w14:textId="20FC6599" w:rsidR="00530A6F" w:rsidRDefault="00530A6F" w:rsidP="00DD69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006D151C">
        <w:rPr>
          <w:rFonts w:ascii="Times New Roman" w:hAnsi="Times New Roman" w:cs="Times New Roman"/>
          <w:sz w:val="24"/>
          <w:szCs w:val="24"/>
        </w:rPr>
        <w:t xml:space="preserve">лизо две години </w:t>
      </w:r>
      <w:r>
        <w:rPr>
          <w:rFonts w:ascii="Times New Roman" w:hAnsi="Times New Roman" w:cs="Times New Roman"/>
          <w:sz w:val="24"/>
          <w:szCs w:val="24"/>
        </w:rPr>
        <w:t>по-късно</w:t>
      </w:r>
      <w:r w:rsidR="006D151C">
        <w:rPr>
          <w:rFonts w:ascii="Times New Roman" w:hAnsi="Times New Roman" w:cs="Times New Roman"/>
          <w:sz w:val="24"/>
          <w:szCs w:val="24"/>
        </w:rPr>
        <w:t>, отново в</w:t>
      </w:r>
      <w:r w:rsidR="00F24CBC">
        <w:rPr>
          <w:rFonts w:ascii="Times New Roman" w:hAnsi="Times New Roman" w:cs="Times New Roman"/>
          <w:sz w:val="24"/>
          <w:szCs w:val="24"/>
        </w:rPr>
        <w:t xml:space="preserve"> раздел „Новини“</w:t>
      </w:r>
      <w:r w:rsidR="006D151C">
        <w:rPr>
          <w:rFonts w:ascii="Times New Roman" w:hAnsi="Times New Roman" w:cs="Times New Roman"/>
          <w:sz w:val="24"/>
          <w:szCs w:val="24"/>
        </w:rPr>
        <w:t>,</w:t>
      </w:r>
      <w:r w:rsidR="00F24CBC">
        <w:rPr>
          <w:rFonts w:ascii="Times New Roman" w:hAnsi="Times New Roman" w:cs="Times New Roman"/>
          <w:sz w:val="24"/>
          <w:szCs w:val="24"/>
        </w:rPr>
        <w:t xml:space="preserve"> на 12.02.2025 г. КЗК</w:t>
      </w:r>
      <w:r w:rsidR="00F24CBC" w:rsidRPr="00F24CBC">
        <w:rPr>
          <w:rFonts w:ascii="Times New Roman" w:hAnsi="Times New Roman" w:cs="Times New Roman"/>
          <w:sz w:val="24"/>
          <w:szCs w:val="24"/>
        </w:rPr>
        <w:t xml:space="preserve"> обяв</w:t>
      </w:r>
      <w:r w:rsidR="00F24CBC">
        <w:rPr>
          <w:rFonts w:ascii="Times New Roman" w:hAnsi="Times New Roman" w:cs="Times New Roman"/>
          <w:sz w:val="24"/>
          <w:szCs w:val="24"/>
        </w:rPr>
        <w:t>ява</w:t>
      </w:r>
      <w:r w:rsidR="00F24CBC" w:rsidRPr="00F24CBC">
        <w:rPr>
          <w:rFonts w:ascii="Times New Roman" w:hAnsi="Times New Roman" w:cs="Times New Roman"/>
          <w:sz w:val="24"/>
          <w:szCs w:val="24"/>
        </w:rPr>
        <w:t xml:space="preserve">, че </w:t>
      </w:r>
      <w:r w:rsidR="006D151C">
        <w:rPr>
          <w:rFonts w:ascii="Times New Roman" w:hAnsi="Times New Roman" w:cs="Times New Roman"/>
          <w:sz w:val="24"/>
          <w:szCs w:val="24"/>
        </w:rPr>
        <w:t>„в</w:t>
      </w:r>
      <w:r w:rsidR="006D151C" w:rsidRPr="006D151C">
        <w:rPr>
          <w:rFonts w:ascii="Times New Roman" w:hAnsi="Times New Roman" w:cs="Times New Roman"/>
          <w:sz w:val="24"/>
          <w:szCs w:val="24"/>
        </w:rPr>
        <w:t xml:space="preserve">ъв връзка с наблюдаваното през последните месеци повишение на цените на  храните от първа необходимост в страната, с оглед правомощията си Комисията за защита на конкуренцията информира обществеността, че инициира извършването на  предварително проучване на всички данни и фактори, обуславящи наблюдавания ръст </w:t>
      </w:r>
      <w:r w:rsidR="006D151C" w:rsidRPr="006D151C">
        <w:rPr>
          <w:rFonts w:ascii="Times New Roman" w:hAnsi="Times New Roman" w:cs="Times New Roman"/>
          <w:sz w:val="24"/>
          <w:szCs w:val="24"/>
        </w:rPr>
        <w:lastRenderedPageBreak/>
        <w:t>на цените в сектора</w:t>
      </w:r>
      <w:r w:rsidR="006D151C">
        <w:rPr>
          <w:rFonts w:ascii="Times New Roman" w:hAnsi="Times New Roman" w:cs="Times New Roman"/>
          <w:sz w:val="24"/>
          <w:szCs w:val="24"/>
        </w:rPr>
        <w:t xml:space="preserve">“. </w:t>
      </w:r>
      <w:r w:rsidR="006B128D">
        <w:rPr>
          <w:rFonts w:ascii="Times New Roman" w:hAnsi="Times New Roman" w:cs="Times New Roman"/>
          <w:sz w:val="24"/>
          <w:szCs w:val="24"/>
        </w:rPr>
        <w:t>Посочено</w:t>
      </w:r>
      <w:r w:rsidR="006D151C">
        <w:rPr>
          <w:rFonts w:ascii="Times New Roman" w:hAnsi="Times New Roman" w:cs="Times New Roman"/>
          <w:sz w:val="24"/>
          <w:szCs w:val="24"/>
        </w:rPr>
        <w:t xml:space="preserve"> е, че </w:t>
      </w:r>
      <w:r w:rsidR="006D151C" w:rsidRPr="006D151C">
        <w:rPr>
          <w:rFonts w:ascii="Times New Roman" w:hAnsi="Times New Roman" w:cs="Times New Roman"/>
          <w:sz w:val="24"/>
          <w:szCs w:val="24"/>
        </w:rPr>
        <w:t xml:space="preserve">през последните години е осъществяван непрекъснат мониторинг на конкурентната среда на пазара, за което свидетелстват множеството извършени анализи и антитръстови проучвания. Изследвани </w:t>
      </w:r>
      <w:r w:rsidR="006D151C">
        <w:rPr>
          <w:rFonts w:ascii="Times New Roman" w:hAnsi="Times New Roman" w:cs="Times New Roman"/>
          <w:sz w:val="24"/>
          <w:szCs w:val="24"/>
        </w:rPr>
        <w:t>с</w:t>
      </w:r>
      <w:r w:rsidR="006D151C" w:rsidRPr="006D151C">
        <w:rPr>
          <w:rFonts w:ascii="Times New Roman" w:hAnsi="Times New Roman" w:cs="Times New Roman"/>
          <w:sz w:val="24"/>
          <w:szCs w:val="24"/>
        </w:rPr>
        <w:t>а основните фактори, въздействащи върху динамиката на цените на дребно на жизнено важни хранителни стоки</w:t>
      </w:r>
      <w:r w:rsidR="006D151C">
        <w:rPr>
          <w:rFonts w:ascii="Times New Roman" w:hAnsi="Times New Roman" w:cs="Times New Roman"/>
          <w:sz w:val="24"/>
          <w:szCs w:val="24"/>
        </w:rPr>
        <w:t xml:space="preserve"> и е</w:t>
      </w:r>
      <w:r w:rsidR="006D151C" w:rsidRPr="006D151C">
        <w:rPr>
          <w:rFonts w:ascii="Times New Roman" w:hAnsi="Times New Roman" w:cs="Times New Roman"/>
          <w:sz w:val="24"/>
          <w:szCs w:val="24"/>
        </w:rPr>
        <w:t xml:space="preserve"> установено</w:t>
      </w:r>
      <w:r w:rsidR="006D151C">
        <w:rPr>
          <w:rFonts w:ascii="Times New Roman" w:hAnsi="Times New Roman" w:cs="Times New Roman"/>
          <w:sz w:val="24"/>
          <w:szCs w:val="24"/>
        </w:rPr>
        <w:t>,</w:t>
      </w:r>
      <w:r w:rsidR="006D151C" w:rsidRPr="006D151C">
        <w:rPr>
          <w:rFonts w:ascii="Times New Roman" w:hAnsi="Times New Roman" w:cs="Times New Roman"/>
          <w:sz w:val="24"/>
          <w:szCs w:val="24"/>
        </w:rPr>
        <w:t xml:space="preserve"> че </w:t>
      </w:r>
      <w:r w:rsidR="00380CCB" w:rsidRPr="00380CCB">
        <w:rPr>
          <w:rFonts w:ascii="Times New Roman" w:hAnsi="Times New Roman" w:cs="Times New Roman"/>
          <w:sz w:val="24"/>
          <w:szCs w:val="24"/>
        </w:rPr>
        <w:t>повишението на цените</w:t>
      </w:r>
      <w:r w:rsidR="00380CCB">
        <w:rPr>
          <w:rFonts w:ascii="Times New Roman" w:hAnsi="Times New Roman" w:cs="Times New Roman"/>
          <w:sz w:val="24"/>
          <w:szCs w:val="24"/>
        </w:rPr>
        <w:t xml:space="preserve"> се наблюдава</w:t>
      </w:r>
      <w:r w:rsidR="00380CCB" w:rsidRPr="00380CCB">
        <w:t xml:space="preserve"> </w:t>
      </w:r>
      <w:r w:rsidR="00380CCB" w:rsidRPr="00380CCB">
        <w:rPr>
          <w:rFonts w:ascii="Times New Roman" w:hAnsi="Times New Roman" w:cs="Times New Roman"/>
          <w:sz w:val="24"/>
          <w:szCs w:val="24"/>
        </w:rPr>
        <w:t>в редица европейски държави и по-конкретно</w:t>
      </w:r>
      <w:r w:rsidR="00D0312F">
        <w:rPr>
          <w:rFonts w:ascii="Times New Roman" w:hAnsi="Times New Roman" w:cs="Times New Roman"/>
          <w:sz w:val="24"/>
          <w:szCs w:val="24"/>
        </w:rPr>
        <w:t>, в</w:t>
      </w:r>
      <w:r w:rsidR="00380CCB" w:rsidRPr="00380CCB">
        <w:rPr>
          <w:rFonts w:ascii="Times New Roman" w:hAnsi="Times New Roman" w:cs="Times New Roman"/>
          <w:sz w:val="24"/>
          <w:szCs w:val="24"/>
        </w:rPr>
        <w:t xml:space="preserve"> съседни на страната</w:t>
      </w:r>
      <w:r w:rsidR="00D8711F">
        <w:rPr>
          <w:rFonts w:ascii="Times New Roman" w:hAnsi="Times New Roman" w:cs="Times New Roman"/>
          <w:sz w:val="24"/>
          <w:szCs w:val="24"/>
        </w:rPr>
        <w:t>. Те</w:t>
      </w:r>
      <w:r w:rsidR="00380CCB" w:rsidRPr="00380CCB">
        <w:rPr>
          <w:rFonts w:ascii="Times New Roman" w:hAnsi="Times New Roman" w:cs="Times New Roman"/>
          <w:sz w:val="24"/>
          <w:szCs w:val="24"/>
        </w:rPr>
        <w:t xml:space="preserve"> в значителна степен се обуславя</w:t>
      </w:r>
      <w:r w:rsidR="00D8711F">
        <w:rPr>
          <w:rFonts w:ascii="Times New Roman" w:hAnsi="Times New Roman" w:cs="Times New Roman"/>
          <w:sz w:val="24"/>
          <w:szCs w:val="24"/>
        </w:rPr>
        <w:t>т</w:t>
      </w:r>
      <w:r w:rsidR="00380CCB" w:rsidRPr="00380CCB">
        <w:rPr>
          <w:rFonts w:ascii="Times New Roman" w:hAnsi="Times New Roman" w:cs="Times New Roman"/>
          <w:sz w:val="24"/>
          <w:szCs w:val="24"/>
        </w:rPr>
        <w:t xml:space="preserve"> от глобалн</w:t>
      </w:r>
      <w:r w:rsidR="00380CCB">
        <w:rPr>
          <w:rFonts w:ascii="Times New Roman" w:hAnsi="Times New Roman" w:cs="Times New Roman"/>
          <w:sz w:val="24"/>
          <w:szCs w:val="24"/>
        </w:rPr>
        <w:t xml:space="preserve">ите </w:t>
      </w:r>
      <w:r w:rsidR="00380CCB" w:rsidRPr="00380CCB">
        <w:rPr>
          <w:rFonts w:ascii="Times New Roman" w:hAnsi="Times New Roman" w:cs="Times New Roman"/>
          <w:sz w:val="24"/>
          <w:szCs w:val="24"/>
        </w:rPr>
        <w:t>икономически процеси, увеличени</w:t>
      </w:r>
      <w:r w:rsidR="00380CCB">
        <w:rPr>
          <w:rFonts w:ascii="Times New Roman" w:hAnsi="Times New Roman" w:cs="Times New Roman"/>
          <w:sz w:val="24"/>
          <w:szCs w:val="24"/>
        </w:rPr>
        <w:t>те</w:t>
      </w:r>
      <w:r w:rsidR="00380CCB" w:rsidRPr="00380CCB">
        <w:rPr>
          <w:rFonts w:ascii="Times New Roman" w:hAnsi="Times New Roman" w:cs="Times New Roman"/>
          <w:sz w:val="24"/>
          <w:szCs w:val="24"/>
        </w:rPr>
        <w:t xml:space="preserve"> производствени разходи и външни</w:t>
      </w:r>
      <w:r w:rsidR="00380CCB">
        <w:rPr>
          <w:rFonts w:ascii="Times New Roman" w:hAnsi="Times New Roman" w:cs="Times New Roman"/>
          <w:sz w:val="24"/>
          <w:szCs w:val="24"/>
        </w:rPr>
        <w:t>те</w:t>
      </w:r>
      <w:r w:rsidR="00380CCB" w:rsidRPr="00380CCB">
        <w:rPr>
          <w:rFonts w:ascii="Times New Roman" w:hAnsi="Times New Roman" w:cs="Times New Roman"/>
          <w:sz w:val="24"/>
          <w:szCs w:val="24"/>
        </w:rPr>
        <w:t xml:space="preserve"> пазарни влияния</w:t>
      </w:r>
      <w:r w:rsidR="00F24CBC" w:rsidRPr="00F24CBC">
        <w:rPr>
          <w:rFonts w:ascii="Times New Roman" w:hAnsi="Times New Roman" w:cs="Times New Roman"/>
          <w:sz w:val="24"/>
          <w:szCs w:val="24"/>
        </w:rPr>
        <w:t xml:space="preserve">. </w:t>
      </w:r>
    </w:p>
    <w:p w14:paraId="3010578D" w14:textId="77777777" w:rsidR="003764F5" w:rsidRDefault="00F24CBC" w:rsidP="00DD69D5">
      <w:pPr>
        <w:spacing w:after="0" w:line="240" w:lineRule="auto"/>
        <w:ind w:firstLine="567"/>
        <w:jc w:val="both"/>
        <w:rPr>
          <w:rFonts w:ascii="Times New Roman" w:hAnsi="Times New Roman" w:cs="Times New Roman"/>
          <w:sz w:val="24"/>
          <w:szCs w:val="24"/>
        </w:rPr>
      </w:pPr>
      <w:r w:rsidRPr="00F24CBC">
        <w:rPr>
          <w:rFonts w:ascii="Times New Roman" w:hAnsi="Times New Roman" w:cs="Times New Roman"/>
          <w:sz w:val="24"/>
          <w:szCs w:val="24"/>
        </w:rPr>
        <w:t>КЗК</w:t>
      </w:r>
      <w:r>
        <w:rPr>
          <w:rFonts w:ascii="Times New Roman" w:hAnsi="Times New Roman" w:cs="Times New Roman"/>
          <w:sz w:val="24"/>
          <w:szCs w:val="24"/>
        </w:rPr>
        <w:t xml:space="preserve"> изрично декларира, че</w:t>
      </w:r>
      <w:r w:rsidRPr="00F24CBC">
        <w:rPr>
          <w:rFonts w:ascii="Times New Roman" w:hAnsi="Times New Roman" w:cs="Times New Roman"/>
          <w:sz w:val="24"/>
          <w:szCs w:val="24"/>
        </w:rPr>
        <w:t xml:space="preserve"> правомощия</w:t>
      </w:r>
      <w:r w:rsidR="006D151C">
        <w:rPr>
          <w:rFonts w:ascii="Times New Roman" w:hAnsi="Times New Roman" w:cs="Times New Roman"/>
          <w:sz w:val="24"/>
          <w:szCs w:val="24"/>
        </w:rPr>
        <w:t>та</w:t>
      </w:r>
      <w:r w:rsidRPr="00F24CBC">
        <w:rPr>
          <w:rFonts w:ascii="Times New Roman" w:hAnsi="Times New Roman" w:cs="Times New Roman"/>
          <w:sz w:val="24"/>
          <w:szCs w:val="24"/>
        </w:rPr>
        <w:t xml:space="preserve"> </w:t>
      </w:r>
      <w:r w:rsidR="006D151C" w:rsidRPr="006D151C">
        <w:rPr>
          <w:rFonts w:ascii="Times New Roman" w:hAnsi="Times New Roman" w:cs="Times New Roman"/>
          <w:sz w:val="24"/>
          <w:szCs w:val="24"/>
        </w:rPr>
        <w:t xml:space="preserve">й </w:t>
      </w:r>
      <w:r w:rsidR="006D151C">
        <w:rPr>
          <w:rFonts w:ascii="Times New Roman" w:hAnsi="Times New Roman" w:cs="Times New Roman"/>
          <w:sz w:val="24"/>
          <w:szCs w:val="24"/>
        </w:rPr>
        <w:t>„</w:t>
      </w:r>
      <w:r w:rsidR="006D151C" w:rsidRPr="006D151C">
        <w:rPr>
          <w:rFonts w:ascii="Times New Roman" w:hAnsi="Times New Roman" w:cs="Times New Roman"/>
          <w:sz w:val="24"/>
          <w:szCs w:val="24"/>
        </w:rPr>
        <w:t>не включват и установяването и санкционирането на спекула от страна на търговците, съответно овладяване на инфлационните процеси</w:t>
      </w:r>
      <w:r w:rsidR="006D151C">
        <w:rPr>
          <w:rFonts w:ascii="Times New Roman" w:hAnsi="Times New Roman" w:cs="Times New Roman"/>
          <w:sz w:val="24"/>
          <w:szCs w:val="24"/>
        </w:rPr>
        <w:t>“</w:t>
      </w:r>
      <w:r w:rsidRPr="00F24CBC">
        <w:rPr>
          <w:rFonts w:ascii="Times New Roman" w:hAnsi="Times New Roman" w:cs="Times New Roman"/>
          <w:sz w:val="24"/>
          <w:szCs w:val="24"/>
        </w:rPr>
        <w:t>. Комисията призовава гражданите и бизнеса да подават сигнали при съмнения за незаконни практики и напомня, че разпространяването на съмнения за картели в публичното пространство може да възпрепятства ефективното упражняване на правомощията на КЗК за разкриване на тайни споразумения, които ограничават конкуренцият</w:t>
      </w:r>
      <w:r>
        <w:rPr>
          <w:rFonts w:ascii="Times New Roman" w:hAnsi="Times New Roman" w:cs="Times New Roman"/>
          <w:sz w:val="24"/>
          <w:szCs w:val="24"/>
        </w:rPr>
        <w:t>а</w:t>
      </w:r>
      <w:r>
        <w:rPr>
          <w:rStyle w:val="FootnoteReference"/>
          <w:rFonts w:ascii="Times New Roman" w:hAnsi="Times New Roman" w:cs="Times New Roman"/>
          <w:sz w:val="24"/>
          <w:szCs w:val="24"/>
        </w:rPr>
        <w:footnoteReference w:id="15"/>
      </w:r>
      <w:r w:rsidRPr="00F24CBC">
        <w:rPr>
          <w:rFonts w:ascii="Times New Roman" w:hAnsi="Times New Roman" w:cs="Times New Roman"/>
          <w:sz w:val="24"/>
          <w:szCs w:val="24"/>
        </w:rPr>
        <w:t>.</w:t>
      </w:r>
    </w:p>
    <w:p w14:paraId="0CF01DDA" w14:textId="53B20C13" w:rsidR="003764F5" w:rsidRDefault="002C36E1" w:rsidP="00DD69D5">
      <w:pPr>
        <w:spacing w:after="0" w:line="240" w:lineRule="auto"/>
        <w:ind w:firstLine="567"/>
        <w:jc w:val="both"/>
        <w:rPr>
          <w:rFonts w:ascii="Times New Roman" w:hAnsi="Times New Roman" w:cs="Times New Roman"/>
          <w:sz w:val="24"/>
          <w:szCs w:val="24"/>
        </w:rPr>
      </w:pPr>
      <w:r w:rsidRPr="002C36E1">
        <w:rPr>
          <w:rFonts w:ascii="Times New Roman" w:hAnsi="Times New Roman" w:cs="Times New Roman"/>
          <w:sz w:val="24"/>
          <w:szCs w:val="24"/>
        </w:rPr>
        <w:t xml:space="preserve">През последните </w:t>
      </w:r>
      <w:r>
        <w:rPr>
          <w:rFonts w:ascii="Times New Roman" w:hAnsi="Times New Roman" w:cs="Times New Roman"/>
          <w:sz w:val="24"/>
          <w:szCs w:val="24"/>
        </w:rPr>
        <w:t>го</w:t>
      </w:r>
      <w:r w:rsidRPr="002C36E1">
        <w:rPr>
          <w:rFonts w:ascii="Times New Roman" w:hAnsi="Times New Roman" w:cs="Times New Roman"/>
          <w:sz w:val="24"/>
          <w:szCs w:val="24"/>
        </w:rPr>
        <w:t xml:space="preserve">дини </w:t>
      </w:r>
      <w:r w:rsidR="006F513D">
        <w:rPr>
          <w:rFonts w:ascii="Times New Roman" w:hAnsi="Times New Roman" w:cs="Times New Roman"/>
          <w:sz w:val="24"/>
          <w:szCs w:val="24"/>
        </w:rPr>
        <w:t>КЗК</w:t>
      </w:r>
      <w:r w:rsidRPr="002C36E1">
        <w:rPr>
          <w:rFonts w:ascii="Times New Roman" w:hAnsi="Times New Roman" w:cs="Times New Roman"/>
          <w:sz w:val="24"/>
          <w:szCs w:val="24"/>
        </w:rPr>
        <w:t xml:space="preserve"> последователно обявява своите приоритети </w:t>
      </w:r>
      <w:r w:rsidR="00341C3E" w:rsidRPr="00341C3E">
        <w:rPr>
          <w:rFonts w:ascii="Times New Roman" w:hAnsi="Times New Roman" w:cs="Times New Roman"/>
          <w:sz w:val="24"/>
          <w:szCs w:val="24"/>
        </w:rPr>
        <w:t xml:space="preserve">при образуване на производства по Глава девета и Глава дванадесета </w:t>
      </w:r>
      <w:r w:rsidRPr="002C36E1">
        <w:rPr>
          <w:rFonts w:ascii="Times New Roman" w:hAnsi="Times New Roman" w:cs="Times New Roman"/>
          <w:sz w:val="24"/>
          <w:szCs w:val="24"/>
        </w:rPr>
        <w:t xml:space="preserve">в </w:t>
      </w:r>
      <w:r w:rsidR="003764F5">
        <w:rPr>
          <w:rFonts w:ascii="Times New Roman" w:hAnsi="Times New Roman" w:cs="Times New Roman"/>
          <w:sz w:val="24"/>
          <w:szCs w:val="24"/>
        </w:rPr>
        <w:t>нейни</w:t>
      </w:r>
      <w:r w:rsidRPr="002C36E1">
        <w:rPr>
          <w:rFonts w:ascii="Times New Roman" w:hAnsi="Times New Roman" w:cs="Times New Roman"/>
          <w:sz w:val="24"/>
          <w:szCs w:val="24"/>
        </w:rPr>
        <w:t xml:space="preserve"> годишни документи, публикувани на официалния </w:t>
      </w:r>
      <w:r>
        <w:rPr>
          <w:rFonts w:ascii="Times New Roman" w:hAnsi="Times New Roman" w:cs="Times New Roman"/>
          <w:sz w:val="24"/>
          <w:szCs w:val="24"/>
        </w:rPr>
        <w:t>й</w:t>
      </w:r>
      <w:r w:rsidRPr="002C36E1">
        <w:rPr>
          <w:rFonts w:ascii="Times New Roman" w:hAnsi="Times New Roman" w:cs="Times New Roman"/>
          <w:sz w:val="24"/>
          <w:szCs w:val="24"/>
        </w:rPr>
        <w:t xml:space="preserve"> уебсайт. Във всеки от тези периоди секторът на храните и </w:t>
      </w:r>
      <w:r w:rsidR="00341C3E">
        <w:rPr>
          <w:rFonts w:ascii="Times New Roman" w:hAnsi="Times New Roman" w:cs="Times New Roman"/>
          <w:sz w:val="24"/>
          <w:szCs w:val="24"/>
        </w:rPr>
        <w:t xml:space="preserve">регулирането на </w:t>
      </w:r>
      <w:r w:rsidR="003764F5" w:rsidRPr="003764F5">
        <w:rPr>
          <w:rFonts w:ascii="Times New Roman" w:hAnsi="Times New Roman" w:cs="Times New Roman"/>
          <w:sz w:val="24"/>
          <w:szCs w:val="24"/>
        </w:rPr>
        <w:t>веригата на доставки</w:t>
      </w:r>
      <w:r w:rsidR="003764F5">
        <w:rPr>
          <w:rFonts w:ascii="Times New Roman" w:hAnsi="Times New Roman" w:cs="Times New Roman"/>
          <w:sz w:val="24"/>
          <w:szCs w:val="24"/>
        </w:rPr>
        <w:t xml:space="preserve"> на земеделски продукти и храни са</w:t>
      </w:r>
      <w:r w:rsidRPr="002C36E1">
        <w:rPr>
          <w:rFonts w:ascii="Times New Roman" w:hAnsi="Times New Roman" w:cs="Times New Roman"/>
          <w:sz w:val="24"/>
          <w:szCs w:val="24"/>
        </w:rPr>
        <w:t xml:space="preserve"> включен</w:t>
      </w:r>
      <w:r w:rsidR="003764F5">
        <w:rPr>
          <w:rFonts w:ascii="Times New Roman" w:hAnsi="Times New Roman" w:cs="Times New Roman"/>
          <w:sz w:val="24"/>
          <w:szCs w:val="24"/>
        </w:rPr>
        <w:t>и</w:t>
      </w:r>
      <w:r w:rsidRPr="002C36E1">
        <w:rPr>
          <w:rFonts w:ascii="Times New Roman" w:hAnsi="Times New Roman" w:cs="Times New Roman"/>
          <w:sz w:val="24"/>
          <w:szCs w:val="24"/>
        </w:rPr>
        <w:t xml:space="preserve"> сред приоритетните области на правоприлагане. През 2022 г. Комисията определ</w:t>
      </w:r>
      <w:r w:rsidR="00BA4D6A">
        <w:rPr>
          <w:rFonts w:ascii="Times New Roman" w:hAnsi="Times New Roman" w:cs="Times New Roman"/>
          <w:sz w:val="24"/>
          <w:szCs w:val="24"/>
        </w:rPr>
        <w:t>я</w:t>
      </w:r>
      <w:r w:rsidRPr="002C36E1">
        <w:rPr>
          <w:rFonts w:ascii="Times New Roman" w:hAnsi="Times New Roman" w:cs="Times New Roman"/>
          <w:sz w:val="24"/>
          <w:szCs w:val="24"/>
        </w:rPr>
        <w:t xml:space="preserve"> като приоритетни наблюдението върху производството и търговията с основни хранителни стоки</w:t>
      </w:r>
      <w:r w:rsidR="00BA4D6A">
        <w:rPr>
          <w:rFonts w:ascii="Times New Roman" w:hAnsi="Times New Roman" w:cs="Times New Roman"/>
          <w:sz w:val="24"/>
          <w:szCs w:val="24"/>
        </w:rPr>
        <w:t xml:space="preserve"> и</w:t>
      </w:r>
      <w:r w:rsidRPr="002C36E1">
        <w:rPr>
          <w:rFonts w:ascii="Times New Roman" w:hAnsi="Times New Roman" w:cs="Times New Roman"/>
          <w:sz w:val="24"/>
          <w:szCs w:val="24"/>
        </w:rPr>
        <w:t xml:space="preserve"> прилагането на забраните за нелоялни търговски практики във веригата за доставки на селскостопански и хранителни продукти, както и контрол</w:t>
      </w:r>
      <w:r w:rsidR="00D8711F">
        <w:rPr>
          <w:rFonts w:ascii="Times New Roman" w:hAnsi="Times New Roman" w:cs="Times New Roman"/>
          <w:sz w:val="24"/>
          <w:szCs w:val="24"/>
        </w:rPr>
        <w:t>а</w:t>
      </w:r>
      <w:r w:rsidRPr="002C36E1">
        <w:rPr>
          <w:rFonts w:ascii="Times New Roman" w:hAnsi="Times New Roman" w:cs="Times New Roman"/>
          <w:sz w:val="24"/>
          <w:szCs w:val="24"/>
        </w:rPr>
        <w:t xml:space="preserve"> върху рекламата и поведението на предприятия</w:t>
      </w:r>
      <w:r w:rsidR="00D0312F">
        <w:rPr>
          <w:rFonts w:ascii="Times New Roman" w:hAnsi="Times New Roman" w:cs="Times New Roman"/>
          <w:sz w:val="24"/>
          <w:szCs w:val="24"/>
        </w:rPr>
        <w:t>та</w:t>
      </w:r>
      <w:r w:rsidRPr="002C36E1">
        <w:rPr>
          <w:rFonts w:ascii="Times New Roman" w:hAnsi="Times New Roman" w:cs="Times New Roman"/>
          <w:sz w:val="24"/>
          <w:szCs w:val="24"/>
        </w:rPr>
        <w:t xml:space="preserve"> в условията на пандемия и нарастваща цифровизация на пазарите</w:t>
      </w:r>
      <w:r>
        <w:rPr>
          <w:rFonts w:ascii="Times New Roman" w:hAnsi="Times New Roman" w:cs="Times New Roman"/>
          <w:sz w:val="24"/>
          <w:szCs w:val="24"/>
        </w:rPr>
        <w:t>.</w:t>
      </w:r>
      <w:r w:rsidRPr="002C36E1">
        <w:rPr>
          <w:rFonts w:ascii="Times New Roman" w:hAnsi="Times New Roman" w:cs="Times New Roman"/>
          <w:sz w:val="24"/>
          <w:szCs w:val="24"/>
        </w:rPr>
        <w:t xml:space="preserve"> </w:t>
      </w:r>
    </w:p>
    <w:p w14:paraId="567E5CC5" w14:textId="77777777" w:rsidR="003764F5" w:rsidRDefault="002C36E1" w:rsidP="00DD69D5">
      <w:pPr>
        <w:spacing w:after="0" w:line="240" w:lineRule="auto"/>
        <w:ind w:firstLine="567"/>
        <w:jc w:val="both"/>
        <w:rPr>
          <w:rFonts w:ascii="Times New Roman" w:hAnsi="Times New Roman" w:cs="Times New Roman"/>
          <w:sz w:val="24"/>
          <w:szCs w:val="24"/>
        </w:rPr>
      </w:pPr>
      <w:r w:rsidRPr="002C36E1">
        <w:rPr>
          <w:rFonts w:ascii="Times New Roman" w:hAnsi="Times New Roman" w:cs="Times New Roman"/>
          <w:sz w:val="24"/>
          <w:szCs w:val="24"/>
        </w:rPr>
        <w:t xml:space="preserve">През 2023 г., в условията на </w:t>
      </w:r>
      <w:r w:rsidR="003764F5">
        <w:rPr>
          <w:rFonts w:ascii="Times New Roman" w:hAnsi="Times New Roman" w:cs="Times New Roman"/>
          <w:sz w:val="24"/>
          <w:szCs w:val="24"/>
        </w:rPr>
        <w:t>установен</w:t>
      </w:r>
      <w:r w:rsidR="00D8711F">
        <w:rPr>
          <w:rFonts w:ascii="Times New Roman" w:hAnsi="Times New Roman" w:cs="Times New Roman"/>
          <w:sz w:val="24"/>
          <w:szCs w:val="24"/>
        </w:rPr>
        <w:t xml:space="preserve"> </w:t>
      </w:r>
      <w:r w:rsidRPr="002C36E1">
        <w:rPr>
          <w:rFonts w:ascii="Times New Roman" w:hAnsi="Times New Roman" w:cs="Times New Roman"/>
          <w:sz w:val="24"/>
          <w:szCs w:val="24"/>
        </w:rPr>
        <w:t xml:space="preserve">рязък скок в цените на основни хранителни продукти, КЗК обявява </w:t>
      </w:r>
      <w:r w:rsidR="003764F5">
        <w:rPr>
          <w:rFonts w:ascii="Times New Roman" w:hAnsi="Times New Roman" w:cs="Times New Roman"/>
          <w:sz w:val="24"/>
          <w:szCs w:val="24"/>
        </w:rPr>
        <w:t>началото</w:t>
      </w:r>
      <w:r w:rsidRPr="002C36E1">
        <w:rPr>
          <w:rFonts w:ascii="Times New Roman" w:hAnsi="Times New Roman" w:cs="Times New Roman"/>
          <w:sz w:val="24"/>
          <w:szCs w:val="24"/>
        </w:rPr>
        <w:t xml:space="preserve"> на секторни проучвания и подчертава значението на събиране</w:t>
      </w:r>
      <w:r w:rsidR="00BA4D6A">
        <w:rPr>
          <w:rFonts w:ascii="Times New Roman" w:hAnsi="Times New Roman" w:cs="Times New Roman"/>
          <w:sz w:val="24"/>
          <w:szCs w:val="24"/>
        </w:rPr>
        <w:t>то</w:t>
      </w:r>
      <w:r w:rsidRPr="002C36E1">
        <w:rPr>
          <w:rFonts w:ascii="Times New Roman" w:hAnsi="Times New Roman" w:cs="Times New Roman"/>
          <w:sz w:val="24"/>
          <w:szCs w:val="24"/>
        </w:rPr>
        <w:t xml:space="preserve"> на данни относно поведението на търговските вериги.</w:t>
      </w:r>
      <w:r w:rsidR="00BA4D6A">
        <w:rPr>
          <w:rFonts w:ascii="Times New Roman" w:hAnsi="Times New Roman" w:cs="Times New Roman"/>
          <w:sz w:val="24"/>
          <w:szCs w:val="24"/>
        </w:rPr>
        <w:t xml:space="preserve"> Формулировката на приоритетите</w:t>
      </w:r>
      <w:r w:rsidR="00BA4D6A" w:rsidRPr="00BA4D6A">
        <w:rPr>
          <w:rFonts w:ascii="Times New Roman" w:hAnsi="Times New Roman" w:cs="Times New Roman"/>
          <w:sz w:val="24"/>
          <w:szCs w:val="24"/>
        </w:rPr>
        <w:t xml:space="preserve"> на КЗК за 2023 г. по отношение на сектора на храните </w:t>
      </w:r>
      <w:r w:rsidR="00BA4D6A">
        <w:rPr>
          <w:rFonts w:ascii="Times New Roman" w:hAnsi="Times New Roman" w:cs="Times New Roman"/>
          <w:sz w:val="24"/>
          <w:szCs w:val="24"/>
        </w:rPr>
        <w:t>повтаря бланкетно</w:t>
      </w:r>
      <w:r w:rsidR="00BA4D6A" w:rsidRPr="00BA4D6A">
        <w:rPr>
          <w:rFonts w:ascii="Times New Roman" w:hAnsi="Times New Roman" w:cs="Times New Roman"/>
          <w:sz w:val="24"/>
          <w:szCs w:val="24"/>
        </w:rPr>
        <w:t xml:space="preserve"> т</w:t>
      </w:r>
      <w:r w:rsidR="00BA4D6A">
        <w:rPr>
          <w:rFonts w:ascii="Times New Roman" w:hAnsi="Times New Roman" w:cs="Times New Roman"/>
          <w:sz w:val="24"/>
          <w:szCs w:val="24"/>
        </w:rPr>
        <w:t>а</w:t>
      </w:r>
      <w:r w:rsidR="00BA4D6A" w:rsidRPr="00BA4D6A">
        <w:rPr>
          <w:rFonts w:ascii="Times New Roman" w:hAnsi="Times New Roman" w:cs="Times New Roman"/>
          <w:sz w:val="24"/>
          <w:szCs w:val="24"/>
        </w:rPr>
        <w:t>зи, заложен</w:t>
      </w:r>
      <w:r w:rsidR="00BA4D6A">
        <w:rPr>
          <w:rFonts w:ascii="Times New Roman" w:hAnsi="Times New Roman" w:cs="Times New Roman"/>
          <w:sz w:val="24"/>
          <w:szCs w:val="24"/>
        </w:rPr>
        <w:t>а</w:t>
      </w:r>
      <w:r w:rsidR="00BA4D6A" w:rsidRPr="00BA4D6A">
        <w:rPr>
          <w:rFonts w:ascii="Times New Roman" w:hAnsi="Times New Roman" w:cs="Times New Roman"/>
          <w:sz w:val="24"/>
          <w:szCs w:val="24"/>
        </w:rPr>
        <w:t xml:space="preserve"> за 2022 г</w:t>
      </w:r>
      <w:r w:rsidR="00BA4D6A">
        <w:rPr>
          <w:rFonts w:ascii="Times New Roman" w:hAnsi="Times New Roman" w:cs="Times New Roman"/>
          <w:sz w:val="24"/>
          <w:szCs w:val="24"/>
        </w:rPr>
        <w:t>.</w:t>
      </w:r>
      <w:r w:rsidR="00BA4D6A" w:rsidRPr="00BA4D6A">
        <w:rPr>
          <w:rFonts w:ascii="Times New Roman" w:hAnsi="Times New Roman" w:cs="Times New Roman"/>
          <w:sz w:val="24"/>
          <w:szCs w:val="24"/>
        </w:rPr>
        <w:t xml:space="preserve"> </w:t>
      </w:r>
      <w:r w:rsidR="00BA4D6A">
        <w:rPr>
          <w:rFonts w:ascii="Times New Roman" w:hAnsi="Times New Roman" w:cs="Times New Roman"/>
          <w:sz w:val="24"/>
          <w:szCs w:val="24"/>
        </w:rPr>
        <w:t>Е</w:t>
      </w:r>
      <w:r w:rsidR="00BA4D6A" w:rsidRPr="00BA4D6A">
        <w:rPr>
          <w:rFonts w:ascii="Times New Roman" w:hAnsi="Times New Roman" w:cs="Times New Roman"/>
          <w:sz w:val="24"/>
          <w:szCs w:val="24"/>
        </w:rPr>
        <w:t>динствената разлика се открива в обосновката за динамиката на цените на хранителните стоки – през 2022 г. тя се свързва</w:t>
      </w:r>
      <w:r w:rsidR="00D8711F">
        <w:rPr>
          <w:rFonts w:ascii="Times New Roman" w:hAnsi="Times New Roman" w:cs="Times New Roman"/>
          <w:sz w:val="24"/>
          <w:szCs w:val="24"/>
        </w:rPr>
        <w:t xml:space="preserve"> конкретно</w:t>
      </w:r>
      <w:r w:rsidR="00BA4D6A" w:rsidRPr="00BA4D6A">
        <w:rPr>
          <w:rFonts w:ascii="Times New Roman" w:hAnsi="Times New Roman" w:cs="Times New Roman"/>
          <w:sz w:val="24"/>
          <w:szCs w:val="24"/>
        </w:rPr>
        <w:t xml:space="preserve"> с въздействието на пандемията от COVID-19, докато през 2023 г. причините</w:t>
      </w:r>
      <w:r w:rsidR="00BA4D6A">
        <w:rPr>
          <w:rFonts w:ascii="Times New Roman" w:hAnsi="Times New Roman" w:cs="Times New Roman"/>
          <w:sz w:val="24"/>
          <w:szCs w:val="24"/>
        </w:rPr>
        <w:t xml:space="preserve"> са отнесени</w:t>
      </w:r>
      <w:r w:rsidR="00D8711F">
        <w:rPr>
          <w:rFonts w:ascii="Times New Roman" w:hAnsi="Times New Roman" w:cs="Times New Roman"/>
          <w:sz w:val="24"/>
          <w:szCs w:val="24"/>
        </w:rPr>
        <w:t xml:space="preserve"> </w:t>
      </w:r>
      <w:r w:rsidR="00BA4D6A">
        <w:rPr>
          <w:rFonts w:ascii="Times New Roman" w:hAnsi="Times New Roman" w:cs="Times New Roman"/>
          <w:sz w:val="24"/>
          <w:szCs w:val="24"/>
        </w:rPr>
        <w:t>до</w:t>
      </w:r>
      <w:r w:rsidR="00BA4D6A" w:rsidRPr="00BA4D6A">
        <w:rPr>
          <w:rFonts w:ascii="Times New Roman" w:hAnsi="Times New Roman" w:cs="Times New Roman"/>
          <w:sz w:val="24"/>
          <w:szCs w:val="24"/>
        </w:rPr>
        <w:t xml:space="preserve"> недостига на суровини и основни продукти вследствие на войната в Украйна и въведените икономически санкции спрямо Руската федерация. </w:t>
      </w:r>
    </w:p>
    <w:p w14:paraId="1B302148" w14:textId="7268E564" w:rsidR="003764F5" w:rsidRDefault="006F513D" w:rsidP="00DD69D5">
      <w:pPr>
        <w:spacing w:after="0" w:line="240" w:lineRule="auto"/>
        <w:ind w:firstLine="567"/>
        <w:jc w:val="both"/>
        <w:rPr>
          <w:rFonts w:ascii="Times New Roman" w:hAnsi="Times New Roman" w:cs="Times New Roman"/>
          <w:sz w:val="24"/>
          <w:szCs w:val="24"/>
        </w:rPr>
      </w:pPr>
      <w:r w:rsidRPr="006F513D">
        <w:rPr>
          <w:rFonts w:ascii="Times New Roman" w:hAnsi="Times New Roman" w:cs="Times New Roman"/>
          <w:sz w:val="24"/>
          <w:szCs w:val="24"/>
        </w:rPr>
        <w:t>През 2024 г. КЗК определя</w:t>
      </w:r>
      <w:r>
        <w:rPr>
          <w:rFonts w:ascii="Times New Roman" w:hAnsi="Times New Roman" w:cs="Times New Roman"/>
          <w:sz w:val="24"/>
          <w:szCs w:val="24"/>
        </w:rPr>
        <w:t xml:space="preserve"> по идентичен начин</w:t>
      </w:r>
      <w:r w:rsidRPr="006F513D">
        <w:rPr>
          <w:rFonts w:ascii="Times New Roman" w:hAnsi="Times New Roman" w:cs="Times New Roman"/>
          <w:sz w:val="24"/>
          <w:szCs w:val="24"/>
        </w:rPr>
        <w:t xml:space="preserve"> като основни приоритети в сектора на храните наблюдението върху предлагането, етикетирането и </w:t>
      </w:r>
      <w:r w:rsidR="00E164D8" w:rsidRPr="006F513D">
        <w:rPr>
          <w:rFonts w:ascii="Times New Roman" w:hAnsi="Times New Roman" w:cs="Times New Roman"/>
          <w:sz w:val="24"/>
          <w:szCs w:val="24"/>
        </w:rPr>
        <w:t>промотиране</w:t>
      </w:r>
      <w:r w:rsidR="00E164D8">
        <w:rPr>
          <w:rFonts w:ascii="Times New Roman" w:hAnsi="Times New Roman" w:cs="Times New Roman"/>
          <w:sz w:val="24"/>
          <w:szCs w:val="24"/>
        </w:rPr>
        <w:t>то</w:t>
      </w:r>
      <w:r w:rsidRPr="006F513D">
        <w:rPr>
          <w:rFonts w:ascii="Times New Roman" w:hAnsi="Times New Roman" w:cs="Times New Roman"/>
          <w:sz w:val="24"/>
          <w:szCs w:val="24"/>
        </w:rPr>
        <w:t xml:space="preserve"> на хранителни продукти от първа необходимост, контрола върху заблуждаващата реклама и ценовите практики, както и активното взаимодействие с браншови организации за проследяване на отношенията между производители, доставчици и големи търговски вериги с оглед установяване и ограничаване на нелоялни търговски практики по веригата на доставки.</w:t>
      </w:r>
      <w:r w:rsidR="002C36E1" w:rsidRPr="002C36E1">
        <w:rPr>
          <w:rFonts w:ascii="Times New Roman" w:hAnsi="Times New Roman" w:cs="Times New Roman"/>
          <w:sz w:val="24"/>
          <w:szCs w:val="24"/>
        </w:rPr>
        <w:t xml:space="preserve"> </w:t>
      </w:r>
    </w:p>
    <w:p w14:paraId="64043FEE" w14:textId="6EFEEA32" w:rsidR="00D8711F" w:rsidRDefault="006F513D" w:rsidP="00DD69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sidR="00A50520">
        <w:rPr>
          <w:rFonts w:ascii="Times New Roman" w:hAnsi="Times New Roman" w:cs="Times New Roman"/>
          <w:sz w:val="24"/>
          <w:szCs w:val="24"/>
        </w:rPr>
        <w:t>плановете</w:t>
      </w:r>
      <w:r w:rsidR="003764F5">
        <w:rPr>
          <w:rFonts w:ascii="Times New Roman" w:hAnsi="Times New Roman" w:cs="Times New Roman"/>
          <w:sz w:val="24"/>
          <w:szCs w:val="24"/>
        </w:rPr>
        <w:t xml:space="preserve"> си</w:t>
      </w:r>
      <w:r>
        <w:rPr>
          <w:rFonts w:ascii="Times New Roman" w:hAnsi="Times New Roman" w:cs="Times New Roman"/>
          <w:sz w:val="24"/>
          <w:szCs w:val="24"/>
        </w:rPr>
        <w:t xml:space="preserve"> за</w:t>
      </w:r>
      <w:r w:rsidR="002C36E1" w:rsidRPr="002C36E1">
        <w:rPr>
          <w:rFonts w:ascii="Times New Roman" w:hAnsi="Times New Roman" w:cs="Times New Roman"/>
          <w:sz w:val="24"/>
          <w:szCs w:val="24"/>
        </w:rPr>
        <w:t xml:space="preserve"> 2025 г.</w:t>
      </w:r>
      <w:r w:rsidR="003764F5">
        <w:rPr>
          <w:rFonts w:ascii="Times New Roman" w:hAnsi="Times New Roman" w:cs="Times New Roman"/>
          <w:sz w:val="24"/>
          <w:szCs w:val="24"/>
        </w:rPr>
        <w:t>,</w:t>
      </w:r>
      <w:r w:rsidR="002C36E1" w:rsidRPr="002C36E1">
        <w:rPr>
          <w:rFonts w:ascii="Times New Roman" w:hAnsi="Times New Roman" w:cs="Times New Roman"/>
          <w:sz w:val="24"/>
          <w:szCs w:val="24"/>
        </w:rPr>
        <w:t xml:space="preserve"> </w:t>
      </w:r>
      <w:r w:rsidR="003764F5">
        <w:rPr>
          <w:rFonts w:ascii="Times New Roman" w:hAnsi="Times New Roman" w:cs="Times New Roman"/>
          <w:sz w:val="24"/>
          <w:szCs w:val="24"/>
        </w:rPr>
        <w:t>по отношение на</w:t>
      </w:r>
      <w:r>
        <w:rPr>
          <w:rFonts w:ascii="Times New Roman" w:hAnsi="Times New Roman" w:cs="Times New Roman"/>
          <w:sz w:val="24"/>
          <w:szCs w:val="24"/>
        </w:rPr>
        <w:t xml:space="preserve"> изминалата</w:t>
      </w:r>
      <w:r w:rsidR="00341C3E">
        <w:rPr>
          <w:rFonts w:ascii="Times New Roman" w:hAnsi="Times New Roman" w:cs="Times New Roman"/>
          <w:sz w:val="24"/>
          <w:szCs w:val="24"/>
        </w:rPr>
        <w:t xml:space="preserve"> 2024</w:t>
      </w:r>
      <w:r>
        <w:rPr>
          <w:rFonts w:ascii="Times New Roman" w:hAnsi="Times New Roman" w:cs="Times New Roman"/>
          <w:sz w:val="24"/>
          <w:szCs w:val="24"/>
        </w:rPr>
        <w:t xml:space="preserve"> г</w:t>
      </w:r>
      <w:r w:rsidR="00341C3E">
        <w:rPr>
          <w:rFonts w:ascii="Times New Roman" w:hAnsi="Times New Roman" w:cs="Times New Roman"/>
          <w:sz w:val="24"/>
          <w:szCs w:val="24"/>
        </w:rPr>
        <w:t>.</w:t>
      </w:r>
      <w:r w:rsidR="003764F5">
        <w:rPr>
          <w:rFonts w:ascii="Times New Roman" w:hAnsi="Times New Roman" w:cs="Times New Roman"/>
          <w:sz w:val="24"/>
          <w:szCs w:val="24"/>
        </w:rPr>
        <w:t xml:space="preserve">, </w:t>
      </w:r>
      <w:r>
        <w:rPr>
          <w:rFonts w:ascii="Times New Roman" w:hAnsi="Times New Roman" w:cs="Times New Roman"/>
          <w:sz w:val="24"/>
          <w:szCs w:val="24"/>
        </w:rPr>
        <w:t>КЗК декларира, че</w:t>
      </w:r>
      <w:r w:rsidRPr="006F513D">
        <w:rPr>
          <w:rFonts w:ascii="Times New Roman" w:hAnsi="Times New Roman" w:cs="Times New Roman"/>
          <w:sz w:val="24"/>
          <w:szCs w:val="24"/>
        </w:rPr>
        <w:t xml:space="preserve"> секторът на производството и търговията с хранителни продукти отново е сред основните приоритети на </w:t>
      </w:r>
      <w:r>
        <w:rPr>
          <w:rFonts w:ascii="Times New Roman" w:hAnsi="Times New Roman" w:cs="Times New Roman"/>
          <w:sz w:val="24"/>
          <w:szCs w:val="24"/>
        </w:rPr>
        <w:t>органа</w:t>
      </w:r>
      <w:r w:rsidRPr="006F513D">
        <w:rPr>
          <w:rFonts w:ascii="Times New Roman" w:hAnsi="Times New Roman" w:cs="Times New Roman"/>
          <w:sz w:val="24"/>
          <w:szCs w:val="24"/>
        </w:rPr>
        <w:t>, като са</w:t>
      </w:r>
      <w:r>
        <w:rPr>
          <w:rFonts w:ascii="Times New Roman" w:hAnsi="Times New Roman" w:cs="Times New Roman"/>
          <w:sz w:val="24"/>
          <w:szCs w:val="24"/>
        </w:rPr>
        <w:t xml:space="preserve"> били</w:t>
      </w:r>
      <w:r w:rsidRPr="006F513D">
        <w:rPr>
          <w:rFonts w:ascii="Times New Roman" w:hAnsi="Times New Roman" w:cs="Times New Roman"/>
          <w:sz w:val="24"/>
          <w:szCs w:val="24"/>
        </w:rPr>
        <w:t xml:space="preserve"> извършени редица анализи и антитръстови проучвания, свързани с динамиката на цените на дребно и влиянието на фактори като суровини, енергийни разходи, инфлация и глобални пазарни процеси</w:t>
      </w:r>
      <w:r w:rsidR="00341C3E">
        <w:rPr>
          <w:rFonts w:ascii="Times New Roman" w:hAnsi="Times New Roman" w:cs="Times New Roman"/>
          <w:sz w:val="24"/>
          <w:szCs w:val="24"/>
        </w:rPr>
        <w:t>,</w:t>
      </w:r>
      <w:r w:rsidR="00D8711F">
        <w:rPr>
          <w:rFonts w:ascii="Times New Roman" w:hAnsi="Times New Roman" w:cs="Times New Roman"/>
          <w:sz w:val="24"/>
          <w:szCs w:val="24"/>
        </w:rPr>
        <w:t xml:space="preserve"> но отново,</w:t>
      </w:r>
      <w:r w:rsidR="00341C3E">
        <w:rPr>
          <w:rFonts w:ascii="Times New Roman" w:hAnsi="Times New Roman" w:cs="Times New Roman"/>
          <w:sz w:val="24"/>
          <w:szCs w:val="24"/>
        </w:rPr>
        <w:t xml:space="preserve"> без да се дава конкретика</w:t>
      </w:r>
      <w:r w:rsidRPr="006F513D">
        <w:rPr>
          <w:rFonts w:ascii="Times New Roman" w:hAnsi="Times New Roman" w:cs="Times New Roman"/>
          <w:sz w:val="24"/>
          <w:szCs w:val="24"/>
        </w:rPr>
        <w:t xml:space="preserve">. </w:t>
      </w:r>
      <w:r w:rsidR="00341C3E">
        <w:rPr>
          <w:rFonts w:ascii="Times New Roman" w:hAnsi="Times New Roman" w:cs="Times New Roman"/>
          <w:sz w:val="24"/>
          <w:szCs w:val="24"/>
        </w:rPr>
        <w:t xml:space="preserve">КЗК е установила, че </w:t>
      </w:r>
      <w:r w:rsidR="00341C3E" w:rsidRPr="00341C3E">
        <w:rPr>
          <w:rFonts w:ascii="Times New Roman" w:hAnsi="Times New Roman" w:cs="Times New Roman"/>
          <w:sz w:val="24"/>
          <w:szCs w:val="24"/>
        </w:rPr>
        <w:t xml:space="preserve">ценовите тенденции в страната се </w:t>
      </w:r>
      <w:r w:rsidR="00D8711F">
        <w:rPr>
          <w:rFonts w:ascii="Times New Roman" w:hAnsi="Times New Roman" w:cs="Times New Roman"/>
          <w:sz w:val="24"/>
          <w:szCs w:val="24"/>
        </w:rPr>
        <w:t>основават</w:t>
      </w:r>
      <w:r w:rsidR="003764F5">
        <w:rPr>
          <w:rFonts w:ascii="Times New Roman" w:hAnsi="Times New Roman" w:cs="Times New Roman"/>
          <w:sz w:val="24"/>
          <w:szCs w:val="24"/>
        </w:rPr>
        <w:t>,</w:t>
      </w:r>
      <w:r w:rsidR="00341C3E" w:rsidRPr="00341C3E">
        <w:rPr>
          <w:rFonts w:ascii="Times New Roman" w:hAnsi="Times New Roman" w:cs="Times New Roman"/>
          <w:sz w:val="24"/>
          <w:szCs w:val="24"/>
        </w:rPr>
        <w:t xml:space="preserve"> от една страна</w:t>
      </w:r>
      <w:r w:rsidR="003764F5">
        <w:rPr>
          <w:rFonts w:ascii="Times New Roman" w:hAnsi="Times New Roman" w:cs="Times New Roman"/>
          <w:sz w:val="24"/>
          <w:szCs w:val="24"/>
        </w:rPr>
        <w:t>,</w:t>
      </w:r>
      <w:r w:rsidR="00341C3E" w:rsidRPr="00341C3E">
        <w:rPr>
          <w:rFonts w:ascii="Times New Roman" w:hAnsi="Times New Roman" w:cs="Times New Roman"/>
          <w:sz w:val="24"/>
          <w:szCs w:val="24"/>
        </w:rPr>
        <w:t xml:space="preserve"> на обективни икономически фактори, </w:t>
      </w:r>
      <w:r w:rsidR="00A50520">
        <w:rPr>
          <w:rFonts w:ascii="Times New Roman" w:hAnsi="Times New Roman" w:cs="Times New Roman"/>
          <w:sz w:val="24"/>
          <w:szCs w:val="24"/>
        </w:rPr>
        <w:t xml:space="preserve">а от друга, </w:t>
      </w:r>
      <w:r w:rsidR="00A50520" w:rsidRPr="00341C3E">
        <w:rPr>
          <w:rFonts w:ascii="Times New Roman" w:hAnsi="Times New Roman" w:cs="Times New Roman"/>
          <w:sz w:val="24"/>
          <w:szCs w:val="24"/>
        </w:rPr>
        <w:t xml:space="preserve">на такива, </w:t>
      </w:r>
      <w:r w:rsidR="00D0312F">
        <w:rPr>
          <w:rFonts w:ascii="Times New Roman" w:hAnsi="Times New Roman" w:cs="Times New Roman"/>
          <w:sz w:val="24"/>
          <w:szCs w:val="24"/>
        </w:rPr>
        <w:t xml:space="preserve"> </w:t>
      </w:r>
      <w:r w:rsidR="00341C3E" w:rsidRPr="00341C3E">
        <w:rPr>
          <w:rFonts w:ascii="Times New Roman" w:hAnsi="Times New Roman" w:cs="Times New Roman"/>
          <w:sz w:val="24"/>
          <w:szCs w:val="24"/>
        </w:rPr>
        <w:t>породени от международната обстановка</w:t>
      </w:r>
      <w:r w:rsidR="00D8711F">
        <w:rPr>
          <w:rFonts w:ascii="Times New Roman" w:hAnsi="Times New Roman" w:cs="Times New Roman"/>
          <w:sz w:val="24"/>
          <w:szCs w:val="24"/>
        </w:rPr>
        <w:t>. Въпреки това</w:t>
      </w:r>
      <w:r w:rsidR="00341C3E">
        <w:rPr>
          <w:rFonts w:ascii="Times New Roman" w:hAnsi="Times New Roman" w:cs="Times New Roman"/>
          <w:sz w:val="24"/>
          <w:szCs w:val="24"/>
        </w:rPr>
        <w:t xml:space="preserve"> </w:t>
      </w:r>
      <w:r w:rsidR="00341C3E" w:rsidRPr="00341C3E">
        <w:rPr>
          <w:rFonts w:ascii="Times New Roman" w:hAnsi="Times New Roman" w:cs="Times New Roman"/>
          <w:sz w:val="24"/>
          <w:szCs w:val="24"/>
        </w:rPr>
        <w:t>са идентифицирани потенциални пречки за конкуренцията</w:t>
      </w:r>
      <w:r w:rsidR="00341C3E">
        <w:rPr>
          <w:rFonts w:ascii="Times New Roman" w:hAnsi="Times New Roman" w:cs="Times New Roman"/>
          <w:sz w:val="24"/>
          <w:szCs w:val="24"/>
        </w:rPr>
        <w:t>, п</w:t>
      </w:r>
      <w:r w:rsidR="00341C3E" w:rsidRPr="00341C3E">
        <w:rPr>
          <w:rFonts w:ascii="Times New Roman" w:hAnsi="Times New Roman" w:cs="Times New Roman"/>
          <w:sz w:val="24"/>
          <w:szCs w:val="24"/>
        </w:rPr>
        <w:t xml:space="preserve">оради което </w:t>
      </w:r>
      <w:r w:rsidR="00A50520" w:rsidRPr="00341C3E">
        <w:rPr>
          <w:rFonts w:ascii="Times New Roman" w:hAnsi="Times New Roman" w:cs="Times New Roman"/>
          <w:sz w:val="24"/>
          <w:szCs w:val="24"/>
        </w:rPr>
        <w:t xml:space="preserve">комисията </w:t>
      </w:r>
      <w:r w:rsidR="00341C3E" w:rsidRPr="00341C3E">
        <w:rPr>
          <w:rFonts w:ascii="Times New Roman" w:hAnsi="Times New Roman" w:cs="Times New Roman"/>
          <w:sz w:val="24"/>
          <w:szCs w:val="24"/>
        </w:rPr>
        <w:t>ще продължи активно наблюдение върху пазарното поведение и комуникацията на участниците</w:t>
      </w:r>
      <w:r>
        <w:rPr>
          <w:rStyle w:val="FootnoteReference"/>
          <w:rFonts w:ascii="Times New Roman" w:hAnsi="Times New Roman" w:cs="Times New Roman"/>
          <w:sz w:val="24"/>
          <w:szCs w:val="24"/>
        </w:rPr>
        <w:footnoteReference w:id="16"/>
      </w:r>
      <w:r w:rsidRPr="006F513D">
        <w:rPr>
          <w:rFonts w:ascii="Times New Roman" w:hAnsi="Times New Roman" w:cs="Times New Roman"/>
          <w:sz w:val="24"/>
          <w:szCs w:val="24"/>
        </w:rPr>
        <w:t>.</w:t>
      </w:r>
    </w:p>
    <w:p w14:paraId="2F243337" w14:textId="72F3A2E5" w:rsidR="002F289F" w:rsidRDefault="003764F5" w:rsidP="00DD69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462849" w:rsidRPr="007B4A99">
        <w:rPr>
          <w:rFonts w:ascii="Times New Roman" w:hAnsi="Times New Roman" w:cs="Times New Roman"/>
          <w:sz w:val="24"/>
          <w:szCs w:val="24"/>
        </w:rPr>
        <w:t>оследно публикуваният годишен отчет на КЗК е от 2023 г.</w:t>
      </w:r>
      <w:r w:rsidR="00B36369" w:rsidRPr="007B4A99">
        <w:rPr>
          <w:rFonts w:ascii="Times New Roman" w:hAnsi="Times New Roman" w:cs="Times New Roman"/>
          <w:sz w:val="24"/>
          <w:szCs w:val="24"/>
        </w:rPr>
        <w:t xml:space="preserve"> Това</w:t>
      </w:r>
      <w:r w:rsidR="00867C09">
        <w:rPr>
          <w:rFonts w:ascii="Times New Roman" w:hAnsi="Times New Roman" w:cs="Times New Roman"/>
          <w:sz w:val="24"/>
          <w:szCs w:val="24"/>
        </w:rPr>
        <w:t>,</w:t>
      </w:r>
      <w:r w:rsidR="00B36369" w:rsidRPr="007B4A99">
        <w:rPr>
          <w:rFonts w:ascii="Times New Roman" w:hAnsi="Times New Roman" w:cs="Times New Roman"/>
          <w:sz w:val="24"/>
          <w:szCs w:val="24"/>
        </w:rPr>
        <w:t xml:space="preserve"> предвид</w:t>
      </w:r>
      <w:r w:rsidR="00462849" w:rsidRPr="007B4A99">
        <w:rPr>
          <w:rFonts w:ascii="Times New Roman" w:hAnsi="Times New Roman" w:cs="Times New Roman"/>
          <w:sz w:val="24"/>
          <w:szCs w:val="24"/>
        </w:rPr>
        <w:t xml:space="preserve"> настоящата изключителна динамика в развитието на разглежданите обществени отношения</w:t>
      </w:r>
      <w:r w:rsidR="00867C09">
        <w:rPr>
          <w:rFonts w:ascii="Times New Roman" w:hAnsi="Times New Roman" w:cs="Times New Roman"/>
          <w:sz w:val="24"/>
          <w:szCs w:val="24"/>
        </w:rPr>
        <w:t>,</w:t>
      </w:r>
      <w:r w:rsidR="00462849" w:rsidRPr="007B4A99">
        <w:rPr>
          <w:rFonts w:ascii="Times New Roman" w:hAnsi="Times New Roman" w:cs="Times New Roman"/>
          <w:sz w:val="24"/>
          <w:szCs w:val="24"/>
        </w:rPr>
        <w:t xml:space="preserve"> със сигурност означава, че той </w:t>
      </w:r>
      <w:r w:rsidR="00B36369" w:rsidRPr="007B4A99">
        <w:rPr>
          <w:rFonts w:ascii="Times New Roman" w:hAnsi="Times New Roman" w:cs="Times New Roman"/>
          <w:sz w:val="24"/>
          <w:szCs w:val="24"/>
        </w:rPr>
        <w:t>до голяма степен е из</w:t>
      </w:r>
      <w:r w:rsidR="00462849" w:rsidRPr="007B4A99">
        <w:rPr>
          <w:rFonts w:ascii="Times New Roman" w:hAnsi="Times New Roman" w:cs="Times New Roman"/>
          <w:sz w:val="24"/>
          <w:szCs w:val="24"/>
        </w:rPr>
        <w:t xml:space="preserve">губил </w:t>
      </w:r>
      <w:r w:rsidR="00867C09">
        <w:rPr>
          <w:rFonts w:ascii="Times New Roman" w:hAnsi="Times New Roman" w:cs="Times New Roman"/>
          <w:sz w:val="24"/>
          <w:szCs w:val="24"/>
        </w:rPr>
        <w:t xml:space="preserve">своята </w:t>
      </w:r>
      <w:r w:rsidR="00462849" w:rsidRPr="007B4A99">
        <w:rPr>
          <w:rFonts w:ascii="Times New Roman" w:hAnsi="Times New Roman" w:cs="Times New Roman"/>
          <w:sz w:val="24"/>
          <w:szCs w:val="24"/>
        </w:rPr>
        <w:t>актуалност.</w:t>
      </w:r>
      <w:r w:rsidR="001F02C9">
        <w:rPr>
          <w:rFonts w:ascii="Times New Roman" w:hAnsi="Times New Roman" w:cs="Times New Roman"/>
          <w:sz w:val="24"/>
          <w:szCs w:val="24"/>
        </w:rPr>
        <w:t xml:space="preserve"> </w:t>
      </w:r>
      <w:r w:rsidR="001F02C9" w:rsidRPr="001F02C9">
        <w:rPr>
          <w:rFonts w:ascii="Times New Roman" w:hAnsi="Times New Roman" w:cs="Times New Roman"/>
          <w:sz w:val="24"/>
          <w:szCs w:val="24"/>
        </w:rPr>
        <w:t xml:space="preserve">Данните от уебсайта на институцията показват, че публикуването на отчетите за предходната година се осъществява със значително закъснение – в рамките на 6 до 11 месеца след приключването </w:t>
      </w:r>
      <w:r w:rsidR="001F02C9">
        <w:rPr>
          <w:rFonts w:ascii="Times New Roman" w:hAnsi="Times New Roman" w:cs="Times New Roman"/>
          <w:sz w:val="24"/>
          <w:szCs w:val="24"/>
        </w:rPr>
        <w:t>й.</w:t>
      </w:r>
      <w:r w:rsidR="00462849" w:rsidRPr="007B4A99">
        <w:rPr>
          <w:rFonts w:ascii="Times New Roman" w:hAnsi="Times New Roman" w:cs="Times New Roman"/>
          <w:sz w:val="24"/>
          <w:szCs w:val="24"/>
        </w:rPr>
        <w:t xml:space="preserve"> Освен това</w:t>
      </w:r>
      <w:r w:rsidR="00867C09">
        <w:rPr>
          <w:rFonts w:ascii="Times New Roman" w:hAnsi="Times New Roman" w:cs="Times New Roman"/>
          <w:sz w:val="24"/>
          <w:szCs w:val="24"/>
        </w:rPr>
        <w:t>,</w:t>
      </w:r>
      <w:r w:rsidR="00462849" w:rsidRPr="007B4A99">
        <w:rPr>
          <w:rFonts w:ascii="Times New Roman" w:hAnsi="Times New Roman" w:cs="Times New Roman"/>
          <w:sz w:val="24"/>
          <w:szCs w:val="24"/>
        </w:rPr>
        <w:t xml:space="preserve"> всичк</w:t>
      </w:r>
      <w:r w:rsidR="00867C09">
        <w:rPr>
          <w:rFonts w:ascii="Times New Roman" w:hAnsi="Times New Roman" w:cs="Times New Roman"/>
          <w:sz w:val="24"/>
          <w:szCs w:val="24"/>
        </w:rPr>
        <w:t>и отчетени действия</w:t>
      </w:r>
      <w:r w:rsidR="004469FF" w:rsidRPr="007B4A99">
        <w:rPr>
          <w:rFonts w:ascii="Times New Roman" w:hAnsi="Times New Roman" w:cs="Times New Roman"/>
          <w:sz w:val="24"/>
          <w:szCs w:val="24"/>
        </w:rPr>
        <w:t xml:space="preserve"> от </w:t>
      </w:r>
      <w:r w:rsidR="00B36369" w:rsidRPr="007B4A99">
        <w:rPr>
          <w:rFonts w:ascii="Times New Roman" w:hAnsi="Times New Roman" w:cs="Times New Roman"/>
          <w:sz w:val="24"/>
          <w:szCs w:val="24"/>
        </w:rPr>
        <w:t>КЗК</w:t>
      </w:r>
      <w:r w:rsidR="004469FF" w:rsidRPr="007B4A99">
        <w:rPr>
          <w:rFonts w:ascii="Times New Roman" w:hAnsi="Times New Roman" w:cs="Times New Roman"/>
          <w:sz w:val="24"/>
          <w:szCs w:val="24"/>
        </w:rPr>
        <w:t>, в качеството й на национален орган по Директива (ЕС) 2019/633</w:t>
      </w:r>
      <w:r w:rsidR="00867C09">
        <w:rPr>
          <w:rFonts w:ascii="Times New Roman" w:hAnsi="Times New Roman" w:cs="Times New Roman"/>
          <w:sz w:val="24"/>
          <w:szCs w:val="24"/>
        </w:rPr>
        <w:t>,</w:t>
      </w:r>
      <w:r w:rsidR="004469FF" w:rsidRPr="007B4A99">
        <w:rPr>
          <w:rFonts w:ascii="Times New Roman" w:hAnsi="Times New Roman" w:cs="Times New Roman"/>
          <w:sz w:val="24"/>
          <w:szCs w:val="24"/>
        </w:rPr>
        <w:t xml:space="preserve"> се изчерпва</w:t>
      </w:r>
      <w:r w:rsidR="00867C09">
        <w:rPr>
          <w:rFonts w:ascii="Times New Roman" w:hAnsi="Times New Roman" w:cs="Times New Roman"/>
          <w:sz w:val="24"/>
          <w:szCs w:val="24"/>
        </w:rPr>
        <w:t>т</w:t>
      </w:r>
      <w:r w:rsidR="004469FF" w:rsidRPr="007B4A99">
        <w:rPr>
          <w:rFonts w:ascii="Times New Roman" w:hAnsi="Times New Roman" w:cs="Times New Roman"/>
          <w:sz w:val="24"/>
          <w:szCs w:val="24"/>
        </w:rPr>
        <w:t xml:space="preserve"> </w:t>
      </w:r>
      <w:r w:rsidR="00867C09">
        <w:rPr>
          <w:rFonts w:ascii="Times New Roman" w:hAnsi="Times New Roman" w:cs="Times New Roman"/>
          <w:sz w:val="24"/>
          <w:szCs w:val="24"/>
        </w:rPr>
        <w:t>до декларативни ангажименти</w:t>
      </w:r>
      <w:r w:rsidR="004469FF" w:rsidRPr="007B4A99">
        <w:rPr>
          <w:rFonts w:ascii="Times New Roman" w:hAnsi="Times New Roman" w:cs="Times New Roman"/>
          <w:sz w:val="24"/>
          <w:szCs w:val="24"/>
        </w:rPr>
        <w:t xml:space="preserve">, набелязване на приоритети и планиране или продължаване на предприети действия по нейното прилагане. </w:t>
      </w:r>
    </w:p>
    <w:p w14:paraId="5B6ADDFF" w14:textId="1C908E89" w:rsidR="003764F5" w:rsidRPr="002F289F" w:rsidRDefault="003764F5" w:rsidP="00DD69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Извод</w:t>
      </w:r>
      <w:r w:rsidR="0051707A">
        <w:rPr>
          <w:rFonts w:ascii="Times New Roman" w:hAnsi="Times New Roman" w:cs="Times New Roman"/>
          <w:sz w:val="24"/>
          <w:szCs w:val="24"/>
        </w:rPr>
        <w:t>ъ</w:t>
      </w:r>
      <w:r>
        <w:rPr>
          <w:rFonts w:ascii="Times New Roman" w:hAnsi="Times New Roman" w:cs="Times New Roman"/>
          <w:sz w:val="24"/>
          <w:szCs w:val="24"/>
        </w:rPr>
        <w:t>т</w:t>
      </w:r>
      <w:r w:rsidR="0051707A">
        <w:rPr>
          <w:rFonts w:ascii="Times New Roman" w:hAnsi="Times New Roman" w:cs="Times New Roman"/>
          <w:sz w:val="24"/>
          <w:szCs w:val="24"/>
        </w:rPr>
        <w:t>, кой</w:t>
      </w:r>
      <w:r>
        <w:rPr>
          <w:rFonts w:ascii="Times New Roman" w:hAnsi="Times New Roman" w:cs="Times New Roman"/>
          <w:sz w:val="24"/>
          <w:szCs w:val="24"/>
        </w:rPr>
        <w:t>то мо</w:t>
      </w:r>
      <w:r w:rsidR="0051707A">
        <w:rPr>
          <w:rFonts w:ascii="Times New Roman" w:hAnsi="Times New Roman" w:cs="Times New Roman"/>
          <w:sz w:val="24"/>
          <w:szCs w:val="24"/>
        </w:rPr>
        <w:t>же</w:t>
      </w:r>
      <w:r>
        <w:rPr>
          <w:rFonts w:ascii="Times New Roman" w:hAnsi="Times New Roman" w:cs="Times New Roman"/>
          <w:sz w:val="24"/>
          <w:szCs w:val="24"/>
        </w:rPr>
        <w:t xml:space="preserve"> да бъд</w:t>
      </w:r>
      <w:r w:rsidR="0051707A">
        <w:rPr>
          <w:rFonts w:ascii="Times New Roman" w:hAnsi="Times New Roman" w:cs="Times New Roman"/>
          <w:sz w:val="24"/>
          <w:szCs w:val="24"/>
        </w:rPr>
        <w:t>е</w:t>
      </w:r>
      <w:r>
        <w:rPr>
          <w:rFonts w:ascii="Times New Roman" w:hAnsi="Times New Roman" w:cs="Times New Roman"/>
          <w:sz w:val="24"/>
          <w:szCs w:val="24"/>
        </w:rPr>
        <w:t xml:space="preserve"> направен дотук</w:t>
      </w:r>
      <w:r w:rsidR="0051707A">
        <w:rPr>
          <w:rFonts w:ascii="Times New Roman" w:hAnsi="Times New Roman" w:cs="Times New Roman"/>
          <w:sz w:val="24"/>
          <w:szCs w:val="24"/>
        </w:rPr>
        <w:t xml:space="preserve"> е</w:t>
      </w:r>
      <w:r w:rsidRPr="007B4A99">
        <w:rPr>
          <w:rFonts w:ascii="Times New Roman" w:hAnsi="Times New Roman" w:cs="Times New Roman"/>
          <w:sz w:val="24"/>
          <w:szCs w:val="24"/>
        </w:rPr>
        <w:t xml:space="preserve">, </w:t>
      </w:r>
      <w:r>
        <w:rPr>
          <w:rFonts w:ascii="Times New Roman" w:hAnsi="Times New Roman" w:cs="Times New Roman"/>
          <w:sz w:val="24"/>
          <w:szCs w:val="24"/>
        </w:rPr>
        <w:t xml:space="preserve">че </w:t>
      </w:r>
      <w:r w:rsidRPr="007B4A99">
        <w:rPr>
          <w:rFonts w:ascii="Times New Roman" w:hAnsi="Times New Roman" w:cs="Times New Roman"/>
          <w:sz w:val="24"/>
          <w:szCs w:val="24"/>
        </w:rPr>
        <w:t>липсват публично достъпни данни за доклади, изготвени от българската КЗК и от българското правителство за 2022 и 2023 г. в изпълнение на изискванията по</w:t>
      </w:r>
      <w:r>
        <w:rPr>
          <w:rFonts w:ascii="Times New Roman" w:hAnsi="Times New Roman" w:cs="Times New Roman"/>
          <w:sz w:val="24"/>
          <w:szCs w:val="24"/>
        </w:rPr>
        <w:t xml:space="preserve"> </w:t>
      </w:r>
      <w:r w:rsidRPr="007B4A99">
        <w:rPr>
          <w:rFonts w:ascii="Times New Roman" w:hAnsi="Times New Roman" w:cs="Times New Roman"/>
          <w:sz w:val="24"/>
          <w:szCs w:val="24"/>
        </w:rPr>
        <w:t>Директива (ЕС) 2019/633.</w:t>
      </w:r>
      <w:r>
        <w:rPr>
          <w:rFonts w:ascii="Times New Roman" w:hAnsi="Times New Roman" w:cs="Times New Roman"/>
          <w:sz w:val="24"/>
          <w:szCs w:val="24"/>
        </w:rPr>
        <w:t xml:space="preserve"> </w:t>
      </w:r>
      <w:r w:rsidRPr="007B4A99">
        <w:rPr>
          <w:rFonts w:ascii="Times New Roman" w:hAnsi="Times New Roman" w:cs="Times New Roman"/>
          <w:sz w:val="24"/>
          <w:szCs w:val="24"/>
        </w:rPr>
        <w:t xml:space="preserve">Това препятства възможността </w:t>
      </w:r>
      <w:r>
        <w:rPr>
          <w:rFonts w:ascii="Times New Roman" w:hAnsi="Times New Roman" w:cs="Times New Roman"/>
          <w:sz w:val="24"/>
          <w:szCs w:val="24"/>
        </w:rPr>
        <w:t>за извършване на анализ и формиране на</w:t>
      </w:r>
      <w:r w:rsidRPr="007B4A99">
        <w:rPr>
          <w:rFonts w:ascii="Times New Roman" w:hAnsi="Times New Roman" w:cs="Times New Roman"/>
          <w:sz w:val="24"/>
          <w:szCs w:val="24"/>
        </w:rPr>
        <w:t xml:space="preserve"> каквито и да било </w:t>
      </w:r>
      <w:r w:rsidR="0051707A">
        <w:rPr>
          <w:rFonts w:ascii="Times New Roman" w:hAnsi="Times New Roman" w:cs="Times New Roman"/>
          <w:sz w:val="24"/>
          <w:szCs w:val="24"/>
        </w:rPr>
        <w:t>заключения</w:t>
      </w:r>
      <w:r w:rsidRPr="007B4A99">
        <w:rPr>
          <w:rFonts w:ascii="Times New Roman" w:hAnsi="Times New Roman" w:cs="Times New Roman"/>
          <w:sz w:val="24"/>
          <w:szCs w:val="24"/>
        </w:rPr>
        <w:t xml:space="preserve"> относно </w:t>
      </w:r>
      <w:r w:rsidR="0051707A">
        <w:rPr>
          <w:rFonts w:ascii="Times New Roman" w:hAnsi="Times New Roman" w:cs="Times New Roman"/>
          <w:sz w:val="24"/>
          <w:szCs w:val="24"/>
        </w:rPr>
        <w:t>въздействията</w:t>
      </w:r>
      <w:r w:rsidRPr="007B4A99">
        <w:rPr>
          <w:rFonts w:ascii="Times New Roman" w:hAnsi="Times New Roman" w:cs="Times New Roman"/>
          <w:sz w:val="24"/>
          <w:szCs w:val="24"/>
        </w:rPr>
        <w:t xml:space="preserve"> от нейното въвеждане в националното законодателство на България в периода от 2021 г. до днес. </w:t>
      </w:r>
    </w:p>
    <w:p w14:paraId="1C560DAA" w14:textId="77777777" w:rsidR="003764F5" w:rsidRDefault="003764F5" w:rsidP="00DD69D5">
      <w:pPr>
        <w:spacing w:after="0" w:line="240" w:lineRule="auto"/>
        <w:ind w:firstLine="567"/>
        <w:jc w:val="both"/>
        <w:rPr>
          <w:rFonts w:ascii="Times New Roman" w:hAnsi="Times New Roman" w:cs="Times New Roman"/>
          <w:b/>
          <w:i/>
          <w:sz w:val="24"/>
          <w:szCs w:val="24"/>
        </w:rPr>
      </w:pPr>
    </w:p>
    <w:p w14:paraId="51FCC7D6" w14:textId="4DA87A9A" w:rsidR="00EE3369" w:rsidRPr="007B4A99" w:rsidRDefault="00EE3369" w:rsidP="00DD69D5">
      <w:pPr>
        <w:spacing w:after="0" w:line="240" w:lineRule="auto"/>
        <w:ind w:firstLine="567"/>
        <w:jc w:val="both"/>
        <w:rPr>
          <w:rFonts w:ascii="Times New Roman" w:hAnsi="Times New Roman" w:cs="Times New Roman"/>
          <w:b/>
          <w:i/>
          <w:sz w:val="24"/>
          <w:szCs w:val="24"/>
        </w:rPr>
      </w:pPr>
      <w:r w:rsidRPr="007B4A99">
        <w:rPr>
          <w:rFonts w:ascii="Times New Roman" w:hAnsi="Times New Roman" w:cs="Times New Roman"/>
          <w:b/>
          <w:i/>
          <w:sz w:val="24"/>
          <w:szCs w:val="24"/>
        </w:rPr>
        <w:t>Трети пакет</w:t>
      </w:r>
      <w:r w:rsidRPr="007B4A99">
        <w:rPr>
          <w:rFonts w:ascii="Times New Roman" w:hAnsi="Times New Roman" w:cs="Times New Roman"/>
          <w:b/>
          <w:sz w:val="24"/>
          <w:szCs w:val="24"/>
        </w:rPr>
        <w:t xml:space="preserve"> </w:t>
      </w:r>
      <w:r w:rsidRPr="007B4A99">
        <w:rPr>
          <w:rFonts w:ascii="Times New Roman" w:hAnsi="Times New Roman" w:cs="Times New Roman"/>
          <w:b/>
          <w:i/>
          <w:sz w:val="24"/>
          <w:szCs w:val="24"/>
        </w:rPr>
        <w:t xml:space="preserve">с предложения </w:t>
      </w:r>
    </w:p>
    <w:p w14:paraId="77DF77DE" w14:textId="557EC1BB" w:rsidR="002610A2" w:rsidRPr="007B4A99" w:rsidRDefault="002610A2" w:rsidP="00DD69D5">
      <w:pPr>
        <w:spacing w:after="0" w:line="240" w:lineRule="auto"/>
        <w:ind w:firstLine="567"/>
        <w:jc w:val="both"/>
        <w:rPr>
          <w:rFonts w:ascii="Times New Roman" w:hAnsi="Times New Roman" w:cs="Times New Roman"/>
          <w:sz w:val="24"/>
          <w:szCs w:val="24"/>
        </w:rPr>
      </w:pPr>
      <w:r w:rsidRPr="00FB74CA">
        <w:rPr>
          <w:rFonts w:ascii="Times New Roman" w:hAnsi="Times New Roman" w:cs="Times New Roman"/>
          <w:i/>
          <w:sz w:val="24"/>
          <w:szCs w:val="24"/>
        </w:rPr>
        <w:t>Третият пакет</w:t>
      </w:r>
      <w:r w:rsidRPr="007B4A99">
        <w:rPr>
          <w:rFonts w:ascii="Times New Roman" w:hAnsi="Times New Roman" w:cs="Times New Roman"/>
          <w:sz w:val="24"/>
          <w:szCs w:val="24"/>
        </w:rPr>
        <w:t xml:space="preserve"> от предложения на българската държава, насочени към разрешаване на същите проблеми от 2023 г., включва комбинация от законови и други мерки. Последните имат за цел да обезпечат по-висока ефективност на прилагането на предвижданите законови промени. Предлага се едновременно приемането на два нови закона, ко</w:t>
      </w:r>
      <w:r w:rsidR="00D74FF6" w:rsidRPr="007B4A99">
        <w:rPr>
          <w:rFonts w:ascii="Times New Roman" w:hAnsi="Times New Roman" w:cs="Times New Roman"/>
          <w:sz w:val="24"/>
          <w:szCs w:val="24"/>
        </w:rPr>
        <w:t>и</w:t>
      </w:r>
      <w:r w:rsidRPr="007B4A99">
        <w:rPr>
          <w:rFonts w:ascii="Times New Roman" w:hAnsi="Times New Roman" w:cs="Times New Roman"/>
          <w:sz w:val="24"/>
          <w:szCs w:val="24"/>
        </w:rPr>
        <w:t xml:space="preserve">то впоследствие са обединени в един общ. Планира се и приемането на наредба за текуща проследяемост на отношенията по веригата на доставки на земеделски продукти и храни. Създаден е и информационен портал за наблюдение и сравнение на цените на част от хранителните продукти в малката потребителска кошница. </w:t>
      </w:r>
    </w:p>
    <w:p w14:paraId="1695497E" w14:textId="71650327" w:rsidR="004469FF" w:rsidRPr="007B4A99" w:rsidRDefault="004469FF"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Скоро след публичното представяне, посветено на стартирането на портала за обществена консултация</w:t>
      </w:r>
      <w:r w:rsidR="00380CCB">
        <w:rPr>
          <w:rFonts w:ascii="Times New Roman" w:hAnsi="Times New Roman" w:cs="Times New Roman"/>
          <w:sz w:val="24"/>
          <w:szCs w:val="24"/>
        </w:rPr>
        <w:t>,</w:t>
      </w:r>
      <w:r w:rsidRPr="007B4A99">
        <w:rPr>
          <w:rFonts w:ascii="Times New Roman" w:hAnsi="Times New Roman" w:cs="Times New Roman"/>
          <w:sz w:val="24"/>
          <w:szCs w:val="24"/>
        </w:rPr>
        <w:t xml:space="preserve"> е публикуван проект на Наредба за Централния регистър за проследимост на храните</w:t>
      </w:r>
      <w:r w:rsidRPr="007B4A99">
        <w:rPr>
          <w:rStyle w:val="FootnoteReference"/>
          <w:rFonts w:ascii="Times New Roman" w:hAnsi="Times New Roman" w:cs="Times New Roman"/>
          <w:sz w:val="24"/>
          <w:szCs w:val="24"/>
        </w:rPr>
        <w:footnoteReference w:id="17"/>
      </w:r>
      <w:r w:rsidRPr="007B4A99">
        <w:rPr>
          <w:rFonts w:ascii="Times New Roman" w:hAnsi="Times New Roman" w:cs="Times New Roman"/>
          <w:sz w:val="24"/>
          <w:szCs w:val="24"/>
        </w:rPr>
        <w:t xml:space="preserve">. В частичната предварителна ОВ към него се посочва, че воденето на централен регистър за проследимост на храните е съществен елемент от безопасността на храните, защитата на общественото здраве, управлението на </w:t>
      </w:r>
      <w:r w:rsidRPr="007B4A99">
        <w:rPr>
          <w:rFonts w:ascii="Times New Roman" w:hAnsi="Times New Roman" w:cs="Times New Roman"/>
          <w:sz w:val="24"/>
          <w:szCs w:val="24"/>
        </w:rPr>
        <w:lastRenderedPageBreak/>
        <w:t>рисковете за безопасността на храните, цените и инфлационните процеси в сектора и др. Чрез свързването на регистъра с възможността за проследяване, бизнес операторите на храни ще могат да гарантират, че произвеждат, обработват и дистрибутират храни и земеделски продукти по безопасен и прозрачен начин, поддържайки доверието на потребителите в доставките на храни на достъпни цени.</w:t>
      </w:r>
    </w:p>
    <w:p w14:paraId="78311B72" w14:textId="51085485" w:rsidR="004469FF" w:rsidRPr="007B4A99" w:rsidRDefault="004469FF"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 xml:space="preserve">Според ОВ към проекта за наредба, в последните години </w:t>
      </w:r>
      <w:r w:rsidR="00311838" w:rsidRPr="007B4A99">
        <w:rPr>
          <w:rFonts w:ascii="Times New Roman" w:hAnsi="Times New Roman" w:cs="Times New Roman"/>
          <w:sz w:val="24"/>
          <w:szCs w:val="24"/>
        </w:rPr>
        <w:t>дел</w:t>
      </w:r>
      <w:r w:rsidR="00311838">
        <w:rPr>
          <w:rFonts w:ascii="Times New Roman" w:hAnsi="Times New Roman" w:cs="Times New Roman"/>
          <w:sz w:val="24"/>
          <w:szCs w:val="24"/>
        </w:rPr>
        <w:t>ът</w:t>
      </w:r>
      <w:r w:rsidR="00311838" w:rsidRPr="007B4A99">
        <w:rPr>
          <w:rFonts w:ascii="Times New Roman" w:hAnsi="Times New Roman" w:cs="Times New Roman"/>
          <w:sz w:val="24"/>
          <w:szCs w:val="24"/>
        </w:rPr>
        <w:t xml:space="preserve"> </w:t>
      </w:r>
      <w:r w:rsidRPr="007B4A99">
        <w:rPr>
          <w:rFonts w:ascii="Times New Roman" w:hAnsi="Times New Roman" w:cs="Times New Roman"/>
          <w:sz w:val="24"/>
          <w:szCs w:val="24"/>
        </w:rPr>
        <w:t xml:space="preserve">на внесените в страната хранителни стоки, плодове и зеленчуци и зърно се </w:t>
      </w:r>
      <w:r w:rsidR="00311838">
        <w:rPr>
          <w:rFonts w:ascii="Times New Roman" w:hAnsi="Times New Roman" w:cs="Times New Roman"/>
          <w:sz w:val="24"/>
          <w:szCs w:val="24"/>
        </w:rPr>
        <w:t xml:space="preserve">е </w:t>
      </w:r>
      <w:r w:rsidRPr="007B4A99">
        <w:rPr>
          <w:rFonts w:ascii="Times New Roman" w:hAnsi="Times New Roman" w:cs="Times New Roman"/>
          <w:sz w:val="24"/>
          <w:szCs w:val="24"/>
        </w:rPr>
        <w:t>увеличи</w:t>
      </w:r>
      <w:r w:rsidR="00311838">
        <w:rPr>
          <w:rFonts w:ascii="Times New Roman" w:hAnsi="Times New Roman" w:cs="Times New Roman"/>
          <w:sz w:val="24"/>
          <w:szCs w:val="24"/>
        </w:rPr>
        <w:t>л</w:t>
      </w:r>
      <w:r w:rsidRPr="007B4A99">
        <w:rPr>
          <w:rFonts w:ascii="Times New Roman" w:hAnsi="Times New Roman" w:cs="Times New Roman"/>
          <w:sz w:val="24"/>
          <w:szCs w:val="24"/>
        </w:rPr>
        <w:t xml:space="preserve"> на годишна база, което от своя страна </w:t>
      </w:r>
      <w:r w:rsidR="00FB74CA">
        <w:rPr>
          <w:rFonts w:ascii="Times New Roman" w:hAnsi="Times New Roman" w:cs="Times New Roman"/>
          <w:sz w:val="24"/>
          <w:szCs w:val="24"/>
        </w:rPr>
        <w:t xml:space="preserve">е </w:t>
      </w:r>
      <w:r w:rsidR="00311838" w:rsidRPr="007B4A99">
        <w:rPr>
          <w:rFonts w:ascii="Times New Roman" w:hAnsi="Times New Roman" w:cs="Times New Roman"/>
          <w:sz w:val="24"/>
          <w:szCs w:val="24"/>
        </w:rPr>
        <w:t>дове</w:t>
      </w:r>
      <w:r w:rsidR="00311838">
        <w:rPr>
          <w:rFonts w:ascii="Times New Roman" w:hAnsi="Times New Roman" w:cs="Times New Roman"/>
          <w:sz w:val="24"/>
          <w:szCs w:val="24"/>
        </w:rPr>
        <w:t>ло</w:t>
      </w:r>
      <w:r w:rsidR="00311838" w:rsidRPr="007B4A99">
        <w:rPr>
          <w:rFonts w:ascii="Times New Roman" w:hAnsi="Times New Roman" w:cs="Times New Roman"/>
          <w:sz w:val="24"/>
          <w:szCs w:val="24"/>
        </w:rPr>
        <w:t xml:space="preserve"> </w:t>
      </w:r>
      <w:r w:rsidRPr="007B4A99">
        <w:rPr>
          <w:rFonts w:ascii="Times New Roman" w:hAnsi="Times New Roman" w:cs="Times New Roman"/>
          <w:sz w:val="24"/>
          <w:szCs w:val="24"/>
        </w:rPr>
        <w:t>до значително въздействие върху хранителната верига с различни по своите мащаби последствия. Един от основните проблеми</w:t>
      </w:r>
      <w:r w:rsidR="00380CCB">
        <w:rPr>
          <w:rFonts w:ascii="Times New Roman" w:hAnsi="Times New Roman" w:cs="Times New Roman"/>
          <w:sz w:val="24"/>
          <w:szCs w:val="24"/>
        </w:rPr>
        <w:t>,</w:t>
      </w:r>
      <w:r w:rsidRPr="007B4A99">
        <w:rPr>
          <w:rFonts w:ascii="Times New Roman" w:hAnsi="Times New Roman" w:cs="Times New Roman"/>
          <w:sz w:val="24"/>
          <w:szCs w:val="24"/>
        </w:rPr>
        <w:t xml:space="preserve"> свързан</w:t>
      </w:r>
      <w:r w:rsidR="00FB74CA">
        <w:rPr>
          <w:rFonts w:ascii="Times New Roman" w:hAnsi="Times New Roman" w:cs="Times New Roman"/>
          <w:sz w:val="24"/>
          <w:szCs w:val="24"/>
        </w:rPr>
        <w:t>и</w:t>
      </w:r>
      <w:r w:rsidRPr="007B4A99">
        <w:rPr>
          <w:rFonts w:ascii="Times New Roman" w:hAnsi="Times New Roman" w:cs="Times New Roman"/>
          <w:sz w:val="24"/>
          <w:szCs w:val="24"/>
        </w:rPr>
        <w:t xml:space="preserve"> с липсата на проследимост е, че невинаги може лесно да се проследи произходът и качеството на продуктите, което води до потенциални рискове за здравето и безопасността на потребителите. Освен това, когато внесените количества не се проследяват правилно, се оказва предизвикателство да се определи колко от конкретен продукт е наличен на пазара, което води до колебания в цената и потенциално допринася за пикове на цените след свръхпроизводство. Друг фактор е, че притокът на вносни храни и зърно може да засегне местните фермери и производители, които може да се борят да се конкурират с по-ниските цени, предлагани от вносните стоки. Това води до намаляване на производството на местно отгледаните храни и отрицателно въздействие върху икономиката.  </w:t>
      </w:r>
    </w:p>
    <w:p w14:paraId="0EF6D8DB" w14:textId="5F574215" w:rsidR="004469FF" w:rsidRPr="007B4A99" w:rsidRDefault="004469FF"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Изводът, който се прави в ОВ</w:t>
      </w:r>
      <w:r w:rsidR="00380CCB">
        <w:rPr>
          <w:rFonts w:ascii="Times New Roman" w:hAnsi="Times New Roman" w:cs="Times New Roman"/>
          <w:sz w:val="24"/>
          <w:szCs w:val="24"/>
        </w:rPr>
        <w:t>,</w:t>
      </w:r>
      <w:r w:rsidRPr="007B4A99">
        <w:rPr>
          <w:rFonts w:ascii="Times New Roman" w:hAnsi="Times New Roman" w:cs="Times New Roman"/>
          <w:sz w:val="24"/>
          <w:szCs w:val="24"/>
        </w:rPr>
        <w:t xml:space="preserve"> е, че нерегулираният внос може да има сложно и широкообхватно въздействие върху веригата на доставки на храни и да доведе до различни предизвикателства, като рискове за здравето и безопасността, конкуренция с местни производители и колебания в цените. За да се справи с тях</w:t>
      </w:r>
      <w:r w:rsidR="00380CCB">
        <w:rPr>
          <w:rFonts w:ascii="Times New Roman" w:hAnsi="Times New Roman" w:cs="Times New Roman"/>
          <w:sz w:val="24"/>
          <w:szCs w:val="24"/>
        </w:rPr>
        <w:t>,</w:t>
      </w:r>
      <w:r w:rsidRPr="007B4A99">
        <w:rPr>
          <w:rFonts w:ascii="Times New Roman" w:hAnsi="Times New Roman" w:cs="Times New Roman"/>
          <w:sz w:val="24"/>
          <w:szCs w:val="24"/>
        </w:rPr>
        <w:t xml:space="preserve"> е важно от държавата да бъдат въведени регулации и системи за проследяване, които гарантират безопасността и качеството на вносните продукти и защитават местните фермери и стабилността на местните хранителни пазари. По тази причина с проекта на наредба се урежда функционирането, обхвата, реда и сроковете за подаване и получаване на информация от Централния регистър за проследимост на храните по веригата за доставки на ниво търговия на едро в страната. Той осигурява централизиране, ползване и обобщаване на събраната информацията за храните и зърното, в това число</w:t>
      </w:r>
      <w:r w:rsidR="00380CCB">
        <w:rPr>
          <w:rFonts w:ascii="Times New Roman" w:hAnsi="Times New Roman" w:cs="Times New Roman"/>
          <w:sz w:val="24"/>
          <w:szCs w:val="24"/>
        </w:rPr>
        <w:t xml:space="preserve"> и</w:t>
      </w:r>
      <w:r w:rsidRPr="007B4A99">
        <w:rPr>
          <w:rFonts w:ascii="Times New Roman" w:hAnsi="Times New Roman" w:cs="Times New Roman"/>
          <w:sz w:val="24"/>
          <w:szCs w:val="24"/>
        </w:rPr>
        <w:t xml:space="preserve"> пресните плодове и зеленчуци, виното, спиртните напитки и останалите продукти, както и ползването ѝ за нуждите на компетентните органи.</w:t>
      </w:r>
    </w:p>
    <w:p w14:paraId="5B51D070" w14:textId="2A4933B3" w:rsidR="004469FF" w:rsidRPr="007B4A99" w:rsidRDefault="004469FF"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По отношение на портала, още при обявяването на неговото начало е предвидено следващо ниво на надграждане на </w:t>
      </w:r>
      <w:r w:rsidR="00380CCB">
        <w:rPr>
          <w:rFonts w:ascii="Times New Roman" w:hAnsi="Times New Roman" w:cs="Times New Roman"/>
          <w:sz w:val="24"/>
          <w:szCs w:val="24"/>
        </w:rPr>
        <w:t xml:space="preserve">неговите </w:t>
      </w:r>
      <w:r w:rsidRPr="007B4A99">
        <w:rPr>
          <w:rFonts w:ascii="Times New Roman" w:hAnsi="Times New Roman" w:cs="Times New Roman"/>
          <w:sz w:val="24"/>
          <w:szCs w:val="24"/>
        </w:rPr>
        <w:t xml:space="preserve">функционалности, което </w:t>
      </w:r>
      <w:r w:rsidR="00831AF8">
        <w:rPr>
          <w:rFonts w:ascii="Times New Roman" w:hAnsi="Times New Roman" w:cs="Times New Roman"/>
          <w:sz w:val="24"/>
          <w:szCs w:val="24"/>
        </w:rPr>
        <w:t>да</w:t>
      </w:r>
      <w:r w:rsidRPr="007B4A99">
        <w:rPr>
          <w:rFonts w:ascii="Times New Roman" w:hAnsi="Times New Roman" w:cs="Times New Roman"/>
          <w:sz w:val="24"/>
          <w:szCs w:val="24"/>
        </w:rPr>
        <w:t xml:space="preserve"> включва създаването на възможността информация на него да могат да подават търговски вериги и държавните публични предприятия с годишен оборот над 30 млн. лв. Плановете са те да предоставят информация на ежеседмична база за най-ниската цена по продукти, но без такива в промоция, като се ангажират с това, че тази цена няма да бъде по-висока за декларирания период. На портала е създадено и меню „Контролна дейност“, което дава актуална информация за проверките на контролните органи. Заедно с това има и бърза връзка за подаване на сигнал към всяка от компетентните институции – КЗП, КЗК и БАБХ. </w:t>
      </w:r>
    </w:p>
    <w:p w14:paraId="785D9F6C" w14:textId="41BE95DC" w:rsidR="00462849" w:rsidRPr="007B4A99" w:rsidRDefault="004469FF"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През</w:t>
      </w:r>
      <w:r w:rsidR="00462849" w:rsidRPr="007B4A99">
        <w:rPr>
          <w:rFonts w:ascii="Times New Roman" w:hAnsi="Times New Roman" w:cs="Times New Roman"/>
          <w:sz w:val="24"/>
          <w:szCs w:val="24"/>
        </w:rPr>
        <w:t xml:space="preserve"> 2023 г. Министерството на икономиката и индустрията предлага проект на изцяло нов Закон за надценките на хранителните продукти. В ОВ към законопроекта се </w:t>
      </w:r>
      <w:r w:rsidR="00462849" w:rsidRPr="007B4A99">
        <w:rPr>
          <w:rFonts w:ascii="Times New Roman" w:hAnsi="Times New Roman" w:cs="Times New Roman"/>
          <w:sz w:val="24"/>
          <w:szCs w:val="24"/>
        </w:rPr>
        <w:lastRenderedPageBreak/>
        <w:t xml:space="preserve">посочва, че ценовата енергийна криза </w:t>
      </w:r>
      <w:r w:rsidR="00CC0049">
        <w:rPr>
          <w:rFonts w:ascii="Times New Roman" w:hAnsi="Times New Roman" w:cs="Times New Roman"/>
          <w:sz w:val="24"/>
          <w:szCs w:val="24"/>
        </w:rPr>
        <w:t xml:space="preserve">в </w:t>
      </w:r>
      <w:r w:rsidR="00462849" w:rsidRPr="007B4A99">
        <w:rPr>
          <w:rFonts w:ascii="Times New Roman" w:hAnsi="Times New Roman" w:cs="Times New Roman"/>
          <w:sz w:val="24"/>
          <w:szCs w:val="24"/>
        </w:rPr>
        <w:t>резултат от войната в Украйна, е тласнала цените на производител нагоре, което бързо се е отразило и на потребителските цени, когато годишната инфлация е достигнала своя пик от 18,7% за месец септември 2022 г. спрямо същия месец от 2021 г. Въпреки че общият индекс на потребителските цени намалява оттогава, инфлацията при хранителните продукти нараства последователно, като достига 26,6% през ноември месец 2022 г.</w:t>
      </w:r>
    </w:p>
    <w:p w14:paraId="3AB9FB94" w14:textId="77777777" w:rsidR="00462849" w:rsidRPr="007B4A99" w:rsidRDefault="00462849"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Този ръст на цените не би могъл да обоснове напълно увеличението с почти 50% на цените на дребно на някои хранителни продукти, които присъстват в малката потребителска кошница. Пазарът не съумява в разумен срок да се саморегулира, така че да постигне оптимални ценови равнища въз основа на конкурентния натиск от отделните участници. Основна причина за това е необичайно високата инфлация, която внася риск в системата на търговията, поради което пазарните участници предпочитат да се презастраховат от бъдещо покачване на цените.</w:t>
      </w:r>
    </w:p>
    <w:p w14:paraId="0BF534A9" w14:textId="77777777" w:rsidR="00462849" w:rsidRPr="007B4A99" w:rsidRDefault="00462849"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Според ОВ към законопроекта от 2023 г., последните данни за развитието на пазара за търговия на дребно с хранителни продукти очертават ситуация, при която нормалните пазарни механизми не сработват или забавят своето действие в степен, в която не могат да се проявят пазарните конкурентни взаимодействия. Това поставя потребителите в ситуация, налагаща им да намалят нормалното физическо потребление на основни хранителни продукти поради свитата покупателна способност на разполагаемия доход, особено на групата потребители с ниски до средни доходи.</w:t>
      </w:r>
    </w:p>
    <w:p w14:paraId="58F1ED57" w14:textId="4204171F" w:rsidR="00462849" w:rsidRPr="007B4A99" w:rsidRDefault="00462849"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Към момента</w:t>
      </w:r>
      <w:r w:rsidR="006D0607">
        <w:rPr>
          <w:rFonts w:ascii="Times New Roman" w:hAnsi="Times New Roman" w:cs="Times New Roman"/>
          <w:sz w:val="24"/>
          <w:szCs w:val="24"/>
        </w:rPr>
        <w:t xml:space="preserve"> на</w:t>
      </w:r>
      <w:r w:rsidRPr="007B4A99">
        <w:rPr>
          <w:rFonts w:ascii="Times New Roman" w:hAnsi="Times New Roman" w:cs="Times New Roman"/>
          <w:sz w:val="24"/>
          <w:szCs w:val="24"/>
        </w:rPr>
        <w:t xml:space="preserve"> </w:t>
      </w:r>
      <w:r w:rsidR="0051707A">
        <w:rPr>
          <w:rFonts w:ascii="Times New Roman" w:hAnsi="Times New Roman" w:cs="Times New Roman"/>
          <w:sz w:val="24"/>
          <w:szCs w:val="24"/>
        </w:rPr>
        <w:t xml:space="preserve">изготвяне на </w:t>
      </w:r>
      <w:r w:rsidR="006D0607" w:rsidRPr="006D0607">
        <w:rPr>
          <w:rFonts w:ascii="Times New Roman" w:hAnsi="Times New Roman" w:cs="Times New Roman"/>
          <w:sz w:val="24"/>
          <w:szCs w:val="24"/>
        </w:rPr>
        <w:t>ОВ към законопроекта от 2023 г.</w:t>
      </w:r>
      <w:r w:rsidR="006D0607">
        <w:rPr>
          <w:rFonts w:ascii="Times New Roman" w:hAnsi="Times New Roman" w:cs="Times New Roman"/>
          <w:sz w:val="24"/>
          <w:szCs w:val="24"/>
        </w:rPr>
        <w:t xml:space="preserve"> </w:t>
      </w:r>
      <w:r w:rsidRPr="007B4A99">
        <w:rPr>
          <w:rFonts w:ascii="Times New Roman" w:hAnsi="Times New Roman" w:cs="Times New Roman"/>
          <w:sz w:val="24"/>
          <w:szCs w:val="24"/>
        </w:rPr>
        <w:t>не съществува законодателство, което да урежда ценовите нива по веригата на доставка за храни и в частност на определени хранителни стоки от първа необходимост. С приемането на</w:t>
      </w:r>
      <w:r w:rsidR="006D0607">
        <w:rPr>
          <w:rFonts w:ascii="Times New Roman" w:hAnsi="Times New Roman" w:cs="Times New Roman"/>
          <w:sz w:val="24"/>
          <w:szCs w:val="24"/>
        </w:rPr>
        <w:t xml:space="preserve"> предлагания</w:t>
      </w:r>
      <w:r w:rsidRPr="007B4A99">
        <w:rPr>
          <w:rFonts w:ascii="Times New Roman" w:hAnsi="Times New Roman" w:cs="Times New Roman"/>
          <w:sz w:val="24"/>
          <w:szCs w:val="24"/>
        </w:rPr>
        <w:t xml:space="preserve"> Закон за надценките на хранителни продукти се адресират проблемите</w:t>
      </w:r>
      <w:r w:rsidR="00311838">
        <w:rPr>
          <w:rFonts w:ascii="Times New Roman" w:hAnsi="Times New Roman" w:cs="Times New Roman"/>
          <w:sz w:val="24"/>
          <w:szCs w:val="24"/>
        </w:rPr>
        <w:t>,</w:t>
      </w:r>
      <w:r w:rsidRPr="007B4A99">
        <w:rPr>
          <w:rFonts w:ascii="Times New Roman" w:hAnsi="Times New Roman" w:cs="Times New Roman"/>
          <w:sz w:val="24"/>
          <w:szCs w:val="24"/>
        </w:rPr>
        <w:t xml:space="preserve"> свързани с високата инфлация и намаленото потребление на хранителни продукти</w:t>
      </w:r>
      <w:r w:rsidR="00311838">
        <w:rPr>
          <w:rFonts w:ascii="Times New Roman" w:hAnsi="Times New Roman" w:cs="Times New Roman"/>
          <w:sz w:val="24"/>
          <w:szCs w:val="24"/>
        </w:rPr>
        <w:t>,</w:t>
      </w:r>
      <w:r w:rsidRPr="007B4A99">
        <w:rPr>
          <w:rFonts w:ascii="Times New Roman" w:hAnsi="Times New Roman" w:cs="Times New Roman"/>
          <w:sz w:val="24"/>
          <w:szCs w:val="24"/>
        </w:rPr>
        <w:t xml:space="preserve"> като временно се определя таван на надценките за поне един артикул от най-ниския ценови диапазон на съответна група продукти. </w:t>
      </w:r>
    </w:p>
    <w:p w14:paraId="542B1A6A" w14:textId="6C0BC1F5" w:rsidR="00462849" w:rsidRPr="007B4A99" w:rsidRDefault="00462849"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Законопроектът за надценките на хранителните продукти има също така за цел временно да се регулират ценовите нива на определени основни хранителни продукти при минимална намеса в пазарните отношения. Поради тази причина</w:t>
      </w:r>
      <w:r w:rsidR="006D0607">
        <w:rPr>
          <w:rFonts w:ascii="Times New Roman" w:hAnsi="Times New Roman" w:cs="Times New Roman"/>
          <w:sz w:val="24"/>
          <w:szCs w:val="24"/>
        </w:rPr>
        <w:t>,</w:t>
      </w:r>
      <w:r w:rsidRPr="007B4A99">
        <w:rPr>
          <w:rFonts w:ascii="Times New Roman" w:hAnsi="Times New Roman" w:cs="Times New Roman"/>
          <w:sz w:val="24"/>
          <w:szCs w:val="24"/>
        </w:rPr>
        <w:t xml:space="preserve"> приложното му поле е ограничено до търговията на дребно с определени видове храни. Задължените лица от страна на бизнеса са ограничени до предприятия с годишен търговски оборот над 30 млн. лв., което изключва всички микро и малки предприятия. Законопроектът адресира и пазарните несъответствия в условията на висока инфлация с минимална административна намеса в пазарните отношения съобразно очакваните резултати и при ограничаване на кръга на засегнати лица и периода на действие.</w:t>
      </w:r>
    </w:p>
    <w:p w14:paraId="4E352F35" w14:textId="657DC487" w:rsidR="004469FF" w:rsidRPr="007B4A99" w:rsidRDefault="004469FF"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От представеното дотук може да се заключи, че за справяне с основните проблеми при функционирането на веригата на доставки на земеделски продукти и храни, които са стояли пред държавата още през 2011 г.</w:t>
      </w:r>
      <w:r w:rsidR="006D0607">
        <w:rPr>
          <w:rFonts w:ascii="Times New Roman" w:hAnsi="Times New Roman" w:cs="Times New Roman"/>
          <w:sz w:val="24"/>
          <w:szCs w:val="24"/>
        </w:rPr>
        <w:t>,</w:t>
      </w:r>
      <w:r w:rsidRPr="007B4A99">
        <w:rPr>
          <w:rFonts w:ascii="Times New Roman" w:hAnsi="Times New Roman" w:cs="Times New Roman"/>
          <w:sz w:val="24"/>
          <w:szCs w:val="24"/>
        </w:rPr>
        <w:t xml:space="preserve"> свързани с нелоялните търговски практики</w:t>
      </w:r>
      <w:r w:rsidR="006D0607">
        <w:rPr>
          <w:rFonts w:ascii="Times New Roman" w:hAnsi="Times New Roman" w:cs="Times New Roman"/>
          <w:sz w:val="24"/>
          <w:szCs w:val="24"/>
        </w:rPr>
        <w:t>,</w:t>
      </w:r>
      <w:r w:rsidRPr="007B4A99">
        <w:rPr>
          <w:rFonts w:ascii="Times New Roman" w:hAnsi="Times New Roman" w:cs="Times New Roman"/>
          <w:sz w:val="24"/>
          <w:szCs w:val="24"/>
        </w:rPr>
        <w:t xml:space="preserve"> са предприети сериозни усилия и мерки както в България</w:t>
      </w:r>
      <w:r w:rsidR="00CC0049">
        <w:rPr>
          <w:rFonts w:ascii="Times New Roman" w:hAnsi="Times New Roman" w:cs="Times New Roman"/>
          <w:sz w:val="24"/>
          <w:szCs w:val="24"/>
        </w:rPr>
        <w:t>, така и</w:t>
      </w:r>
      <w:r w:rsidR="00CC0049" w:rsidRPr="00CC0049">
        <w:rPr>
          <w:rFonts w:ascii="Times New Roman" w:hAnsi="Times New Roman" w:cs="Times New Roman"/>
          <w:sz w:val="24"/>
          <w:szCs w:val="24"/>
        </w:rPr>
        <w:t xml:space="preserve"> </w:t>
      </w:r>
      <w:r w:rsidR="00CC0049" w:rsidRPr="007B4A99">
        <w:rPr>
          <w:rFonts w:ascii="Times New Roman" w:hAnsi="Times New Roman" w:cs="Times New Roman"/>
          <w:sz w:val="24"/>
          <w:szCs w:val="24"/>
        </w:rPr>
        <w:t>на ниво ЕС</w:t>
      </w:r>
      <w:r w:rsidRPr="007B4A99">
        <w:rPr>
          <w:rFonts w:ascii="Times New Roman" w:hAnsi="Times New Roman" w:cs="Times New Roman"/>
          <w:sz w:val="24"/>
          <w:szCs w:val="24"/>
        </w:rPr>
        <w:t xml:space="preserve">. Понастоящем липсват достатъчно и солидни данни, въз основа на които може да бъде оценена ефективността и </w:t>
      </w:r>
      <w:r w:rsidR="006D0607" w:rsidRPr="006D0607">
        <w:rPr>
          <w:rFonts w:ascii="Times New Roman" w:hAnsi="Times New Roman" w:cs="Times New Roman"/>
          <w:sz w:val="24"/>
          <w:szCs w:val="24"/>
        </w:rPr>
        <w:t xml:space="preserve">въздействието </w:t>
      </w:r>
      <w:r w:rsidR="00CC0049">
        <w:rPr>
          <w:rFonts w:ascii="Times New Roman" w:hAnsi="Times New Roman" w:cs="Times New Roman"/>
          <w:sz w:val="24"/>
          <w:szCs w:val="24"/>
        </w:rPr>
        <w:t>им спрямо</w:t>
      </w:r>
      <w:r w:rsidR="006D0607" w:rsidRPr="006D0607">
        <w:rPr>
          <w:rFonts w:ascii="Times New Roman" w:hAnsi="Times New Roman" w:cs="Times New Roman"/>
          <w:sz w:val="24"/>
          <w:szCs w:val="24"/>
        </w:rPr>
        <w:t xml:space="preserve"> пазарното поведение, ценовата динамика и защитата на по-слабите участници по веригата на доставки.</w:t>
      </w:r>
    </w:p>
    <w:p w14:paraId="6960DCF8" w14:textId="36284875" w:rsidR="004469FF" w:rsidRPr="007B4A99" w:rsidRDefault="004469FF"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lastRenderedPageBreak/>
        <w:t xml:space="preserve">Едно от основните направления на дейност на КЗК през 2023 </w:t>
      </w:r>
      <w:r w:rsidR="00363156" w:rsidRPr="007B4A99">
        <w:rPr>
          <w:rFonts w:ascii="Times New Roman" w:hAnsi="Times New Roman" w:cs="Times New Roman"/>
          <w:sz w:val="24"/>
          <w:szCs w:val="24"/>
        </w:rPr>
        <w:t>г. е било образуването на антитръстови производства. Причината за тях е бил</w:t>
      </w:r>
      <w:r w:rsidR="0051707A">
        <w:rPr>
          <w:rFonts w:ascii="Times New Roman" w:hAnsi="Times New Roman" w:cs="Times New Roman"/>
          <w:sz w:val="24"/>
          <w:szCs w:val="24"/>
        </w:rPr>
        <w:t>а</w:t>
      </w:r>
      <w:r w:rsidR="00363156" w:rsidRPr="007B4A99">
        <w:rPr>
          <w:rFonts w:ascii="Times New Roman" w:hAnsi="Times New Roman" w:cs="Times New Roman"/>
          <w:sz w:val="24"/>
          <w:szCs w:val="24"/>
        </w:rPr>
        <w:t xml:space="preserve"> наблюдаваното </w:t>
      </w:r>
      <w:r w:rsidR="00363156" w:rsidRPr="007B4A99">
        <w:rPr>
          <w:rFonts w:ascii="Times New Roman" w:hAnsi="Times New Roman" w:cs="Times New Roman"/>
          <w:b/>
          <w:i/>
          <w:sz w:val="24"/>
          <w:szCs w:val="24"/>
        </w:rPr>
        <w:t>значително и масово увеличение на цените</w:t>
      </w:r>
      <w:r w:rsidR="00363156" w:rsidRPr="007B4A99">
        <w:rPr>
          <w:rFonts w:ascii="Times New Roman" w:hAnsi="Times New Roman" w:cs="Times New Roman"/>
          <w:sz w:val="24"/>
          <w:szCs w:val="24"/>
        </w:rPr>
        <w:t xml:space="preserve"> на бързооборотните стоки, определяни като основни, което особено осезаемо е засегнало интересите на българските потребители </w:t>
      </w:r>
      <w:r w:rsidRPr="007B4A99">
        <w:rPr>
          <w:rFonts w:ascii="Times New Roman" w:hAnsi="Times New Roman" w:cs="Times New Roman"/>
          <w:sz w:val="24"/>
          <w:szCs w:val="24"/>
        </w:rPr>
        <w:t xml:space="preserve">през първите месеци на годината. Въпреки отчетеното от НСИ в края на 2023 г. забавяне на инфлацията в страната, цените на хранителните стоки са останали на относително високо ниво. </w:t>
      </w:r>
    </w:p>
    <w:p w14:paraId="58394F83" w14:textId="7063D209" w:rsidR="00462849" w:rsidRPr="007B4A99" w:rsidRDefault="00462849"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Една от основните икономически констатации, стоящи в основата на обосновката относно наложителността от приемането на нов </w:t>
      </w:r>
      <w:r w:rsidR="00363156" w:rsidRPr="007B4A99">
        <w:rPr>
          <w:rFonts w:ascii="Times New Roman" w:hAnsi="Times New Roman" w:cs="Times New Roman"/>
          <w:sz w:val="24"/>
          <w:szCs w:val="24"/>
        </w:rPr>
        <w:t>Закон за надценките на хранителните продукти, предложен от българската държава през 2023 г.</w:t>
      </w:r>
      <w:r w:rsidR="006D0607">
        <w:rPr>
          <w:rFonts w:ascii="Times New Roman" w:hAnsi="Times New Roman" w:cs="Times New Roman"/>
          <w:sz w:val="24"/>
          <w:szCs w:val="24"/>
        </w:rPr>
        <w:t>,</w:t>
      </w:r>
      <w:r w:rsidR="00363156" w:rsidRPr="007B4A99">
        <w:rPr>
          <w:rFonts w:ascii="Times New Roman" w:hAnsi="Times New Roman" w:cs="Times New Roman"/>
          <w:sz w:val="24"/>
          <w:szCs w:val="24"/>
        </w:rPr>
        <w:t xml:space="preserve"> </w:t>
      </w:r>
      <w:r w:rsidRPr="007B4A99">
        <w:rPr>
          <w:rFonts w:ascii="Times New Roman" w:hAnsi="Times New Roman" w:cs="Times New Roman"/>
          <w:sz w:val="24"/>
          <w:szCs w:val="24"/>
        </w:rPr>
        <w:t xml:space="preserve">е </w:t>
      </w:r>
      <w:r w:rsidRPr="007B4A99">
        <w:rPr>
          <w:rFonts w:ascii="Times New Roman" w:hAnsi="Times New Roman" w:cs="Times New Roman"/>
          <w:b/>
          <w:i/>
          <w:sz w:val="24"/>
          <w:szCs w:val="24"/>
        </w:rPr>
        <w:t>неоправдано високият ръст на цените на дребно</w:t>
      </w:r>
      <w:r w:rsidRPr="007B4A99">
        <w:rPr>
          <w:rFonts w:ascii="Times New Roman" w:hAnsi="Times New Roman" w:cs="Times New Roman"/>
          <w:sz w:val="24"/>
          <w:szCs w:val="24"/>
        </w:rPr>
        <w:t xml:space="preserve"> на някои хранителни продукти от малката потребителска кошница, съпоставен с движението на общият индекс на потребителските цени и инфлацията при хранителните продукти в периода 2021 – 2022 г. Изводът, който се прави</w:t>
      </w:r>
      <w:r w:rsidR="00363156" w:rsidRPr="007B4A99">
        <w:rPr>
          <w:rFonts w:ascii="Times New Roman" w:hAnsi="Times New Roman" w:cs="Times New Roman"/>
          <w:sz w:val="24"/>
          <w:szCs w:val="24"/>
        </w:rPr>
        <w:t xml:space="preserve"> към онзи момент е</w:t>
      </w:r>
      <w:r w:rsidRPr="007B4A99">
        <w:rPr>
          <w:rFonts w:ascii="Times New Roman" w:hAnsi="Times New Roman" w:cs="Times New Roman"/>
          <w:sz w:val="24"/>
          <w:szCs w:val="24"/>
        </w:rPr>
        <w:t xml:space="preserve">, че пазарът не съумява в разумен срок да се саморегулира, така че да постигне оптимални ценови равнища въз основа на конкурентния натиск от отделните участници. Това сочи на система, която се намира в риск, поради несработване на нормалните пазарни конкурентни взаимодействия. То създава </w:t>
      </w:r>
      <w:r w:rsidRPr="008E2F0B">
        <w:rPr>
          <w:rFonts w:ascii="Times New Roman" w:hAnsi="Times New Roman" w:cs="Times New Roman"/>
          <w:b/>
          <w:i/>
          <w:sz w:val="24"/>
          <w:szCs w:val="24"/>
        </w:rPr>
        <w:t xml:space="preserve">условия за </w:t>
      </w:r>
      <w:r w:rsidR="00311838" w:rsidRPr="008E2F0B">
        <w:rPr>
          <w:rFonts w:ascii="Times New Roman" w:hAnsi="Times New Roman" w:cs="Times New Roman"/>
          <w:b/>
          <w:i/>
          <w:sz w:val="24"/>
          <w:szCs w:val="24"/>
        </w:rPr>
        <w:t>неконкурентно</w:t>
      </w:r>
      <w:r w:rsidRPr="008E2F0B">
        <w:rPr>
          <w:rFonts w:ascii="Times New Roman" w:hAnsi="Times New Roman" w:cs="Times New Roman"/>
          <w:b/>
          <w:i/>
          <w:sz w:val="24"/>
          <w:szCs w:val="24"/>
        </w:rPr>
        <w:t xml:space="preserve"> поведение</w:t>
      </w:r>
      <w:r w:rsidRPr="007B4A99">
        <w:rPr>
          <w:rFonts w:ascii="Times New Roman" w:hAnsi="Times New Roman" w:cs="Times New Roman"/>
          <w:sz w:val="24"/>
          <w:szCs w:val="24"/>
        </w:rPr>
        <w:t xml:space="preserve"> и за </w:t>
      </w:r>
      <w:r w:rsidRPr="008E2F0B">
        <w:rPr>
          <w:rFonts w:ascii="Times New Roman" w:hAnsi="Times New Roman" w:cs="Times New Roman"/>
          <w:b/>
          <w:i/>
          <w:sz w:val="24"/>
          <w:szCs w:val="24"/>
        </w:rPr>
        <w:t>прилагане на нелоялни търговски практики</w:t>
      </w:r>
      <w:r w:rsidRPr="007B4A99">
        <w:rPr>
          <w:rFonts w:ascii="Times New Roman" w:hAnsi="Times New Roman" w:cs="Times New Roman"/>
          <w:sz w:val="24"/>
          <w:szCs w:val="24"/>
        </w:rPr>
        <w:t xml:space="preserve"> на по-силните участници в нея и обратно, поставя по-уязвимите участници в подчертано непривилегировано положение.</w:t>
      </w:r>
    </w:p>
    <w:p w14:paraId="7D2C7AEB" w14:textId="2DC09AC4" w:rsidR="00363156" w:rsidRPr="007B4A99" w:rsidRDefault="005173C1"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От в</w:t>
      </w:r>
      <w:r w:rsidR="00363156" w:rsidRPr="007B4A99">
        <w:rPr>
          <w:rFonts w:ascii="Times New Roman" w:hAnsi="Times New Roman" w:cs="Times New Roman"/>
          <w:sz w:val="24"/>
          <w:szCs w:val="24"/>
        </w:rPr>
        <w:t xml:space="preserve">сичко това </w:t>
      </w:r>
      <w:r w:rsidRPr="007B4A99">
        <w:rPr>
          <w:rFonts w:ascii="Times New Roman" w:hAnsi="Times New Roman" w:cs="Times New Roman"/>
          <w:sz w:val="24"/>
          <w:szCs w:val="24"/>
        </w:rPr>
        <w:t>може да се направи изводът</w:t>
      </w:r>
      <w:r w:rsidR="00363156" w:rsidRPr="007B4A99">
        <w:rPr>
          <w:rFonts w:ascii="Times New Roman" w:hAnsi="Times New Roman" w:cs="Times New Roman"/>
          <w:sz w:val="24"/>
          <w:szCs w:val="24"/>
        </w:rPr>
        <w:t xml:space="preserve">, че основополагащите дефицити при функционирането на веригата на доставки на храни и земеделски продукти, установени още през 2012 г., като </w:t>
      </w:r>
      <w:r w:rsidR="00363156" w:rsidRPr="007B4A99">
        <w:rPr>
          <w:rFonts w:ascii="Times New Roman" w:hAnsi="Times New Roman" w:cs="Times New Roman"/>
          <w:i/>
          <w:sz w:val="24"/>
          <w:szCs w:val="24"/>
        </w:rPr>
        <w:t>краткосрочност</w:t>
      </w:r>
      <w:r w:rsidR="00363156" w:rsidRPr="007B4A99">
        <w:rPr>
          <w:rFonts w:ascii="Times New Roman" w:hAnsi="Times New Roman" w:cs="Times New Roman"/>
          <w:sz w:val="24"/>
          <w:szCs w:val="24"/>
        </w:rPr>
        <w:t xml:space="preserve"> и </w:t>
      </w:r>
      <w:r w:rsidR="00363156" w:rsidRPr="007B4A99">
        <w:rPr>
          <w:rFonts w:ascii="Times New Roman" w:hAnsi="Times New Roman" w:cs="Times New Roman"/>
          <w:i/>
          <w:sz w:val="24"/>
          <w:szCs w:val="24"/>
        </w:rPr>
        <w:t>едностранност</w:t>
      </w:r>
      <w:r w:rsidR="00363156" w:rsidRPr="007B4A99">
        <w:rPr>
          <w:rFonts w:ascii="Times New Roman" w:hAnsi="Times New Roman" w:cs="Times New Roman"/>
          <w:sz w:val="24"/>
          <w:szCs w:val="24"/>
        </w:rPr>
        <w:t xml:space="preserve">, </w:t>
      </w:r>
      <w:r w:rsidR="00363156" w:rsidRPr="007B4A99">
        <w:rPr>
          <w:rFonts w:ascii="Times New Roman" w:hAnsi="Times New Roman" w:cs="Times New Roman"/>
          <w:i/>
          <w:sz w:val="24"/>
          <w:szCs w:val="24"/>
        </w:rPr>
        <w:t>непредвидимост</w:t>
      </w:r>
      <w:r w:rsidR="00363156" w:rsidRPr="007B4A99">
        <w:rPr>
          <w:rFonts w:ascii="Times New Roman" w:hAnsi="Times New Roman" w:cs="Times New Roman"/>
          <w:sz w:val="24"/>
          <w:szCs w:val="24"/>
        </w:rPr>
        <w:t xml:space="preserve"> и </w:t>
      </w:r>
      <w:r w:rsidR="00363156" w:rsidRPr="007B4A99">
        <w:rPr>
          <w:rFonts w:ascii="Times New Roman" w:hAnsi="Times New Roman" w:cs="Times New Roman"/>
          <w:i/>
          <w:sz w:val="24"/>
          <w:szCs w:val="24"/>
        </w:rPr>
        <w:t>неравнопоставеност</w:t>
      </w:r>
      <w:r w:rsidR="006D0607">
        <w:rPr>
          <w:rFonts w:ascii="Times New Roman" w:hAnsi="Times New Roman" w:cs="Times New Roman"/>
          <w:i/>
          <w:sz w:val="24"/>
          <w:szCs w:val="24"/>
        </w:rPr>
        <w:t>,</w:t>
      </w:r>
      <w:r w:rsidR="00363156" w:rsidRPr="007B4A99">
        <w:rPr>
          <w:rFonts w:ascii="Times New Roman" w:hAnsi="Times New Roman" w:cs="Times New Roman"/>
          <w:sz w:val="24"/>
          <w:szCs w:val="24"/>
        </w:rPr>
        <w:t xml:space="preserve"> продължават да съществуват и </w:t>
      </w:r>
      <w:r w:rsidR="006D0607">
        <w:rPr>
          <w:rFonts w:ascii="Times New Roman" w:hAnsi="Times New Roman" w:cs="Times New Roman"/>
          <w:sz w:val="24"/>
          <w:szCs w:val="24"/>
        </w:rPr>
        <w:t>към настоящия момент</w:t>
      </w:r>
      <w:r w:rsidR="00363156" w:rsidRPr="007B4A99">
        <w:rPr>
          <w:rFonts w:ascii="Times New Roman" w:hAnsi="Times New Roman" w:cs="Times New Roman"/>
          <w:sz w:val="24"/>
          <w:szCs w:val="24"/>
        </w:rPr>
        <w:t xml:space="preserve">. Те играят ролята на основни двигатели </w:t>
      </w:r>
      <w:r w:rsidRPr="007B4A99">
        <w:rPr>
          <w:rFonts w:ascii="Times New Roman" w:hAnsi="Times New Roman" w:cs="Times New Roman"/>
          <w:sz w:val="24"/>
          <w:szCs w:val="24"/>
        </w:rPr>
        <w:t xml:space="preserve">за проявлението </w:t>
      </w:r>
      <w:r w:rsidR="00363156" w:rsidRPr="007B4A99">
        <w:rPr>
          <w:rFonts w:ascii="Times New Roman" w:hAnsi="Times New Roman" w:cs="Times New Roman"/>
          <w:sz w:val="24"/>
          <w:szCs w:val="24"/>
        </w:rPr>
        <w:t>на проблемите в отношенията по тази верига</w:t>
      </w:r>
      <w:r w:rsidRPr="007B4A99">
        <w:rPr>
          <w:rFonts w:ascii="Times New Roman" w:hAnsi="Times New Roman" w:cs="Times New Roman"/>
          <w:sz w:val="24"/>
          <w:szCs w:val="24"/>
        </w:rPr>
        <w:t xml:space="preserve"> и за </w:t>
      </w:r>
      <w:r w:rsidR="008E2F0B">
        <w:rPr>
          <w:rFonts w:ascii="Times New Roman" w:hAnsi="Times New Roman" w:cs="Times New Roman"/>
          <w:sz w:val="24"/>
          <w:szCs w:val="24"/>
        </w:rPr>
        <w:t xml:space="preserve">възникването </w:t>
      </w:r>
      <w:r w:rsidRPr="007B4A99">
        <w:rPr>
          <w:rFonts w:ascii="Times New Roman" w:hAnsi="Times New Roman" w:cs="Times New Roman"/>
          <w:sz w:val="24"/>
          <w:szCs w:val="24"/>
        </w:rPr>
        <w:t>на нови</w:t>
      </w:r>
      <w:r w:rsidR="00363156" w:rsidRPr="007B4A99">
        <w:rPr>
          <w:rFonts w:ascii="Times New Roman" w:hAnsi="Times New Roman" w:cs="Times New Roman"/>
          <w:sz w:val="24"/>
          <w:szCs w:val="24"/>
        </w:rPr>
        <w:t xml:space="preserve">. </w:t>
      </w:r>
      <w:r w:rsidR="006D0607">
        <w:rPr>
          <w:rFonts w:ascii="Times New Roman" w:hAnsi="Times New Roman" w:cs="Times New Roman"/>
          <w:sz w:val="24"/>
          <w:szCs w:val="24"/>
        </w:rPr>
        <w:t xml:space="preserve">При </w:t>
      </w:r>
      <w:r w:rsidR="008E2F0B" w:rsidRPr="007B4A99">
        <w:rPr>
          <w:rFonts w:ascii="Times New Roman" w:hAnsi="Times New Roman" w:cs="Times New Roman"/>
          <w:sz w:val="24"/>
          <w:szCs w:val="24"/>
        </w:rPr>
        <w:t>появата</w:t>
      </w:r>
      <w:r w:rsidR="006D0607">
        <w:rPr>
          <w:rFonts w:ascii="Times New Roman" w:hAnsi="Times New Roman" w:cs="Times New Roman"/>
          <w:sz w:val="24"/>
          <w:szCs w:val="24"/>
        </w:rPr>
        <w:t xml:space="preserve"> на </w:t>
      </w:r>
      <w:r w:rsidR="00363156" w:rsidRPr="007B4A99">
        <w:rPr>
          <w:rFonts w:ascii="Times New Roman" w:hAnsi="Times New Roman" w:cs="Times New Roman"/>
          <w:sz w:val="24"/>
          <w:szCs w:val="24"/>
        </w:rPr>
        <w:t xml:space="preserve">обективни външни фактори, като временно завишени нива на инфлация, </w:t>
      </w:r>
      <w:r w:rsidR="00C038AA" w:rsidRPr="007B4A99">
        <w:rPr>
          <w:rFonts w:ascii="Times New Roman" w:hAnsi="Times New Roman" w:cs="Times New Roman"/>
          <w:sz w:val="24"/>
          <w:szCs w:val="24"/>
        </w:rPr>
        <w:t xml:space="preserve">операторите </w:t>
      </w:r>
      <w:r w:rsidR="006D0607" w:rsidRPr="006D0607">
        <w:rPr>
          <w:rFonts w:ascii="Times New Roman" w:hAnsi="Times New Roman" w:cs="Times New Roman"/>
          <w:sz w:val="24"/>
          <w:szCs w:val="24"/>
        </w:rPr>
        <w:t xml:space="preserve">с по-силна позиция </w:t>
      </w:r>
      <w:r w:rsidR="0051707A" w:rsidRPr="0051707A">
        <w:rPr>
          <w:rFonts w:ascii="Times New Roman" w:hAnsi="Times New Roman" w:cs="Times New Roman"/>
          <w:sz w:val="24"/>
          <w:szCs w:val="24"/>
        </w:rPr>
        <w:t xml:space="preserve">при договаряне </w:t>
      </w:r>
      <w:r w:rsidR="00C038AA" w:rsidRPr="007B4A99">
        <w:rPr>
          <w:rFonts w:ascii="Times New Roman" w:hAnsi="Times New Roman" w:cs="Times New Roman"/>
          <w:sz w:val="24"/>
          <w:szCs w:val="24"/>
        </w:rPr>
        <w:t xml:space="preserve">по веригата на доставки на земеделски продукти и храни, които могат да налагат своите правила </w:t>
      </w:r>
      <w:r w:rsidR="00363156" w:rsidRPr="007B4A99">
        <w:rPr>
          <w:rFonts w:ascii="Times New Roman" w:hAnsi="Times New Roman" w:cs="Times New Roman"/>
          <w:sz w:val="24"/>
          <w:szCs w:val="24"/>
        </w:rPr>
        <w:t>веднага</w:t>
      </w:r>
      <w:r w:rsidR="00311838">
        <w:rPr>
          <w:rFonts w:ascii="Times New Roman" w:hAnsi="Times New Roman" w:cs="Times New Roman"/>
          <w:sz w:val="24"/>
          <w:szCs w:val="24"/>
        </w:rPr>
        <w:t>,</w:t>
      </w:r>
      <w:r w:rsidR="00363156" w:rsidRPr="007B4A99">
        <w:rPr>
          <w:rFonts w:ascii="Times New Roman" w:hAnsi="Times New Roman" w:cs="Times New Roman"/>
          <w:sz w:val="24"/>
          <w:szCs w:val="24"/>
        </w:rPr>
        <w:t xml:space="preserve"> са реагирали в посока завишаване на цените. След отпадането </w:t>
      </w:r>
      <w:r w:rsidR="00C038AA" w:rsidRPr="007B4A99">
        <w:rPr>
          <w:rFonts w:ascii="Times New Roman" w:hAnsi="Times New Roman" w:cs="Times New Roman"/>
          <w:sz w:val="24"/>
          <w:szCs w:val="24"/>
        </w:rPr>
        <w:t xml:space="preserve">или отслабване </w:t>
      </w:r>
      <w:r w:rsidR="00363156" w:rsidRPr="007B4A99">
        <w:rPr>
          <w:rFonts w:ascii="Times New Roman" w:hAnsi="Times New Roman" w:cs="Times New Roman"/>
          <w:sz w:val="24"/>
          <w:szCs w:val="24"/>
        </w:rPr>
        <w:t>на действието на тези фактори обаче</w:t>
      </w:r>
      <w:r w:rsidR="00311838">
        <w:rPr>
          <w:rFonts w:ascii="Times New Roman" w:hAnsi="Times New Roman" w:cs="Times New Roman"/>
          <w:sz w:val="24"/>
          <w:szCs w:val="24"/>
        </w:rPr>
        <w:t>,</w:t>
      </w:r>
      <w:r w:rsidR="00C52DEE" w:rsidRPr="007B4A99">
        <w:rPr>
          <w:rFonts w:ascii="Times New Roman" w:hAnsi="Times New Roman" w:cs="Times New Roman"/>
          <w:sz w:val="24"/>
          <w:szCs w:val="24"/>
        </w:rPr>
        <w:t xml:space="preserve"> </w:t>
      </w:r>
      <w:r w:rsidR="00C038AA" w:rsidRPr="007B4A99">
        <w:rPr>
          <w:rFonts w:ascii="Times New Roman" w:hAnsi="Times New Roman" w:cs="Times New Roman"/>
          <w:sz w:val="24"/>
          <w:szCs w:val="24"/>
        </w:rPr>
        <w:t>същите оператори</w:t>
      </w:r>
      <w:r w:rsidR="00C52DEE" w:rsidRPr="007B4A99">
        <w:rPr>
          <w:rFonts w:ascii="Times New Roman" w:hAnsi="Times New Roman" w:cs="Times New Roman"/>
          <w:sz w:val="24"/>
          <w:szCs w:val="24"/>
        </w:rPr>
        <w:t xml:space="preserve"> не </w:t>
      </w:r>
      <w:r w:rsidR="00C038AA" w:rsidRPr="007B4A99">
        <w:rPr>
          <w:rFonts w:ascii="Times New Roman" w:hAnsi="Times New Roman" w:cs="Times New Roman"/>
          <w:sz w:val="24"/>
          <w:szCs w:val="24"/>
        </w:rPr>
        <w:t>са</w:t>
      </w:r>
      <w:r w:rsidR="00C52DEE" w:rsidRPr="007B4A99">
        <w:rPr>
          <w:rFonts w:ascii="Times New Roman" w:hAnsi="Times New Roman" w:cs="Times New Roman"/>
          <w:sz w:val="24"/>
          <w:szCs w:val="24"/>
        </w:rPr>
        <w:t xml:space="preserve"> реагирал</w:t>
      </w:r>
      <w:r w:rsidR="0051707A">
        <w:rPr>
          <w:rFonts w:ascii="Times New Roman" w:hAnsi="Times New Roman" w:cs="Times New Roman"/>
          <w:sz w:val="24"/>
          <w:szCs w:val="24"/>
        </w:rPr>
        <w:t>и</w:t>
      </w:r>
      <w:r w:rsidR="00C52DEE" w:rsidRPr="007B4A99">
        <w:rPr>
          <w:rFonts w:ascii="Times New Roman" w:hAnsi="Times New Roman" w:cs="Times New Roman"/>
          <w:sz w:val="24"/>
          <w:szCs w:val="24"/>
        </w:rPr>
        <w:t xml:space="preserve"> по идентичен</w:t>
      </w:r>
      <w:r w:rsidR="0051707A">
        <w:rPr>
          <w:rFonts w:ascii="Times New Roman" w:hAnsi="Times New Roman" w:cs="Times New Roman"/>
          <w:sz w:val="24"/>
          <w:szCs w:val="24"/>
        </w:rPr>
        <w:t xml:space="preserve"> </w:t>
      </w:r>
      <w:r w:rsidR="00C52DEE" w:rsidRPr="007B4A99">
        <w:rPr>
          <w:rFonts w:ascii="Times New Roman" w:hAnsi="Times New Roman" w:cs="Times New Roman"/>
          <w:sz w:val="24"/>
          <w:szCs w:val="24"/>
        </w:rPr>
        <w:t>начин</w:t>
      </w:r>
      <w:r w:rsidR="00311838">
        <w:rPr>
          <w:rFonts w:ascii="Times New Roman" w:hAnsi="Times New Roman" w:cs="Times New Roman"/>
          <w:sz w:val="24"/>
          <w:szCs w:val="24"/>
        </w:rPr>
        <w:t>,</w:t>
      </w:r>
      <w:r w:rsidR="0051707A">
        <w:rPr>
          <w:rFonts w:ascii="Times New Roman" w:hAnsi="Times New Roman" w:cs="Times New Roman"/>
          <w:sz w:val="24"/>
          <w:szCs w:val="24"/>
        </w:rPr>
        <w:t xml:space="preserve"> като не са свалили</w:t>
      </w:r>
      <w:r w:rsidR="0059331C">
        <w:rPr>
          <w:rFonts w:ascii="Times New Roman" w:hAnsi="Times New Roman" w:cs="Times New Roman"/>
          <w:sz w:val="24"/>
          <w:szCs w:val="24"/>
        </w:rPr>
        <w:t xml:space="preserve"> тези цени</w:t>
      </w:r>
      <w:r w:rsidR="00C52DEE" w:rsidRPr="007B4A99">
        <w:rPr>
          <w:rFonts w:ascii="Times New Roman" w:hAnsi="Times New Roman" w:cs="Times New Roman"/>
          <w:sz w:val="24"/>
          <w:szCs w:val="24"/>
        </w:rPr>
        <w:t xml:space="preserve">. Това са </w:t>
      </w:r>
      <w:r w:rsidRPr="007B4A99">
        <w:rPr>
          <w:rFonts w:ascii="Times New Roman" w:hAnsi="Times New Roman" w:cs="Times New Roman"/>
          <w:sz w:val="24"/>
          <w:szCs w:val="24"/>
        </w:rPr>
        <w:t xml:space="preserve">нововъзникнали </w:t>
      </w:r>
      <w:r w:rsidR="00C52DEE" w:rsidRPr="007B4A99">
        <w:rPr>
          <w:rFonts w:ascii="Times New Roman" w:hAnsi="Times New Roman" w:cs="Times New Roman"/>
          <w:sz w:val="24"/>
          <w:szCs w:val="24"/>
        </w:rPr>
        <w:t xml:space="preserve">проблеми, </w:t>
      </w:r>
      <w:r w:rsidRPr="007B4A99">
        <w:rPr>
          <w:rFonts w:ascii="Times New Roman" w:hAnsi="Times New Roman" w:cs="Times New Roman"/>
          <w:sz w:val="24"/>
          <w:szCs w:val="24"/>
        </w:rPr>
        <w:t xml:space="preserve">които са резултат от същите двигатели, </w:t>
      </w:r>
      <w:r w:rsidR="00C52DEE" w:rsidRPr="007B4A99">
        <w:rPr>
          <w:rFonts w:ascii="Times New Roman" w:hAnsi="Times New Roman" w:cs="Times New Roman"/>
          <w:sz w:val="24"/>
          <w:szCs w:val="24"/>
        </w:rPr>
        <w:t>които особено силно засягат</w:t>
      </w:r>
      <w:r w:rsidR="00C038AA" w:rsidRPr="007B4A99">
        <w:rPr>
          <w:rFonts w:ascii="Times New Roman" w:hAnsi="Times New Roman" w:cs="Times New Roman"/>
          <w:sz w:val="24"/>
          <w:szCs w:val="24"/>
        </w:rPr>
        <w:t xml:space="preserve"> крайните участници по веригата, които са и </w:t>
      </w:r>
      <w:r w:rsidR="00C52DEE" w:rsidRPr="007B4A99">
        <w:rPr>
          <w:rFonts w:ascii="Times New Roman" w:hAnsi="Times New Roman" w:cs="Times New Roman"/>
          <w:sz w:val="24"/>
          <w:szCs w:val="24"/>
        </w:rPr>
        <w:t xml:space="preserve">най-уязвимите </w:t>
      </w:r>
      <w:r w:rsidR="00C038AA" w:rsidRPr="007B4A99">
        <w:rPr>
          <w:rFonts w:ascii="Times New Roman" w:hAnsi="Times New Roman" w:cs="Times New Roman"/>
          <w:sz w:val="24"/>
          <w:szCs w:val="24"/>
        </w:rPr>
        <w:t>оператори в нея</w:t>
      </w:r>
      <w:r w:rsidRPr="007B4A99">
        <w:rPr>
          <w:rFonts w:ascii="Times New Roman" w:hAnsi="Times New Roman" w:cs="Times New Roman"/>
          <w:sz w:val="24"/>
          <w:szCs w:val="24"/>
        </w:rPr>
        <w:t xml:space="preserve">. Такива </w:t>
      </w:r>
      <w:r w:rsidR="00C038AA" w:rsidRPr="007B4A99">
        <w:rPr>
          <w:rFonts w:ascii="Times New Roman" w:hAnsi="Times New Roman" w:cs="Times New Roman"/>
          <w:sz w:val="24"/>
          <w:szCs w:val="24"/>
        </w:rPr>
        <w:t xml:space="preserve">са </w:t>
      </w:r>
      <w:r w:rsidR="00C52DEE" w:rsidRPr="007B4A99">
        <w:rPr>
          <w:rFonts w:ascii="Times New Roman" w:hAnsi="Times New Roman" w:cs="Times New Roman"/>
          <w:sz w:val="24"/>
          <w:szCs w:val="24"/>
        </w:rPr>
        <w:t>производителите</w:t>
      </w:r>
      <w:r w:rsidR="00C038AA" w:rsidRPr="007B4A99">
        <w:rPr>
          <w:rFonts w:ascii="Times New Roman" w:hAnsi="Times New Roman" w:cs="Times New Roman"/>
          <w:sz w:val="24"/>
          <w:szCs w:val="24"/>
        </w:rPr>
        <w:t xml:space="preserve"> на селскостопанска продукция и доставчиците на храни, от една страна</w:t>
      </w:r>
      <w:r w:rsidR="00C52DEE" w:rsidRPr="007B4A99">
        <w:rPr>
          <w:rFonts w:ascii="Times New Roman" w:hAnsi="Times New Roman" w:cs="Times New Roman"/>
          <w:sz w:val="24"/>
          <w:szCs w:val="24"/>
        </w:rPr>
        <w:t xml:space="preserve"> и крайните потребители</w:t>
      </w:r>
      <w:r w:rsidR="00311838">
        <w:rPr>
          <w:rFonts w:ascii="Times New Roman" w:hAnsi="Times New Roman" w:cs="Times New Roman"/>
          <w:sz w:val="24"/>
          <w:szCs w:val="24"/>
        </w:rPr>
        <w:t>,</w:t>
      </w:r>
      <w:r w:rsidR="00C038AA" w:rsidRPr="007B4A99">
        <w:rPr>
          <w:rFonts w:ascii="Times New Roman" w:hAnsi="Times New Roman" w:cs="Times New Roman"/>
          <w:sz w:val="24"/>
          <w:szCs w:val="24"/>
        </w:rPr>
        <w:t xml:space="preserve"> от друга</w:t>
      </w:r>
      <w:r w:rsidR="00C52DEE" w:rsidRPr="007B4A99">
        <w:rPr>
          <w:rFonts w:ascii="Times New Roman" w:hAnsi="Times New Roman" w:cs="Times New Roman"/>
          <w:sz w:val="24"/>
          <w:szCs w:val="24"/>
        </w:rPr>
        <w:t xml:space="preserve">. </w:t>
      </w:r>
    </w:p>
    <w:p w14:paraId="6E875FDE" w14:textId="50FE10D1" w:rsidR="005173C1" w:rsidRPr="007B4A99" w:rsidRDefault="00C52DEE"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Именно това </w:t>
      </w:r>
      <w:r w:rsidR="00363156" w:rsidRPr="007B4A99">
        <w:rPr>
          <w:rFonts w:ascii="Times New Roman" w:hAnsi="Times New Roman" w:cs="Times New Roman"/>
          <w:sz w:val="24"/>
          <w:szCs w:val="24"/>
        </w:rPr>
        <w:t>е наложило</w:t>
      </w:r>
      <w:r w:rsidR="005173C1" w:rsidRPr="007B4A99">
        <w:rPr>
          <w:rFonts w:ascii="Times New Roman" w:hAnsi="Times New Roman" w:cs="Times New Roman"/>
          <w:sz w:val="24"/>
          <w:szCs w:val="24"/>
        </w:rPr>
        <w:t>,</w:t>
      </w:r>
      <w:r w:rsidR="00363156" w:rsidRPr="007B4A99">
        <w:rPr>
          <w:rFonts w:ascii="Times New Roman" w:hAnsi="Times New Roman" w:cs="Times New Roman"/>
          <w:sz w:val="24"/>
          <w:szCs w:val="24"/>
        </w:rPr>
        <w:t xml:space="preserve"> за първи път от 2011 г. до днес</w:t>
      </w:r>
      <w:r w:rsidR="005173C1" w:rsidRPr="007B4A99">
        <w:rPr>
          <w:rFonts w:ascii="Times New Roman" w:hAnsi="Times New Roman" w:cs="Times New Roman"/>
          <w:sz w:val="24"/>
          <w:szCs w:val="24"/>
        </w:rPr>
        <w:t>,</w:t>
      </w:r>
      <w:r w:rsidR="00363156" w:rsidRPr="007B4A99">
        <w:rPr>
          <w:rFonts w:ascii="Times New Roman" w:hAnsi="Times New Roman" w:cs="Times New Roman"/>
          <w:sz w:val="24"/>
          <w:szCs w:val="24"/>
        </w:rPr>
        <w:t xml:space="preserve"> </w:t>
      </w:r>
      <w:r w:rsidR="005173C1" w:rsidRPr="007B4A99">
        <w:rPr>
          <w:rFonts w:ascii="Times New Roman" w:hAnsi="Times New Roman" w:cs="Times New Roman"/>
          <w:sz w:val="24"/>
          <w:szCs w:val="24"/>
        </w:rPr>
        <w:t xml:space="preserve">при </w:t>
      </w:r>
      <w:r w:rsidR="00363156" w:rsidRPr="007B4A99">
        <w:rPr>
          <w:rFonts w:ascii="Times New Roman" w:hAnsi="Times New Roman" w:cs="Times New Roman"/>
          <w:sz w:val="24"/>
          <w:szCs w:val="24"/>
        </w:rPr>
        <w:t xml:space="preserve">третия пакет </w:t>
      </w:r>
      <w:r w:rsidR="00C038AA" w:rsidRPr="007B4A99">
        <w:rPr>
          <w:rFonts w:ascii="Times New Roman" w:hAnsi="Times New Roman" w:cs="Times New Roman"/>
          <w:sz w:val="24"/>
          <w:szCs w:val="24"/>
        </w:rPr>
        <w:t>с</w:t>
      </w:r>
      <w:r w:rsidR="00363156" w:rsidRPr="007B4A99">
        <w:rPr>
          <w:rFonts w:ascii="Times New Roman" w:hAnsi="Times New Roman" w:cs="Times New Roman"/>
          <w:sz w:val="24"/>
          <w:szCs w:val="24"/>
        </w:rPr>
        <w:t xml:space="preserve"> предложения за </w:t>
      </w:r>
      <w:r w:rsidR="005173C1" w:rsidRPr="007B4A99">
        <w:rPr>
          <w:rFonts w:ascii="Times New Roman" w:hAnsi="Times New Roman" w:cs="Times New Roman"/>
          <w:sz w:val="24"/>
          <w:szCs w:val="24"/>
        </w:rPr>
        <w:t xml:space="preserve">публична </w:t>
      </w:r>
      <w:r w:rsidR="00363156" w:rsidRPr="007B4A99">
        <w:rPr>
          <w:rFonts w:ascii="Times New Roman" w:hAnsi="Times New Roman" w:cs="Times New Roman"/>
          <w:sz w:val="24"/>
          <w:szCs w:val="24"/>
        </w:rPr>
        <w:t xml:space="preserve">интервенция </w:t>
      </w:r>
      <w:r w:rsidR="005173C1" w:rsidRPr="007B4A99">
        <w:rPr>
          <w:rFonts w:ascii="Times New Roman" w:hAnsi="Times New Roman" w:cs="Times New Roman"/>
          <w:sz w:val="24"/>
          <w:szCs w:val="24"/>
        </w:rPr>
        <w:t>в отношенията по веригата на доставки на земеделски продукти и храни</w:t>
      </w:r>
      <w:r w:rsidR="006D0607">
        <w:rPr>
          <w:rFonts w:ascii="Times New Roman" w:hAnsi="Times New Roman" w:cs="Times New Roman"/>
          <w:sz w:val="24"/>
          <w:szCs w:val="24"/>
        </w:rPr>
        <w:t>,</w:t>
      </w:r>
      <w:r w:rsidR="005173C1" w:rsidRPr="007B4A99">
        <w:rPr>
          <w:rFonts w:ascii="Times New Roman" w:hAnsi="Times New Roman" w:cs="Times New Roman"/>
          <w:sz w:val="24"/>
          <w:szCs w:val="24"/>
        </w:rPr>
        <w:t xml:space="preserve"> от страна на българската държава </w:t>
      </w:r>
      <w:r w:rsidR="00363156" w:rsidRPr="007B4A99">
        <w:rPr>
          <w:rFonts w:ascii="Times New Roman" w:hAnsi="Times New Roman" w:cs="Times New Roman"/>
          <w:sz w:val="24"/>
          <w:szCs w:val="24"/>
        </w:rPr>
        <w:t>да</w:t>
      </w:r>
      <w:r w:rsidR="006D0607">
        <w:rPr>
          <w:rFonts w:ascii="Times New Roman" w:hAnsi="Times New Roman" w:cs="Times New Roman"/>
          <w:sz w:val="24"/>
          <w:szCs w:val="24"/>
        </w:rPr>
        <w:t xml:space="preserve"> се</w:t>
      </w:r>
      <w:r w:rsidR="00363156" w:rsidRPr="007B4A99">
        <w:rPr>
          <w:rFonts w:ascii="Times New Roman" w:hAnsi="Times New Roman" w:cs="Times New Roman"/>
          <w:sz w:val="24"/>
          <w:szCs w:val="24"/>
        </w:rPr>
        <w:t xml:space="preserve"> залага на интегрирания подход, който</w:t>
      </w:r>
      <w:r w:rsidR="006D0607">
        <w:rPr>
          <w:rFonts w:ascii="Times New Roman" w:hAnsi="Times New Roman" w:cs="Times New Roman"/>
          <w:sz w:val="24"/>
          <w:szCs w:val="24"/>
        </w:rPr>
        <w:t>,</w:t>
      </w:r>
      <w:r w:rsidR="00363156" w:rsidRPr="007B4A99">
        <w:rPr>
          <w:rFonts w:ascii="Times New Roman" w:hAnsi="Times New Roman" w:cs="Times New Roman"/>
          <w:sz w:val="24"/>
          <w:szCs w:val="24"/>
        </w:rPr>
        <w:t xml:space="preserve"> освен чисто законови промени</w:t>
      </w:r>
      <w:r w:rsidR="006D0607">
        <w:rPr>
          <w:rFonts w:ascii="Times New Roman" w:hAnsi="Times New Roman" w:cs="Times New Roman"/>
          <w:sz w:val="24"/>
          <w:szCs w:val="24"/>
        </w:rPr>
        <w:t>,</w:t>
      </w:r>
      <w:r w:rsidR="00363156" w:rsidRPr="007B4A99">
        <w:rPr>
          <w:rFonts w:ascii="Times New Roman" w:hAnsi="Times New Roman" w:cs="Times New Roman"/>
          <w:sz w:val="24"/>
          <w:szCs w:val="24"/>
        </w:rPr>
        <w:t xml:space="preserve"> включва и </w:t>
      </w:r>
      <w:r w:rsidR="00C038AA" w:rsidRPr="007B4A99">
        <w:rPr>
          <w:rFonts w:ascii="Times New Roman" w:hAnsi="Times New Roman" w:cs="Times New Roman"/>
          <w:sz w:val="24"/>
          <w:szCs w:val="24"/>
        </w:rPr>
        <w:t xml:space="preserve">други </w:t>
      </w:r>
      <w:r w:rsidR="00363156" w:rsidRPr="007B4A99">
        <w:rPr>
          <w:rFonts w:ascii="Times New Roman" w:hAnsi="Times New Roman" w:cs="Times New Roman"/>
          <w:sz w:val="24"/>
          <w:szCs w:val="24"/>
        </w:rPr>
        <w:t>мерки. Целта е била създаването на цялостен механизъм,</w:t>
      </w:r>
      <w:r w:rsidR="00795B55">
        <w:rPr>
          <w:rFonts w:ascii="Times New Roman" w:hAnsi="Times New Roman" w:cs="Times New Roman"/>
          <w:sz w:val="24"/>
          <w:szCs w:val="24"/>
        </w:rPr>
        <w:t xml:space="preserve"> с</w:t>
      </w:r>
      <w:r w:rsidR="00363156" w:rsidRPr="007B4A99">
        <w:rPr>
          <w:rFonts w:ascii="Times New Roman" w:hAnsi="Times New Roman" w:cs="Times New Roman"/>
          <w:sz w:val="24"/>
          <w:szCs w:val="24"/>
        </w:rPr>
        <w:t xml:space="preserve"> който</w:t>
      </w:r>
      <w:r w:rsidR="00795B55">
        <w:rPr>
          <w:rFonts w:ascii="Times New Roman" w:hAnsi="Times New Roman" w:cs="Times New Roman"/>
          <w:sz w:val="24"/>
          <w:szCs w:val="24"/>
        </w:rPr>
        <w:t>,</w:t>
      </w:r>
      <w:r w:rsidR="00363156" w:rsidRPr="007B4A99">
        <w:rPr>
          <w:rFonts w:ascii="Times New Roman" w:hAnsi="Times New Roman" w:cs="Times New Roman"/>
          <w:sz w:val="24"/>
          <w:szCs w:val="24"/>
        </w:rPr>
        <w:t xml:space="preserve"> </w:t>
      </w:r>
      <w:r w:rsidRPr="007B4A99">
        <w:rPr>
          <w:rFonts w:ascii="Times New Roman" w:hAnsi="Times New Roman" w:cs="Times New Roman"/>
          <w:sz w:val="24"/>
          <w:szCs w:val="24"/>
        </w:rPr>
        <w:t>макар и временно</w:t>
      </w:r>
      <w:r w:rsidR="00795B55">
        <w:rPr>
          <w:rFonts w:ascii="Times New Roman" w:hAnsi="Times New Roman" w:cs="Times New Roman"/>
          <w:sz w:val="24"/>
          <w:szCs w:val="24"/>
        </w:rPr>
        <w:t>,</w:t>
      </w:r>
      <w:r w:rsidRPr="007B4A99">
        <w:rPr>
          <w:rFonts w:ascii="Times New Roman" w:hAnsi="Times New Roman" w:cs="Times New Roman"/>
          <w:sz w:val="24"/>
          <w:szCs w:val="24"/>
        </w:rPr>
        <w:t xml:space="preserve"> и </w:t>
      </w:r>
      <w:r w:rsidR="00795B55">
        <w:rPr>
          <w:rFonts w:ascii="Times New Roman" w:hAnsi="Times New Roman" w:cs="Times New Roman"/>
          <w:sz w:val="24"/>
          <w:szCs w:val="24"/>
        </w:rPr>
        <w:t>под формата на</w:t>
      </w:r>
      <w:r w:rsidR="00795B55" w:rsidRPr="007B4A99">
        <w:rPr>
          <w:rFonts w:ascii="Times New Roman" w:hAnsi="Times New Roman" w:cs="Times New Roman"/>
          <w:sz w:val="24"/>
          <w:szCs w:val="24"/>
        </w:rPr>
        <w:t xml:space="preserve"> </w:t>
      </w:r>
      <w:r w:rsidRPr="007B4A99">
        <w:rPr>
          <w:rFonts w:ascii="Times New Roman" w:hAnsi="Times New Roman" w:cs="Times New Roman"/>
          <w:sz w:val="24"/>
          <w:szCs w:val="24"/>
        </w:rPr>
        <w:t>антикризисна мярка</w:t>
      </w:r>
      <w:r w:rsidR="005173C1" w:rsidRPr="007B4A99">
        <w:rPr>
          <w:rFonts w:ascii="Times New Roman" w:hAnsi="Times New Roman" w:cs="Times New Roman"/>
          <w:sz w:val="24"/>
          <w:szCs w:val="24"/>
        </w:rPr>
        <w:t>,</w:t>
      </w:r>
      <w:r w:rsidRPr="007B4A99">
        <w:rPr>
          <w:rFonts w:ascii="Times New Roman" w:hAnsi="Times New Roman" w:cs="Times New Roman"/>
          <w:sz w:val="24"/>
          <w:szCs w:val="24"/>
        </w:rPr>
        <w:t xml:space="preserve"> с прякото участие на </w:t>
      </w:r>
      <w:r w:rsidR="00363156" w:rsidRPr="007B4A99">
        <w:rPr>
          <w:rFonts w:ascii="Times New Roman" w:hAnsi="Times New Roman" w:cs="Times New Roman"/>
          <w:sz w:val="24"/>
          <w:szCs w:val="24"/>
        </w:rPr>
        <w:t>търговските вериги в</w:t>
      </w:r>
      <w:r w:rsidRPr="007B4A99">
        <w:rPr>
          <w:rFonts w:ascii="Times New Roman" w:hAnsi="Times New Roman" w:cs="Times New Roman"/>
          <w:sz w:val="24"/>
          <w:szCs w:val="24"/>
        </w:rPr>
        <w:t xml:space="preserve"> целия </w:t>
      </w:r>
      <w:r w:rsidR="00363156" w:rsidRPr="007B4A99">
        <w:rPr>
          <w:rFonts w:ascii="Times New Roman" w:hAnsi="Times New Roman" w:cs="Times New Roman"/>
          <w:sz w:val="24"/>
          <w:szCs w:val="24"/>
        </w:rPr>
        <w:t xml:space="preserve">процес </w:t>
      </w:r>
      <w:r w:rsidRPr="007B4A99">
        <w:rPr>
          <w:rFonts w:ascii="Times New Roman" w:hAnsi="Times New Roman" w:cs="Times New Roman"/>
          <w:sz w:val="24"/>
          <w:szCs w:val="24"/>
        </w:rPr>
        <w:t>по</w:t>
      </w:r>
      <w:r w:rsidR="00363156" w:rsidRPr="007B4A99">
        <w:rPr>
          <w:rFonts w:ascii="Times New Roman" w:hAnsi="Times New Roman" w:cs="Times New Roman"/>
          <w:sz w:val="24"/>
          <w:szCs w:val="24"/>
        </w:rPr>
        <w:t xml:space="preserve"> подаване на информация</w:t>
      </w:r>
      <w:r w:rsidR="005173C1" w:rsidRPr="007B4A99">
        <w:rPr>
          <w:rFonts w:ascii="Times New Roman" w:hAnsi="Times New Roman" w:cs="Times New Roman"/>
          <w:sz w:val="24"/>
          <w:szCs w:val="24"/>
        </w:rPr>
        <w:t>,</w:t>
      </w:r>
      <w:r w:rsidR="00363156" w:rsidRPr="007B4A99">
        <w:rPr>
          <w:rFonts w:ascii="Times New Roman" w:hAnsi="Times New Roman" w:cs="Times New Roman"/>
          <w:sz w:val="24"/>
          <w:szCs w:val="24"/>
        </w:rPr>
        <w:t xml:space="preserve"> </w:t>
      </w:r>
      <w:r w:rsidRPr="007B4A99">
        <w:rPr>
          <w:rFonts w:ascii="Times New Roman" w:hAnsi="Times New Roman" w:cs="Times New Roman"/>
          <w:sz w:val="24"/>
          <w:szCs w:val="24"/>
        </w:rPr>
        <w:t xml:space="preserve">да се разрешат тези </w:t>
      </w:r>
      <w:r w:rsidR="005173C1" w:rsidRPr="007B4A99">
        <w:rPr>
          <w:rFonts w:ascii="Times New Roman" w:hAnsi="Times New Roman" w:cs="Times New Roman"/>
          <w:sz w:val="24"/>
          <w:szCs w:val="24"/>
        </w:rPr>
        <w:t>новопоявили се</w:t>
      </w:r>
      <w:r w:rsidRPr="007B4A99">
        <w:rPr>
          <w:rFonts w:ascii="Times New Roman" w:hAnsi="Times New Roman" w:cs="Times New Roman"/>
          <w:sz w:val="24"/>
          <w:szCs w:val="24"/>
        </w:rPr>
        <w:t xml:space="preserve"> проблеми</w:t>
      </w:r>
      <w:r w:rsidR="005173C1" w:rsidRPr="007B4A99">
        <w:rPr>
          <w:rFonts w:ascii="Times New Roman" w:hAnsi="Times New Roman" w:cs="Times New Roman"/>
          <w:sz w:val="24"/>
          <w:szCs w:val="24"/>
        </w:rPr>
        <w:t xml:space="preserve"> с крайните цени на </w:t>
      </w:r>
      <w:r w:rsidR="0084412A" w:rsidRPr="007B4A99">
        <w:rPr>
          <w:rFonts w:ascii="Times New Roman" w:hAnsi="Times New Roman" w:cs="Times New Roman"/>
          <w:sz w:val="24"/>
          <w:szCs w:val="24"/>
        </w:rPr>
        <w:t xml:space="preserve">основните </w:t>
      </w:r>
      <w:r w:rsidR="005173C1" w:rsidRPr="007B4A99">
        <w:rPr>
          <w:rFonts w:ascii="Times New Roman" w:hAnsi="Times New Roman" w:cs="Times New Roman"/>
          <w:sz w:val="24"/>
          <w:szCs w:val="24"/>
        </w:rPr>
        <w:t>хранителни продукти</w:t>
      </w:r>
      <w:r w:rsidR="0084412A" w:rsidRPr="007B4A99">
        <w:rPr>
          <w:rFonts w:ascii="Times New Roman" w:hAnsi="Times New Roman" w:cs="Times New Roman"/>
          <w:sz w:val="24"/>
          <w:szCs w:val="24"/>
        </w:rPr>
        <w:t>.</w:t>
      </w:r>
    </w:p>
    <w:p w14:paraId="0F5CE23E" w14:textId="3DD803EF" w:rsidR="005173C1" w:rsidRPr="007B4A99" w:rsidRDefault="005173C1"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lastRenderedPageBreak/>
        <w:t xml:space="preserve">В основата на идеята за тези предложения са стоели същите дефицити, свързани с </w:t>
      </w:r>
      <w:r w:rsidRPr="008E2F0B">
        <w:rPr>
          <w:rFonts w:ascii="Times New Roman" w:hAnsi="Times New Roman" w:cs="Times New Roman"/>
          <w:b/>
          <w:i/>
          <w:sz w:val="24"/>
          <w:szCs w:val="24"/>
        </w:rPr>
        <w:t>липсата на</w:t>
      </w:r>
      <w:r w:rsidR="00C52DEE" w:rsidRPr="008E2F0B">
        <w:rPr>
          <w:rFonts w:ascii="Times New Roman" w:hAnsi="Times New Roman" w:cs="Times New Roman"/>
          <w:b/>
          <w:sz w:val="24"/>
          <w:szCs w:val="24"/>
        </w:rPr>
        <w:t xml:space="preserve"> </w:t>
      </w:r>
      <w:r w:rsidRPr="008E2F0B">
        <w:rPr>
          <w:rFonts w:ascii="Times New Roman" w:hAnsi="Times New Roman" w:cs="Times New Roman"/>
          <w:b/>
          <w:i/>
          <w:sz w:val="24"/>
          <w:szCs w:val="24"/>
        </w:rPr>
        <w:t>прозрачност и проследимост</w:t>
      </w:r>
      <w:r w:rsidR="0059331C">
        <w:rPr>
          <w:rFonts w:ascii="Times New Roman" w:hAnsi="Times New Roman" w:cs="Times New Roman"/>
          <w:sz w:val="24"/>
          <w:szCs w:val="24"/>
        </w:rPr>
        <w:t xml:space="preserve">, водещи до </w:t>
      </w:r>
      <w:r w:rsidR="0059331C" w:rsidRPr="008E2F0B">
        <w:rPr>
          <w:rFonts w:ascii="Times New Roman" w:hAnsi="Times New Roman" w:cs="Times New Roman"/>
          <w:b/>
          <w:i/>
          <w:sz w:val="24"/>
          <w:szCs w:val="24"/>
        </w:rPr>
        <w:t>липсата</w:t>
      </w:r>
      <w:r w:rsidRPr="008E2F0B">
        <w:rPr>
          <w:rFonts w:ascii="Times New Roman" w:hAnsi="Times New Roman" w:cs="Times New Roman"/>
          <w:b/>
          <w:i/>
          <w:sz w:val="24"/>
          <w:szCs w:val="24"/>
        </w:rPr>
        <w:t xml:space="preserve"> на</w:t>
      </w:r>
      <w:r w:rsidR="00C52DEE" w:rsidRPr="008E2F0B">
        <w:rPr>
          <w:rFonts w:ascii="Times New Roman" w:hAnsi="Times New Roman" w:cs="Times New Roman"/>
          <w:b/>
          <w:i/>
          <w:sz w:val="24"/>
          <w:szCs w:val="24"/>
        </w:rPr>
        <w:t xml:space="preserve"> равнопоставеност и пропорционалност</w:t>
      </w:r>
      <w:r w:rsidR="00C52DEE" w:rsidRPr="007B4A99">
        <w:rPr>
          <w:rFonts w:ascii="Times New Roman" w:hAnsi="Times New Roman" w:cs="Times New Roman"/>
          <w:sz w:val="24"/>
          <w:szCs w:val="24"/>
        </w:rPr>
        <w:t xml:space="preserve"> в отношенията</w:t>
      </w:r>
      <w:r w:rsidRPr="007B4A99">
        <w:rPr>
          <w:rFonts w:ascii="Times New Roman" w:hAnsi="Times New Roman" w:cs="Times New Roman"/>
          <w:sz w:val="24"/>
          <w:szCs w:val="24"/>
        </w:rPr>
        <w:t xml:space="preserve"> между участниците</w:t>
      </w:r>
      <w:r w:rsidR="00C52DEE" w:rsidRPr="007B4A99">
        <w:rPr>
          <w:rFonts w:ascii="Times New Roman" w:hAnsi="Times New Roman" w:cs="Times New Roman"/>
          <w:sz w:val="24"/>
          <w:szCs w:val="24"/>
        </w:rPr>
        <w:t xml:space="preserve"> по веригата на доставки на земеделски продукти и храни</w:t>
      </w:r>
      <w:r w:rsidR="00363156" w:rsidRPr="007B4A99">
        <w:rPr>
          <w:rFonts w:ascii="Times New Roman" w:hAnsi="Times New Roman" w:cs="Times New Roman"/>
          <w:sz w:val="24"/>
          <w:szCs w:val="24"/>
        </w:rPr>
        <w:t>.</w:t>
      </w:r>
      <w:r w:rsidR="00C52DEE" w:rsidRPr="007B4A99">
        <w:rPr>
          <w:rFonts w:ascii="Times New Roman" w:hAnsi="Times New Roman" w:cs="Times New Roman"/>
          <w:sz w:val="24"/>
          <w:szCs w:val="24"/>
        </w:rPr>
        <w:t xml:space="preserve"> </w:t>
      </w:r>
      <w:r w:rsidRPr="007B4A99">
        <w:rPr>
          <w:rFonts w:ascii="Times New Roman" w:hAnsi="Times New Roman" w:cs="Times New Roman"/>
          <w:sz w:val="24"/>
          <w:szCs w:val="24"/>
        </w:rPr>
        <w:t>Поради тази причина, у</w:t>
      </w:r>
      <w:r w:rsidR="00C038AA" w:rsidRPr="007B4A99">
        <w:rPr>
          <w:rFonts w:ascii="Times New Roman" w:hAnsi="Times New Roman" w:cs="Times New Roman"/>
          <w:sz w:val="24"/>
          <w:szCs w:val="24"/>
        </w:rPr>
        <w:t xml:space="preserve">силията </w:t>
      </w:r>
      <w:r w:rsidRPr="007B4A99">
        <w:rPr>
          <w:rFonts w:ascii="Times New Roman" w:hAnsi="Times New Roman" w:cs="Times New Roman"/>
          <w:sz w:val="24"/>
          <w:szCs w:val="24"/>
        </w:rPr>
        <w:t xml:space="preserve">на държавата </w:t>
      </w:r>
      <w:r w:rsidR="00C038AA" w:rsidRPr="007B4A99">
        <w:rPr>
          <w:rFonts w:ascii="Times New Roman" w:hAnsi="Times New Roman" w:cs="Times New Roman"/>
          <w:sz w:val="24"/>
          <w:szCs w:val="24"/>
        </w:rPr>
        <w:t xml:space="preserve">са били насочени към установяването на  реална конкуренция, която се основава на </w:t>
      </w:r>
      <w:r w:rsidR="00C038AA" w:rsidRPr="007B4A99">
        <w:rPr>
          <w:rFonts w:ascii="Times New Roman" w:hAnsi="Times New Roman" w:cs="Times New Roman"/>
          <w:color w:val="000000" w:themeColor="text1"/>
          <w:sz w:val="24"/>
          <w:szCs w:val="24"/>
        </w:rPr>
        <w:t xml:space="preserve">прозрачност в договарянето и проследимост на функционирането на отношенията по </w:t>
      </w:r>
      <w:r w:rsidR="00C038AA" w:rsidRPr="007B4A99">
        <w:rPr>
          <w:rFonts w:ascii="Times New Roman" w:hAnsi="Times New Roman" w:cs="Times New Roman"/>
          <w:sz w:val="24"/>
          <w:szCs w:val="24"/>
        </w:rPr>
        <w:t xml:space="preserve">веригата на доставки, което да гарантира равнопоставеност </w:t>
      </w:r>
      <w:r w:rsidR="00450A6D" w:rsidRPr="007B4A99">
        <w:rPr>
          <w:rFonts w:ascii="Times New Roman" w:hAnsi="Times New Roman" w:cs="Times New Roman"/>
          <w:sz w:val="24"/>
          <w:szCs w:val="24"/>
        </w:rPr>
        <w:t xml:space="preserve">между участниците в нея </w:t>
      </w:r>
      <w:r w:rsidR="00C038AA" w:rsidRPr="007B4A99">
        <w:rPr>
          <w:rFonts w:ascii="Times New Roman" w:hAnsi="Times New Roman" w:cs="Times New Roman"/>
          <w:sz w:val="24"/>
          <w:szCs w:val="24"/>
        </w:rPr>
        <w:t>и пропорционалност при разпределението на</w:t>
      </w:r>
      <w:r w:rsidR="00450A6D" w:rsidRPr="007B4A99">
        <w:rPr>
          <w:rFonts w:ascii="Times New Roman" w:hAnsi="Times New Roman" w:cs="Times New Roman"/>
          <w:sz w:val="24"/>
          <w:szCs w:val="24"/>
        </w:rPr>
        <w:t xml:space="preserve"> реализираната добавена</w:t>
      </w:r>
      <w:r w:rsidR="00C038AA" w:rsidRPr="007B4A99">
        <w:rPr>
          <w:rFonts w:ascii="Times New Roman" w:hAnsi="Times New Roman" w:cs="Times New Roman"/>
          <w:sz w:val="24"/>
          <w:szCs w:val="24"/>
        </w:rPr>
        <w:t xml:space="preserve"> стойност</w:t>
      </w:r>
      <w:r w:rsidR="00450A6D" w:rsidRPr="007B4A99">
        <w:rPr>
          <w:rFonts w:ascii="Times New Roman" w:hAnsi="Times New Roman" w:cs="Times New Roman"/>
          <w:sz w:val="24"/>
          <w:szCs w:val="24"/>
        </w:rPr>
        <w:t xml:space="preserve"> по нея</w:t>
      </w:r>
      <w:r w:rsidR="00C038AA" w:rsidRPr="007B4A99">
        <w:rPr>
          <w:rFonts w:ascii="Times New Roman" w:hAnsi="Times New Roman" w:cs="Times New Roman"/>
          <w:sz w:val="24"/>
          <w:szCs w:val="24"/>
        </w:rPr>
        <w:t xml:space="preserve">. </w:t>
      </w:r>
    </w:p>
    <w:p w14:paraId="67901BE7" w14:textId="62206C87" w:rsidR="00363156" w:rsidRPr="007B4A99" w:rsidRDefault="00363156"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За съжаление</w:t>
      </w:r>
      <w:r w:rsidR="00795B55">
        <w:rPr>
          <w:rFonts w:ascii="Times New Roman" w:hAnsi="Times New Roman" w:cs="Times New Roman"/>
          <w:sz w:val="24"/>
          <w:szCs w:val="24"/>
        </w:rPr>
        <w:t>,</w:t>
      </w:r>
      <w:r w:rsidRPr="007B4A99">
        <w:rPr>
          <w:rFonts w:ascii="Times New Roman" w:hAnsi="Times New Roman" w:cs="Times New Roman"/>
          <w:sz w:val="24"/>
          <w:szCs w:val="24"/>
        </w:rPr>
        <w:t xml:space="preserve"> този подход не намира своята същ</w:t>
      </w:r>
      <w:r w:rsidR="0084412A" w:rsidRPr="007B4A99">
        <w:rPr>
          <w:rFonts w:ascii="Times New Roman" w:hAnsi="Times New Roman" w:cs="Times New Roman"/>
          <w:sz w:val="24"/>
          <w:szCs w:val="24"/>
        </w:rPr>
        <w:t>и</w:t>
      </w:r>
      <w:r w:rsidRPr="007B4A99">
        <w:rPr>
          <w:rFonts w:ascii="Times New Roman" w:hAnsi="Times New Roman" w:cs="Times New Roman"/>
          <w:sz w:val="24"/>
          <w:szCs w:val="24"/>
        </w:rPr>
        <w:t>н</w:t>
      </w:r>
      <w:r w:rsidR="0084412A" w:rsidRPr="007B4A99">
        <w:rPr>
          <w:rFonts w:ascii="Times New Roman" w:hAnsi="Times New Roman" w:cs="Times New Roman"/>
          <w:sz w:val="24"/>
          <w:szCs w:val="24"/>
        </w:rPr>
        <w:t>ск</w:t>
      </w:r>
      <w:r w:rsidRPr="007B4A99">
        <w:rPr>
          <w:rFonts w:ascii="Times New Roman" w:hAnsi="Times New Roman" w:cs="Times New Roman"/>
          <w:sz w:val="24"/>
          <w:szCs w:val="24"/>
        </w:rPr>
        <w:t xml:space="preserve">а реализация. Това е причината проблемите, които </w:t>
      </w:r>
      <w:r w:rsidR="00C52DEE" w:rsidRPr="007B4A99">
        <w:rPr>
          <w:rFonts w:ascii="Times New Roman" w:hAnsi="Times New Roman" w:cs="Times New Roman"/>
          <w:sz w:val="24"/>
          <w:szCs w:val="24"/>
        </w:rPr>
        <w:t>е трябвало</w:t>
      </w:r>
      <w:r w:rsidRPr="007B4A99">
        <w:rPr>
          <w:rFonts w:ascii="Times New Roman" w:hAnsi="Times New Roman" w:cs="Times New Roman"/>
          <w:sz w:val="24"/>
          <w:szCs w:val="24"/>
        </w:rPr>
        <w:t xml:space="preserve"> да бъдат адресирани с </w:t>
      </w:r>
      <w:r w:rsidR="00450A6D" w:rsidRPr="007B4A99">
        <w:rPr>
          <w:rFonts w:ascii="Times New Roman" w:hAnsi="Times New Roman" w:cs="Times New Roman"/>
          <w:sz w:val="24"/>
          <w:szCs w:val="24"/>
        </w:rPr>
        <w:t>този пакет</w:t>
      </w:r>
      <w:r w:rsidRPr="007B4A99">
        <w:rPr>
          <w:rFonts w:ascii="Times New Roman" w:hAnsi="Times New Roman" w:cs="Times New Roman"/>
          <w:sz w:val="24"/>
          <w:szCs w:val="24"/>
        </w:rPr>
        <w:t>, свързани с растящите цени на основните хранителни продукти</w:t>
      </w:r>
      <w:r w:rsidR="00795B55">
        <w:rPr>
          <w:rFonts w:ascii="Times New Roman" w:hAnsi="Times New Roman" w:cs="Times New Roman"/>
          <w:sz w:val="24"/>
          <w:szCs w:val="24"/>
        </w:rPr>
        <w:t>,</w:t>
      </w:r>
      <w:r w:rsidR="00C038AA" w:rsidRPr="007B4A99">
        <w:rPr>
          <w:rFonts w:ascii="Times New Roman" w:hAnsi="Times New Roman" w:cs="Times New Roman"/>
          <w:sz w:val="24"/>
          <w:szCs w:val="24"/>
        </w:rPr>
        <w:t xml:space="preserve"> </w:t>
      </w:r>
      <w:r w:rsidR="00450A6D" w:rsidRPr="007B4A99">
        <w:rPr>
          <w:rFonts w:ascii="Times New Roman" w:hAnsi="Times New Roman" w:cs="Times New Roman"/>
          <w:sz w:val="24"/>
          <w:szCs w:val="24"/>
        </w:rPr>
        <w:t>да</w:t>
      </w:r>
      <w:r w:rsidR="00C52DEE" w:rsidRPr="007B4A99">
        <w:rPr>
          <w:rFonts w:ascii="Times New Roman" w:hAnsi="Times New Roman" w:cs="Times New Roman"/>
          <w:sz w:val="24"/>
          <w:szCs w:val="24"/>
        </w:rPr>
        <w:t xml:space="preserve"> </w:t>
      </w:r>
      <w:r w:rsidRPr="007B4A99">
        <w:rPr>
          <w:rFonts w:ascii="Times New Roman" w:hAnsi="Times New Roman" w:cs="Times New Roman"/>
          <w:sz w:val="24"/>
          <w:szCs w:val="24"/>
        </w:rPr>
        <w:t>оста</w:t>
      </w:r>
      <w:r w:rsidR="00C52DEE" w:rsidRPr="007B4A99">
        <w:rPr>
          <w:rFonts w:ascii="Times New Roman" w:hAnsi="Times New Roman" w:cs="Times New Roman"/>
          <w:sz w:val="24"/>
          <w:szCs w:val="24"/>
        </w:rPr>
        <w:t>н</w:t>
      </w:r>
      <w:r w:rsidRPr="007B4A99">
        <w:rPr>
          <w:rFonts w:ascii="Times New Roman" w:hAnsi="Times New Roman" w:cs="Times New Roman"/>
          <w:sz w:val="24"/>
          <w:szCs w:val="24"/>
        </w:rPr>
        <w:t xml:space="preserve">ат неразрешени и </w:t>
      </w:r>
      <w:r w:rsidR="008E2F0B">
        <w:rPr>
          <w:rFonts w:ascii="Times New Roman" w:hAnsi="Times New Roman" w:cs="Times New Roman"/>
          <w:sz w:val="24"/>
          <w:szCs w:val="24"/>
        </w:rPr>
        <w:t>днес</w:t>
      </w:r>
      <w:r w:rsidR="0084412A" w:rsidRPr="007B4A99">
        <w:rPr>
          <w:rFonts w:ascii="Times New Roman" w:hAnsi="Times New Roman" w:cs="Times New Roman"/>
          <w:sz w:val="24"/>
          <w:szCs w:val="24"/>
        </w:rPr>
        <w:t xml:space="preserve">, свидетелство за което </w:t>
      </w:r>
      <w:r w:rsidR="00311838">
        <w:rPr>
          <w:rFonts w:ascii="Times New Roman" w:hAnsi="Times New Roman" w:cs="Times New Roman"/>
          <w:sz w:val="24"/>
          <w:szCs w:val="24"/>
        </w:rPr>
        <w:t>е</w:t>
      </w:r>
      <w:r w:rsidR="00311838" w:rsidRPr="007B4A99">
        <w:rPr>
          <w:rFonts w:ascii="Times New Roman" w:hAnsi="Times New Roman" w:cs="Times New Roman"/>
          <w:sz w:val="24"/>
          <w:szCs w:val="24"/>
        </w:rPr>
        <w:t xml:space="preserve"> </w:t>
      </w:r>
      <w:r w:rsidR="0084412A" w:rsidRPr="007B4A99">
        <w:rPr>
          <w:rFonts w:ascii="Times New Roman" w:hAnsi="Times New Roman" w:cs="Times New Roman"/>
          <w:sz w:val="24"/>
          <w:szCs w:val="24"/>
        </w:rPr>
        <w:t>наблюдаваното обществено недоволство</w:t>
      </w:r>
      <w:r w:rsidRPr="007B4A99">
        <w:rPr>
          <w:rFonts w:ascii="Times New Roman" w:hAnsi="Times New Roman" w:cs="Times New Roman"/>
          <w:sz w:val="24"/>
          <w:szCs w:val="24"/>
        </w:rPr>
        <w:t xml:space="preserve">. </w:t>
      </w:r>
    </w:p>
    <w:p w14:paraId="18C8BF03" w14:textId="41C3EDDD" w:rsidR="002B696C" w:rsidRPr="007B4A99" w:rsidRDefault="008C2654"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От началото на 2025 г. в МЗХ е създадена работна група, която има за задача да разработи и обсъди със заинтересованите страни концепция за нова публична политика на българското правителство, която включва различни по своя характер мерки, целящи справяне с основните недостатъци,</w:t>
      </w:r>
      <w:r w:rsidR="00450A6D" w:rsidRPr="007B4A99">
        <w:rPr>
          <w:rFonts w:ascii="Times New Roman" w:hAnsi="Times New Roman" w:cs="Times New Roman"/>
          <w:sz w:val="24"/>
          <w:szCs w:val="24"/>
        </w:rPr>
        <w:t xml:space="preserve"> водещи до появата на наблюдаваните проблеми </w:t>
      </w:r>
      <w:r w:rsidRPr="007B4A99">
        <w:rPr>
          <w:rFonts w:ascii="Times New Roman" w:hAnsi="Times New Roman" w:cs="Times New Roman"/>
          <w:sz w:val="24"/>
          <w:szCs w:val="24"/>
        </w:rPr>
        <w:t>по веригата на доставки на земеделски продукти и храни. Според к</w:t>
      </w:r>
      <w:r w:rsidRPr="007B4A99">
        <w:rPr>
          <w:rFonts w:ascii="Times New Roman" w:eastAsia="Times New Roman" w:hAnsi="Times New Roman" w:cs="Times New Roman"/>
          <w:sz w:val="24"/>
          <w:szCs w:val="24"/>
        </w:rPr>
        <w:t>онцепцията</w:t>
      </w:r>
      <w:r w:rsidR="002B696C" w:rsidRPr="007B4A99">
        <w:rPr>
          <w:rFonts w:ascii="Times New Roman" w:eastAsia="Times New Roman" w:hAnsi="Times New Roman" w:cs="Times New Roman"/>
          <w:sz w:val="24"/>
          <w:szCs w:val="24"/>
        </w:rPr>
        <w:t>,</w:t>
      </w:r>
      <w:r w:rsidRPr="007B4A99">
        <w:rPr>
          <w:rFonts w:ascii="Times New Roman" w:eastAsia="Times New Roman" w:hAnsi="Times New Roman" w:cs="Times New Roman"/>
          <w:sz w:val="24"/>
          <w:szCs w:val="24"/>
        </w:rPr>
        <w:t xml:space="preserve"> основна задача на тази верига е да задоволи потребностите на населението, като осигури достатъчно висококачествени и безопасни храни, не само като количеството, но и по отношение на техния асортимент и качество. Оттук</w:t>
      </w:r>
      <w:r w:rsidR="00311838">
        <w:rPr>
          <w:rFonts w:ascii="Times New Roman" w:eastAsia="Times New Roman" w:hAnsi="Times New Roman" w:cs="Times New Roman"/>
          <w:sz w:val="24"/>
          <w:szCs w:val="24"/>
        </w:rPr>
        <w:t>,</w:t>
      </w:r>
      <w:r w:rsidRPr="007B4A99">
        <w:rPr>
          <w:rFonts w:ascii="Times New Roman" w:eastAsia="Times New Roman" w:hAnsi="Times New Roman" w:cs="Times New Roman"/>
          <w:sz w:val="24"/>
          <w:szCs w:val="24"/>
        </w:rPr>
        <w:t xml:space="preserve"> нейното стабилно функциониране и дългосрочна устойчивост са предпоставки за осигуряването на безопасност на храните и гарантиране на продоволствената сигурност на страната. </w:t>
      </w:r>
      <w:r w:rsidR="002B696C" w:rsidRPr="007B4A99">
        <w:rPr>
          <w:rFonts w:ascii="Times New Roman" w:eastAsia="Times New Roman" w:hAnsi="Times New Roman" w:cs="Times New Roman"/>
          <w:sz w:val="24"/>
          <w:szCs w:val="24"/>
        </w:rPr>
        <w:t>Концепцията има за цел, чрез избора на подходящи инструменти и мерки за интервенция, да бъдат обхванати всички участници, които си взаимодействат по веригата на доставки</w:t>
      </w:r>
      <w:r w:rsidR="002B696C" w:rsidRPr="007B4A99">
        <w:t xml:space="preserve"> </w:t>
      </w:r>
      <w:r w:rsidR="002B696C" w:rsidRPr="007B4A99">
        <w:rPr>
          <w:rFonts w:ascii="Times New Roman" w:eastAsia="Times New Roman" w:hAnsi="Times New Roman" w:cs="Times New Roman"/>
          <w:sz w:val="24"/>
          <w:szCs w:val="24"/>
        </w:rPr>
        <w:t>на земеделски продукти и храни</w:t>
      </w:r>
      <w:r w:rsidR="00311838">
        <w:rPr>
          <w:rFonts w:ascii="Times New Roman" w:eastAsia="Times New Roman" w:hAnsi="Times New Roman" w:cs="Times New Roman"/>
          <w:sz w:val="24"/>
          <w:szCs w:val="24"/>
        </w:rPr>
        <w:t>,</w:t>
      </w:r>
      <w:r w:rsidR="002B696C" w:rsidRPr="007B4A99">
        <w:rPr>
          <w:rFonts w:ascii="Times New Roman" w:eastAsia="Times New Roman" w:hAnsi="Times New Roman" w:cs="Times New Roman"/>
          <w:sz w:val="24"/>
          <w:szCs w:val="24"/>
        </w:rPr>
        <w:t xml:space="preserve"> по начин, който гарантира единство на пазара, така че производството на първични земеделски продукти и храни да може да се развие и да реализира пълния си потенциал. </w:t>
      </w:r>
    </w:p>
    <w:p w14:paraId="428A1225" w14:textId="10F06903" w:rsidR="008C2654" w:rsidRPr="007B4A99" w:rsidRDefault="0084412A" w:rsidP="00DD69D5">
      <w:pPr>
        <w:spacing w:after="0" w:line="240" w:lineRule="auto"/>
        <w:ind w:firstLine="567"/>
        <w:jc w:val="both"/>
        <w:rPr>
          <w:rFonts w:ascii="Times New Roman" w:hAnsi="Times New Roman" w:cs="Times New Roman"/>
          <w:sz w:val="24"/>
          <w:szCs w:val="24"/>
        </w:rPr>
      </w:pPr>
      <w:r w:rsidRPr="007B4A99">
        <w:rPr>
          <w:rFonts w:ascii="Times New Roman" w:eastAsia="Times New Roman" w:hAnsi="Times New Roman" w:cs="Times New Roman"/>
          <w:sz w:val="24"/>
          <w:szCs w:val="24"/>
        </w:rPr>
        <w:t>В концепцията се казва, че п</w:t>
      </w:r>
      <w:r w:rsidR="008C2654" w:rsidRPr="007B4A99">
        <w:rPr>
          <w:rFonts w:ascii="Times New Roman" w:eastAsia="Times New Roman" w:hAnsi="Times New Roman" w:cs="Times New Roman"/>
          <w:sz w:val="24"/>
          <w:szCs w:val="24"/>
        </w:rPr>
        <w:t xml:space="preserve">рез последните няколко години </w:t>
      </w:r>
      <w:r w:rsidRPr="007B4A99">
        <w:rPr>
          <w:rFonts w:ascii="Times New Roman" w:eastAsia="Times New Roman" w:hAnsi="Times New Roman" w:cs="Times New Roman"/>
          <w:sz w:val="24"/>
          <w:szCs w:val="24"/>
        </w:rPr>
        <w:t xml:space="preserve">наблюдаваните </w:t>
      </w:r>
      <w:r w:rsidR="008C2654" w:rsidRPr="007B4A99">
        <w:rPr>
          <w:rFonts w:ascii="Times New Roman" w:eastAsia="Times New Roman" w:hAnsi="Times New Roman" w:cs="Times New Roman"/>
          <w:sz w:val="24"/>
          <w:szCs w:val="24"/>
        </w:rPr>
        <w:t>глобални процеси, обхванали световните и европейския пазари, са довели до значими структурни изменения във веригата на доставки, които се изразяват във висока концентрация и трансгранична интеграция на компаниите в сектора на преработката на храни, но най-вече в сферата на продажбите на дребно. Запазването на функционираща, прозрачна, справедлива и ефикасна система за търговия е от съществено значение, за да се отговори на евентуалните негативни ефекти от изменението на климата и да се гарантира сигурността на снабдяването на населението с храни.</w:t>
      </w:r>
    </w:p>
    <w:p w14:paraId="7C32C0E2" w14:textId="016E916C" w:rsidR="0084412A" w:rsidRDefault="00C20AD5"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Изводът е, че голяма част от дефицитите, които са установени преди около 15 г.</w:t>
      </w:r>
      <w:r w:rsidR="0084412A" w:rsidRPr="007B4A99">
        <w:rPr>
          <w:rFonts w:ascii="Times New Roman" w:hAnsi="Times New Roman" w:cs="Times New Roman"/>
          <w:sz w:val="24"/>
          <w:szCs w:val="24"/>
        </w:rPr>
        <w:t>,</w:t>
      </w:r>
      <w:r w:rsidRPr="007B4A99">
        <w:rPr>
          <w:rFonts w:ascii="Times New Roman" w:hAnsi="Times New Roman" w:cs="Times New Roman"/>
          <w:sz w:val="24"/>
          <w:szCs w:val="24"/>
        </w:rPr>
        <w:t xml:space="preserve"> при функционирането на веригата на доставки на земеделски продукти и храни и в отношенията на основните оператори в нея</w:t>
      </w:r>
      <w:r w:rsidR="00795B55">
        <w:rPr>
          <w:rFonts w:ascii="Times New Roman" w:hAnsi="Times New Roman" w:cs="Times New Roman"/>
          <w:sz w:val="24"/>
          <w:szCs w:val="24"/>
        </w:rPr>
        <w:t>,</w:t>
      </w:r>
      <w:r w:rsidRPr="007B4A99">
        <w:rPr>
          <w:rFonts w:ascii="Times New Roman" w:hAnsi="Times New Roman" w:cs="Times New Roman"/>
          <w:sz w:val="24"/>
          <w:szCs w:val="24"/>
        </w:rPr>
        <w:t xml:space="preserve"> продължават да съществуват и днес. Не</w:t>
      </w:r>
      <w:r w:rsidR="00422C48" w:rsidRPr="007B4A99">
        <w:rPr>
          <w:rFonts w:ascii="Times New Roman" w:hAnsi="Times New Roman" w:cs="Times New Roman"/>
          <w:sz w:val="24"/>
          <w:szCs w:val="24"/>
        </w:rPr>
        <w:t>яснотата и не</w:t>
      </w:r>
      <w:r w:rsidRPr="007B4A99">
        <w:rPr>
          <w:rFonts w:ascii="Times New Roman" w:hAnsi="Times New Roman" w:cs="Times New Roman"/>
          <w:sz w:val="24"/>
          <w:szCs w:val="24"/>
        </w:rPr>
        <w:t xml:space="preserve">прозрачността </w:t>
      </w:r>
      <w:r w:rsidR="00422C48" w:rsidRPr="007B4A99">
        <w:rPr>
          <w:rFonts w:ascii="Times New Roman" w:hAnsi="Times New Roman" w:cs="Times New Roman"/>
          <w:sz w:val="24"/>
          <w:szCs w:val="24"/>
        </w:rPr>
        <w:t xml:space="preserve">при </w:t>
      </w:r>
      <w:r w:rsidR="0084412A" w:rsidRPr="007B4A99">
        <w:rPr>
          <w:rFonts w:ascii="Times New Roman" w:hAnsi="Times New Roman" w:cs="Times New Roman"/>
          <w:sz w:val="24"/>
          <w:szCs w:val="24"/>
        </w:rPr>
        <w:t>договарянето</w:t>
      </w:r>
      <w:r w:rsidR="002B696C" w:rsidRPr="007B4A99">
        <w:rPr>
          <w:rFonts w:ascii="Times New Roman" w:hAnsi="Times New Roman" w:cs="Times New Roman"/>
          <w:sz w:val="24"/>
          <w:szCs w:val="24"/>
        </w:rPr>
        <w:t xml:space="preserve"> </w:t>
      </w:r>
      <w:r w:rsidR="00422C48" w:rsidRPr="007B4A99">
        <w:rPr>
          <w:rFonts w:ascii="Times New Roman" w:hAnsi="Times New Roman" w:cs="Times New Roman"/>
          <w:sz w:val="24"/>
          <w:szCs w:val="24"/>
        </w:rPr>
        <w:t>между производителите и доставчиците, от една страна</w:t>
      </w:r>
      <w:r w:rsidR="00311838">
        <w:rPr>
          <w:rFonts w:ascii="Times New Roman" w:hAnsi="Times New Roman" w:cs="Times New Roman"/>
          <w:sz w:val="24"/>
          <w:szCs w:val="24"/>
        </w:rPr>
        <w:t>,</w:t>
      </w:r>
      <w:r w:rsidR="00422C48" w:rsidRPr="007B4A99">
        <w:rPr>
          <w:rFonts w:ascii="Times New Roman" w:hAnsi="Times New Roman" w:cs="Times New Roman"/>
          <w:sz w:val="24"/>
          <w:szCs w:val="24"/>
        </w:rPr>
        <w:t xml:space="preserve"> и търговците на дребно</w:t>
      </w:r>
      <w:r w:rsidR="00311838">
        <w:rPr>
          <w:rFonts w:ascii="Times New Roman" w:hAnsi="Times New Roman" w:cs="Times New Roman"/>
          <w:sz w:val="24"/>
          <w:szCs w:val="24"/>
        </w:rPr>
        <w:t>,</w:t>
      </w:r>
      <w:r w:rsidR="00422C48" w:rsidRPr="007B4A99">
        <w:rPr>
          <w:rFonts w:ascii="Times New Roman" w:hAnsi="Times New Roman" w:cs="Times New Roman"/>
          <w:sz w:val="24"/>
          <w:szCs w:val="24"/>
        </w:rPr>
        <w:t xml:space="preserve"> от друга, продължават да играят ролята на ключови предпоставки за </w:t>
      </w:r>
      <w:r w:rsidR="0084412A" w:rsidRPr="007B4A99">
        <w:rPr>
          <w:rFonts w:ascii="Times New Roman" w:hAnsi="Times New Roman" w:cs="Times New Roman"/>
          <w:sz w:val="24"/>
          <w:szCs w:val="24"/>
        </w:rPr>
        <w:t xml:space="preserve">само </w:t>
      </w:r>
      <w:r w:rsidR="00422C48" w:rsidRPr="007B4A99">
        <w:rPr>
          <w:rFonts w:ascii="Times New Roman" w:hAnsi="Times New Roman" w:cs="Times New Roman"/>
          <w:sz w:val="24"/>
          <w:szCs w:val="24"/>
        </w:rPr>
        <w:t xml:space="preserve">привидната равнопоставеност между тези две страни. </w:t>
      </w:r>
      <w:r w:rsidR="008720A9">
        <w:rPr>
          <w:rFonts w:ascii="Times New Roman" w:hAnsi="Times New Roman" w:cs="Times New Roman"/>
          <w:sz w:val="24"/>
          <w:szCs w:val="24"/>
        </w:rPr>
        <w:t>В тази ситуация</w:t>
      </w:r>
      <w:r w:rsidR="00422C48" w:rsidRPr="007B4A99">
        <w:rPr>
          <w:rFonts w:ascii="Times New Roman" w:hAnsi="Times New Roman" w:cs="Times New Roman"/>
          <w:sz w:val="24"/>
          <w:szCs w:val="24"/>
        </w:rPr>
        <w:t xml:space="preserve"> икономически по-силните субекти продължават да се ползват от възможността да налагат своите условия и изисквания на по-слабите. Това поставя </w:t>
      </w:r>
      <w:r w:rsidR="00422C48" w:rsidRPr="007B4A99">
        <w:rPr>
          <w:rFonts w:ascii="Times New Roman" w:hAnsi="Times New Roman" w:cs="Times New Roman"/>
          <w:sz w:val="24"/>
          <w:szCs w:val="24"/>
        </w:rPr>
        <w:lastRenderedPageBreak/>
        <w:t xml:space="preserve">последните в условията на икономическа уязвимост, непредвидимост на дейността и трайна правна несигурност. </w:t>
      </w:r>
    </w:p>
    <w:p w14:paraId="204C6185" w14:textId="77777777" w:rsidR="000E5A6A" w:rsidRPr="00535D2C" w:rsidRDefault="000E5A6A" w:rsidP="002660E5">
      <w:pPr>
        <w:spacing w:after="0" w:line="276" w:lineRule="auto"/>
        <w:ind w:firstLine="567"/>
        <w:jc w:val="both"/>
        <w:rPr>
          <w:rFonts w:ascii="Times New Roman" w:hAnsi="Times New Roman" w:cs="Times New Roman"/>
          <w:sz w:val="24"/>
          <w:szCs w:val="24"/>
          <w:lang w:val="ru-RU"/>
        </w:rPr>
      </w:pPr>
    </w:p>
    <w:p w14:paraId="50E6E771" w14:textId="77777777" w:rsidR="0059331C" w:rsidRPr="007B4A99" w:rsidRDefault="0059331C" w:rsidP="002660E5">
      <w:pPr>
        <w:spacing w:after="0" w:line="276" w:lineRule="auto"/>
        <w:ind w:firstLine="567"/>
        <w:jc w:val="both"/>
        <w:rPr>
          <w:rFonts w:ascii="Times New Roman" w:hAnsi="Times New Roman" w:cs="Times New Roman"/>
          <w:sz w:val="24"/>
          <w:szCs w:val="24"/>
        </w:rPr>
      </w:pPr>
    </w:p>
    <w:p w14:paraId="2AD2A315" w14:textId="1C609EDC" w:rsidR="008C2654" w:rsidRDefault="008C2654" w:rsidP="00D14E83">
      <w:pPr>
        <w:spacing w:after="0"/>
        <w:ind w:firstLine="567"/>
        <w:jc w:val="center"/>
        <w:rPr>
          <w:rFonts w:ascii="Times New Roman" w:hAnsi="Times New Roman" w:cs="Times New Roman"/>
          <w:b/>
          <w:i/>
          <w:color w:val="1F4E79" w:themeColor="accent1" w:themeShade="80"/>
          <w:sz w:val="24"/>
          <w:szCs w:val="24"/>
          <w:u w:val="single"/>
        </w:rPr>
      </w:pPr>
      <w:r w:rsidRPr="007B4A99">
        <w:rPr>
          <w:rFonts w:ascii="Times New Roman" w:hAnsi="Times New Roman" w:cs="Times New Roman"/>
          <w:b/>
          <w:i/>
          <w:color w:val="1F4E79" w:themeColor="accent1" w:themeShade="80"/>
          <w:sz w:val="24"/>
          <w:szCs w:val="24"/>
          <w:u w:val="single"/>
        </w:rPr>
        <w:t xml:space="preserve">Дефиниране на проблема: Липса на цялостна рамка от мерки на национално ниво, която гарантира </w:t>
      </w:r>
      <w:r w:rsidR="00D14E83" w:rsidRPr="007B4A99">
        <w:rPr>
          <w:rFonts w:ascii="Times New Roman" w:hAnsi="Times New Roman" w:cs="Times New Roman"/>
          <w:b/>
          <w:i/>
          <w:color w:val="1F4E79" w:themeColor="accent1" w:themeShade="80"/>
          <w:sz w:val="24"/>
          <w:szCs w:val="24"/>
          <w:u w:val="single"/>
        </w:rPr>
        <w:t>прозрачност</w:t>
      </w:r>
      <w:r w:rsidRPr="007B4A99">
        <w:rPr>
          <w:rFonts w:ascii="Times New Roman" w:hAnsi="Times New Roman" w:cs="Times New Roman"/>
          <w:b/>
          <w:i/>
          <w:color w:val="1F4E79" w:themeColor="accent1" w:themeShade="80"/>
          <w:sz w:val="24"/>
          <w:szCs w:val="24"/>
          <w:u w:val="single"/>
        </w:rPr>
        <w:t xml:space="preserve">, </w:t>
      </w:r>
      <w:r w:rsidR="00D14E83" w:rsidRPr="007B4A99">
        <w:rPr>
          <w:rFonts w:ascii="Times New Roman" w:hAnsi="Times New Roman" w:cs="Times New Roman"/>
          <w:b/>
          <w:i/>
          <w:color w:val="1F4E79" w:themeColor="accent1" w:themeShade="80"/>
          <w:sz w:val="24"/>
          <w:szCs w:val="24"/>
          <w:u w:val="single"/>
        </w:rPr>
        <w:t xml:space="preserve">проследяемост </w:t>
      </w:r>
      <w:r w:rsidRPr="007B4A99">
        <w:rPr>
          <w:rFonts w:ascii="Times New Roman" w:hAnsi="Times New Roman" w:cs="Times New Roman"/>
          <w:b/>
          <w:i/>
          <w:color w:val="1F4E79" w:themeColor="accent1" w:themeShade="80"/>
          <w:sz w:val="24"/>
          <w:szCs w:val="24"/>
          <w:u w:val="single"/>
        </w:rPr>
        <w:t xml:space="preserve">и </w:t>
      </w:r>
      <w:r w:rsidR="00D14E83" w:rsidRPr="007B4A99">
        <w:rPr>
          <w:rFonts w:ascii="Times New Roman" w:hAnsi="Times New Roman" w:cs="Times New Roman"/>
          <w:b/>
          <w:i/>
          <w:color w:val="1F4E79" w:themeColor="accent1" w:themeShade="80"/>
          <w:sz w:val="24"/>
          <w:szCs w:val="24"/>
          <w:u w:val="single"/>
        </w:rPr>
        <w:t>равнопоставеност</w:t>
      </w:r>
      <w:r w:rsidRPr="007B4A99">
        <w:rPr>
          <w:rFonts w:ascii="Times New Roman" w:hAnsi="Times New Roman" w:cs="Times New Roman"/>
          <w:b/>
          <w:i/>
          <w:color w:val="1F4E79" w:themeColor="accent1" w:themeShade="80"/>
          <w:sz w:val="24"/>
          <w:szCs w:val="24"/>
          <w:u w:val="single"/>
        </w:rPr>
        <w:t xml:space="preserve"> в отношенията между участниците във веригата на доставки на земеделски продукти и храни.</w:t>
      </w:r>
    </w:p>
    <w:p w14:paraId="56FCDCE4" w14:textId="71F95621" w:rsidR="00D102E9" w:rsidRDefault="00D102E9">
      <w:pPr>
        <w:rPr>
          <w:rFonts w:ascii="Times New Roman" w:hAnsi="Times New Roman" w:cs="Times New Roman"/>
          <w:b/>
          <w:i/>
          <w:color w:val="1F4E79" w:themeColor="accent1" w:themeShade="80"/>
          <w:sz w:val="24"/>
          <w:szCs w:val="24"/>
          <w:u w:val="single"/>
        </w:rPr>
      </w:pPr>
    </w:p>
    <w:p w14:paraId="3DB2EC06" w14:textId="77777777" w:rsidR="00D102E9" w:rsidRDefault="00D102E9" w:rsidP="00D14E83">
      <w:pPr>
        <w:spacing w:after="0"/>
        <w:ind w:firstLine="567"/>
        <w:jc w:val="center"/>
        <w:rPr>
          <w:rFonts w:ascii="Times New Roman" w:hAnsi="Times New Roman" w:cs="Times New Roman"/>
          <w:b/>
          <w:i/>
          <w:color w:val="1F4E79" w:themeColor="accent1" w:themeShade="80"/>
          <w:sz w:val="24"/>
          <w:szCs w:val="24"/>
          <w:u w:val="single"/>
        </w:rPr>
      </w:pPr>
    </w:p>
    <w:p w14:paraId="494E82FB" w14:textId="01BB3CDC" w:rsidR="00943123" w:rsidRPr="007B4A99" w:rsidRDefault="00153AC2" w:rsidP="00153AC2">
      <w:pPr>
        <w:spacing w:after="0" w:line="276" w:lineRule="auto"/>
        <w:ind w:firstLine="567"/>
        <w:jc w:val="both"/>
        <w:rPr>
          <w:rFonts w:ascii="Times New Roman" w:eastAsia="Calibri" w:hAnsi="Times New Roman" w:cs="Times New Roman"/>
          <w:b/>
          <w:bCs/>
          <w:color w:val="000000"/>
          <w:sz w:val="24"/>
          <w:szCs w:val="24"/>
        </w:rPr>
      </w:pPr>
      <w:r w:rsidRPr="007B4A99">
        <w:rPr>
          <w:rFonts w:ascii="Calibri" w:eastAsia="Calibri" w:hAnsi="Calibri" w:cs="Times New Roman"/>
          <w:noProof/>
          <w:lang w:val="en-US"/>
        </w:rPr>
        <mc:AlternateContent>
          <mc:Choice Requires="wpg">
            <w:drawing>
              <wp:anchor distT="0" distB="0" distL="114300" distR="114300" simplePos="0" relativeHeight="251663360" behindDoc="1" locked="0" layoutInCell="1" allowOverlap="1" wp14:anchorId="6AA9690D" wp14:editId="3896DBE4">
                <wp:simplePos x="0" y="0"/>
                <wp:positionH relativeFrom="margin">
                  <wp:posOffset>-677057</wp:posOffset>
                </wp:positionH>
                <wp:positionV relativeFrom="paragraph">
                  <wp:posOffset>282331</wp:posOffset>
                </wp:positionV>
                <wp:extent cx="7194560" cy="5396807"/>
                <wp:effectExtent l="0" t="0" r="25400" b="13970"/>
                <wp:wrapNone/>
                <wp:docPr id="56" name="Group 205"/>
                <wp:cNvGraphicFramePr/>
                <a:graphic xmlns:a="http://schemas.openxmlformats.org/drawingml/2006/main">
                  <a:graphicData uri="http://schemas.microsoft.com/office/word/2010/wordprocessingGroup">
                    <wpg:wgp>
                      <wpg:cNvGrpSpPr/>
                      <wpg:grpSpPr bwMode="auto">
                        <a:xfrm>
                          <a:off x="0" y="0"/>
                          <a:ext cx="7194560" cy="5396807"/>
                          <a:chOff x="0" y="1366587"/>
                          <a:chExt cx="54804" cy="38743"/>
                        </a:xfrm>
                      </wpg:grpSpPr>
                      <wps:wsp>
                        <wps:cNvPr id="57" name="Rounded Rectangle 57"/>
                        <wps:cNvSpPr>
                          <a:spLocks noChangeArrowheads="1"/>
                        </wps:cNvSpPr>
                        <wps:spPr bwMode="auto">
                          <a:xfrm>
                            <a:off x="19493" y="1376540"/>
                            <a:ext cx="16951" cy="13738"/>
                          </a:xfrm>
                          <a:prstGeom prst="roundRect">
                            <a:avLst>
                              <a:gd name="adj" fmla="val 16667"/>
                            </a:avLst>
                          </a:prstGeom>
                          <a:solidFill>
                            <a:srgbClr val="4F81BD"/>
                          </a:solidFill>
                          <a:ln w="25400">
                            <a:solidFill>
                              <a:srgbClr val="243F60"/>
                            </a:solidFill>
                            <a:round/>
                            <a:headEnd/>
                            <a:tailEnd/>
                          </a:ln>
                        </wps:spPr>
                        <wps:txbx>
                          <w:txbxContent>
                            <w:p w14:paraId="3C783444" w14:textId="6008552C" w:rsidR="00D22189" w:rsidRPr="00D14E83" w:rsidRDefault="00D22189" w:rsidP="00153AC2">
                              <w:pPr>
                                <w:pStyle w:val="NormalWeb"/>
                                <w:kinsoku w:val="0"/>
                                <w:overflowPunct w:val="0"/>
                                <w:spacing w:after="0"/>
                                <w:jc w:val="center"/>
                                <w:textAlignment w:val="baseline"/>
                                <w:rPr>
                                  <w:sz w:val="22"/>
                                  <w:szCs w:val="22"/>
                                  <w:lang w:val="ru-RU"/>
                                </w:rPr>
                              </w:pPr>
                              <w:r w:rsidRPr="00D14E83">
                                <w:rPr>
                                  <w:rFonts w:eastAsia="Cambria"/>
                                  <w:b/>
                                  <w:bCs/>
                                  <w:color w:val="FFFFFF"/>
                                  <w:kern w:val="24"/>
                                  <w:sz w:val="22"/>
                                  <w:szCs w:val="22"/>
                                  <w:lang w:val="ru-RU"/>
                                </w:rPr>
                                <w:t xml:space="preserve">Липса на цялостна рамка от мерки на национално ниво, която гарантира прозрачност, проследяемост и равнопоставеност в отношенията между участниците във веригата на доставки на земеделски продукти и храни </w:t>
                              </w:r>
                            </w:p>
                          </w:txbxContent>
                        </wps:txbx>
                        <wps:bodyPr vert="horz" wrap="square" lIns="91440" tIns="45720" rIns="91440" bIns="45720" numCol="1" anchor="ctr" anchorCtr="0" compatLnSpc="1">
                          <a:prstTxWarp prst="textNoShape">
                            <a:avLst/>
                          </a:prstTxWarp>
                        </wps:bodyPr>
                      </wps:wsp>
                      <wps:wsp>
                        <wps:cNvPr id="59" name="Rounded Rectangle 59"/>
                        <wps:cNvSpPr>
                          <a:spLocks noChangeArrowheads="1"/>
                        </wps:cNvSpPr>
                        <wps:spPr bwMode="auto">
                          <a:xfrm>
                            <a:off x="4372" y="1391027"/>
                            <a:ext cx="12171" cy="4929"/>
                          </a:xfrm>
                          <a:prstGeom prst="roundRect">
                            <a:avLst>
                              <a:gd name="adj" fmla="val 16667"/>
                            </a:avLst>
                          </a:prstGeom>
                          <a:solidFill>
                            <a:srgbClr val="4F81BD"/>
                          </a:solidFill>
                          <a:ln w="25400">
                            <a:solidFill>
                              <a:srgbClr val="243F60"/>
                            </a:solidFill>
                            <a:round/>
                            <a:headEnd/>
                            <a:tailEnd/>
                          </a:ln>
                        </wps:spPr>
                        <wps:txbx>
                          <w:txbxContent>
                            <w:p w14:paraId="6A79EC71" w14:textId="77777777" w:rsidR="00D22189" w:rsidRPr="00AA626A" w:rsidRDefault="00D22189" w:rsidP="00153AC2">
                              <w:pPr>
                                <w:pStyle w:val="NormalWeb"/>
                                <w:kinsoku w:val="0"/>
                                <w:overflowPunct w:val="0"/>
                                <w:spacing w:after="0"/>
                                <w:jc w:val="center"/>
                                <w:textAlignment w:val="baseline"/>
                                <w:rPr>
                                  <w:lang w:val="bg-BG"/>
                                </w:rPr>
                              </w:pPr>
                              <w:r w:rsidRPr="00F5363D">
                                <w:rPr>
                                  <w:rFonts w:eastAsia="Cambria"/>
                                  <w:b/>
                                  <w:bCs/>
                                  <w:color w:val="FFFFFF"/>
                                  <w:kern w:val="24"/>
                                </w:rPr>
                                <w:t>Правна уредба</w:t>
                              </w:r>
                              <w:r>
                                <w:rPr>
                                  <w:rFonts w:eastAsia="Cambria"/>
                                  <w:b/>
                                  <w:bCs/>
                                  <w:color w:val="FFFFFF"/>
                                  <w:kern w:val="24"/>
                                  <w:lang w:val="bg-BG"/>
                                </w:rPr>
                                <w:t xml:space="preserve"> и инструментариум</w:t>
                              </w:r>
                            </w:p>
                          </w:txbxContent>
                        </wps:txbx>
                        <wps:bodyPr vert="horz" wrap="square" lIns="91440" tIns="45720" rIns="91440" bIns="45720" numCol="1" anchor="ctr" anchorCtr="0" compatLnSpc="1">
                          <a:prstTxWarp prst="textNoShape">
                            <a:avLst/>
                          </a:prstTxWarp>
                        </wps:bodyPr>
                      </wps:wsp>
                      <wps:wsp>
                        <wps:cNvPr id="60" name="Rounded Rectangle 60"/>
                        <wps:cNvSpPr>
                          <a:spLocks noChangeArrowheads="1"/>
                        </wps:cNvSpPr>
                        <wps:spPr bwMode="auto">
                          <a:xfrm>
                            <a:off x="38310" y="1390867"/>
                            <a:ext cx="12769" cy="5087"/>
                          </a:xfrm>
                          <a:prstGeom prst="roundRect">
                            <a:avLst>
                              <a:gd name="adj" fmla="val 16667"/>
                            </a:avLst>
                          </a:prstGeom>
                          <a:solidFill>
                            <a:srgbClr val="4F81BD"/>
                          </a:solidFill>
                          <a:ln w="25400">
                            <a:solidFill>
                              <a:srgbClr val="243F60"/>
                            </a:solidFill>
                            <a:round/>
                            <a:headEnd/>
                            <a:tailEnd/>
                          </a:ln>
                        </wps:spPr>
                        <wps:txbx>
                          <w:txbxContent>
                            <w:p w14:paraId="62709FCA" w14:textId="77777777" w:rsidR="00D22189" w:rsidRPr="00AA626A" w:rsidRDefault="00D22189" w:rsidP="00153AC2">
                              <w:pPr>
                                <w:pStyle w:val="NormalWeb"/>
                                <w:kinsoku w:val="0"/>
                                <w:overflowPunct w:val="0"/>
                                <w:spacing w:after="0"/>
                                <w:jc w:val="center"/>
                                <w:textAlignment w:val="baseline"/>
                                <w:rPr>
                                  <w:lang w:val="bg-BG"/>
                                </w:rPr>
                              </w:pPr>
                              <w:r w:rsidRPr="0003260E">
                                <w:rPr>
                                  <w:rFonts w:eastAsia="Cambria"/>
                                  <w:b/>
                                  <w:bCs/>
                                  <w:color w:val="FFFFFF"/>
                                  <w:kern w:val="24"/>
                                </w:rPr>
                                <w:t>Правоприлагане</w:t>
                              </w:r>
                              <w:r>
                                <w:rPr>
                                  <w:rFonts w:eastAsia="Cambria"/>
                                  <w:b/>
                                  <w:bCs/>
                                  <w:color w:val="FFFFFF"/>
                                  <w:kern w:val="24"/>
                                  <w:lang w:val="bg-BG"/>
                                </w:rPr>
                                <w:t xml:space="preserve"> и администриране</w:t>
                              </w:r>
                            </w:p>
                            <w:p w14:paraId="15AEE213" w14:textId="77777777" w:rsidR="00D22189" w:rsidRPr="0003260E" w:rsidRDefault="00D22189" w:rsidP="00153AC2">
                              <w:pPr>
                                <w:pStyle w:val="NormalWeb"/>
                                <w:kinsoku w:val="0"/>
                                <w:overflowPunct w:val="0"/>
                                <w:spacing w:after="0"/>
                                <w:jc w:val="center"/>
                                <w:textAlignment w:val="baseline"/>
                              </w:pPr>
                            </w:p>
                          </w:txbxContent>
                        </wps:txbx>
                        <wps:bodyPr vert="horz" wrap="square" lIns="91440" tIns="45720" rIns="91440" bIns="45720" numCol="1" anchor="ctr" anchorCtr="0" compatLnSpc="1">
                          <a:prstTxWarp prst="textNoShape">
                            <a:avLst/>
                          </a:prstTxWarp>
                        </wps:bodyPr>
                      </wps:wsp>
                      <wps:wsp>
                        <wps:cNvPr id="62" name="Rounded Rectangle 62"/>
                        <wps:cNvSpPr>
                          <a:spLocks noChangeArrowheads="1"/>
                        </wps:cNvSpPr>
                        <wps:spPr bwMode="auto">
                          <a:xfrm>
                            <a:off x="6570" y="1366587"/>
                            <a:ext cx="14906" cy="7750"/>
                          </a:xfrm>
                          <a:prstGeom prst="roundRect">
                            <a:avLst>
                              <a:gd name="adj" fmla="val 16667"/>
                            </a:avLst>
                          </a:prstGeom>
                          <a:solidFill>
                            <a:srgbClr val="4F81BD"/>
                          </a:solidFill>
                          <a:ln w="25400">
                            <a:solidFill>
                              <a:srgbClr val="243F60"/>
                            </a:solidFill>
                            <a:round/>
                            <a:headEnd/>
                            <a:tailEnd/>
                          </a:ln>
                        </wps:spPr>
                        <wps:txbx>
                          <w:txbxContent>
                            <w:p w14:paraId="7123B6A3" w14:textId="77777777" w:rsidR="00D22189" w:rsidRPr="00816A19" w:rsidRDefault="00D22189" w:rsidP="00153AC2">
                              <w:pPr>
                                <w:pStyle w:val="NormalWeb"/>
                                <w:kinsoku w:val="0"/>
                                <w:overflowPunct w:val="0"/>
                                <w:spacing w:after="0"/>
                                <w:jc w:val="center"/>
                                <w:textAlignment w:val="baseline"/>
                                <w:rPr>
                                  <w:rFonts w:eastAsia="Cambria"/>
                                  <w:b/>
                                  <w:bCs/>
                                  <w:color w:val="FFFFFF"/>
                                  <w:kern w:val="24"/>
                                  <w:lang w:val="bg-BG"/>
                                </w:rPr>
                              </w:pPr>
                              <w:r w:rsidRPr="00943123">
                                <w:rPr>
                                  <w:rFonts w:eastAsia="Cambria"/>
                                  <w:b/>
                                  <w:bCs/>
                                  <w:color w:val="FFFFFF"/>
                                  <w:kern w:val="24"/>
                                  <w:sz w:val="22"/>
                                  <w:szCs w:val="22"/>
                                  <w:lang w:val="ru-RU"/>
                                </w:rPr>
                                <w:t>Неравнопоставеност и правна несигурност</w:t>
                              </w:r>
                              <w:r w:rsidRPr="00943123">
                                <w:rPr>
                                  <w:rFonts w:eastAsia="Cambria"/>
                                  <w:b/>
                                  <w:bCs/>
                                  <w:color w:val="FFFFFF"/>
                                  <w:kern w:val="24"/>
                                  <w:sz w:val="22"/>
                                  <w:szCs w:val="22"/>
                                  <w:lang w:val="bg-BG"/>
                                </w:rPr>
                                <w:t xml:space="preserve"> за по-уязвимите  участниците </w:t>
                              </w:r>
                              <w:r>
                                <w:rPr>
                                  <w:rFonts w:eastAsia="Cambria"/>
                                  <w:b/>
                                  <w:bCs/>
                                  <w:color w:val="FFFFFF"/>
                                  <w:kern w:val="24"/>
                                  <w:sz w:val="22"/>
                                  <w:szCs w:val="22"/>
                                  <w:lang w:val="bg-BG"/>
                                </w:rPr>
                                <w:t>във</w:t>
                              </w:r>
                              <w:r w:rsidRPr="00943123">
                                <w:rPr>
                                  <w:rFonts w:eastAsia="Cambria"/>
                                  <w:b/>
                                  <w:bCs/>
                                  <w:color w:val="FFFFFF"/>
                                  <w:kern w:val="24"/>
                                  <w:sz w:val="22"/>
                                  <w:szCs w:val="22"/>
                                  <w:lang w:val="bg-BG"/>
                                </w:rPr>
                                <w:t xml:space="preserve"> веригата на доставки</w:t>
                              </w:r>
                            </w:p>
                          </w:txbxContent>
                        </wps:txbx>
                        <wps:bodyPr vert="horz" wrap="square" lIns="91440" tIns="45720" rIns="91440" bIns="45720" numCol="1" anchor="ctr" anchorCtr="0" compatLnSpc="1">
                          <a:prstTxWarp prst="textNoShape">
                            <a:avLst/>
                          </a:prstTxWarp>
                        </wps:bodyPr>
                      </wps:wsp>
                      <wps:wsp>
                        <wps:cNvPr id="63" name="Rounded Rectangle 63"/>
                        <wps:cNvSpPr>
                          <a:spLocks noChangeArrowheads="1"/>
                        </wps:cNvSpPr>
                        <wps:spPr bwMode="auto">
                          <a:xfrm>
                            <a:off x="34799" y="1366587"/>
                            <a:ext cx="14829" cy="7886"/>
                          </a:xfrm>
                          <a:prstGeom prst="roundRect">
                            <a:avLst>
                              <a:gd name="adj" fmla="val 16667"/>
                            </a:avLst>
                          </a:prstGeom>
                          <a:solidFill>
                            <a:srgbClr val="4F81BD"/>
                          </a:solidFill>
                          <a:ln w="25400">
                            <a:solidFill>
                              <a:srgbClr val="243F60"/>
                            </a:solidFill>
                            <a:round/>
                            <a:headEnd/>
                            <a:tailEnd/>
                          </a:ln>
                        </wps:spPr>
                        <wps:txbx>
                          <w:txbxContent>
                            <w:p w14:paraId="02226CDA" w14:textId="77777777" w:rsidR="00D22189" w:rsidRPr="00943123" w:rsidRDefault="00D22189" w:rsidP="00153AC2">
                              <w:pPr>
                                <w:pStyle w:val="NormalWeb"/>
                                <w:kinsoku w:val="0"/>
                                <w:overflowPunct w:val="0"/>
                                <w:spacing w:after="0"/>
                                <w:jc w:val="center"/>
                                <w:textAlignment w:val="baseline"/>
                                <w:rPr>
                                  <w:sz w:val="22"/>
                                  <w:szCs w:val="22"/>
                                  <w:lang w:val="ru-RU"/>
                                </w:rPr>
                              </w:pPr>
                              <w:r w:rsidRPr="00943123">
                                <w:rPr>
                                  <w:rFonts w:eastAsia="Cambria"/>
                                  <w:b/>
                                  <w:bCs/>
                                  <w:color w:val="FFFFFF"/>
                                  <w:kern w:val="24"/>
                                  <w:sz w:val="22"/>
                                  <w:szCs w:val="22"/>
                                  <w:lang w:val="ru-RU"/>
                                </w:rPr>
                                <w:t xml:space="preserve">Непропорционално разпределение на добавената стойност по веригата на доставки  </w:t>
                              </w:r>
                            </w:p>
                          </w:txbxContent>
                        </wps:txbx>
                        <wps:bodyPr vert="horz" wrap="square" lIns="91440" tIns="45720" rIns="91440" bIns="45720" numCol="1" anchor="ctr" anchorCtr="0" compatLnSpc="1">
                          <a:prstTxWarp prst="textNoShape">
                            <a:avLst/>
                          </a:prstTxWarp>
                        </wps:bodyPr>
                      </wps:wsp>
                      <wps:wsp>
                        <wps:cNvPr id="448" name="Rounded Rectangle 448"/>
                        <wps:cNvSpPr>
                          <a:spLocks noChangeArrowheads="1"/>
                        </wps:cNvSpPr>
                        <wps:spPr bwMode="auto">
                          <a:xfrm>
                            <a:off x="10261" y="1400264"/>
                            <a:ext cx="9909" cy="5063"/>
                          </a:xfrm>
                          <a:prstGeom prst="roundRect">
                            <a:avLst>
                              <a:gd name="adj" fmla="val 16667"/>
                            </a:avLst>
                          </a:prstGeom>
                          <a:solidFill>
                            <a:srgbClr val="4F81BD"/>
                          </a:solidFill>
                          <a:ln w="25400">
                            <a:solidFill>
                              <a:srgbClr val="243F60"/>
                            </a:solidFill>
                            <a:round/>
                            <a:headEnd/>
                            <a:tailEnd/>
                          </a:ln>
                        </wps:spPr>
                        <wps:txbx>
                          <w:txbxContent>
                            <w:p w14:paraId="7DB68E61" w14:textId="77777777" w:rsidR="00D22189" w:rsidRPr="000D72C1" w:rsidRDefault="00D22189" w:rsidP="00153AC2">
                              <w:pPr>
                                <w:pStyle w:val="NormalWeb"/>
                                <w:kinsoku w:val="0"/>
                                <w:overflowPunct w:val="0"/>
                                <w:spacing w:after="0"/>
                                <w:jc w:val="center"/>
                                <w:textAlignment w:val="baseline"/>
                                <w:rPr>
                                  <w:sz w:val="20"/>
                                  <w:szCs w:val="20"/>
                                  <w:lang w:val="bg-BG"/>
                                </w:rPr>
                              </w:pPr>
                              <w:r>
                                <w:rPr>
                                  <w:rFonts w:eastAsia="Cambria"/>
                                  <w:b/>
                                  <w:bCs/>
                                  <w:color w:val="FFFFFF"/>
                                  <w:kern w:val="24"/>
                                  <w:sz w:val="20"/>
                                  <w:szCs w:val="20"/>
                                  <w:lang w:val="bg-BG"/>
                                </w:rPr>
                                <w:t xml:space="preserve">Липса на интегриран подход </w:t>
                              </w:r>
                            </w:p>
                          </w:txbxContent>
                        </wps:txbx>
                        <wps:bodyPr vert="horz" wrap="square" lIns="91440" tIns="45720" rIns="91440" bIns="45720" numCol="1" anchor="ctr" anchorCtr="0" compatLnSpc="1">
                          <a:prstTxWarp prst="textNoShape">
                            <a:avLst/>
                          </a:prstTxWarp>
                        </wps:bodyPr>
                      </wps:wsp>
                      <wps:wsp>
                        <wps:cNvPr id="449" name="Rounded Rectangle 449"/>
                        <wps:cNvSpPr>
                          <a:spLocks noChangeArrowheads="1"/>
                        </wps:cNvSpPr>
                        <wps:spPr bwMode="auto">
                          <a:xfrm>
                            <a:off x="0" y="1400349"/>
                            <a:ext cx="9142" cy="4978"/>
                          </a:xfrm>
                          <a:prstGeom prst="roundRect">
                            <a:avLst>
                              <a:gd name="adj" fmla="val 16667"/>
                            </a:avLst>
                          </a:prstGeom>
                          <a:solidFill>
                            <a:srgbClr val="4F81BD"/>
                          </a:solidFill>
                          <a:ln w="25400">
                            <a:solidFill>
                              <a:srgbClr val="243F60"/>
                            </a:solidFill>
                            <a:round/>
                            <a:headEnd/>
                            <a:tailEnd/>
                          </a:ln>
                        </wps:spPr>
                        <wps:txbx>
                          <w:txbxContent>
                            <w:p w14:paraId="5F811F5E" w14:textId="77777777" w:rsidR="00D22189" w:rsidRPr="00F5363D" w:rsidRDefault="00D22189" w:rsidP="00153AC2">
                              <w:pPr>
                                <w:pStyle w:val="NormalWeb"/>
                                <w:kinsoku w:val="0"/>
                                <w:overflowPunct w:val="0"/>
                                <w:spacing w:after="0"/>
                                <w:jc w:val="center"/>
                                <w:textAlignment w:val="baseline"/>
                                <w:rPr>
                                  <w:sz w:val="20"/>
                                  <w:szCs w:val="20"/>
                                  <w:lang w:val="bg-BG"/>
                                </w:rPr>
                              </w:pPr>
                              <w:r>
                                <w:rPr>
                                  <w:rFonts w:eastAsia="Cambria"/>
                                  <w:b/>
                                  <w:bCs/>
                                  <w:color w:val="FFFFFF"/>
                                  <w:kern w:val="24"/>
                                  <w:sz w:val="20"/>
                                  <w:szCs w:val="20"/>
                                  <w:lang w:val="bg-BG"/>
                                </w:rPr>
                                <w:t>Частични</w:t>
                              </w:r>
                              <w:r w:rsidRPr="00F5363D">
                                <w:rPr>
                                  <w:rFonts w:eastAsia="Cambria"/>
                                  <w:b/>
                                  <w:bCs/>
                                  <w:color w:val="FFFFFF"/>
                                  <w:kern w:val="24"/>
                                  <w:sz w:val="20"/>
                                  <w:szCs w:val="20"/>
                                  <w:lang w:val="bg-BG"/>
                                </w:rPr>
                                <w:t xml:space="preserve"> </w:t>
                              </w:r>
                              <w:r>
                                <w:rPr>
                                  <w:rFonts w:eastAsia="Cambria"/>
                                  <w:b/>
                                  <w:bCs/>
                                  <w:color w:val="FFFFFF"/>
                                  <w:kern w:val="24"/>
                                  <w:sz w:val="20"/>
                                  <w:szCs w:val="20"/>
                                  <w:lang w:val="bg-BG"/>
                                </w:rPr>
                                <w:t xml:space="preserve">нормативни </w:t>
                              </w:r>
                              <w:r w:rsidRPr="00F5363D">
                                <w:rPr>
                                  <w:rFonts w:eastAsia="Cambria"/>
                                  <w:b/>
                                  <w:bCs/>
                                  <w:color w:val="FFFFFF"/>
                                  <w:kern w:val="24"/>
                                  <w:sz w:val="20"/>
                                  <w:szCs w:val="20"/>
                                  <w:lang w:val="bg-BG"/>
                                </w:rPr>
                                <w:t>промени</w:t>
                              </w:r>
                            </w:p>
                          </w:txbxContent>
                        </wps:txbx>
                        <wps:bodyPr vert="horz" wrap="square" lIns="91440" tIns="45720" rIns="91440" bIns="45720" numCol="1" anchor="ctr" anchorCtr="0" compatLnSpc="1">
                          <a:prstTxWarp prst="textNoShape">
                            <a:avLst/>
                          </a:prstTxWarp>
                        </wps:bodyPr>
                      </wps:wsp>
                      <wps:wsp>
                        <wps:cNvPr id="450" name="Rounded Rectangle 450"/>
                        <wps:cNvSpPr>
                          <a:spLocks noChangeArrowheads="1"/>
                        </wps:cNvSpPr>
                        <wps:spPr bwMode="auto">
                          <a:xfrm>
                            <a:off x="45530" y="1400361"/>
                            <a:ext cx="9274" cy="4963"/>
                          </a:xfrm>
                          <a:prstGeom prst="roundRect">
                            <a:avLst>
                              <a:gd name="adj" fmla="val 16667"/>
                            </a:avLst>
                          </a:prstGeom>
                          <a:solidFill>
                            <a:srgbClr val="4F81BD"/>
                          </a:solidFill>
                          <a:ln w="25400">
                            <a:solidFill>
                              <a:srgbClr val="243F60"/>
                            </a:solidFill>
                            <a:round/>
                            <a:headEnd/>
                            <a:tailEnd/>
                          </a:ln>
                        </wps:spPr>
                        <wps:txbx>
                          <w:txbxContent>
                            <w:p w14:paraId="779D3AED" w14:textId="77777777" w:rsidR="00D22189" w:rsidRPr="00F5363D" w:rsidRDefault="00D22189" w:rsidP="00153AC2">
                              <w:pPr>
                                <w:pStyle w:val="NormalWeb"/>
                                <w:kinsoku w:val="0"/>
                                <w:overflowPunct w:val="0"/>
                                <w:spacing w:after="0"/>
                                <w:jc w:val="center"/>
                                <w:textAlignment w:val="baseline"/>
                                <w:rPr>
                                  <w:sz w:val="20"/>
                                  <w:szCs w:val="20"/>
                                  <w:lang w:val="bg-BG"/>
                                </w:rPr>
                              </w:pPr>
                              <w:r w:rsidRPr="00F5363D">
                                <w:rPr>
                                  <w:rFonts w:eastAsia="Cambria"/>
                                  <w:b/>
                                  <w:bCs/>
                                  <w:color w:val="FFFFFF"/>
                                  <w:kern w:val="24"/>
                                  <w:sz w:val="20"/>
                                  <w:szCs w:val="20"/>
                                  <w:lang w:val="bg-BG"/>
                                </w:rPr>
                                <w:t>Невъзможност за проследяване</w:t>
                              </w:r>
                              <w:r>
                                <w:rPr>
                                  <w:rFonts w:eastAsia="Cambria"/>
                                  <w:b/>
                                  <w:bCs/>
                                  <w:color w:val="FFFFFF"/>
                                  <w:kern w:val="24"/>
                                  <w:sz w:val="20"/>
                                  <w:szCs w:val="20"/>
                                  <w:lang w:val="bg-BG"/>
                                </w:rPr>
                                <w:t xml:space="preserve"> на отношенията</w:t>
                              </w:r>
                            </w:p>
                            <w:p w14:paraId="65EA97DF" w14:textId="77777777" w:rsidR="00D22189" w:rsidRPr="009D5D0C" w:rsidRDefault="00D22189" w:rsidP="00153AC2">
                              <w:pPr>
                                <w:pStyle w:val="NormalWeb"/>
                                <w:kinsoku w:val="0"/>
                                <w:overflowPunct w:val="0"/>
                                <w:spacing w:after="0"/>
                                <w:jc w:val="center"/>
                                <w:textAlignment w:val="baseline"/>
                                <w:rPr>
                                  <w:sz w:val="20"/>
                                  <w:szCs w:val="20"/>
                                </w:rPr>
                              </w:pPr>
                            </w:p>
                          </w:txbxContent>
                        </wps:txbx>
                        <wps:bodyPr vert="horz" wrap="square" lIns="91440" tIns="45720" rIns="91440" bIns="45720" numCol="1" anchor="ctr" anchorCtr="0" compatLnSpc="1">
                          <a:prstTxWarp prst="textNoShape">
                            <a:avLst/>
                          </a:prstTxWarp>
                        </wps:bodyPr>
                      </wps:wsp>
                      <wps:wsp>
                        <wps:cNvPr id="451" name="Rounded Rectangle 451"/>
                        <wps:cNvSpPr>
                          <a:spLocks noChangeArrowheads="1"/>
                        </wps:cNvSpPr>
                        <wps:spPr bwMode="auto">
                          <a:xfrm>
                            <a:off x="34412" y="1400366"/>
                            <a:ext cx="9601" cy="4964"/>
                          </a:xfrm>
                          <a:prstGeom prst="roundRect">
                            <a:avLst>
                              <a:gd name="adj" fmla="val 16667"/>
                            </a:avLst>
                          </a:prstGeom>
                          <a:solidFill>
                            <a:srgbClr val="4F81BD"/>
                          </a:solidFill>
                          <a:ln w="25400">
                            <a:solidFill>
                              <a:srgbClr val="243F60"/>
                            </a:solidFill>
                            <a:round/>
                            <a:headEnd/>
                            <a:tailEnd/>
                          </a:ln>
                        </wps:spPr>
                        <wps:txbx>
                          <w:txbxContent>
                            <w:p w14:paraId="73D136ED" w14:textId="77777777" w:rsidR="00D22189" w:rsidRPr="000D72C1" w:rsidRDefault="00D22189" w:rsidP="00153AC2">
                              <w:pPr>
                                <w:pStyle w:val="NormalWeb"/>
                                <w:kinsoku w:val="0"/>
                                <w:overflowPunct w:val="0"/>
                                <w:spacing w:after="0"/>
                                <w:jc w:val="center"/>
                                <w:textAlignment w:val="baseline"/>
                                <w:rPr>
                                  <w:sz w:val="18"/>
                                  <w:szCs w:val="18"/>
                                  <w:lang w:val="bg-BG"/>
                                </w:rPr>
                              </w:pPr>
                              <w:r w:rsidRPr="000D72C1">
                                <w:rPr>
                                  <w:rFonts w:eastAsia="Cambria"/>
                                  <w:b/>
                                  <w:bCs/>
                                  <w:color w:val="FFFFFF"/>
                                  <w:kern w:val="24"/>
                                  <w:sz w:val="18"/>
                                  <w:szCs w:val="18"/>
                                  <w:lang w:val="bg-BG"/>
                                </w:rPr>
                                <w:t xml:space="preserve">Непрозрачност на отношенията </w:t>
                              </w:r>
                              <w:r>
                                <w:rPr>
                                  <w:rFonts w:eastAsia="Cambria"/>
                                  <w:b/>
                                  <w:bCs/>
                                  <w:color w:val="FFFFFF"/>
                                  <w:kern w:val="24"/>
                                  <w:sz w:val="18"/>
                                  <w:szCs w:val="18"/>
                                  <w:lang w:val="bg-BG"/>
                                </w:rPr>
                                <w:t>по вериг</w:t>
                              </w:r>
                              <w:r w:rsidRPr="000D72C1">
                                <w:rPr>
                                  <w:rFonts w:eastAsia="Cambria"/>
                                  <w:b/>
                                  <w:bCs/>
                                  <w:color w:val="FFFFFF"/>
                                  <w:kern w:val="24"/>
                                  <w:sz w:val="18"/>
                                  <w:szCs w:val="18"/>
                                  <w:lang w:val="bg-BG"/>
                                </w:rPr>
                                <w:t>а</w:t>
                              </w:r>
                              <w:r>
                                <w:rPr>
                                  <w:rFonts w:eastAsia="Cambria"/>
                                  <w:b/>
                                  <w:bCs/>
                                  <w:color w:val="FFFFFF"/>
                                  <w:kern w:val="24"/>
                                  <w:sz w:val="18"/>
                                  <w:szCs w:val="18"/>
                                  <w:lang w:val="bg-BG"/>
                                </w:rPr>
                                <w:t>та за доставки</w:t>
                              </w:r>
                            </w:p>
                            <w:p w14:paraId="3C351809" w14:textId="77777777" w:rsidR="00D22189" w:rsidRPr="000D72C1" w:rsidRDefault="00D22189" w:rsidP="00153AC2">
                              <w:pPr>
                                <w:pStyle w:val="NormalWeb"/>
                                <w:kinsoku w:val="0"/>
                                <w:overflowPunct w:val="0"/>
                                <w:spacing w:after="0"/>
                                <w:jc w:val="center"/>
                                <w:textAlignment w:val="baseline"/>
                                <w:rPr>
                                  <w:sz w:val="20"/>
                                  <w:szCs w:val="20"/>
                                  <w:lang w:val="ru-RU"/>
                                </w:rPr>
                              </w:pPr>
                            </w:p>
                          </w:txbxContent>
                        </wps:txbx>
                        <wps:bodyPr vert="horz" wrap="square" lIns="91440" tIns="45720" rIns="91440" bIns="45720" numCol="1" anchor="ctr" anchorCtr="0" compatLnSpc="1">
                          <a:prstTxWarp prst="textNoShape">
                            <a:avLst/>
                          </a:prstTxWarp>
                        </wps:bodyPr>
                      </wps:wsp>
                      <wps:wsp>
                        <wps:cNvPr id="455" name="Straight Arrow Connector 455"/>
                        <wps:cNvCnPr>
                          <a:endCxn id="59" idx="2"/>
                        </wps:cNvCnPr>
                        <wps:spPr bwMode="auto">
                          <a:xfrm flipV="1">
                            <a:off x="5371" y="1395953"/>
                            <a:ext cx="5086" cy="4318"/>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456" name="Straight Arrow Connector 456"/>
                        <wps:cNvCnPr>
                          <a:stCxn id="448" idx="0"/>
                          <a:endCxn id="59" idx="2"/>
                        </wps:cNvCnPr>
                        <wps:spPr bwMode="auto">
                          <a:xfrm flipH="1" flipV="1">
                            <a:off x="10457" y="1395953"/>
                            <a:ext cx="4758" cy="4308"/>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464" name="Straight Arrow Connector 464"/>
                        <wps:cNvCnPr>
                          <a:stCxn id="451" idx="0"/>
                        </wps:cNvCnPr>
                        <wps:spPr bwMode="auto">
                          <a:xfrm flipV="1">
                            <a:off x="39212" y="1395953"/>
                            <a:ext cx="5772" cy="441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465" name="Straight Arrow Connector 465"/>
                        <wps:cNvCnPr>
                          <a:stCxn id="450" idx="0"/>
                        </wps:cNvCnPr>
                        <wps:spPr bwMode="auto">
                          <a:xfrm flipH="1" flipV="1">
                            <a:off x="44985" y="1395861"/>
                            <a:ext cx="5182" cy="4497"/>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468" name="Straight Arrow Connector 468"/>
                        <wps:cNvCnPr>
                          <a:stCxn id="59" idx="0"/>
                          <a:endCxn id="57" idx="1"/>
                        </wps:cNvCnPr>
                        <wps:spPr bwMode="auto">
                          <a:xfrm flipV="1">
                            <a:off x="10458" y="1383409"/>
                            <a:ext cx="9035" cy="7618"/>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469" name="Straight Arrow Connector 469"/>
                        <wps:cNvCnPr>
                          <a:stCxn id="60" idx="0"/>
                          <a:endCxn id="57" idx="3"/>
                        </wps:cNvCnPr>
                        <wps:spPr bwMode="auto">
                          <a:xfrm flipH="1" flipV="1">
                            <a:off x="36444" y="1383409"/>
                            <a:ext cx="8251" cy="7458"/>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470" name="Straight Arrow Connector 470"/>
                        <wps:cNvCnPr/>
                        <wps:spPr bwMode="auto">
                          <a:xfrm flipH="1" flipV="1">
                            <a:off x="13265" y="1374474"/>
                            <a:ext cx="6228" cy="4102"/>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471" name="Straight Arrow Connector 471"/>
                        <wps:cNvCnPr>
                          <a:endCxn id="63" idx="2"/>
                        </wps:cNvCnPr>
                        <wps:spPr bwMode="auto">
                          <a:xfrm flipV="1">
                            <a:off x="35137" y="1374473"/>
                            <a:ext cx="7076" cy="410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AA9690D" id="Group 205" o:spid="_x0000_s1032" style="position:absolute;left:0;text-align:left;margin-left:-53.3pt;margin-top:22.25pt;width:566.5pt;height:424.95pt;z-index:-251653120;mso-position-horizontal-relative:margin;mso-width-relative:margin;mso-height-relative:margin" coordorigin=",13665" coordsize="548,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q/gYAANs2AAAOAAAAZHJzL2Uyb0RvYy54bWzsW21v2zYQ/j5g/4HQ99R6od6MOkVrJ92A&#10;riuabvvMSLKtTRY1SomdDfvvOx5JWXas2G0yAwP0JbEsij4e77l77o56/WazKsh9JuqclxPLeWVb&#10;JCsTnublYmL98uX6IrJI3bAyZQUvs4n1kNXWm8vvv3u9rsaZy5e8SDNBYJKyHq+ribVsmmo8GtXJ&#10;Mlux+hWvshJuzrlYsQYuxWKUCraG2VfFyLXtYLTmIq0ET7K6hm9n6qZ1ifPP51nS/Dyf11lDiokF&#10;sjX4V+DfW/l3dPmajReCVcs80WKwb5BixfISfrSdasYaRu5E/miqVZ4IXvN58yrhqxGfz/MkwzXA&#10;ahx7bzXvBb+rcC2L8XpRtWoC1e7p6ZunTT7efxIkTyeWH1ikZCvYI/xZ4tq+1M66Woxh0HtR3VSf&#10;hP5ioa7I7fonnsIT7K7huPzNXKykGmBhZINafmi1nG0aksCXoRNTP4DNSOCe78VBZIdqH5IlbNb2&#10;OccLAj9q713p530a2VQ97UUh9eSzIzZWPz2S8mrxpPBgVfVWcfXzFHezZFWG+1FLnRjFhUZxn/ld&#10;mWYp+Qxmx8pFkREfpZdiwHipQKmcuvrAkz9qUvLpEoZlb4Xg62XGUhDPwdXsPCAvanj0qLZBr7Fn&#10;EdCq44WBT7V1G707Qew7Sm9w34t29MbGlaib9xlfEflhYoHplalcCO4ru/9QN2jfqTYSlv5ukfmq&#10;ALTcs4I4QRDgWmEn9GD4ZObEVfMiT6/zosALsbidFoLAoxOLXkfOu5kWp+4OK0qynlguLMVGMXZu&#10;1t05XOpdg00pU9gZhguB79lYqviqTPFzw/JCfQYxixIsyKhZWU2zud0gLKicU9675ekDbAL4OtDO&#10;kou/LLIGvzGx6j/vmMgsUvxYwgbGDgXFkwYvqB+6cCG6d267d8q71ZSDCmBfWJnArBMraYS5mDbK&#10;U4GrqFjzobypEjlUrkVq9svmNyYqvV8NbPNHbixUb4JSx3asXqZair4AfJwLKPETQImNns8AFOqF&#10;rsZJ7Niu9jAtTlwn1DihsYtyte5la9IDTCQoWpjoWDHA5Gviu0Gr1OQ2nsjQqALx43iiXJwe/1/H&#10;Ey/yHJAF40lsR8q/s/EWJ2EAiMYobqswPeBEMpGnwklg3NwQTk7nwT04AR/eixPX6PkM4STwQwOT&#10;DmFtYUJjG6i1hEkY+oaiGKJsGNIQTnbCSUubB5g8GyaQEvTCBJOnc4UTGsYQLzCcHMRJBGRL4SSK&#10;0E8O4eRYOMEkTu7fgJPn4oRSKFX1AUXe1HngGQIK5CQBZCASKZD5ugHmoFviFcd2y7uC3fLHkJ9I&#10;MMhqyV4a36aXA1CeDxSwvn6gtJo+A1A07QKQeBR/twMShwI/lKyLxuFQ6zqp1gXZ3lDskm2Hryqn&#10;H85OKFD9fpSoPOBMxIv6vtdBCoQW2OUOUtxQl9NpPIST06rCDupwIF4vgxTgOr3xBFoW5yNeHqWO&#10;rgzLmBJgFtJBSmC3hWFFyoYM5ViGAvocYsqLxRTfIOWmESxfLBuCzUMy5WUJvTouCDh7o3AgYNNS&#10;tRyzMp1uStXnBfaWp9CHxY3Btlc70JDnw61GMi/y6lfTgdItXt+TzRJM6mM/9jEd2SLGh7KxZmGe&#10;c4SF1XpJ7VpUpwu7iWBCADVTLJPRq+Syl4iBTHUJY9/1jzQJoR0XvzNSnN4kJM1DBU3uRuTY1IW+&#10;38RaZSl0/DI48yA/KfFk3ReXrnulsgKIZwD+hoTtKrqK6AV1g6sLas9mF2+vp/QiuHZCf+bNptOZ&#10;848U3qHjZZ6mWSkXZ84jOPS0trU+GaFOErQnElpFjXZnR42CiOY/Cr3XBVXJklydtIzzdQrhfMAJ&#10;ht7W0lv7hd56Y+wc83k0dNMHfzEM/IAN20NocGywsX440NCHIgMmJZ5tDLGnFDzAYYCDPmFCgWxo&#10;htTv9xUh0SmF8fsdOMizH1s4PNvve7FrqJJ3yPGHssWOlk5VWtlPlQZLHyy9tfQTGE5wiOF0LR2S&#10;3WdYer93pzSOQD5NdqL9RNp3otbmY3MYavDuA9kxp1N7KkVB23h4wrsjW+j17r4h9Qe4DvARRMPO&#10;0UIVIL6B70uGA/IiBiKPQicCObjpdse2BwjBZncwEP6B8D8609yHgban8AQGuq2FxwxHnpvaun1I&#10;xDp832BAdct2YHQCBvojghdQCtysDw2Ra07chhI1Kk0cIsIQEY5EBHmeSFVE+9EAY8CeOqasr/qP&#10;imP9pt+WHc8FZqVsOaQUmgI7nj1wXZO7Qn96sOWhlLP3tkqPZ5flwaO23C3yG8/e8d/QllKu/WVq&#10;lp4PL0B0LH2vaBnaoSlaOvDiweC1//dFS6h24BtUWOvUb3vJV7S611jk3L6TdvkvAAAA//8DAFBL&#10;AwQUAAYACAAAACEAchecquIAAAAMAQAADwAAAGRycy9kb3ducmV2LnhtbEyPwWrDMBBE74X+g9hC&#10;b4nkVDGpazmE0PYUCk0KpTfF2tgm1spYiu38fZVTe1zmMfM2X0+2ZQP2vnGkIJkLYEilMw1VCr4O&#10;b7MVMB80Gd06QgVX9LAu7u9ynRk30icO+1CxWEI+0wrqELqMc1/WaLWfuw4pZifXWx3i2Vfc9HqM&#10;5bblCyFSbnVDcaHWHW5rLM/7i1XwPupx85S8DrvzaXv9OSw/vncJKvX4MG1egAWcwh8MN/2oDkV0&#10;OroLGc9aBbNEpGlkFUi5BHYjxCKVwI4KVs9SAi9y/v+J4hcAAP//AwBQSwECLQAUAAYACAAAACEA&#10;toM4kv4AAADhAQAAEwAAAAAAAAAAAAAAAAAAAAAAW0NvbnRlbnRfVHlwZXNdLnhtbFBLAQItABQA&#10;BgAIAAAAIQA4/SH/1gAAAJQBAAALAAAAAAAAAAAAAAAAAC8BAABfcmVscy8ucmVsc1BLAQItABQA&#10;BgAIAAAAIQCCq+yq/gYAANs2AAAOAAAAAAAAAAAAAAAAAC4CAABkcnMvZTJvRG9jLnhtbFBLAQIt&#10;ABQABgAIAAAAIQByF5yq4gAAAAwBAAAPAAAAAAAAAAAAAAAAAFgJAABkcnMvZG93bnJldi54bWxQ&#10;SwUGAAAAAAQABADzAAAAZwoAAAAA&#10;">
                <v:roundrect id="Rounded Rectangle 57" o:spid="_x0000_s1033" style="position:absolute;left:194;top:13765;width:170;height:1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EHxQAAANsAAAAPAAAAZHJzL2Rvd25yZXYueG1sRI/dasJA&#10;FITvBd9hOULvdKPFWqKriCAKLeJPwdtD9jSbmj0bs9skfftuoeDlMDPfMItVZ0vRUO0LxwrGowQE&#10;ceZ0wbmCj8t2+ArCB2SNpWNS8EMeVst+b4Gpdi2fqDmHXEQI+xQVmBCqVEqfGbLoR64ijt6nqy2G&#10;KOtc6hrbCLelnCTJi7RYcFwwWNHGUHY7f1sFzfX+vF+b4+7969K+lYd8OjkdKqWeBt16DiJQFx7h&#10;//ZeK5jO4O9L/AFy+QsAAP//AwBQSwECLQAUAAYACAAAACEA2+H2y+4AAACFAQAAEwAAAAAAAAAA&#10;AAAAAAAAAAAAW0NvbnRlbnRfVHlwZXNdLnhtbFBLAQItABQABgAIAAAAIQBa9CxbvwAAABUBAAAL&#10;AAAAAAAAAAAAAAAAAB8BAABfcmVscy8ucmVsc1BLAQItABQABgAIAAAAIQBx8vEHxQAAANsAAAAP&#10;AAAAAAAAAAAAAAAAAAcCAABkcnMvZG93bnJldi54bWxQSwUGAAAAAAMAAwC3AAAA+QIAAAAA&#10;" fillcolor="#4f81bd" strokecolor="#243f60" strokeweight="2pt">
                  <v:textbox>
                    <w:txbxContent>
                      <w:p w14:paraId="3C783444" w14:textId="6008552C" w:rsidR="00D22189" w:rsidRPr="00D14E83" w:rsidRDefault="00D22189" w:rsidP="00153AC2">
                        <w:pPr>
                          <w:pStyle w:val="NormalWeb"/>
                          <w:kinsoku w:val="0"/>
                          <w:overflowPunct w:val="0"/>
                          <w:spacing w:after="0"/>
                          <w:jc w:val="center"/>
                          <w:textAlignment w:val="baseline"/>
                          <w:rPr>
                            <w:sz w:val="22"/>
                            <w:szCs w:val="22"/>
                            <w:lang w:val="ru-RU"/>
                          </w:rPr>
                        </w:pPr>
                        <w:r w:rsidRPr="00D14E83">
                          <w:rPr>
                            <w:rFonts w:eastAsia="Cambria"/>
                            <w:b/>
                            <w:bCs/>
                            <w:color w:val="FFFFFF"/>
                            <w:kern w:val="24"/>
                            <w:sz w:val="22"/>
                            <w:szCs w:val="22"/>
                            <w:lang w:val="ru-RU"/>
                          </w:rPr>
                          <w:t xml:space="preserve">Липса на цялостна рамка от мерки на национално ниво, която гарантира прозрачност, проследяемост и равнопоставеност в отношенията между участниците във веригата на доставки на земеделски продукти и храни </w:t>
                        </w:r>
                      </w:p>
                    </w:txbxContent>
                  </v:textbox>
                </v:roundrect>
                <v:roundrect id="Rounded Rectangle 59" o:spid="_x0000_s1034" style="position:absolute;left:43;top:13910;width:122;height: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cDuxQAAANsAAAAPAAAAZHJzL2Rvd25yZXYueG1sRI/dasJA&#10;FITvBd9hOULvdKPFYqOriCAKLeJPwdtD9jSbmj0bs9skfftuoeDlMDPfMItVZ0vRUO0LxwrGowQE&#10;ceZ0wbmCj8t2OAPhA7LG0jEp+CEPq2W/t8BUu5ZP1JxDLiKEfYoKTAhVKqXPDFn0I1cRR+/T1RZD&#10;lHUudY1thNtSTpLkRVosOC4YrGhjKLudv62C5np/3q/Ncff+dWnfykM+nZwOlVJPg249BxGoC4/w&#10;f3uvFUxf4e9L/AFy+QsAAP//AwBQSwECLQAUAAYACAAAACEA2+H2y+4AAACFAQAAEwAAAAAAAAAA&#10;AAAAAAAAAAAAW0NvbnRlbnRfVHlwZXNdLnhtbFBLAQItABQABgAIAAAAIQBa9CxbvwAAABUBAAAL&#10;AAAAAAAAAAAAAAAAAB8BAABfcmVscy8ucmVsc1BLAQItABQABgAIAAAAIQBvIcDuxQAAANsAAAAP&#10;AAAAAAAAAAAAAAAAAAcCAABkcnMvZG93bnJldi54bWxQSwUGAAAAAAMAAwC3AAAA+QIAAAAA&#10;" fillcolor="#4f81bd" strokecolor="#243f60" strokeweight="2pt">
                  <v:textbox>
                    <w:txbxContent>
                      <w:p w14:paraId="6A79EC71" w14:textId="77777777" w:rsidR="00D22189" w:rsidRPr="00AA626A" w:rsidRDefault="00D22189" w:rsidP="00153AC2">
                        <w:pPr>
                          <w:pStyle w:val="NormalWeb"/>
                          <w:kinsoku w:val="0"/>
                          <w:overflowPunct w:val="0"/>
                          <w:spacing w:after="0"/>
                          <w:jc w:val="center"/>
                          <w:textAlignment w:val="baseline"/>
                          <w:rPr>
                            <w:lang w:val="bg-BG"/>
                          </w:rPr>
                        </w:pPr>
                        <w:r w:rsidRPr="00F5363D">
                          <w:rPr>
                            <w:rFonts w:eastAsia="Cambria"/>
                            <w:b/>
                            <w:bCs/>
                            <w:color w:val="FFFFFF"/>
                            <w:kern w:val="24"/>
                          </w:rPr>
                          <w:t>Правна уредба</w:t>
                        </w:r>
                        <w:r>
                          <w:rPr>
                            <w:rFonts w:eastAsia="Cambria"/>
                            <w:b/>
                            <w:bCs/>
                            <w:color w:val="FFFFFF"/>
                            <w:kern w:val="24"/>
                            <w:lang w:val="bg-BG"/>
                          </w:rPr>
                          <w:t xml:space="preserve"> и инструментариум</w:t>
                        </w:r>
                      </w:p>
                    </w:txbxContent>
                  </v:textbox>
                </v:roundrect>
                <v:roundrect id="Rounded Rectangle 60" o:spid="_x0000_s1035" style="position:absolute;left:383;top:13908;width:127;height: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6POwgAAANsAAAAPAAAAZHJzL2Rvd25yZXYueG1sRE9da8Iw&#10;FH0X9h/CHexN0zkmozYVGQwFh8w68PXSXJu65qY2se3+/fIw8PFwvrPVaBvRU+drxwqeZwkI4tLp&#10;misF38eP6RsIH5A1No5JwS95WOUPkwxT7QY+UF+ESsQQ9ikqMCG0qZS+NGTRz1xLHLmz6yyGCLtK&#10;6g6HGG4bOU+ShbRYc2ww2NK7ofKnuFkF/en6sl2br83n5Tjsmn31Oj/sW6WeHsf1EkSgMdzF/+6t&#10;VrCI6+OX+ANk/gcAAP//AwBQSwECLQAUAAYACAAAACEA2+H2y+4AAACFAQAAEwAAAAAAAAAAAAAA&#10;AAAAAAAAW0NvbnRlbnRfVHlwZXNdLnhtbFBLAQItABQABgAIAAAAIQBa9CxbvwAAABUBAAALAAAA&#10;AAAAAAAAAAAAAB8BAABfcmVscy8ucmVsc1BLAQItABQABgAIAAAAIQAwd6POwgAAANsAAAAPAAAA&#10;AAAAAAAAAAAAAAcCAABkcnMvZG93bnJldi54bWxQSwUGAAAAAAMAAwC3AAAA9gIAAAAA&#10;" fillcolor="#4f81bd" strokecolor="#243f60" strokeweight="2pt">
                  <v:textbox>
                    <w:txbxContent>
                      <w:p w14:paraId="62709FCA" w14:textId="77777777" w:rsidR="00D22189" w:rsidRPr="00AA626A" w:rsidRDefault="00D22189" w:rsidP="00153AC2">
                        <w:pPr>
                          <w:pStyle w:val="NormalWeb"/>
                          <w:kinsoku w:val="0"/>
                          <w:overflowPunct w:val="0"/>
                          <w:spacing w:after="0"/>
                          <w:jc w:val="center"/>
                          <w:textAlignment w:val="baseline"/>
                          <w:rPr>
                            <w:lang w:val="bg-BG"/>
                          </w:rPr>
                        </w:pPr>
                        <w:r w:rsidRPr="0003260E">
                          <w:rPr>
                            <w:rFonts w:eastAsia="Cambria"/>
                            <w:b/>
                            <w:bCs/>
                            <w:color w:val="FFFFFF"/>
                            <w:kern w:val="24"/>
                          </w:rPr>
                          <w:t>Правоприлагане</w:t>
                        </w:r>
                        <w:r>
                          <w:rPr>
                            <w:rFonts w:eastAsia="Cambria"/>
                            <w:b/>
                            <w:bCs/>
                            <w:color w:val="FFFFFF"/>
                            <w:kern w:val="24"/>
                            <w:lang w:val="bg-BG"/>
                          </w:rPr>
                          <w:t xml:space="preserve"> и администриране</w:t>
                        </w:r>
                      </w:p>
                      <w:p w14:paraId="15AEE213" w14:textId="77777777" w:rsidR="00D22189" w:rsidRPr="0003260E" w:rsidRDefault="00D22189" w:rsidP="00153AC2">
                        <w:pPr>
                          <w:pStyle w:val="NormalWeb"/>
                          <w:kinsoku w:val="0"/>
                          <w:overflowPunct w:val="0"/>
                          <w:spacing w:after="0"/>
                          <w:jc w:val="center"/>
                          <w:textAlignment w:val="baseline"/>
                        </w:pPr>
                      </w:p>
                    </w:txbxContent>
                  </v:textbox>
                </v:roundrect>
                <v:roundrect id="Rounded Rectangle 62" o:spid="_x0000_s1036" style="position:absolute;left:65;top:13665;width:149;height: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ZgixQAAANsAAAAPAAAAZHJzL2Rvd25yZXYueG1sRI/dasJA&#10;FITvC77DcoTe1Y2RSomuIkJRUKT+gLeH7DEbzZ5Ns9skfftuodDLYWa+YebL3laipcaXjhWMRwkI&#10;4tzpkgsFl/P7yxsIH5A1Vo5JwTd5WC4GT3PMtOv4SO0pFCJC2GeowIRQZ1L63JBFP3I1cfRurrEY&#10;omwKqRvsItxWMk2SqbRYclwwWNPaUP44fVkF7fVzsl2Zj83+fu521aF4TY+HWqnnYb+agQjUh//w&#10;X3urFUxT+P0Sf4Bc/AAAAP//AwBQSwECLQAUAAYACAAAACEA2+H2y+4AAACFAQAAEwAAAAAAAAAA&#10;AAAAAAAAAAAAW0NvbnRlbnRfVHlwZXNdLnhtbFBLAQItABQABgAIAAAAIQBa9CxbvwAAABUBAAAL&#10;AAAAAAAAAAAAAAAAAB8BAABfcmVscy8ucmVsc1BLAQItABQABgAIAAAAIQCv6ZgixQAAANsAAAAP&#10;AAAAAAAAAAAAAAAAAAcCAABkcnMvZG93bnJldi54bWxQSwUGAAAAAAMAAwC3AAAA+QIAAAAA&#10;" fillcolor="#4f81bd" strokecolor="#243f60" strokeweight="2pt">
                  <v:textbox>
                    <w:txbxContent>
                      <w:p w14:paraId="7123B6A3" w14:textId="77777777" w:rsidR="00D22189" w:rsidRPr="00816A19" w:rsidRDefault="00D22189" w:rsidP="00153AC2">
                        <w:pPr>
                          <w:pStyle w:val="NormalWeb"/>
                          <w:kinsoku w:val="0"/>
                          <w:overflowPunct w:val="0"/>
                          <w:spacing w:after="0"/>
                          <w:jc w:val="center"/>
                          <w:textAlignment w:val="baseline"/>
                          <w:rPr>
                            <w:rFonts w:eastAsia="Cambria"/>
                            <w:b/>
                            <w:bCs/>
                            <w:color w:val="FFFFFF"/>
                            <w:kern w:val="24"/>
                            <w:lang w:val="bg-BG"/>
                          </w:rPr>
                        </w:pPr>
                        <w:r w:rsidRPr="00943123">
                          <w:rPr>
                            <w:rFonts w:eastAsia="Cambria"/>
                            <w:b/>
                            <w:bCs/>
                            <w:color w:val="FFFFFF"/>
                            <w:kern w:val="24"/>
                            <w:sz w:val="22"/>
                            <w:szCs w:val="22"/>
                            <w:lang w:val="ru-RU"/>
                          </w:rPr>
                          <w:t>Неравнопоставеност и правна несигурност</w:t>
                        </w:r>
                        <w:r w:rsidRPr="00943123">
                          <w:rPr>
                            <w:rFonts w:eastAsia="Cambria"/>
                            <w:b/>
                            <w:bCs/>
                            <w:color w:val="FFFFFF"/>
                            <w:kern w:val="24"/>
                            <w:sz w:val="22"/>
                            <w:szCs w:val="22"/>
                            <w:lang w:val="bg-BG"/>
                          </w:rPr>
                          <w:t xml:space="preserve"> за по-уязвимите  участниците </w:t>
                        </w:r>
                        <w:r>
                          <w:rPr>
                            <w:rFonts w:eastAsia="Cambria"/>
                            <w:b/>
                            <w:bCs/>
                            <w:color w:val="FFFFFF"/>
                            <w:kern w:val="24"/>
                            <w:sz w:val="22"/>
                            <w:szCs w:val="22"/>
                            <w:lang w:val="bg-BG"/>
                          </w:rPr>
                          <w:t>във</w:t>
                        </w:r>
                        <w:r w:rsidRPr="00943123">
                          <w:rPr>
                            <w:rFonts w:eastAsia="Cambria"/>
                            <w:b/>
                            <w:bCs/>
                            <w:color w:val="FFFFFF"/>
                            <w:kern w:val="24"/>
                            <w:sz w:val="22"/>
                            <w:szCs w:val="22"/>
                            <w:lang w:val="bg-BG"/>
                          </w:rPr>
                          <w:t xml:space="preserve"> веригата на доставки</w:t>
                        </w:r>
                      </w:p>
                    </w:txbxContent>
                  </v:textbox>
                </v:roundrect>
                <v:roundrect id="Rounded Rectangle 63" o:spid="_x0000_s1037" style="position:absolute;left:347;top:13665;width:149;height: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T25xAAAANsAAAAPAAAAZHJzL2Rvd25yZXYueG1sRI9Ba8JA&#10;FITvgv9heUJvuqmilNRVRBCFFqla6PWRfWZjs29jdpvEf+8KBY/DzHzDzJedLUVDtS8cK3gdJSCI&#10;M6cLzhV8nzbDNxA+IGssHZOCG3lYLvq9OabatXyg5hhyESHsU1RgQqhSKX1myKIfuYo4emdXWwxR&#10;1rnUNbYRbks5TpKZtFhwXDBY0dpQ9nv8swqan+tktzJf28/Lqf0o9/l0fNhXSr0MutU7iEBdeIb/&#10;2zutYDaBx5f4A+TiDgAA//8DAFBLAQItABQABgAIAAAAIQDb4fbL7gAAAIUBAAATAAAAAAAAAAAA&#10;AAAAAAAAAABbQ29udGVudF9UeXBlc10ueG1sUEsBAi0AFAAGAAgAAAAhAFr0LFu/AAAAFQEAAAsA&#10;AAAAAAAAAAAAAAAAHwEAAF9yZWxzLy5yZWxzUEsBAi0AFAAGAAgAAAAhAMClPbnEAAAA2wAAAA8A&#10;AAAAAAAAAAAAAAAABwIAAGRycy9kb3ducmV2LnhtbFBLBQYAAAAAAwADALcAAAD4AgAAAAA=&#10;" fillcolor="#4f81bd" strokecolor="#243f60" strokeweight="2pt">
                  <v:textbox>
                    <w:txbxContent>
                      <w:p w14:paraId="02226CDA" w14:textId="77777777" w:rsidR="00D22189" w:rsidRPr="00943123" w:rsidRDefault="00D22189" w:rsidP="00153AC2">
                        <w:pPr>
                          <w:pStyle w:val="NormalWeb"/>
                          <w:kinsoku w:val="0"/>
                          <w:overflowPunct w:val="0"/>
                          <w:spacing w:after="0"/>
                          <w:jc w:val="center"/>
                          <w:textAlignment w:val="baseline"/>
                          <w:rPr>
                            <w:sz w:val="22"/>
                            <w:szCs w:val="22"/>
                            <w:lang w:val="ru-RU"/>
                          </w:rPr>
                        </w:pPr>
                        <w:r w:rsidRPr="00943123">
                          <w:rPr>
                            <w:rFonts w:eastAsia="Cambria"/>
                            <w:b/>
                            <w:bCs/>
                            <w:color w:val="FFFFFF"/>
                            <w:kern w:val="24"/>
                            <w:sz w:val="22"/>
                            <w:szCs w:val="22"/>
                            <w:lang w:val="ru-RU"/>
                          </w:rPr>
                          <w:t xml:space="preserve">Непропорционално разпределение на добавената стойност по веригата на доставки  </w:t>
                        </w:r>
                      </w:p>
                    </w:txbxContent>
                  </v:textbox>
                </v:roundrect>
                <v:roundrect id="Rounded Rectangle 448" o:spid="_x0000_s1038" style="position:absolute;left:102;top:14002;width:99;height: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eDwwAAANwAAAAPAAAAZHJzL2Rvd25yZXYueG1sRE9ba8Iw&#10;FH4X9h/CGfim6bwxOqPIQBQU8TLY66E5a7o1J10T2/rvzYPg48d3ny87W4qGal84VvA2TEAQZ04X&#10;nCv4uqwH7yB8QNZYOiYFN/KwXLz05phq1/KJmnPIRQxhn6ICE0KVSukzQxb90FXEkftxtcUQYZ1L&#10;XWMbw20pR0kykxYLjg0GK/o0lP2dr1ZB8/0/3q7McbP/vbS78pBPR6dDpVT/tVt9gAjUhaf44d5q&#10;BZNJXBvPxCMgF3cAAAD//wMAUEsBAi0AFAAGAAgAAAAhANvh9svuAAAAhQEAABMAAAAAAAAAAAAA&#10;AAAAAAAAAFtDb250ZW50X1R5cGVzXS54bWxQSwECLQAUAAYACAAAACEAWvQsW78AAAAVAQAACwAA&#10;AAAAAAAAAAAAAAAfAQAAX3JlbHMvLnJlbHNQSwECLQAUAAYACAAAACEArdP3g8MAAADcAAAADwAA&#10;AAAAAAAAAAAAAAAHAgAAZHJzL2Rvd25yZXYueG1sUEsFBgAAAAADAAMAtwAAAPcCAAAAAA==&#10;" fillcolor="#4f81bd" strokecolor="#243f60" strokeweight="2pt">
                  <v:textbox>
                    <w:txbxContent>
                      <w:p w14:paraId="7DB68E61" w14:textId="77777777" w:rsidR="00D22189" w:rsidRPr="000D72C1" w:rsidRDefault="00D22189" w:rsidP="00153AC2">
                        <w:pPr>
                          <w:pStyle w:val="NormalWeb"/>
                          <w:kinsoku w:val="0"/>
                          <w:overflowPunct w:val="0"/>
                          <w:spacing w:after="0"/>
                          <w:jc w:val="center"/>
                          <w:textAlignment w:val="baseline"/>
                          <w:rPr>
                            <w:sz w:val="20"/>
                            <w:szCs w:val="20"/>
                            <w:lang w:val="bg-BG"/>
                          </w:rPr>
                        </w:pPr>
                        <w:r>
                          <w:rPr>
                            <w:rFonts w:eastAsia="Cambria"/>
                            <w:b/>
                            <w:bCs/>
                            <w:color w:val="FFFFFF"/>
                            <w:kern w:val="24"/>
                            <w:sz w:val="20"/>
                            <w:szCs w:val="20"/>
                            <w:lang w:val="bg-BG"/>
                          </w:rPr>
                          <w:t xml:space="preserve">Липса на интегриран подход </w:t>
                        </w:r>
                      </w:p>
                    </w:txbxContent>
                  </v:textbox>
                </v:roundrect>
                <v:roundrect id="Rounded Rectangle 449" o:spid="_x0000_s1039" style="position:absolute;top:14003;width:91;height: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1IYxwAAANwAAAAPAAAAZHJzL2Rvd25yZXYueG1sRI/dasJA&#10;FITvC77DcgTv6safio2uIgVRaJGqBW8P2dNsavZsmt0m8e3dQqGXw8x8wyzXnS1FQ7UvHCsYDRMQ&#10;xJnTBecKPs7bxzkIH5A1lo5JwY08rFe9hyWm2rV8pOYUchEh7FNUYEKoUil9ZsiiH7qKOHqfrrYY&#10;oqxzqWtsI9yWcpwkM2mx4LhgsKIXQ9n19GMVNJfvyX5j3ndvX+f2tTzkT+PjoVJq0O82CxCBuvAf&#10;/mvvtYLp9Bl+z8QjIFd3AAAA//8DAFBLAQItABQABgAIAAAAIQDb4fbL7gAAAIUBAAATAAAAAAAA&#10;AAAAAAAAAAAAAABbQ29udGVudF9UeXBlc10ueG1sUEsBAi0AFAAGAAgAAAAhAFr0LFu/AAAAFQEA&#10;AAsAAAAAAAAAAAAAAAAAHwEAAF9yZWxzLy5yZWxzUEsBAi0AFAAGAAgAAAAhAMKfUhjHAAAA3AAA&#10;AA8AAAAAAAAAAAAAAAAABwIAAGRycy9kb3ducmV2LnhtbFBLBQYAAAAAAwADALcAAAD7AgAAAAA=&#10;" fillcolor="#4f81bd" strokecolor="#243f60" strokeweight="2pt">
                  <v:textbox>
                    <w:txbxContent>
                      <w:p w14:paraId="5F811F5E" w14:textId="77777777" w:rsidR="00D22189" w:rsidRPr="00F5363D" w:rsidRDefault="00D22189" w:rsidP="00153AC2">
                        <w:pPr>
                          <w:pStyle w:val="NormalWeb"/>
                          <w:kinsoku w:val="0"/>
                          <w:overflowPunct w:val="0"/>
                          <w:spacing w:after="0"/>
                          <w:jc w:val="center"/>
                          <w:textAlignment w:val="baseline"/>
                          <w:rPr>
                            <w:sz w:val="20"/>
                            <w:szCs w:val="20"/>
                            <w:lang w:val="bg-BG"/>
                          </w:rPr>
                        </w:pPr>
                        <w:r>
                          <w:rPr>
                            <w:rFonts w:eastAsia="Cambria"/>
                            <w:b/>
                            <w:bCs/>
                            <w:color w:val="FFFFFF"/>
                            <w:kern w:val="24"/>
                            <w:sz w:val="20"/>
                            <w:szCs w:val="20"/>
                            <w:lang w:val="bg-BG"/>
                          </w:rPr>
                          <w:t>Частични</w:t>
                        </w:r>
                        <w:r w:rsidRPr="00F5363D">
                          <w:rPr>
                            <w:rFonts w:eastAsia="Cambria"/>
                            <w:b/>
                            <w:bCs/>
                            <w:color w:val="FFFFFF"/>
                            <w:kern w:val="24"/>
                            <w:sz w:val="20"/>
                            <w:szCs w:val="20"/>
                            <w:lang w:val="bg-BG"/>
                          </w:rPr>
                          <w:t xml:space="preserve"> </w:t>
                        </w:r>
                        <w:r>
                          <w:rPr>
                            <w:rFonts w:eastAsia="Cambria"/>
                            <w:b/>
                            <w:bCs/>
                            <w:color w:val="FFFFFF"/>
                            <w:kern w:val="24"/>
                            <w:sz w:val="20"/>
                            <w:szCs w:val="20"/>
                            <w:lang w:val="bg-BG"/>
                          </w:rPr>
                          <w:t xml:space="preserve">нормативни </w:t>
                        </w:r>
                        <w:r w:rsidRPr="00F5363D">
                          <w:rPr>
                            <w:rFonts w:eastAsia="Cambria"/>
                            <w:b/>
                            <w:bCs/>
                            <w:color w:val="FFFFFF"/>
                            <w:kern w:val="24"/>
                            <w:sz w:val="20"/>
                            <w:szCs w:val="20"/>
                            <w:lang w:val="bg-BG"/>
                          </w:rPr>
                          <w:t>промени</w:t>
                        </w:r>
                      </w:p>
                    </w:txbxContent>
                  </v:textbox>
                </v:roundrect>
                <v:roundrect id="Rounded Rectangle 450" o:spid="_x0000_s1040" style="position:absolute;left:455;top:14003;width:93;height: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1YwwAAANwAAAAPAAAAZHJzL2Rvd25yZXYueG1sRE9da8Iw&#10;FH0f+B/CFfY2U90co2sqIojCRKYO9npprk21ualN1nb/3jwM9ng439lisLXoqPWVYwXTSQKCuHC6&#10;4lLB12n99AbCB2SNtWNS8EseFvnoIcNUu54P1B1DKWII+xQVmBCaVEpfGLLoJ64hjtzZtRZDhG0p&#10;dYt9DLe1nCXJq7RYcWww2NDKUHE9/lgF3fftebs0n5vd5dR/1PtyPjvsG6Uex8PyHUSgIfyL/9xb&#10;reBlHufHM/EIyPwOAAD//wMAUEsBAi0AFAAGAAgAAAAhANvh9svuAAAAhQEAABMAAAAAAAAAAAAA&#10;AAAAAAAAAFtDb250ZW50X1R5cGVzXS54bWxQSwECLQAUAAYACAAAACEAWvQsW78AAAAVAQAACwAA&#10;AAAAAAAAAAAAAAAfAQAAX3JlbHMvLnJlbHNQSwECLQAUAAYACAAAACEA1nxtWMMAAADcAAAADwAA&#10;AAAAAAAAAAAAAAAHAgAAZHJzL2Rvd25yZXYueG1sUEsFBgAAAAADAAMAtwAAAPcCAAAAAA==&#10;" fillcolor="#4f81bd" strokecolor="#243f60" strokeweight="2pt">
                  <v:textbox>
                    <w:txbxContent>
                      <w:p w14:paraId="779D3AED" w14:textId="77777777" w:rsidR="00D22189" w:rsidRPr="00F5363D" w:rsidRDefault="00D22189" w:rsidP="00153AC2">
                        <w:pPr>
                          <w:pStyle w:val="NormalWeb"/>
                          <w:kinsoku w:val="0"/>
                          <w:overflowPunct w:val="0"/>
                          <w:spacing w:after="0"/>
                          <w:jc w:val="center"/>
                          <w:textAlignment w:val="baseline"/>
                          <w:rPr>
                            <w:sz w:val="20"/>
                            <w:szCs w:val="20"/>
                            <w:lang w:val="bg-BG"/>
                          </w:rPr>
                        </w:pPr>
                        <w:r w:rsidRPr="00F5363D">
                          <w:rPr>
                            <w:rFonts w:eastAsia="Cambria"/>
                            <w:b/>
                            <w:bCs/>
                            <w:color w:val="FFFFFF"/>
                            <w:kern w:val="24"/>
                            <w:sz w:val="20"/>
                            <w:szCs w:val="20"/>
                            <w:lang w:val="bg-BG"/>
                          </w:rPr>
                          <w:t>Невъзможност за проследяване</w:t>
                        </w:r>
                        <w:r>
                          <w:rPr>
                            <w:rFonts w:eastAsia="Cambria"/>
                            <w:b/>
                            <w:bCs/>
                            <w:color w:val="FFFFFF"/>
                            <w:kern w:val="24"/>
                            <w:sz w:val="20"/>
                            <w:szCs w:val="20"/>
                            <w:lang w:val="bg-BG"/>
                          </w:rPr>
                          <w:t xml:space="preserve"> на отношенията</w:t>
                        </w:r>
                      </w:p>
                      <w:p w14:paraId="65EA97DF" w14:textId="77777777" w:rsidR="00D22189" w:rsidRPr="009D5D0C" w:rsidRDefault="00D22189" w:rsidP="00153AC2">
                        <w:pPr>
                          <w:pStyle w:val="NormalWeb"/>
                          <w:kinsoku w:val="0"/>
                          <w:overflowPunct w:val="0"/>
                          <w:spacing w:after="0"/>
                          <w:jc w:val="center"/>
                          <w:textAlignment w:val="baseline"/>
                          <w:rPr>
                            <w:sz w:val="20"/>
                            <w:szCs w:val="20"/>
                          </w:rPr>
                        </w:pPr>
                      </w:p>
                    </w:txbxContent>
                  </v:textbox>
                </v:roundrect>
                <v:roundrect id="Rounded Rectangle 451" o:spid="_x0000_s1041" style="position:absolute;left:344;top:14003;width:96;height: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MjDxgAAANwAAAAPAAAAZHJzL2Rvd25yZXYueG1sRI/dasJA&#10;FITvC32H5RS8qxv/SomuIoIoVKRqobeH7DGbNns2ZrdJfHtXEHo5zMw3zGzR2VI0VPvCsYJBPwFB&#10;nDldcK7g67R+fQfhA7LG0jEpuJKHxfz5aYapdi0fqDmGXEQI+xQVmBCqVEqfGbLo+64ijt7Z1RZD&#10;lHUudY1thNtSDpPkTVosOC4YrGhlKPs9/lkFzfdltF2az83u59R+lPt8MjzsK6V6L91yCiJQF/7D&#10;j/ZWKxhPBnA/E4+AnN8AAAD//wMAUEsBAi0AFAAGAAgAAAAhANvh9svuAAAAhQEAABMAAAAAAAAA&#10;AAAAAAAAAAAAAFtDb250ZW50X1R5cGVzXS54bWxQSwECLQAUAAYACAAAACEAWvQsW78AAAAVAQAA&#10;CwAAAAAAAAAAAAAAAAAfAQAAX3JlbHMvLnJlbHNQSwECLQAUAAYACAAAACEAuTDIw8YAAADcAAAA&#10;DwAAAAAAAAAAAAAAAAAHAgAAZHJzL2Rvd25yZXYueG1sUEsFBgAAAAADAAMAtwAAAPoCAAAAAA==&#10;" fillcolor="#4f81bd" strokecolor="#243f60" strokeweight="2pt">
                  <v:textbox>
                    <w:txbxContent>
                      <w:p w14:paraId="73D136ED" w14:textId="77777777" w:rsidR="00D22189" w:rsidRPr="000D72C1" w:rsidRDefault="00D22189" w:rsidP="00153AC2">
                        <w:pPr>
                          <w:pStyle w:val="NormalWeb"/>
                          <w:kinsoku w:val="0"/>
                          <w:overflowPunct w:val="0"/>
                          <w:spacing w:after="0"/>
                          <w:jc w:val="center"/>
                          <w:textAlignment w:val="baseline"/>
                          <w:rPr>
                            <w:sz w:val="18"/>
                            <w:szCs w:val="18"/>
                            <w:lang w:val="bg-BG"/>
                          </w:rPr>
                        </w:pPr>
                        <w:r w:rsidRPr="000D72C1">
                          <w:rPr>
                            <w:rFonts w:eastAsia="Cambria"/>
                            <w:b/>
                            <w:bCs/>
                            <w:color w:val="FFFFFF"/>
                            <w:kern w:val="24"/>
                            <w:sz w:val="18"/>
                            <w:szCs w:val="18"/>
                            <w:lang w:val="bg-BG"/>
                          </w:rPr>
                          <w:t xml:space="preserve">Непрозрачност на отношенията </w:t>
                        </w:r>
                        <w:r>
                          <w:rPr>
                            <w:rFonts w:eastAsia="Cambria"/>
                            <w:b/>
                            <w:bCs/>
                            <w:color w:val="FFFFFF"/>
                            <w:kern w:val="24"/>
                            <w:sz w:val="18"/>
                            <w:szCs w:val="18"/>
                            <w:lang w:val="bg-BG"/>
                          </w:rPr>
                          <w:t>по вериг</w:t>
                        </w:r>
                        <w:r w:rsidRPr="000D72C1">
                          <w:rPr>
                            <w:rFonts w:eastAsia="Cambria"/>
                            <w:b/>
                            <w:bCs/>
                            <w:color w:val="FFFFFF"/>
                            <w:kern w:val="24"/>
                            <w:sz w:val="18"/>
                            <w:szCs w:val="18"/>
                            <w:lang w:val="bg-BG"/>
                          </w:rPr>
                          <w:t>а</w:t>
                        </w:r>
                        <w:r>
                          <w:rPr>
                            <w:rFonts w:eastAsia="Cambria"/>
                            <w:b/>
                            <w:bCs/>
                            <w:color w:val="FFFFFF"/>
                            <w:kern w:val="24"/>
                            <w:sz w:val="18"/>
                            <w:szCs w:val="18"/>
                            <w:lang w:val="bg-BG"/>
                          </w:rPr>
                          <w:t>та за доставки</w:t>
                        </w:r>
                      </w:p>
                      <w:p w14:paraId="3C351809" w14:textId="77777777" w:rsidR="00D22189" w:rsidRPr="000D72C1" w:rsidRDefault="00D22189" w:rsidP="00153AC2">
                        <w:pPr>
                          <w:pStyle w:val="NormalWeb"/>
                          <w:kinsoku w:val="0"/>
                          <w:overflowPunct w:val="0"/>
                          <w:spacing w:after="0"/>
                          <w:jc w:val="center"/>
                          <w:textAlignment w:val="baseline"/>
                          <w:rPr>
                            <w:sz w:val="20"/>
                            <w:szCs w:val="20"/>
                            <w:lang w:val="ru-RU"/>
                          </w:rPr>
                        </w:pPr>
                      </w:p>
                    </w:txbxContent>
                  </v:textbox>
                </v:roundrect>
                <v:shapetype id="_x0000_t32" coordsize="21600,21600" o:spt="32" o:oned="t" path="m,l21600,21600e" filled="f">
                  <v:path arrowok="t" fillok="f" o:connecttype="none"/>
                  <o:lock v:ext="edit" shapetype="t"/>
                </v:shapetype>
                <v:shape id="Straight Arrow Connector 455" o:spid="_x0000_s1042" type="#_x0000_t32" style="position:absolute;left:53;top:13959;width:51;height: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qf/xQAAANwAAAAPAAAAZHJzL2Rvd25yZXYueG1sRI/dasJA&#10;FITvC32H5RR6I7ppqCLRTSgtgjcV/x7gkD0m0ezZdHdr0rd3BaGXw8x8wyyLwbTiSs43lhW8TRIQ&#10;xKXVDVcKjofVeA7CB2SNrWVS8Eceivz5aYmZtj3v6LoPlYgQ9hkqqEPoMil9WZNBP7EdcfRO1hkM&#10;UbpKaod9hJtWpkkykwYbjgs1dvRZU3nZ/xoF7tuV2341MsM5/VkfnTykbvOl1OvL8LEAEWgI/+FH&#10;e60VvE+ncD8Tj4DMbwAAAP//AwBQSwECLQAUAAYACAAAACEA2+H2y+4AAACFAQAAEwAAAAAAAAAA&#10;AAAAAAAAAAAAW0NvbnRlbnRfVHlwZXNdLnhtbFBLAQItABQABgAIAAAAIQBa9CxbvwAAABUBAAAL&#10;AAAAAAAAAAAAAAAAAB8BAABfcmVscy8ucmVsc1BLAQItABQABgAIAAAAIQDUsqf/xQAAANwAAAAP&#10;AAAAAAAAAAAAAAAAAAcCAABkcnMvZG93bnJldi54bWxQSwUGAAAAAAMAAwC3AAAA+QIAAAAA&#10;" strokecolor="#4579b8">
                  <v:stroke endarrow="block"/>
                </v:shape>
                <v:shape id="Straight Arrow Connector 456" o:spid="_x0000_s1043" type="#_x0000_t32" style="position:absolute;left:104;top:13959;width:48;height:4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E47xAAAANwAAAAPAAAAZHJzL2Rvd25yZXYueG1sRI9BawIx&#10;FITvgv8hPMGL1GylK7I1ihTFXnpY6w943bzuLt28xCTq+u9NQfA4zMw3zHLdm05cyIfWsoLXaQaC&#10;uLK65VrB8Xv3sgARIrLGzjIpuFGA9Wo4WGKh7ZVLuhxiLRKEQ4EKmhhdIWWoGjIYptYRJ+/XeoMx&#10;SV9L7fGa4KaTsyybS4Mtp4UGHX00VP0dzkYBn77y7ugW+f6nznzMfbl1k1Kp8ajfvIOI1Mdn+NH+&#10;1Are8jn8n0lHQK7uAAAA//8DAFBLAQItABQABgAIAAAAIQDb4fbL7gAAAIUBAAATAAAAAAAAAAAA&#10;AAAAAAAAAABbQ29udGVudF9UeXBlc10ueG1sUEsBAi0AFAAGAAgAAAAhAFr0LFu/AAAAFQEAAAsA&#10;AAAAAAAAAAAAAAAAHwEAAF9yZWxzLy5yZWxzUEsBAi0AFAAGAAgAAAAhAL0kTjvEAAAA3AAAAA8A&#10;AAAAAAAAAAAAAAAABwIAAGRycy9kb3ducmV2LnhtbFBLBQYAAAAAAwADALcAAAD4AgAAAAA=&#10;" strokecolor="#4579b8">
                  <v:stroke endarrow="block"/>
                </v:shape>
                <v:shape id="Straight Arrow Connector 464" o:spid="_x0000_s1044" type="#_x0000_t32" style="position:absolute;left:392;top:13959;width:57;height: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jZwwAAANwAAAAPAAAAZHJzL2Rvd25yZXYueG1sRI/disIw&#10;FITvhX2HcBb2RjS1iEjXKMuK4M2Kfw9waM621eakJtHWtzeC4OUwM98ws0VnanEj5yvLCkbDBARx&#10;bnXFhYLjYTWYgvABWWNtmRTcycNi/tGbYaZtyzu67UMhIoR9hgrKEJpMSp+XZNAPbUMcvX/rDIYo&#10;XSG1wzbCTS3TJJlIgxXHhRIb+i0pP++vRoH7c/m2XfVNd0ov66OTh9Rtlkp9fXY/3yACdeEdfrXX&#10;WsF4MobnmXgE5PwBAAD//wMAUEsBAi0AFAAGAAgAAAAhANvh9svuAAAAhQEAABMAAAAAAAAAAAAA&#10;AAAAAAAAAFtDb250ZW50X1R5cGVzXS54bWxQSwECLQAUAAYACAAAACEAWvQsW78AAAAVAQAACwAA&#10;AAAAAAAAAAAAAAAfAQAAX3JlbHMvLnJlbHNQSwECLQAUAAYACAAAACEAdZLI2cMAAADcAAAADwAA&#10;AAAAAAAAAAAAAAAHAgAAZHJzL2Rvd25yZXYueG1sUEsFBgAAAAADAAMAtwAAAPcCAAAAAA==&#10;" strokecolor="#4579b8">
                  <v:stroke endarrow="block"/>
                </v:shape>
                <v:shape id="Straight Arrow Connector 465" o:spid="_x0000_s1045" type="#_x0000_t32" style="position:absolute;left:449;top:13958;width:52;height: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hrxxAAAANwAAAAPAAAAZHJzL2Rvd25yZXYueG1sRI9BawIx&#10;FITvgv8hPMGL1GylK7I1ihTFXnpY6w943bzuLt28xCTq+u9NQfA4zMw3zHLdm05cyIfWsoLXaQaC&#10;uLK65VrB8Xv3sgARIrLGzjIpuFGA9Wo4WGKh7ZVLuhxiLRKEQ4EKmhhdIWWoGjIYptYRJ+/XeoMx&#10;SV9L7fGa4KaTsyybS4Mtp4UGHX00VP0dzkYBn77y7ugW+f6nznzMfbl1k1Kp8ajfvIOI1Mdn+NH+&#10;1Are5jn8n0lHQK7uAAAA//8DAFBLAQItABQABgAIAAAAIQDb4fbL7gAAAIUBAAATAAAAAAAAAAAA&#10;AAAAAAAAAABbQ29udGVudF9UeXBlc10ueG1sUEsBAi0AFAAGAAgAAAAhAFr0LFu/AAAAFQEAAAsA&#10;AAAAAAAAAAAAAAAAHwEAAF9yZWxzLy5yZWxzUEsBAi0AFAAGAAgAAAAhAIOaGvHEAAAA3AAAAA8A&#10;AAAAAAAAAAAAAAAABwIAAGRycy9kb3ducmV2LnhtbFBLBQYAAAAAAwADALcAAAD4AgAAAAA=&#10;" strokecolor="#4579b8">
                  <v:stroke endarrow="block"/>
                </v:shape>
                <v:shape id="Straight Arrow Connector 468" o:spid="_x0000_s1046" type="#_x0000_t32" style="position:absolute;left:104;top:13834;width:90;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8LcwQAAANwAAAAPAAAAZHJzL2Rvd25yZXYueG1sRE/dasIw&#10;FL4XfIdwBG9kphYpozOKOARvlE19gENy1nZrTroktt3bLxeDXX58/5vdaFvRkw+NYwWrZQaCWDvT&#10;cKXgfjs+PYMIEdlg65gU/FCA3XY62WBp3MDv1F9jJVIIhxIV1DF2pZRB12QxLF1HnLgP5y3GBH0l&#10;jcchhdtW5llWSIsNp4YaOzrUpL+uD6vAn71+G44LO37m36e7l7fcX16Vms/G/QuISGP8F/+5T0bB&#10;ukhr05l0BOT2FwAA//8DAFBLAQItABQABgAIAAAAIQDb4fbL7gAAAIUBAAATAAAAAAAAAAAAAAAA&#10;AAAAAABbQ29udGVudF9UeXBlc10ueG1sUEsBAi0AFAAGAAgAAAAhAFr0LFu/AAAAFQEAAAsAAAAA&#10;AAAAAAAAAAAAHwEAAF9yZWxzLy5yZWxzUEsBAi0AFAAGAAgAAAAhAPTfwtzBAAAA3AAAAA8AAAAA&#10;AAAAAAAAAAAABwIAAGRycy9kb3ducmV2LnhtbFBLBQYAAAAAAwADALcAAAD1AgAAAAA=&#10;" strokecolor="#4579b8">
                  <v:stroke endarrow="block"/>
                </v:shape>
                <v:shape id="Straight Arrow Connector 469" o:spid="_x0000_s1047" type="#_x0000_t32" style="position:absolute;left:364;top:13834;width:82;height:7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xD0xAAAANwAAAAPAAAAZHJzL2Rvd25yZXYueG1sRI9BawIx&#10;FITvhf6H8AQvRbMtrujWKKVU9NLDqj/guXndXdy8pEmq6783QsHjMDPfMItVbzpxJh9aywpexxkI&#10;4srqlmsFh/16NAMRIrLGzjIpuFKA1fL5aYGFthcu6byLtUgQDgUqaGJ0hZShashgGFtHnLwf6w3G&#10;JH0ttcdLgptOvmXZVBpsOS006Oizoeq0+zMK+Pc77w5ulm+OdeZj7ssv91IqNRz0H+8gIvXxEf5v&#10;b7WCyXQO9zPpCMjlDQAA//8DAFBLAQItABQABgAIAAAAIQDb4fbL7gAAAIUBAAATAAAAAAAAAAAA&#10;AAAAAAAAAABbQ29udGVudF9UeXBlc10ueG1sUEsBAi0AFAAGAAgAAAAhAFr0LFu/AAAAFQEAAAsA&#10;AAAAAAAAAAAAAAAAHwEAAF9yZWxzLy5yZWxzUEsBAi0AFAAGAAgAAAAhAALXEPTEAAAA3AAAAA8A&#10;AAAAAAAAAAAAAAAABwIAAGRycy9kb3ducmV2LnhtbFBLBQYAAAAAAwADALcAAAD4AgAAAAA=&#10;" strokecolor="#4579b8">
                  <v:stroke endarrow="block"/>
                </v:shape>
                <v:shape id="Straight Arrow Connector 470" o:spid="_x0000_s1048" type="#_x0000_t32" style="position:absolute;left:132;top:13744;width:62;height: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C+0wQAAANwAAAAPAAAAZHJzL2Rvd25yZXYueG1sRE9LbsIw&#10;EN1X4g7WILGpwClqAAUMqhCo3XQR4ABDPCQR8djYBtLb14tKXT69/2rTm048yIfWsoK3SQaCuLK6&#10;5VrB6bgfL0CEiKyxs0wKfijAZj14WWGh7ZNLehxiLVIIhwIVNDG6QspQNWQwTKwjTtzFeoMxQV9L&#10;7fGZwk0np1k2kwZbTg0NOto2VF0Pd6OAb995d3KL/PNcZz7mvty511Kp0bD/WIKI1Md/8Z/7Syt4&#10;n6f56Uw6AnL9CwAA//8DAFBLAQItABQABgAIAAAAIQDb4fbL7gAAAIUBAAATAAAAAAAAAAAAAAAA&#10;AAAAAABbQ29udGVudF9UeXBlc10ueG1sUEsBAi0AFAAGAAgAAAAhAFr0LFu/AAAAFQEAAAsAAAAA&#10;AAAAAAAAAAAAHwEAAF9yZWxzLy5yZWxzUEsBAi0AFAAGAAgAAAAhABY0L7TBAAAA3AAAAA8AAAAA&#10;AAAAAAAAAAAABwIAAGRycy9kb3ducmV2LnhtbFBLBQYAAAAAAwADALcAAAD1AgAAAAA=&#10;" strokecolor="#4579b8">
                  <v:stroke endarrow="block"/>
                </v:shape>
                <v:shape id="Straight Arrow Connector 471" o:spid="_x0000_s1049" type="#_x0000_t32" style="position:absolute;left:351;top:13744;width:71;height: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2cxAAAANwAAAAPAAAAZHJzL2Rvd25yZXYueG1sRI/RasJA&#10;FETfC/7DcgVfim4M0kp0FVEEXyyt+gGX7DWJZu/G3dXEv3cLhT4OM3OGmS87U4sHOV9ZVjAeJSCI&#10;c6srLhScjtvhFIQPyBpry6TgSR6Wi97bHDNtW/6hxyEUIkLYZ6igDKHJpPR5SQb9yDbE0TtbZzBE&#10;6QqpHbYRbmqZJsmHNFhxXCixoXVJ+fVwNwrc3uXf7fbddJf0tjs5eUzd10apQb9bzUAE6sJ/+K+9&#10;0womn2P4PROPgFy8AAAA//8DAFBLAQItABQABgAIAAAAIQDb4fbL7gAAAIUBAAATAAAAAAAAAAAA&#10;AAAAAAAAAABbQ29udGVudF9UeXBlc10ueG1sUEsBAi0AFAAGAAgAAAAhAFr0LFu/AAAAFQEAAAsA&#10;AAAAAAAAAAAAAAAAHwEAAF9yZWxzLy5yZWxzUEsBAi0AFAAGAAgAAAAhAOA8/ZzEAAAA3AAAAA8A&#10;AAAAAAAAAAAAAAAABwIAAGRycy9kb3ducmV2LnhtbFBLBQYAAAAAAwADALcAAAD4AgAAAAA=&#10;" strokecolor="#4579b8">
                  <v:stroke endarrow="block"/>
                </v:shape>
                <w10:wrap anchorx="margin"/>
              </v:group>
            </w:pict>
          </mc:Fallback>
        </mc:AlternateContent>
      </w:r>
      <w:r w:rsidR="00397BAE" w:rsidRPr="007B4A99">
        <w:rPr>
          <w:rFonts w:ascii="Times New Roman" w:eastAsia="Calibri" w:hAnsi="Times New Roman" w:cs="Times New Roman"/>
          <w:b/>
          <w:bCs/>
          <w:color w:val="000000"/>
          <w:sz w:val="24"/>
          <w:szCs w:val="24"/>
        </w:rPr>
        <w:t xml:space="preserve">Фигура </w:t>
      </w:r>
      <w:r w:rsidR="00943123" w:rsidRPr="007B4A99">
        <w:rPr>
          <w:rFonts w:ascii="Times New Roman" w:eastAsia="Calibri" w:hAnsi="Times New Roman" w:cs="Times New Roman"/>
          <w:b/>
          <w:bCs/>
          <w:color w:val="000000"/>
          <w:sz w:val="24"/>
          <w:szCs w:val="24"/>
        </w:rPr>
        <w:t>1. Дърво на проблемите</w:t>
      </w:r>
    </w:p>
    <w:p w14:paraId="6DE8EEC8" w14:textId="13E4C0BF" w:rsidR="00943123" w:rsidRPr="007B4A99" w:rsidRDefault="00943123" w:rsidP="00943123">
      <w:pPr>
        <w:spacing w:after="0" w:line="276" w:lineRule="auto"/>
        <w:ind w:firstLine="567"/>
        <w:jc w:val="both"/>
        <w:rPr>
          <w:rFonts w:ascii="Times New Roman" w:eastAsia="Calibri" w:hAnsi="Times New Roman" w:cs="Times New Roman"/>
          <w:b/>
          <w:bCs/>
          <w:color w:val="000000"/>
          <w:sz w:val="24"/>
          <w:szCs w:val="24"/>
        </w:rPr>
      </w:pPr>
    </w:p>
    <w:p w14:paraId="3032177C" w14:textId="112D2E6B" w:rsidR="00943123" w:rsidRPr="007B4A99" w:rsidRDefault="00943123" w:rsidP="00153AC2">
      <w:pPr>
        <w:spacing w:after="0" w:line="276" w:lineRule="auto"/>
        <w:jc w:val="both"/>
        <w:rPr>
          <w:rFonts w:ascii="Times New Roman" w:eastAsia="Calibri" w:hAnsi="Times New Roman" w:cs="Times New Roman"/>
          <w:b/>
          <w:bCs/>
          <w:color w:val="000000"/>
          <w:sz w:val="24"/>
          <w:szCs w:val="24"/>
        </w:rPr>
      </w:pPr>
      <w:r w:rsidRPr="007B4A99">
        <w:rPr>
          <w:rFonts w:ascii="Times New Roman" w:eastAsia="Calibri" w:hAnsi="Times New Roman" w:cs="Times New Roman"/>
          <w:b/>
          <w:bCs/>
          <w:color w:val="000000"/>
          <w:sz w:val="24"/>
          <w:szCs w:val="24"/>
        </w:rPr>
        <w:tab/>
      </w:r>
      <w:r w:rsidRPr="007B4A99">
        <w:rPr>
          <w:rFonts w:ascii="Times New Roman" w:eastAsia="Calibri" w:hAnsi="Times New Roman" w:cs="Times New Roman"/>
          <w:b/>
          <w:bCs/>
          <w:color w:val="000000"/>
          <w:sz w:val="24"/>
          <w:szCs w:val="24"/>
        </w:rPr>
        <w:tab/>
      </w:r>
      <w:r w:rsidRPr="007B4A99">
        <w:rPr>
          <w:rFonts w:ascii="Times New Roman" w:eastAsia="Calibri" w:hAnsi="Times New Roman" w:cs="Times New Roman"/>
          <w:b/>
          <w:bCs/>
          <w:color w:val="000000"/>
          <w:sz w:val="24"/>
          <w:szCs w:val="24"/>
        </w:rPr>
        <w:tab/>
      </w:r>
      <w:r w:rsidRPr="007B4A99">
        <w:rPr>
          <w:rFonts w:ascii="Times New Roman" w:eastAsia="Calibri" w:hAnsi="Times New Roman" w:cs="Times New Roman"/>
          <w:b/>
          <w:bCs/>
          <w:color w:val="000000"/>
          <w:sz w:val="24"/>
          <w:szCs w:val="24"/>
        </w:rPr>
        <w:tab/>
      </w:r>
      <w:r w:rsidRPr="007B4A99">
        <w:rPr>
          <w:rFonts w:ascii="Times New Roman" w:eastAsia="Calibri" w:hAnsi="Times New Roman" w:cs="Times New Roman"/>
          <w:b/>
          <w:bCs/>
          <w:color w:val="000000"/>
          <w:sz w:val="24"/>
          <w:szCs w:val="24"/>
        </w:rPr>
        <w:tab/>
      </w:r>
      <w:r w:rsidRPr="007B4A99">
        <w:rPr>
          <w:rFonts w:ascii="Times New Roman" w:eastAsia="Calibri" w:hAnsi="Times New Roman" w:cs="Times New Roman"/>
          <w:b/>
          <w:bCs/>
          <w:color w:val="000000"/>
          <w:sz w:val="24"/>
          <w:szCs w:val="24"/>
        </w:rPr>
        <w:tab/>
      </w:r>
      <w:r w:rsidRPr="007B4A99">
        <w:rPr>
          <w:rFonts w:ascii="Times New Roman" w:hAnsi="Times New Roman" w:cs="Times New Roman"/>
          <w:b/>
          <w:sz w:val="24"/>
          <w:szCs w:val="24"/>
        </w:rPr>
        <w:t>ЕФЕКТИ</w:t>
      </w:r>
    </w:p>
    <w:p w14:paraId="0D5A7B31" w14:textId="77777777" w:rsidR="008C2654" w:rsidRPr="007B4A99" w:rsidRDefault="008C2654" w:rsidP="00943123">
      <w:pPr>
        <w:jc w:val="center"/>
        <w:rPr>
          <w:rFonts w:ascii="Times New Roman" w:hAnsi="Times New Roman" w:cs="Times New Roman"/>
          <w:b/>
          <w:sz w:val="24"/>
          <w:szCs w:val="24"/>
        </w:rPr>
      </w:pPr>
    </w:p>
    <w:p w14:paraId="6334C2BE" w14:textId="77777777" w:rsidR="008C2654" w:rsidRPr="007B4A99" w:rsidRDefault="008C2654" w:rsidP="00943123">
      <w:pPr>
        <w:jc w:val="center"/>
        <w:rPr>
          <w:rFonts w:ascii="Times New Roman" w:hAnsi="Times New Roman" w:cs="Times New Roman"/>
          <w:b/>
          <w:sz w:val="24"/>
          <w:szCs w:val="24"/>
        </w:rPr>
      </w:pPr>
    </w:p>
    <w:p w14:paraId="7A1FD8D9" w14:textId="77777777" w:rsidR="008C2654" w:rsidRPr="007B4A99" w:rsidRDefault="008C2654" w:rsidP="00943123">
      <w:pPr>
        <w:jc w:val="center"/>
        <w:rPr>
          <w:rFonts w:ascii="Times New Roman" w:hAnsi="Times New Roman" w:cs="Times New Roman"/>
          <w:b/>
          <w:sz w:val="24"/>
          <w:szCs w:val="24"/>
        </w:rPr>
      </w:pPr>
    </w:p>
    <w:p w14:paraId="0CBBC698" w14:textId="54C7F293" w:rsidR="00943123" w:rsidRPr="007B4A99" w:rsidRDefault="00153AC2" w:rsidP="00153AC2">
      <w:pPr>
        <w:jc w:val="center"/>
        <w:rPr>
          <w:rFonts w:ascii="Times New Roman" w:hAnsi="Times New Roman" w:cs="Times New Roman"/>
          <w:b/>
          <w:sz w:val="24"/>
          <w:szCs w:val="24"/>
        </w:rPr>
      </w:pPr>
      <w:r w:rsidRPr="007B4A99">
        <w:rPr>
          <w:rFonts w:ascii="Times New Roman" w:hAnsi="Times New Roman" w:cs="Times New Roman"/>
          <w:b/>
          <w:sz w:val="24"/>
          <w:szCs w:val="24"/>
        </w:rPr>
        <w:t xml:space="preserve">       </w:t>
      </w:r>
      <w:r w:rsidR="00943123" w:rsidRPr="007B4A99">
        <w:rPr>
          <w:rFonts w:ascii="Times New Roman" w:hAnsi="Times New Roman" w:cs="Times New Roman"/>
          <w:b/>
          <w:sz w:val="24"/>
          <w:szCs w:val="24"/>
        </w:rPr>
        <w:t>ПРОБЛЕМ</w:t>
      </w:r>
    </w:p>
    <w:p w14:paraId="1ABE60D4" w14:textId="77777777" w:rsidR="00943123" w:rsidRPr="007B4A99" w:rsidRDefault="00943123" w:rsidP="00943123">
      <w:pPr>
        <w:rPr>
          <w:rFonts w:ascii="Times New Roman" w:hAnsi="Times New Roman" w:cs="Times New Roman"/>
          <w:sz w:val="24"/>
          <w:szCs w:val="24"/>
        </w:rPr>
      </w:pPr>
    </w:p>
    <w:p w14:paraId="149573EB" w14:textId="77777777" w:rsidR="00943123" w:rsidRPr="007B4A99" w:rsidRDefault="00943123" w:rsidP="00943123">
      <w:pPr>
        <w:rPr>
          <w:rFonts w:ascii="Times New Roman" w:hAnsi="Times New Roman" w:cs="Times New Roman"/>
          <w:sz w:val="24"/>
          <w:szCs w:val="24"/>
        </w:rPr>
      </w:pPr>
    </w:p>
    <w:p w14:paraId="448CBC1D" w14:textId="77777777" w:rsidR="00943123" w:rsidRPr="007B4A99" w:rsidRDefault="00943123" w:rsidP="00943123">
      <w:pPr>
        <w:rPr>
          <w:rFonts w:ascii="Times New Roman" w:hAnsi="Times New Roman" w:cs="Times New Roman"/>
          <w:sz w:val="24"/>
          <w:szCs w:val="24"/>
        </w:rPr>
      </w:pPr>
    </w:p>
    <w:p w14:paraId="661971C9" w14:textId="77777777" w:rsidR="00943123" w:rsidRPr="007B4A99" w:rsidRDefault="00943123" w:rsidP="00943123">
      <w:pPr>
        <w:rPr>
          <w:rFonts w:ascii="Times New Roman" w:hAnsi="Times New Roman" w:cs="Times New Roman"/>
          <w:sz w:val="24"/>
          <w:szCs w:val="24"/>
        </w:rPr>
      </w:pPr>
    </w:p>
    <w:p w14:paraId="792F1045" w14:textId="77777777" w:rsidR="00943123" w:rsidRPr="007B4A99" w:rsidRDefault="00943123" w:rsidP="00943123">
      <w:pPr>
        <w:rPr>
          <w:rFonts w:ascii="Times New Roman" w:hAnsi="Times New Roman" w:cs="Times New Roman"/>
          <w:sz w:val="24"/>
          <w:szCs w:val="24"/>
        </w:rPr>
      </w:pPr>
    </w:p>
    <w:p w14:paraId="1D90289F" w14:textId="77777777" w:rsidR="00943123" w:rsidRPr="007B4A99" w:rsidRDefault="00943123" w:rsidP="00943123"/>
    <w:p w14:paraId="743F6992" w14:textId="77777777" w:rsidR="00C13E53" w:rsidRPr="007B4A99" w:rsidRDefault="00C13E53" w:rsidP="00C13E53">
      <w:pPr>
        <w:rPr>
          <w:rFonts w:ascii="Times New Roman" w:hAnsi="Times New Roman" w:cs="Times New Roman"/>
          <w:sz w:val="24"/>
          <w:szCs w:val="24"/>
        </w:rPr>
      </w:pPr>
    </w:p>
    <w:p w14:paraId="5C40FB11" w14:textId="77777777" w:rsidR="000D72C1" w:rsidRPr="007B4A99" w:rsidRDefault="000D72C1" w:rsidP="00C13E53">
      <w:pPr>
        <w:jc w:val="center"/>
        <w:rPr>
          <w:rFonts w:ascii="Times New Roman" w:hAnsi="Times New Roman" w:cs="Times New Roman"/>
          <w:b/>
          <w:sz w:val="24"/>
          <w:szCs w:val="24"/>
        </w:rPr>
      </w:pPr>
    </w:p>
    <w:p w14:paraId="2211B4B5" w14:textId="77777777" w:rsidR="00C13E53" w:rsidRPr="007B4A99" w:rsidRDefault="00C13E53" w:rsidP="00C13E53">
      <w:pPr>
        <w:jc w:val="center"/>
        <w:rPr>
          <w:rFonts w:ascii="Times New Roman" w:hAnsi="Times New Roman" w:cs="Times New Roman"/>
          <w:b/>
          <w:sz w:val="24"/>
          <w:szCs w:val="24"/>
        </w:rPr>
      </w:pPr>
      <w:r w:rsidRPr="007B4A99">
        <w:rPr>
          <w:rFonts w:ascii="Times New Roman" w:hAnsi="Times New Roman" w:cs="Times New Roman"/>
          <w:b/>
          <w:sz w:val="24"/>
          <w:szCs w:val="24"/>
        </w:rPr>
        <w:t>ПРИЧИНИ</w:t>
      </w:r>
    </w:p>
    <w:p w14:paraId="535ACB39" w14:textId="77777777" w:rsidR="00943123" w:rsidRPr="007B4A99" w:rsidRDefault="00943123" w:rsidP="00943123">
      <w:pPr>
        <w:jc w:val="center"/>
        <w:rPr>
          <w:rFonts w:ascii="Times New Roman" w:hAnsi="Times New Roman" w:cs="Times New Roman"/>
          <w:b/>
          <w:sz w:val="24"/>
          <w:szCs w:val="24"/>
        </w:rPr>
      </w:pPr>
    </w:p>
    <w:p w14:paraId="6DC7380A" w14:textId="77777777" w:rsidR="008C2654" w:rsidRPr="007B4A99" w:rsidRDefault="008C2654" w:rsidP="00943123">
      <w:pPr>
        <w:jc w:val="center"/>
        <w:rPr>
          <w:rFonts w:ascii="Times New Roman" w:hAnsi="Times New Roman" w:cs="Times New Roman"/>
          <w:b/>
          <w:sz w:val="24"/>
          <w:szCs w:val="24"/>
        </w:rPr>
      </w:pPr>
    </w:p>
    <w:p w14:paraId="0EBDC88E" w14:textId="77777777" w:rsidR="008C2654" w:rsidRPr="007B4A99" w:rsidRDefault="008C2654" w:rsidP="00943123">
      <w:pPr>
        <w:jc w:val="center"/>
        <w:rPr>
          <w:rFonts w:ascii="Times New Roman" w:hAnsi="Times New Roman" w:cs="Times New Roman"/>
          <w:b/>
          <w:sz w:val="24"/>
          <w:szCs w:val="24"/>
        </w:rPr>
      </w:pPr>
    </w:p>
    <w:p w14:paraId="48F0BE0D" w14:textId="77777777" w:rsidR="008C2654" w:rsidRPr="007B4A99" w:rsidRDefault="008C2654" w:rsidP="00943123">
      <w:pPr>
        <w:jc w:val="center"/>
        <w:rPr>
          <w:rFonts w:ascii="Times New Roman" w:hAnsi="Times New Roman" w:cs="Times New Roman"/>
          <w:b/>
          <w:sz w:val="24"/>
          <w:szCs w:val="24"/>
        </w:rPr>
      </w:pPr>
    </w:p>
    <w:p w14:paraId="2A6A841B" w14:textId="77777777" w:rsidR="00943123" w:rsidRPr="007B4A99" w:rsidRDefault="00943123" w:rsidP="00943123">
      <w:pPr>
        <w:jc w:val="center"/>
        <w:rPr>
          <w:rFonts w:ascii="Times New Roman" w:hAnsi="Times New Roman" w:cs="Times New Roman"/>
          <w:b/>
          <w:sz w:val="24"/>
          <w:szCs w:val="24"/>
        </w:rPr>
      </w:pPr>
      <w:r w:rsidRPr="007B4A99">
        <w:rPr>
          <w:rFonts w:ascii="Times New Roman" w:hAnsi="Times New Roman" w:cs="Times New Roman"/>
          <w:b/>
          <w:sz w:val="24"/>
          <w:szCs w:val="24"/>
        </w:rPr>
        <w:t>ДВИГАТЕЛИ</w:t>
      </w:r>
    </w:p>
    <w:p w14:paraId="5AB65691" w14:textId="77777777" w:rsidR="0059331C" w:rsidRDefault="0059331C" w:rsidP="00535D2C">
      <w:pPr>
        <w:rPr>
          <w:rFonts w:ascii="Times New Roman" w:hAnsi="Times New Roman" w:cs="Times New Roman"/>
          <w:b/>
          <w:sz w:val="24"/>
          <w:szCs w:val="24"/>
        </w:rPr>
      </w:pPr>
    </w:p>
    <w:p w14:paraId="0CE855A1" w14:textId="77777777" w:rsidR="00535D2C" w:rsidRDefault="00535D2C" w:rsidP="00535D2C">
      <w:pPr>
        <w:rPr>
          <w:rFonts w:ascii="Times New Roman" w:hAnsi="Times New Roman" w:cs="Times New Roman"/>
          <w:b/>
          <w:sz w:val="24"/>
          <w:szCs w:val="24"/>
        </w:rPr>
      </w:pPr>
    </w:p>
    <w:p w14:paraId="1452F6C9" w14:textId="77777777" w:rsidR="00535D2C" w:rsidRDefault="00535D2C" w:rsidP="00535D2C">
      <w:pPr>
        <w:rPr>
          <w:rFonts w:ascii="Times New Roman" w:hAnsi="Times New Roman" w:cs="Times New Roman"/>
          <w:b/>
          <w:sz w:val="24"/>
          <w:szCs w:val="24"/>
        </w:rPr>
      </w:pPr>
    </w:p>
    <w:p w14:paraId="4DD23FB5" w14:textId="77777777" w:rsidR="00535D2C" w:rsidRDefault="00535D2C" w:rsidP="00535D2C">
      <w:pPr>
        <w:rPr>
          <w:rFonts w:ascii="Times New Roman" w:hAnsi="Times New Roman" w:cs="Times New Roman"/>
          <w:b/>
          <w:sz w:val="24"/>
          <w:szCs w:val="24"/>
        </w:rPr>
      </w:pPr>
    </w:p>
    <w:p w14:paraId="15E2CF8F" w14:textId="77777777" w:rsidR="00535D2C" w:rsidRPr="007B4A99" w:rsidRDefault="00535D2C" w:rsidP="00535D2C">
      <w:pPr>
        <w:rPr>
          <w:rFonts w:ascii="Times New Roman" w:hAnsi="Times New Roman" w:cs="Times New Roman"/>
          <w:b/>
          <w:sz w:val="24"/>
          <w:szCs w:val="24"/>
        </w:rPr>
      </w:pPr>
    </w:p>
    <w:p w14:paraId="6C98143A" w14:textId="2420FAC3" w:rsidR="0082603E" w:rsidRPr="007B4A99" w:rsidRDefault="004C638A" w:rsidP="00861982">
      <w:pPr>
        <w:pStyle w:val="Heading1"/>
        <w:tabs>
          <w:tab w:val="left" w:pos="851"/>
        </w:tabs>
        <w:ind w:left="0" w:firstLine="567"/>
        <w:rPr>
          <w:rFonts w:ascii="Times New Roman" w:hAnsi="Times New Roman"/>
        </w:rPr>
      </w:pPr>
      <w:bookmarkStart w:id="5" w:name="_Toc198633077"/>
      <w:r w:rsidRPr="007B4A99">
        <w:rPr>
          <w:rFonts w:ascii="Times New Roman" w:hAnsi="Times New Roman"/>
        </w:rPr>
        <w:t>Заинтересовани страни</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2496" w:rsidRPr="007B4A99" w14:paraId="7EC53056" w14:textId="77777777" w:rsidTr="00DD69D5">
        <w:tc>
          <w:tcPr>
            <w:tcW w:w="9062" w:type="dxa"/>
          </w:tcPr>
          <w:p w14:paraId="6BB774B3" w14:textId="77777777" w:rsidR="00012496" w:rsidRPr="007B4A99" w:rsidRDefault="00012496" w:rsidP="00012496">
            <w:pPr>
              <w:pStyle w:val="7878"/>
            </w:pPr>
            <w:r w:rsidRPr="007B4A99">
              <w:t>Идентифицирането на заинтересованите от оценяваните политики или норми страни е основен процедурен етап в извършването на предварителната оценка на въздействието. Именно въздействието върху заинтересованите страни на разглежданите варианти стои в основата на оценката. Поради това правилното набелязване на заинтересовани страни е от ключово значение за целия процес по оценка. (Ръководство, РМС № 728 от 2019 г., стр. 26).</w:t>
            </w:r>
          </w:p>
          <w:p w14:paraId="7804E6D1" w14:textId="77777777" w:rsidR="00012496" w:rsidRPr="007B4A99" w:rsidRDefault="00012496" w:rsidP="00012496">
            <w:pPr>
              <w:pStyle w:val="7878"/>
              <w:rPr>
                <w:b/>
              </w:rPr>
            </w:pPr>
            <w:r w:rsidRPr="007B4A99">
              <w:rPr>
                <w:b/>
              </w:rPr>
              <w:t>NB! За всеки отделен проблем, разгледан в оценката, заинтересованите страни могат да варират, като за единия проблем една част от тях да отпаднат, а за друг от проблемите - да се добавят други заинтересовани страни.</w:t>
            </w:r>
          </w:p>
          <w:p w14:paraId="6F17E06D" w14:textId="77777777" w:rsidR="00012496" w:rsidRPr="007B4A99" w:rsidRDefault="00012496" w:rsidP="00012496">
            <w:pPr>
              <w:pStyle w:val="7878"/>
            </w:pPr>
            <w:r w:rsidRPr="007B4A99">
              <w:t>Възможните начини за провеждане на консултации са посочени в Наредбата за обхвата и методологията за извършване на оценка на въздействието, Ръководството за извършване на предварителна оценка на въздействието (РМС № 728 от 2019 г.) и Стандартите за провеждане на обществени консултации (одобрени от Съвета за административната реформа на 16 септември 2019 г.).]</w:t>
            </w:r>
          </w:p>
          <w:p w14:paraId="0209A339" w14:textId="77777777" w:rsidR="00012496" w:rsidRPr="007B4A99" w:rsidRDefault="00012496" w:rsidP="00012496">
            <w:pPr>
              <w:jc w:val="both"/>
            </w:pPr>
            <w:r w:rsidRPr="007B4A99">
              <w:rPr>
                <w:rFonts w:ascii="Century" w:hAnsi="Century" w:cs="Times New Roman"/>
                <w:i/>
              </w:rPr>
              <w:t>Посочете всички потенциални засегнати и заинтересовани страни, върху които предложението ще окаже пряко или косвено въздействие (бизнес в дадена  област/всички предприемачи, неправителствени организации, граждани/техни представители, държавни органи, др.).</w:t>
            </w:r>
            <w:r w:rsidRPr="007B4A99">
              <w:t xml:space="preserve"> </w:t>
            </w:r>
          </w:p>
          <w:p w14:paraId="483A4711" w14:textId="46C76B4B" w:rsidR="00012496" w:rsidRPr="007B4A99" w:rsidRDefault="00012496" w:rsidP="001447B5">
            <w:pPr>
              <w:jc w:val="both"/>
            </w:pPr>
            <w:r w:rsidRPr="007B4A99">
              <w:rPr>
                <w:rFonts w:ascii="Century" w:hAnsi="Century" w:cs="Times New Roman"/>
                <w:i/>
              </w:rPr>
              <w:t>Когато заинтересованите страни се посочват по групи е необходимо да се посочи техният брой, за да се определи мащаба на въздействията.</w:t>
            </w:r>
          </w:p>
        </w:tc>
      </w:tr>
    </w:tbl>
    <w:p w14:paraId="056A191E" w14:textId="77777777" w:rsidR="008E2F0B" w:rsidRDefault="008E2F0B" w:rsidP="00DD69D5">
      <w:pPr>
        <w:spacing w:after="0" w:line="240" w:lineRule="auto"/>
        <w:ind w:firstLine="567"/>
        <w:jc w:val="both"/>
        <w:rPr>
          <w:rFonts w:ascii="Times New Roman" w:hAnsi="Times New Roman" w:cs="Times New Roman"/>
          <w:sz w:val="24"/>
          <w:szCs w:val="24"/>
        </w:rPr>
      </w:pPr>
    </w:p>
    <w:p w14:paraId="2519AE2F" w14:textId="2F4E1AA6" w:rsidR="007917E7" w:rsidRPr="007B4A99" w:rsidRDefault="007917E7"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За постигане на възможно най-широко покритие на всички потенциални заинтересовани страни от оценяваната политика в ОВ е приложен инструментът за </w:t>
      </w:r>
      <w:r w:rsidR="00711DEB" w:rsidRPr="007B4A99">
        <w:rPr>
          <w:rFonts w:ascii="Times New Roman" w:hAnsi="Times New Roman" w:cs="Times New Roman"/>
          <w:sz w:val="24"/>
          <w:szCs w:val="24"/>
        </w:rPr>
        <w:t xml:space="preserve">идентифициране </w:t>
      </w:r>
      <w:r w:rsidRPr="007B4A99">
        <w:rPr>
          <w:rFonts w:ascii="Times New Roman" w:hAnsi="Times New Roman" w:cs="Times New Roman"/>
          <w:sz w:val="24"/>
          <w:szCs w:val="24"/>
        </w:rPr>
        <w:t xml:space="preserve">на заинтересованите страни, </w:t>
      </w:r>
      <w:r w:rsidR="00F113E7" w:rsidRPr="007B4A99">
        <w:rPr>
          <w:rFonts w:ascii="Times New Roman" w:hAnsi="Times New Roman" w:cs="Times New Roman"/>
          <w:sz w:val="24"/>
          <w:szCs w:val="24"/>
        </w:rPr>
        <w:t>прилаган</w:t>
      </w:r>
      <w:r w:rsidRPr="007B4A99">
        <w:rPr>
          <w:rFonts w:ascii="Times New Roman" w:hAnsi="Times New Roman" w:cs="Times New Roman"/>
          <w:sz w:val="24"/>
          <w:szCs w:val="24"/>
        </w:rPr>
        <w:t xml:space="preserve"> от Европейската комисия, </w:t>
      </w:r>
      <w:r w:rsidR="00F113E7" w:rsidRPr="007B4A99">
        <w:rPr>
          <w:rFonts w:ascii="Times New Roman" w:hAnsi="Times New Roman" w:cs="Times New Roman"/>
          <w:sz w:val="24"/>
          <w:szCs w:val="24"/>
        </w:rPr>
        <w:t>който включва</w:t>
      </w:r>
      <w:r w:rsidRPr="007B4A99">
        <w:rPr>
          <w:rFonts w:ascii="Times New Roman" w:hAnsi="Times New Roman" w:cs="Times New Roman"/>
          <w:sz w:val="24"/>
          <w:szCs w:val="24"/>
        </w:rPr>
        <w:t>:</w:t>
      </w:r>
    </w:p>
    <w:p w14:paraId="653BFC1E" w14:textId="63D672DA" w:rsidR="007917E7" w:rsidRPr="007B4A99" w:rsidRDefault="00F113E7"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І</w:t>
      </w:r>
      <w:r w:rsidR="007917E7" w:rsidRPr="007B4A99">
        <w:rPr>
          <w:rFonts w:ascii="Times New Roman" w:hAnsi="Times New Roman" w:cs="Times New Roman"/>
          <w:sz w:val="24"/>
          <w:szCs w:val="24"/>
        </w:rPr>
        <w:t xml:space="preserve">. </w:t>
      </w:r>
      <w:r w:rsidR="00711DEB" w:rsidRPr="007B4A99">
        <w:rPr>
          <w:rFonts w:ascii="Times New Roman" w:hAnsi="Times New Roman" w:cs="Times New Roman"/>
          <w:sz w:val="24"/>
          <w:szCs w:val="24"/>
        </w:rPr>
        <w:t xml:space="preserve">набелязване </w:t>
      </w:r>
      <w:r w:rsidR="007917E7" w:rsidRPr="007B4A99">
        <w:rPr>
          <w:rFonts w:ascii="Times New Roman" w:hAnsi="Times New Roman" w:cs="Times New Roman"/>
          <w:sz w:val="24"/>
          <w:szCs w:val="24"/>
        </w:rPr>
        <w:t xml:space="preserve">на </w:t>
      </w:r>
      <w:r w:rsidR="00D918E0" w:rsidRPr="007B4A99">
        <w:rPr>
          <w:rFonts w:ascii="Times New Roman" w:hAnsi="Times New Roman" w:cs="Times New Roman"/>
          <w:sz w:val="24"/>
          <w:szCs w:val="24"/>
        </w:rPr>
        <w:t xml:space="preserve">всички </w:t>
      </w:r>
      <w:r w:rsidR="007917E7" w:rsidRPr="007B4A99">
        <w:rPr>
          <w:rFonts w:ascii="Times New Roman" w:hAnsi="Times New Roman" w:cs="Times New Roman"/>
          <w:sz w:val="24"/>
          <w:szCs w:val="24"/>
        </w:rPr>
        <w:t xml:space="preserve">заинтересовани страни, </w:t>
      </w:r>
      <w:r w:rsidR="00D918E0" w:rsidRPr="007B4A99">
        <w:rPr>
          <w:rFonts w:ascii="Times New Roman" w:hAnsi="Times New Roman" w:cs="Times New Roman"/>
          <w:sz w:val="24"/>
          <w:szCs w:val="24"/>
        </w:rPr>
        <w:t xml:space="preserve">които имат отношение към или се интересуват от съответната област на политика; </w:t>
      </w:r>
    </w:p>
    <w:p w14:paraId="6B23A4C4" w14:textId="0C6DBC41" w:rsidR="00D918E0" w:rsidRPr="007B4A99" w:rsidRDefault="00F113E7"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ІІ</w:t>
      </w:r>
      <w:r w:rsidR="007917E7" w:rsidRPr="007B4A99">
        <w:rPr>
          <w:rFonts w:ascii="Times New Roman" w:hAnsi="Times New Roman" w:cs="Times New Roman"/>
          <w:sz w:val="24"/>
          <w:szCs w:val="24"/>
        </w:rPr>
        <w:t xml:space="preserve">. </w:t>
      </w:r>
      <w:r w:rsidR="00D918E0" w:rsidRPr="007B4A99">
        <w:rPr>
          <w:rFonts w:ascii="Times New Roman" w:hAnsi="Times New Roman" w:cs="Times New Roman"/>
          <w:sz w:val="24"/>
          <w:szCs w:val="24"/>
        </w:rPr>
        <w:t xml:space="preserve">определяне на целеви групи, различни от </w:t>
      </w:r>
      <w:r w:rsidRPr="007B4A99">
        <w:rPr>
          <w:rFonts w:ascii="Times New Roman" w:hAnsi="Times New Roman" w:cs="Times New Roman"/>
          <w:sz w:val="24"/>
          <w:szCs w:val="24"/>
        </w:rPr>
        <w:t>„</w:t>
      </w:r>
      <w:r w:rsidR="00D918E0" w:rsidRPr="007B4A99">
        <w:rPr>
          <w:rFonts w:ascii="Times New Roman" w:hAnsi="Times New Roman" w:cs="Times New Roman"/>
          <w:sz w:val="24"/>
          <w:szCs w:val="24"/>
        </w:rPr>
        <w:t>оче</w:t>
      </w:r>
      <w:r w:rsidRPr="007B4A99">
        <w:rPr>
          <w:rFonts w:ascii="Times New Roman" w:hAnsi="Times New Roman" w:cs="Times New Roman"/>
          <w:sz w:val="24"/>
          <w:szCs w:val="24"/>
        </w:rPr>
        <w:t>видните“</w:t>
      </w:r>
      <w:r w:rsidR="00D918E0" w:rsidRPr="007B4A99">
        <w:rPr>
          <w:rFonts w:ascii="Times New Roman" w:hAnsi="Times New Roman" w:cs="Times New Roman"/>
          <w:sz w:val="24"/>
          <w:szCs w:val="24"/>
        </w:rPr>
        <w:t xml:space="preserve"> заинтересовани страни, за които съществува риск да бъдат изключени от процеса по консултиране и оценка; </w:t>
      </w:r>
    </w:p>
    <w:p w14:paraId="4943E9D5" w14:textId="6D221C32" w:rsidR="007917E7" w:rsidRPr="007B4A99" w:rsidRDefault="00F113E7"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lastRenderedPageBreak/>
        <w:t>ІІІ</w:t>
      </w:r>
      <w:r w:rsidR="00D918E0" w:rsidRPr="007B4A99">
        <w:rPr>
          <w:rFonts w:ascii="Times New Roman" w:hAnsi="Times New Roman" w:cs="Times New Roman"/>
          <w:sz w:val="24"/>
          <w:szCs w:val="24"/>
        </w:rPr>
        <w:t xml:space="preserve">. </w:t>
      </w:r>
      <w:r w:rsidR="007917E7" w:rsidRPr="007B4A99">
        <w:rPr>
          <w:rFonts w:ascii="Times New Roman" w:hAnsi="Times New Roman" w:cs="Times New Roman"/>
          <w:sz w:val="24"/>
          <w:szCs w:val="24"/>
        </w:rPr>
        <w:t>сортиране на заинтересовани</w:t>
      </w:r>
      <w:r w:rsidR="00D918E0" w:rsidRPr="007B4A99">
        <w:rPr>
          <w:rFonts w:ascii="Times New Roman" w:hAnsi="Times New Roman" w:cs="Times New Roman"/>
          <w:sz w:val="24"/>
          <w:szCs w:val="24"/>
        </w:rPr>
        <w:t>те</w:t>
      </w:r>
      <w:r w:rsidR="007917E7" w:rsidRPr="007B4A99">
        <w:rPr>
          <w:rFonts w:ascii="Times New Roman" w:hAnsi="Times New Roman" w:cs="Times New Roman"/>
          <w:sz w:val="24"/>
          <w:szCs w:val="24"/>
        </w:rPr>
        <w:t xml:space="preserve"> страни в съответствие с</w:t>
      </w:r>
      <w:r w:rsidR="00D918E0" w:rsidRPr="007B4A99">
        <w:rPr>
          <w:rFonts w:ascii="Times New Roman" w:hAnsi="Times New Roman" w:cs="Times New Roman"/>
          <w:sz w:val="24"/>
          <w:szCs w:val="24"/>
        </w:rPr>
        <w:t>ъс</w:t>
      </w:r>
      <w:r w:rsidR="007917E7" w:rsidRPr="007B4A99">
        <w:rPr>
          <w:rFonts w:ascii="Times New Roman" w:hAnsi="Times New Roman" w:cs="Times New Roman"/>
          <w:sz w:val="24"/>
          <w:szCs w:val="24"/>
        </w:rPr>
        <w:t xml:space="preserve"> </w:t>
      </w:r>
      <w:r w:rsidR="00D918E0" w:rsidRPr="007B4A99">
        <w:rPr>
          <w:rFonts w:ascii="Times New Roman" w:hAnsi="Times New Roman" w:cs="Times New Roman"/>
          <w:sz w:val="24"/>
          <w:szCs w:val="24"/>
        </w:rPr>
        <w:t>степента на интерес, влияние и експертни познания</w:t>
      </w:r>
      <w:r w:rsidR="007917E7" w:rsidRPr="007B4A99">
        <w:rPr>
          <w:rFonts w:ascii="Times New Roman" w:hAnsi="Times New Roman" w:cs="Times New Roman"/>
          <w:sz w:val="24"/>
          <w:szCs w:val="24"/>
        </w:rPr>
        <w:t xml:space="preserve"> върху конкретната </w:t>
      </w:r>
      <w:r w:rsidR="00D918E0" w:rsidRPr="007B4A99">
        <w:rPr>
          <w:rFonts w:ascii="Times New Roman" w:hAnsi="Times New Roman" w:cs="Times New Roman"/>
          <w:sz w:val="24"/>
          <w:szCs w:val="24"/>
        </w:rPr>
        <w:t xml:space="preserve">политика, </w:t>
      </w:r>
      <w:r w:rsidR="007917E7" w:rsidRPr="007B4A99">
        <w:rPr>
          <w:rFonts w:ascii="Times New Roman" w:hAnsi="Times New Roman" w:cs="Times New Roman"/>
          <w:sz w:val="24"/>
          <w:szCs w:val="24"/>
        </w:rPr>
        <w:t>стратегия</w:t>
      </w:r>
      <w:r w:rsidR="00D918E0" w:rsidRPr="007B4A99">
        <w:rPr>
          <w:rFonts w:ascii="Times New Roman" w:hAnsi="Times New Roman" w:cs="Times New Roman"/>
          <w:sz w:val="24"/>
          <w:szCs w:val="24"/>
        </w:rPr>
        <w:t xml:space="preserve"> или</w:t>
      </w:r>
      <w:r w:rsidR="007917E7" w:rsidRPr="007B4A99">
        <w:rPr>
          <w:rFonts w:ascii="Times New Roman" w:hAnsi="Times New Roman" w:cs="Times New Roman"/>
          <w:sz w:val="24"/>
          <w:szCs w:val="24"/>
        </w:rPr>
        <w:t xml:space="preserve"> </w:t>
      </w:r>
      <w:r w:rsidR="00D918E0" w:rsidRPr="007B4A99">
        <w:rPr>
          <w:rFonts w:ascii="Times New Roman" w:hAnsi="Times New Roman" w:cs="Times New Roman"/>
          <w:sz w:val="24"/>
          <w:szCs w:val="24"/>
        </w:rPr>
        <w:t>инициатива, която е обект на оценка;</w:t>
      </w:r>
    </w:p>
    <w:p w14:paraId="7FF1FF22" w14:textId="6F55CE33" w:rsidR="00711DEB" w:rsidRPr="007B4A99" w:rsidRDefault="00F113E7"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ІV</w:t>
      </w:r>
      <w:r w:rsidR="00711DEB" w:rsidRPr="007B4A99">
        <w:rPr>
          <w:rFonts w:ascii="Times New Roman" w:hAnsi="Times New Roman" w:cs="Times New Roman"/>
          <w:sz w:val="24"/>
          <w:szCs w:val="24"/>
        </w:rPr>
        <w:t>. групиране на набелязаните заинтересовани страни по категории</w:t>
      </w:r>
      <w:r w:rsidR="000A00F5" w:rsidRPr="007B4A99">
        <w:rPr>
          <w:rStyle w:val="FootnoteReference"/>
          <w:rFonts w:ascii="Times New Roman" w:hAnsi="Times New Roman" w:cs="Times New Roman"/>
          <w:sz w:val="24"/>
          <w:szCs w:val="24"/>
        </w:rPr>
        <w:footnoteReference w:id="18"/>
      </w:r>
      <w:r w:rsidR="00711DEB" w:rsidRPr="007B4A99">
        <w:rPr>
          <w:rFonts w:ascii="Times New Roman" w:hAnsi="Times New Roman" w:cs="Times New Roman"/>
          <w:sz w:val="24"/>
          <w:szCs w:val="24"/>
        </w:rPr>
        <w:t>.</w:t>
      </w:r>
    </w:p>
    <w:p w14:paraId="38A3618F" w14:textId="65A29282" w:rsidR="00B20BB7" w:rsidRPr="007B4A99" w:rsidRDefault="00BB323F"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Списъкът на преките адресати, засегнатите и заинтересованите страни</w:t>
      </w:r>
      <w:r w:rsidR="002628C8" w:rsidRPr="007B4A99">
        <w:rPr>
          <w:rFonts w:ascii="Times New Roman" w:hAnsi="Times New Roman"/>
          <w:sz w:val="24"/>
          <w:szCs w:val="24"/>
        </w:rPr>
        <w:t xml:space="preserve"> </w:t>
      </w:r>
      <w:r w:rsidR="00983762" w:rsidRPr="007B4A99">
        <w:rPr>
          <w:rFonts w:ascii="Times New Roman" w:hAnsi="Times New Roman"/>
          <w:sz w:val="24"/>
          <w:szCs w:val="24"/>
        </w:rPr>
        <w:t xml:space="preserve">от една бъдеща публична интервенция, целяща </w:t>
      </w:r>
      <w:r w:rsidRPr="007B4A99">
        <w:rPr>
          <w:rFonts w:ascii="Times New Roman" w:hAnsi="Times New Roman"/>
          <w:sz w:val="24"/>
          <w:szCs w:val="24"/>
        </w:rPr>
        <w:t>подобряване на регулирането на обществените отношения в разглежданата материя</w:t>
      </w:r>
      <w:r w:rsidR="003861DB" w:rsidRPr="007B4A99">
        <w:rPr>
          <w:rFonts w:ascii="Times New Roman" w:hAnsi="Times New Roman"/>
          <w:sz w:val="24"/>
          <w:szCs w:val="24"/>
        </w:rPr>
        <w:t>,</w:t>
      </w:r>
      <w:r w:rsidRPr="007B4A99">
        <w:rPr>
          <w:rFonts w:ascii="Times New Roman" w:hAnsi="Times New Roman"/>
          <w:sz w:val="24"/>
          <w:szCs w:val="24"/>
        </w:rPr>
        <w:t xml:space="preserve"> </w:t>
      </w:r>
      <w:r w:rsidR="002628C8" w:rsidRPr="007B4A99">
        <w:rPr>
          <w:rFonts w:ascii="Times New Roman" w:hAnsi="Times New Roman"/>
          <w:sz w:val="24"/>
          <w:szCs w:val="24"/>
        </w:rPr>
        <w:t>неизчерпателно</w:t>
      </w:r>
      <w:r w:rsidRPr="007B4A99">
        <w:rPr>
          <w:rFonts w:ascii="Times New Roman" w:hAnsi="Times New Roman"/>
          <w:sz w:val="24"/>
          <w:szCs w:val="24"/>
        </w:rPr>
        <w:t xml:space="preserve"> включва следните групи:</w:t>
      </w:r>
    </w:p>
    <w:p w14:paraId="3D54DD42" w14:textId="4BD4C99B" w:rsidR="00E20B73" w:rsidRPr="00535D2C" w:rsidRDefault="000A00F5" w:rsidP="00DD69D5">
      <w:pPr>
        <w:pStyle w:val="ListParagraph"/>
        <w:numPr>
          <w:ilvl w:val="0"/>
          <w:numId w:val="6"/>
        </w:numPr>
        <w:spacing w:after="0" w:line="240" w:lineRule="auto"/>
        <w:jc w:val="both"/>
        <w:rPr>
          <w:rFonts w:ascii="Times New Roman" w:hAnsi="Times New Roman" w:cs="Times New Roman"/>
          <w:sz w:val="24"/>
          <w:szCs w:val="24"/>
        </w:rPr>
      </w:pPr>
      <w:r w:rsidRPr="00535D2C">
        <w:rPr>
          <w:rFonts w:ascii="Times New Roman" w:hAnsi="Times New Roman" w:cs="Times New Roman"/>
          <w:sz w:val="24"/>
          <w:szCs w:val="24"/>
        </w:rPr>
        <w:t>българските земеделски производители</w:t>
      </w:r>
      <w:r w:rsidR="00E20B73" w:rsidRPr="00535D2C">
        <w:rPr>
          <w:rFonts w:ascii="Times New Roman" w:hAnsi="Times New Roman" w:cs="Times New Roman"/>
          <w:sz w:val="24"/>
          <w:szCs w:val="24"/>
        </w:rPr>
        <w:t>;</w:t>
      </w:r>
    </w:p>
    <w:p w14:paraId="41C92923" w14:textId="185EAABA" w:rsidR="00767741" w:rsidRPr="00535D2C" w:rsidRDefault="00767741" w:rsidP="00DD69D5">
      <w:pPr>
        <w:pStyle w:val="ListParagraph"/>
        <w:numPr>
          <w:ilvl w:val="0"/>
          <w:numId w:val="6"/>
        </w:numPr>
        <w:spacing w:after="0" w:line="240" w:lineRule="auto"/>
        <w:jc w:val="both"/>
        <w:rPr>
          <w:rFonts w:ascii="Times New Roman" w:hAnsi="Times New Roman" w:cs="Times New Roman"/>
          <w:sz w:val="24"/>
          <w:szCs w:val="24"/>
        </w:rPr>
      </w:pPr>
      <w:r w:rsidRPr="00535D2C">
        <w:rPr>
          <w:rFonts w:ascii="Times New Roman" w:hAnsi="Times New Roman" w:cs="Times New Roman"/>
          <w:sz w:val="24"/>
          <w:szCs w:val="24"/>
        </w:rPr>
        <w:t>бизнес операторите, които преработват или извършват дистрибуция на храни;</w:t>
      </w:r>
    </w:p>
    <w:p w14:paraId="51DD337F" w14:textId="6E937655" w:rsidR="00E20B73" w:rsidRPr="00535D2C" w:rsidRDefault="000A00F5" w:rsidP="00DD69D5">
      <w:pPr>
        <w:pStyle w:val="ListParagraph"/>
        <w:numPr>
          <w:ilvl w:val="0"/>
          <w:numId w:val="6"/>
        </w:numPr>
        <w:spacing w:after="0" w:line="240" w:lineRule="auto"/>
        <w:jc w:val="both"/>
        <w:rPr>
          <w:rFonts w:ascii="Times New Roman" w:hAnsi="Times New Roman" w:cs="Times New Roman"/>
          <w:sz w:val="24"/>
          <w:szCs w:val="24"/>
        </w:rPr>
      </w:pPr>
      <w:r w:rsidRPr="00535D2C">
        <w:rPr>
          <w:rFonts w:ascii="Times New Roman" w:hAnsi="Times New Roman" w:cs="Times New Roman"/>
          <w:sz w:val="24"/>
          <w:szCs w:val="24"/>
        </w:rPr>
        <w:t>търговците на едро и дребно с храни</w:t>
      </w:r>
      <w:r w:rsidR="00E20B73" w:rsidRPr="00535D2C">
        <w:rPr>
          <w:rFonts w:ascii="Times New Roman" w:hAnsi="Times New Roman" w:cs="Times New Roman"/>
          <w:sz w:val="24"/>
          <w:szCs w:val="24"/>
        </w:rPr>
        <w:t>;</w:t>
      </w:r>
    </w:p>
    <w:p w14:paraId="2A2F8CD9" w14:textId="22208F77" w:rsidR="000A00F5" w:rsidRPr="00535D2C" w:rsidRDefault="000A00F5" w:rsidP="00DD69D5">
      <w:pPr>
        <w:pStyle w:val="ListParagraph"/>
        <w:numPr>
          <w:ilvl w:val="0"/>
          <w:numId w:val="6"/>
        </w:numPr>
        <w:spacing w:after="0" w:line="240" w:lineRule="auto"/>
        <w:jc w:val="both"/>
        <w:rPr>
          <w:rFonts w:ascii="Times New Roman" w:hAnsi="Times New Roman" w:cs="Times New Roman"/>
          <w:sz w:val="24"/>
          <w:szCs w:val="24"/>
        </w:rPr>
      </w:pPr>
      <w:r w:rsidRPr="00535D2C">
        <w:rPr>
          <w:rFonts w:ascii="Times New Roman" w:hAnsi="Times New Roman" w:cs="Times New Roman"/>
          <w:sz w:val="24"/>
          <w:szCs w:val="24"/>
        </w:rPr>
        <w:t>браншови</w:t>
      </w:r>
      <w:r w:rsidR="00767741" w:rsidRPr="00535D2C">
        <w:rPr>
          <w:rFonts w:ascii="Times New Roman" w:hAnsi="Times New Roman" w:cs="Times New Roman"/>
          <w:sz w:val="24"/>
          <w:szCs w:val="24"/>
        </w:rPr>
        <w:t>те</w:t>
      </w:r>
      <w:r w:rsidRPr="00535D2C">
        <w:rPr>
          <w:rFonts w:ascii="Times New Roman" w:hAnsi="Times New Roman" w:cs="Times New Roman"/>
          <w:sz w:val="24"/>
          <w:szCs w:val="24"/>
        </w:rPr>
        <w:t xml:space="preserve"> и съсловни организации</w:t>
      </w:r>
      <w:r w:rsidR="00767741" w:rsidRPr="00535D2C">
        <w:rPr>
          <w:rFonts w:ascii="Times New Roman" w:hAnsi="Times New Roman" w:cs="Times New Roman"/>
          <w:sz w:val="24"/>
          <w:szCs w:val="24"/>
        </w:rPr>
        <w:t xml:space="preserve"> на посочените оператори;</w:t>
      </w:r>
    </w:p>
    <w:p w14:paraId="09281A1F" w14:textId="2F1B6FF7" w:rsidR="000A00F5" w:rsidRPr="00535D2C" w:rsidRDefault="000A00F5" w:rsidP="00DD69D5">
      <w:pPr>
        <w:pStyle w:val="ListParagraph"/>
        <w:numPr>
          <w:ilvl w:val="0"/>
          <w:numId w:val="6"/>
        </w:numPr>
        <w:spacing w:after="0" w:line="240" w:lineRule="auto"/>
        <w:jc w:val="both"/>
        <w:rPr>
          <w:rFonts w:ascii="Times New Roman" w:hAnsi="Times New Roman" w:cs="Times New Roman"/>
          <w:sz w:val="24"/>
          <w:szCs w:val="24"/>
        </w:rPr>
      </w:pPr>
      <w:r w:rsidRPr="00535D2C">
        <w:rPr>
          <w:rFonts w:ascii="Times New Roman" w:hAnsi="Times New Roman" w:cs="Times New Roman"/>
          <w:sz w:val="24"/>
          <w:szCs w:val="24"/>
        </w:rPr>
        <w:t>Министерството на земеделието и храните;</w:t>
      </w:r>
    </w:p>
    <w:p w14:paraId="24F6118A" w14:textId="76EDE6F2" w:rsidR="00767741" w:rsidRPr="00535D2C" w:rsidRDefault="00767741" w:rsidP="00DD69D5">
      <w:pPr>
        <w:pStyle w:val="ListParagraph"/>
        <w:numPr>
          <w:ilvl w:val="0"/>
          <w:numId w:val="6"/>
        </w:numPr>
        <w:spacing w:after="0" w:line="240" w:lineRule="auto"/>
        <w:jc w:val="both"/>
        <w:rPr>
          <w:rFonts w:ascii="Times New Roman" w:hAnsi="Times New Roman" w:cs="Times New Roman"/>
          <w:sz w:val="24"/>
          <w:szCs w:val="24"/>
        </w:rPr>
      </w:pPr>
      <w:r w:rsidRPr="00535D2C">
        <w:rPr>
          <w:rFonts w:ascii="Times New Roman" w:hAnsi="Times New Roman" w:cs="Times New Roman"/>
          <w:sz w:val="24"/>
          <w:szCs w:val="24"/>
        </w:rPr>
        <w:t>Министерство на икономиката и индустрията;</w:t>
      </w:r>
    </w:p>
    <w:p w14:paraId="4E083331" w14:textId="43E3F148" w:rsidR="00767741" w:rsidRPr="00535D2C" w:rsidRDefault="00767741" w:rsidP="00DD69D5">
      <w:pPr>
        <w:pStyle w:val="ListParagraph"/>
        <w:numPr>
          <w:ilvl w:val="0"/>
          <w:numId w:val="6"/>
        </w:numPr>
        <w:spacing w:after="0" w:line="240" w:lineRule="auto"/>
        <w:jc w:val="both"/>
        <w:rPr>
          <w:rFonts w:ascii="Times New Roman" w:hAnsi="Times New Roman" w:cs="Times New Roman"/>
          <w:sz w:val="24"/>
          <w:szCs w:val="24"/>
        </w:rPr>
      </w:pPr>
      <w:r w:rsidRPr="00535D2C">
        <w:rPr>
          <w:rFonts w:ascii="Times New Roman" w:hAnsi="Times New Roman" w:cs="Times New Roman"/>
          <w:sz w:val="24"/>
          <w:szCs w:val="24"/>
        </w:rPr>
        <w:t>Българска агенция по безопасност на храните;</w:t>
      </w:r>
    </w:p>
    <w:p w14:paraId="4EE9A7FC" w14:textId="03A70F91" w:rsidR="00767741" w:rsidRPr="00535D2C" w:rsidRDefault="00767741" w:rsidP="00DD69D5">
      <w:pPr>
        <w:pStyle w:val="ListParagraph"/>
        <w:numPr>
          <w:ilvl w:val="0"/>
          <w:numId w:val="6"/>
        </w:numPr>
        <w:spacing w:after="0" w:line="240" w:lineRule="auto"/>
        <w:jc w:val="both"/>
        <w:rPr>
          <w:rFonts w:ascii="Times New Roman" w:hAnsi="Times New Roman" w:cs="Times New Roman"/>
          <w:sz w:val="24"/>
          <w:szCs w:val="24"/>
        </w:rPr>
      </w:pPr>
      <w:r w:rsidRPr="00535D2C">
        <w:rPr>
          <w:rFonts w:ascii="Times New Roman" w:hAnsi="Times New Roman" w:cs="Times New Roman"/>
          <w:sz w:val="24"/>
          <w:szCs w:val="24"/>
        </w:rPr>
        <w:t>Държавна комисия за стоковите борси и тържищата;</w:t>
      </w:r>
    </w:p>
    <w:p w14:paraId="74DE44B6" w14:textId="4ADE0CDF" w:rsidR="00767741" w:rsidRPr="00535D2C" w:rsidRDefault="00767741" w:rsidP="00DD69D5">
      <w:pPr>
        <w:pStyle w:val="ListParagraph"/>
        <w:numPr>
          <w:ilvl w:val="0"/>
          <w:numId w:val="6"/>
        </w:numPr>
        <w:spacing w:after="0" w:line="240" w:lineRule="auto"/>
        <w:jc w:val="both"/>
        <w:rPr>
          <w:rFonts w:ascii="Times New Roman" w:hAnsi="Times New Roman" w:cs="Times New Roman"/>
          <w:sz w:val="24"/>
          <w:szCs w:val="24"/>
        </w:rPr>
      </w:pPr>
      <w:r w:rsidRPr="00535D2C">
        <w:rPr>
          <w:rFonts w:ascii="Times New Roman" w:hAnsi="Times New Roman" w:cs="Times New Roman"/>
          <w:sz w:val="24"/>
          <w:szCs w:val="24"/>
        </w:rPr>
        <w:t>Комисия за защита на конкуренцията;</w:t>
      </w:r>
    </w:p>
    <w:p w14:paraId="0DFEF5FA" w14:textId="24FFB9C2" w:rsidR="00767741" w:rsidRPr="00535D2C" w:rsidRDefault="00767741" w:rsidP="00DD69D5">
      <w:pPr>
        <w:pStyle w:val="ListParagraph"/>
        <w:numPr>
          <w:ilvl w:val="0"/>
          <w:numId w:val="6"/>
        </w:numPr>
        <w:spacing w:after="0" w:line="240" w:lineRule="auto"/>
        <w:jc w:val="both"/>
        <w:rPr>
          <w:rFonts w:ascii="Times New Roman" w:hAnsi="Times New Roman" w:cs="Times New Roman"/>
          <w:sz w:val="24"/>
          <w:szCs w:val="24"/>
        </w:rPr>
      </w:pPr>
      <w:r w:rsidRPr="00535D2C">
        <w:rPr>
          <w:rFonts w:ascii="Times New Roman" w:hAnsi="Times New Roman" w:cs="Times New Roman"/>
          <w:sz w:val="24"/>
          <w:szCs w:val="24"/>
        </w:rPr>
        <w:t>Комисия за защита на потребителите;</w:t>
      </w:r>
    </w:p>
    <w:p w14:paraId="092F350A" w14:textId="7FC81401" w:rsidR="00767741" w:rsidRPr="00535D2C" w:rsidRDefault="00767741" w:rsidP="00DD69D5">
      <w:pPr>
        <w:pStyle w:val="ListParagraph"/>
        <w:numPr>
          <w:ilvl w:val="0"/>
          <w:numId w:val="6"/>
        </w:numPr>
        <w:spacing w:after="0" w:line="240" w:lineRule="auto"/>
        <w:jc w:val="both"/>
        <w:rPr>
          <w:rFonts w:ascii="Times New Roman" w:hAnsi="Times New Roman" w:cs="Times New Roman"/>
          <w:sz w:val="24"/>
          <w:szCs w:val="24"/>
        </w:rPr>
      </w:pPr>
      <w:r w:rsidRPr="00535D2C">
        <w:rPr>
          <w:rFonts w:ascii="Times New Roman" w:hAnsi="Times New Roman" w:cs="Times New Roman"/>
          <w:sz w:val="24"/>
          <w:szCs w:val="24"/>
        </w:rPr>
        <w:t>Агенция Митници;</w:t>
      </w:r>
    </w:p>
    <w:p w14:paraId="78FDB543" w14:textId="77777777" w:rsidR="00767741" w:rsidRPr="00535D2C" w:rsidRDefault="00767741" w:rsidP="00DD69D5">
      <w:pPr>
        <w:pStyle w:val="ListParagraph"/>
        <w:numPr>
          <w:ilvl w:val="0"/>
          <w:numId w:val="6"/>
        </w:numPr>
        <w:spacing w:after="0" w:line="240" w:lineRule="auto"/>
        <w:jc w:val="both"/>
        <w:rPr>
          <w:rFonts w:ascii="Times New Roman" w:hAnsi="Times New Roman" w:cs="Times New Roman"/>
          <w:sz w:val="24"/>
          <w:szCs w:val="24"/>
        </w:rPr>
      </w:pPr>
      <w:r w:rsidRPr="00535D2C">
        <w:rPr>
          <w:rFonts w:ascii="Times New Roman" w:hAnsi="Times New Roman" w:cs="Times New Roman"/>
          <w:sz w:val="24"/>
          <w:szCs w:val="24"/>
        </w:rPr>
        <w:t xml:space="preserve">Национална агенция за приходите; </w:t>
      </w:r>
    </w:p>
    <w:p w14:paraId="6B1E1167" w14:textId="011E3ED8" w:rsidR="00767741" w:rsidRPr="00535D2C" w:rsidRDefault="00767741" w:rsidP="00DD69D5">
      <w:pPr>
        <w:pStyle w:val="ListParagraph"/>
        <w:numPr>
          <w:ilvl w:val="0"/>
          <w:numId w:val="6"/>
        </w:numPr>
        <w:spacing w:after="0" w:line="240" w:lineRule="auto"/>
        <w:jc w:val="both"/>
        <w:rPr>
          <w:rFonts w:ascii="Times New Roman" w:hAnsi="Times New Roman" w:cs="Times New Roman"/>
          <w:sz w:val="24"/>
          <w:szCs w:val="24"/>
        </w:rPr>
      </w:pPr>
      <w:r w:rsidRPr="00535D2C">
        <w:rPr>
          <w:rFonts w:ascii="Times New Roman" w:hAnsi="Times New Roman" w:cs="Times New Roman"/>
          <w:sz w:val="24"/>
          <w:szCs w:val="24"/>
        </w:rPr>
        <w:t>всички потребители;</w:t>
      </w:r>
    </w:p>
    <w:p w14:paraId="3DA19600" w14:textId="6419F616" w:rsidR="00C13AA5" w:rsidRPr="00535D2C" w:rsidRDefault="00E20B73" w:rsidP="00DD69D5">
      <w:pPr>
        <w:pStyle w:val="ListParagraph"/>
        <w:numPr>
          <w:ilvl w:val="0"/>
          <w:numId w:val="6"/>
        </w:numPr>
        <w:spacing w:after="0" w:line="240" w:lineRule="auto"/>
        <w:jc w:val="both"/>
        <w:rPr>
          <w:rFonts w:ascii="Times New Roman" w:hAnsi="Times New Roman" w:cs="Times New Roman"/>
          <w:sz w:val="24"/>
          <w:szCs w:val="24"/>
        </w:rPr>
      </w:pPr>
      <w:r w:rsidRPr="00535D2C">
        <w:rPr>
          <w:rFonts w:ascii="Times New Roman" w:hAnsi="Times New Roman" w:cs="Times New Roman"/>
          <w:sz w:val="24"/>
          <w:szCs w:val="24"/>
        </w:rPr>
        <w:t>българск</w:t>
      </w:r>
      <w:r w:rsidR="00767741" w:rsidRPr="00535D2C">
        <w:rPr>
          <w:rFonts w:ascii="Times New Roman" w:hAnsi="Times New Roman" w:cs="Times New Roman"/>
          <w:sz w:val="24"/>
          <w:szCs w:val="24"/>
        </w:rPr>
        <w:t>ата държава</w:t>
      </w:r>
      <w:r w:rsidR="00C13AA5" w:rsidRPr="00535D2C">
        <w:rPr>
          <w:rFonts w:ascii="Times New Roman" w:hAnsi="Times New Roman" w:cs="Times New Roman"/>
          <w:sz w:val="24"/>
          <w:szCs w:val="24"/>
        </w:rPr>
        <w:t xml:space="preserve"> и обществото като цяло.</w:t>
      </w:r>
    </w:p>
    <w:p w14:paraId="5205E358" w14:textId="2D605504" w:rsidR="0019279B" w:rsidRPr="007B4A99" w:rsidRDefault="007F0CD8" w:rsidP="00DD69D5">
      <w:pPr>
        <w:spacing w:after="0" w:line="240" w:lineRule="auto"/>
        <w:ind w:firstLine="567"/>
        <w:jc w:val="both"/>
        <w:rPr>
          <w:rFonts w:ascii="Times New Roman" w:hAnsi="Times New Roman" w:cs="Times New Roman"/>
          <w:color w:val="202124"/>
          <w:sz w:val="24"/>
          <w:szCs w:val="24"/>
        </w:rPr>
      </w:pPr>
      <w:bookmarkStart w:id="6" w:name="_Hlk196398107"/>
      <w:r w:rsidRPr="007B4A99">
        <w:rPr>
          <w:rFonts w:ascii="Times New Roman" w:hAnsi="Times New Roman" w:cs="Times New Roman"/>
          <w:sz w:val="24"/>
          <w:szCs w:val="24"/>
        </w:rPr>
        <w:t>В изпълнение на ЗНА, Наредбата за обхвата и методологията за извършване на оценка на въздействието на МС и Ръководството за извършване на предварителна оценка на въздействието, прието с Р</w:t>
      </w:r>
      <w:r w:rsidR="00E66716" w:rsidRPr="007B4A99">
        <w:rPr>
          <w:rFonts w:ascii="Times New Roman" w:hAnsi="Times New Roman" w:cs="Times New Roman"/>
          <w:sz w:val="24"/>
          <w:szCs w:val="24"/>
        </w:rPr>
        <w:t>ешение</w:t>
      </w:r>
      <w:r w:rsidRPr="007B4A99">
        <w:rPr>
          <w:rFonts w:ascii="Times New Roman" w:hAnsi="Times New Roman" w:cs="Times New Roman"/>
          <w:sz w:val="24"/>
          <w:szCs w:val="24"/>
        </w:rPr>
        <w:t xml:space="preserve"> № 728 на МС от 05.12.2019 г.</w:t>
      </w:r>
      <w:r w:rsidR="00381352" w:rsidRPr="007B4A99">
        <w:rPr>
          <w:rFonts w:ascii="Times New Roman" w:hAnsi="Times New Roman" w:cs="Times New Roman"/>
          <w:sz w:val="24"/>
          <w:szCs w:val="24"/>
        </w:rPr>
        <w:t>,</w:t>
      </w:r>
      <w:r w:rsidRPr="007B4A99">
        <w:rPr>
          <w:rFonts w:ascii="Times New Roman" w:hAnsi="Times New Roman" w:cs="Times New Roman"/>
          <w:sz w:val="24"/>
          <w:szCs w:val="24"/>
        </w:rPr>
        <w:t xml:space="preserve"> като част от процеса по извършване на ОВ</w:t>
      </w:r>
      <w:r w:rsidR="000A00F5" w:rsidRPr="007B4A99">
        <w:rPr>
          <w:rFonts w:ascii="Times New Roman" w:hAnsi="Times New Roman" w:cs="Times New Roman"/>
          <w:sz w:val="24"/>
          <w:szCs w:val="24"/>
        </w:rPr>
        <w:t xml:space="preserve">, по инициатива на </w:t>
      </w:r>
      <w:r w:rsidR="000C627B">
        <w:rPr>
          <w:rFonts w:ascii="Times New Roman" w:hAnsi="Times New Roman" w:cs="Times New Roman"/>
          <w:sz w:val="24"/>
          <w:szCs w:val="24"/>
        </w:rPr>
        <w:t>МЗХ</w:t>
      </w:r>
      <w:r w:rsidR="000A00F5" w:rsidRPr="007B4A99">
        <w:rPr>
          <w:rFonts w:ascii="Times New Roman" w:hAnsi="Times New Roman" w:cs="Times New Roman"/>
          <w:sz w:val="24"/>
          <w:szCs w:val="24"/>
        </w:rPr>
        <w:t xml:space="preserve"> е проведена </w:t>
      </w:r>
      <w:r w:rsidR="0019279B" w:rsidRPr="007B4A99">
        <w:rPr>
          <w:rFonts w:ascii="Times New Roman" w:hAnsi="Times New Roman" w:cs="Times New Roman"/>
          <w:sz w:val="24"/>
          <w:szCs w:val="24"/>
        </w:rPr>
        <w:t xml:space="preserve">предварителна консултация по реда на </w:t>
      </w:r>
      <w:r w:rsidR="0019279B" w:rsidRPr="007B4A99">
        <w:rPr>
          <w:rFonts w:ascii="Times New Roman" w:eastAsia="Times New Roman" w:hAnsi="Times New Roman" w:cs="Times New Roman"/>
          <w:sz w:val="24"/>
          <w:szCs w:val="24"/>
        </w:rPr>
        <w:t xml:space="preserve">Раздел V от Наредбата по основните моменти от </w:t>
      </w:r>
      <w:r w:rsidR="0019279B" w:rsidRPr="007B4A99">
        <w:rPr>
          <w:rFonts w:ascii="Times New Roman" w:hAnsi="Times New Roman" w:cs="Times New Roman"/>
          <w:sz w:val="24"/>
          <w:szCs w:val="24"/>
        </w:rPr>
        <w:t xml:space="preserve">концепцията за нова публична политика </w:t>
      </w:r>
      <w:r w:rsidR="00FF2A89" w:rsidRPr="007B4A99">
        <w:rPr>
          <w:rFonts w:ascii="Times New Roman" w:hAnsi="Times New Roman" w:cs="Times New Roman"/>
          <w:color w:val="202124"/>
          <w:sz w:val="24"/>
          <w:szCs w:val="24"/>
        </w:rPr>
        <w:t xml:space="preserve">за обсъждане на необходимостта от </w:t>
      </w:r>
      <w:r w:rsidR="0019279B" w:rsidRPr="007B4A99">
        <w:rPr>
          <w:rFonts w:ascii="Times New Roman" w:hAnsi="Times New Roman" w:cs="Times New Roman"/>
          <w:color w:val="202124"/>
          <w:sz w:val="24"/>
          <w:szCs w:val="24"/>
        </w:rPr>
        <w:t xml:space="preserve">евентуална регулаторна интервенция в </w:t>
      </w:r>
      <w:r w:rsidR="0019279B" w:rsidRPr="007B4A99">
        <w:rPr>
          <w:rFonts w:ascii="Times New Roman" w:hAnsi="Times New Roman" w:cs="Times New Roman"/>
          <w:sz w:val="24"/>
          <w:szCs w:val="24"/>
        </w:rPr>
        <w:t>обществените отношения между участници по веригата на доставки на земеделски продукти и храни</w:t>
      </w:r>
      <w:r w:rsidR="00FF2A89" w:rsidRPr="007B4A99">
        <w:rPr>
          <w:rFonts w:ascii="Times New Roman" w:hAnsi="Times New Roman" w:cs="Times New Roman"/>
          <w:color w:val="202124"/>
          <w:sz w:val="24"/>
          <w:szCs w:val="24"/>
        </w:rPr>
        <w:t xml:space="preserve"> в България</w:t>
      </w:r>
      <w:r w:rsidR="00381352" w:rsidRPr="007B4A99">
        <w:rPr>
          <w:rFonts w:ascii="Times New Roman" w:hAnsi="Times New Roman" w:cs="Times New Roman"/>
          <w:color w:val="202124"/>
          <w:sz w:val="24"/>
          <w:szCs w:val="24"/>
        </w:rPr>
        <w:t xml:space="preserve">. </w:t>
      </w:r>
    </w:p>
    <w:p w14:paraId="14D5DC6F" w14:textId="6D091904" w:rsidR="00933CAC" w:rsidRDefault="0019279B" w:rsidP="00DD69D5">
      <w:pPr>
        <w:spacing w:after="0" w:line="240" w:lineRule="auto"/>
        <w:ind w:firstLine="567"/>
        <w:jc w:val="both"/>
        <w:rPr>
          <w:rFonts w:ascii="Times New Roman" w:hAnsi="Times New Roman" w:cs="Times New Roman"/>
          <w:color w:val="202124"/>
          <w:sz w:val="24"/>
          <w:szCs w:val="24"/>
        </w:rPr>
      </w:pPr>
      <w:r w:rsidRPr="007B4A99">
        <w:rPr>
          <w:rFonts w:ascii="Times New Roman" w:hAnsi="Times New Roman" w:cs="Times New Roman"/>
          <w:color w:val="202124"/>
          <w:sz w:val="24"/>
          <w:szCs w:val="24"/>
        </w:rPr>
        <w:t xml:space="preserve">Консултацията </w:t>
      </w:r>
      <w:r w:rsidR="00FF2A89" w:rsidRPr="007B4A99">
        <w:rPr>
          <w:rFonts w:ascii="Times New Roman" w:hAnsi="Times New Roman" w:cs="Times New Roman"/>
          <w:color w:val="202124"/>
          <w:sz w:val="24"/>
          <w:szCs w:val="24"/>
        </w:rPr>
        <w:t xml:space="preserve">е обявена </w:t>
      </w:r>
      <w:r w:rsidR="00C65496">
        <w:rPr>
          <w:rFonts w:ascii="Times New Roman" w:hAnsi="Times New Roman" w:cs="Times New Roman"/>
          <w:color w:val="202124"/>
          <w:sz w:val="24"/>
          <w:szCs w:val="24"/>
        </w:rPr>
        <w:t xml:space="preserve">през </w:t>
      </w:r>
      <w:r w:rsidRPr="007B4A99">
        <w:rPr>
          <w:rFonts w:ascii="Times New Roman" w:hAnsi="Times New Roman" w:cs="Times New Roman"/>
          <w:color w:val="202124"/>
          <w:sz w:val="24"/>
          <w:szCs w:val="24"/>
        </w:rPr>
        <w:t>м. март 2025</w:t>
      </w:r>
      <w:r w:rsidR="00FF2A89" w:rsidRPr="007B4A99">
        <w:rPr>
          <w:rFonts w:ascii="Times New Roman" w:hAnsi="Times New Roman" w:cs="Times New Roman"/>
          <w:color w:val="202124"/>
          <w:sz w:val="24"/>
          <w:szCs w:val="24"/>
        </w:rPr>
        <w:t xml:space="preserve"> г.</w:t>
      </w:r>
      <w:r w:rsidR="00381352" w:rsidRPr="007B4A99">
        <w:rPr>
          <w:rFonts w:ascii="Times New Roman" w:hAnsi="Times New Roman" w:cs="Times New Roman"/>
          <w:color w:val="202124"/>
          <w:sz w:val="24"/>
          <w:szCs w:val="24"/>
        </w:rPr>
        <w:t>,</w:t>
      </w:r>
      <w:r w:rsidR="00FF2A89" w:rsidRPr="007B4A99">
        <w:rPr>
          <w:rFonts w:ascii="Times New Roman" w:hAnsi="Times New Roman" w:cs="Times New Roman"/>
          <w:color w:val="202124"/>
          <w:sz w:val="24"/>
          <w:szCs w:val="24"/>
        </w:rPr>
        <w:t xml:space="preserve"> със срок за провеждане от 14 дни, като процедурен етап от процеса по изготвяне на </w:t>
      </w:r>
      <w:r w:rsidRPr="007B4A99">
        <w:rPr>
          <w:rFonts w:ascii="Times New Roman" w:hAnsi="Times New Roman" w:cs="Times New Roman"/>
          <w:color w:val="202124"/>
          <w:sz w:val="24"/>
          <w:szCs w:val="24"/>
        </w:rPr>
        <w:t>цялостната</w:t>
      </w:r>
      <w:r w:rsidR="00FF2A89" w:rsidRPr="007B4A99">
        <w:rPr>
          <w:rFonts w:ascii="Times New Roman" w:hAnsi="Times New Roman" w:cs="Times New Roman"/>
          <w:color w:val="202124"/>
          <w:sz w:val="24"/>
          <w:szCs w:val="24"/>
        </w:rPr>
        <w:t xml:space="preserve"> предва</w:t>
      </w:r>
      <w:r w:rsidRPr="007B4A99">
        <w:rPr>
          <w:rFonts w:ascii="Times New Roman" w:hAnsi="Times New Roman" w:cs="Times New Roman"/>
          <w:color w:val="202124"/>
          <w:sz w:val="24"/>
          <w:szCs w:val="24"/>
        </w:rPr>
        <w:t xml:space="preserve">рителна оценка на въздействието. </w:t>
      </w:r>
    </w:p>
    <w:p w14:paraId="4DE8615A" w14:textId="6B7653DB" w:rsidR="007F0CD8" w:rsidRPr="007B4A99" w:rsidRDefault="0019279B" w:rsidP="00DD69D5">
      <w:pPr>
        <w:spacing w:after="0" w:line="240" w:lineRule="auto"/>
        <w:ind w:firstLine="567"/>
        <w:jc w:val="both"/>
        <w:rPr>
          <w:rFonts w:ascii="Times New Roman" w:hAnsi="Times New Roman" w:cs="Times New Roman"/>
          <w:color w:val="202124"/>
          <w:sz w:val="24"/>
          <w:szCs w:val="24"/>
        </w:rPr>
      </w:pPr>
      <w:r w:rsidRPr="007B4A99">
        <w:rPr>
          <w:rFonts w:ascii="Times New Roman" w:hAnsi="Times New Roman" w:cs="Times New Roman"/>
          <w:color w:val="202124"/>
          <w:sz w:val="24"/>
          <w:szCs w:val="24"/>
        </w:rPr>
        <w:t xml:space="preserve">Освен спазването на нормативните изисквания, тя има за </w:t>
      </w:r>
      <w:r w:rsidR="00FF2A89" w:rsidRPr="007B4A99">
        <w:rPr>
          <w:rFonts w:ascii="Times New Roman" w:hAnsi="Times New Roman" w:cs="Times New Roman"/>
          <w:color w:val="202124"/>
          <w:sz w:val="24"/>
          <w:szCs w:val="24"/>
        </w:rPr>
        <w:t xml:space="preserve">основна цел да послужи </w:t>
      </w:r>
      <w:r w:rsidRPr="007B4A99">
        <w:rPr>
          <w:rFonts w:ascii="Times New Roman" w:hAnsi="Times New Roman" w:cs="Times New Roman"/>
          <w:color w:val="202124"/>
          <w:sz w:val="24"/>
          <w:szCs w:val="24"/>
        </w:rPr>
        <w:t xml:space="preserve">и </w:t>
      </w:r>
      <w:r w:rsidR="00FF2A89" w:rsidRPr="007B4A99">
        <w:rPr>
          <w:rFonts w:ascii="Times New Roman" w:hAnsi="Times New Roman" w:cs="Times New Roman"/>
          <w:color w:val="202124"/>
          <w:sz w:val="24"/>
          <w:szCs w:val="24"/>
        </w:rPr>
        <w:t xml:space="preserve">като </w:t>
      </w:r>
      <w:r w:rsidR="005D7032" w:rsidRPr="007B4A99">
        <w:rPr>
          <w:rFonts w:ascii="Times New Roman" w:hAnsi="Times New Roman" w:cs="Times New Roman"/>
          <w:color w:val="202124"/>
          <w:sz w:val="24"/>
          <w:szCs w:val="24"/>
        </w:rPr>
        <w:t xml:space="preserve">ценен </w:t>
      </w:r>
      <w:r w:rsidR="00FF2A89" w:rsidRPr="007B4A99">
        <w:rPr>
          <w:rFonts w:ascii="Times New Roman" w:hAnsi="Times New Roman" w:cs="Times New Roman"/>
          <w:color w:val="202124"/>
          <w:sz w:val="24"/>
          <w:szCs w:val="24"/>
        </w:rPr>
        <w:t xml:space="preserve">информационен канал за събиране на данни, информация, мнения и становища от заинтересованите страни относно очакваните ефекти от евентуална публична </w:t>
      </w:r>
      <w:r w:rsidRPr="007B4A99">
        <w:rPr>
          <w:rFonts w:ascii="Times New Roman" w:hAnsi="Times New Roman" w:cs="Times New Roman"/>
          <w:color w:val="202124"/>
          <w:sz w:val="24"/>
          <w:szCs w:val="24"/>
        </w:rPr>
        <w:t>намеса за промяна в регулирането на разглежданите обществени отношения</w:t>
      </w:r>
      <w:r w:rsidR="00FF2A89" w:rsidRPr="007B4A99">
        <w:rPr>
          <w:rFonts w:ascii="Times New Roman" w:hAnsi="Times New Roman" w:cs="Times New Roman"/>
          <w:color w:val="202124"/>
          <w:sz w:val="24"/>
          <w:szCs w:val="24"/>
        </w:rPr>
        <w:t xml:space="preserve">. </w:t>
      </w:r>
    </w:p>
    <w:p w14:paraId="42AB447C" w14:textId="6D7F3F8E" w:rsidR="004F295F" w:rsidRPr="004F295F" w:rsidRDefault="005F115D" w:rsidP="004F295F">
      <w:pPr>
        <w:spacing w:after="0" w:line="240" w:lineRule="auto"/>
        <w:ind w:firstLine="567"/>
        <w:jc w:val="both"/>
        <w:rPr>
          <w:rFonts w:ascii="Times New Roman" w:hAnsi="Times New Roman" w:cs="Times New Roman"/>
          <w:color w:val="202124"/>
          <w:sz w:val="24"/>
          <w:szCs w:val="24"/>
        </w:rPr>
      </w:pPr>
      <w:r>
        <w:rPr>
          <w:rFonts w:ascii="Times New Roman" w:hAnsi="Times New Roman" w:cs="Times New Roman"/>
          <w:color w:val="202124"/>
          <w:sz w:val="24"/>
          <w:szCs w:val="24"/>
        </w:rPr>
        <w:t>Представяне</w:t>
      </w:r>
      <w:r w:rsidR="004F295F">
        <w:rPr>
          <w:rFonts w:ascii="Times New Roman" w:hAnsi="Times New Roman" w:cs="Times New Roman"/>
          <w:color w:val="202124"/>
          <w:sz w:val="24"/>
          <w:szCs w:val="24"/>
        </w:rPr>
        <w:t xml:space="preserve"> на становищата </w:t>
      </w:r>
      <w:r w:rsidR="004F295F" w:rsidRPr="00535D2C">
        <w:rPr>
          <w:rFonts w:ascii="Times New Roman" w:hAnsi="Times New Roman" w:cs="Times New Roman"/>
          <w:color w:val="202124"/>
          <w:sz w:val="24"/>
          <w:szCs w:val="24"/>
        </w:rPr>
        <w:t xml:space="preserve">в синтезиран вид </w:t>
      </w:r>
      <w:r w:rsidR="004F295F">
        <w:rPr>
          <w:rFonts w:ascii="Times New Roman" w:hAnsi="Times New Roman" w:cs="Times New Roman"/>
          <w:color w:val="202124"/>
          <w:sz w:val="24"/>
          <w:szCs w:val="24"/>
        </w:rPr>
        <w:t xml:space="preserve">и анализ </w:t>
      </w:r>
      <w:r w:rsidR="00933CAC">
        <w:rPr>
          <w:rFonts w:ascii="Times New Roman" w:hAnsi="Times New Roman" w:cs="Times New Roman"/>
          <w:color w:val="202124"/>
          <w:sz w:val="24"/>
          <w:szCs w:val="24"/>
        </w:rPr>
        <w:t>на</w:t>
      </w:r>
      <w:r w:rsidR="004F295F">
        <w:rPr>
          <w:rFonts w:ascii="Times New Roman" w:hAnsi="Times New Roman" w:cs="Times New Roman"/>
          <w:color w:val="202124"/>
          <w:sz w:val="24"/>
          <w:szCs w:val="24"/>
        </w:rPr>
        <w:t xml:space="preserve"> основните виждания, изразени от заинтересованите страни</w:t>
      </w:r>
      <w:r>
        <w:rPr>
          <w:rFonts w:ascii="Times New Roman" w:hAnsi="Times New Roman" w:cs="Times New Roman"/>
          <w:color w:val="202124"/>
          <w:sz w:val="24"/>
          <w:szCs w:val="24"/>
        </w:rPr>
        <w:t>,</w:t>
      </w:r>
      <w:r w:rsidR="004F295F">
        <w:rPr>
          <w:rFonts w:ascii="Times New Roman" w:hAnsi="Times New Roman" w:cs="Times New Roman"/>
          <w:color w:val="202124"/>
          <w:sz w:val="24"/>
          <w:szCs w:val="24"/>
        </w:rPr>
        <w:t xml:space="preserve"> в рамките на </w:t>
      </w:r>
      <w:r w:rsidR="0019279B" w:rsidRPr="00535D2C">
        <w:rPr>
          <w:rFonts w:ascii="Times New Roman" w:hAnsi="Times New Roman" w:cs="Times New Roman"/>
          <w:color w:val="202124"/>
          <w:sz w:val="24"/>
          <w:szCs w:val="24"/>
        </w:rPr>
        <w:t>предварителната</w:t>
      </w:r>
      <w:r w:rsidR="00FF2A89" w:rsidRPr="00535D2C">
        <w:rPr>
          <w:rFonts w:ascii="Times New Roman" w:hAnsi="Times New Roman" w:cs="Times New Roman"/>
          <w:color w:val="202124"/>
          <w:sz w:val="24"/>
          <w:szCs w:val="24"/>
        </w:rPr>
        <w:t xml:space="preserve"> консултация с</w:t>
      </w:r>
      <w:r>
        <w:rPr>
          <w:rFonts w:ascii="Times New Roman" w:hAnsi="Times New Roman" w:cs="Times New Roman"/>
          <w:color w:val="202124"/>
          <w:sz w:val="24"/>
          <w:szCs w:val="24"/>
        </w:rPr>
        <w:t>е</w:t>
      </w:r>
      <w:r w:rsidR="00FF2A89" w:rsidRPr="00535D2C">
        <w:rPr>
          <w:rFonts w:ascii="Times New Roman" w:hAnsi="Times New Roman" w:cs="Times New Roman"/>
          <w:color w:val="202124"/>
          <w:sz w:val="24"/>
          <w:szCs w:val="24"/>
        </w:rPr>
        <w:t xml:space="preserve"> </w:t>
      </w:r>
      <w:r>
        <w:rPr>
          <w:rFonts w:ascii="Times New Roman" w:hAnsi="Times New Roman" w:cs="Times New Roman"/>
          <w:color w:val="202124"/>
          <w:sz w:val="24"/>
          <w:szCs w:val="24"/>
        </w:rPr>
        <w:lastRenderedPageBreak/>
        <w:t>съдържат</w:t>
      </w:r>
      <w:r w:rsidR="00FF2A89" w:rsidRPr="00535D2C">
        <w:rPr>
          <w:rFonts w:ascii="Times New Roman" w:hAnsi="Times New Roman" w:cs="Times New Roman"/>
          <w:color w:val="202124"/>
          <w:sz w:val="24"/>
          <w:szCs w:val="24"/>
        </w:rPr>
        <w:t xml:space="preserve"> </w:t>
      </w:r>
      <w:bookmarkEnd w:id="6"/>
      <w:r w:rsidR="004F295F">
        <w:rPr>
          <w:rFonts w:ascii="Times New Roman" w:hAnsi="Times New Roman" w:cs="Times New Roman"/>
          <w:color w:val="202124"/>
          <w:sz w:val="24"/>
          <w:szCs w:val="24"/>
        </w:rPr>
        <w:t xml:space="preserve">в </w:t>
      </w:r>
      <w:r w:rsidR="004F295F" w:rsidRPr="00933CAC">
        <w:rPr>
          <w:rFonts w:ascii="Times New Roman" w:hAnsi="Times New Roman" w:cs="Times New Roman"/>
          <w:i/>
          <w:color w:val="202124"/>
          <w:sz w:val="24"/>
          <w:szCs w:val="24"/>
        </w:rPr>
        <w:t>Приложение 1. Обобщен преглед и анализ на становищата на заинтересованите страни</w:t>
      </w:r>
      <w:r w:rsidR="004F295F" w:rsidRPr="004F295F">
        <w:rPr>
          <w:rFonts w:ascii="Times New Roman" w:hAnsi="Times New Roman" w:cs="Times New Roman"/>
          <w:iCs/>
          <w:color w:val="202124"/>
          <w:sz w:val="24"/>
          <w:szCs w:val="24"/>
        </w:rPr>
        <w:t xml:space="preserve"> </w:t>
      </w:r>
      <w:r w:rsidR="004F295F">
        <w:rPr>
          <w:rFonts w:ascii="Times New Roman" w:hAnsi="Times New Roman" w:cs="Times New Roman"/>
          <w:iCs/>
          <w:color w:val="202124"/>
          <w:sz w:val="24"/>
          <w:szCs w:val="24"/>
        </w:rPr>
        <w:t>към</w:t>
      </w:r>
      <w:r>
        <w:rPr>
          <w:rFonts w:ascii="Times New Roman" w:hAnsi="Times New Roman" w:cs="Times New Roman"/>
          <w:iCs/>
          <w:color w:val="202124"/>
          <w:sz w:val="24"/>
          <w:szCs w:val="24"/>
        </w:rPr>
        <w:t xml:space="preserve"> настоящия</w:t>
      </w:r>
      <w:r w:rsidR="004F295F">
        <w:rPr>
          <w:rFonts w:ascii="Times New Roman" w:hAnsi="Times New Roman" w:cs="Times New Roman"/>
          <w:iCs/>
          <w:color w:val="202124"/>
          <w:sz w:val="24"/>
          <w:szCs w:val="24"/>
        </w:rPr>
        <w:t xml:space="preserve"> доклад с</w:t>
      </w:r>
      <w:r>
        <w:rPr>
          <w:rFonts w:ascii="Times New Roman" w:hAnsi="Times New Roman" w:cs="Times New Roman"/>
          <w:iCs/>
          <w:color w:val="202124"/>
          <w:sz w:val="24"/>
          <w:szCs w:val="24"/>
        </w:rPr>
        <w:t xml:space="preserve"> цялостна предварителна</w:t>
      </w:r>
      <w:r w:rsidR="004F295F">
        <w:rPr>
          <w:rFonts w:ascii="Times New Roman" w:hAnsi="Times New Roman" w:cs="Times New Roman"/>
          <w:iCs/>
          <w:color w:val="202124"/>
          <w:sz w:val="24"/>
          <w:szCs w:val="24"/>
        </w:rPr>
        <w:t xml:space="preserve"> ОВ.</w:t>
      </w:r>
    </w:p>
    <w:p w14:paraId="7D56E353" w14:textId="77777777" w:rsidR="004F295F" w:rsidRDefault="004F295F" w:rsidP="00DD69D5">
      <w:pPr>
        <w:spacing w:after="0" w:line="240" w:lineRule="auto"/>
        <w:ind w:firstLine="567"/>
        <w:jc w:val="both"/>
        <w:rPr>
          <w:rFonts w:ascii="Times New Roman" w:eastAsia="Calibri" w:hAnsi="Times New Roman" w:cs="Times New Roman"/>
          <w:b/>
          <w:bCs/>
          <w:i/>
          <w:iCs/>
          <w:kern w:val="2"/>
          <w:sz w:val="24"/>
          <w:szCs w:val="24"/>
          <w14:ligatures w14:val="standardContextual"/>
        </w:rPr>
      </w:pPr>
    </w:p>
    <w:p w14:paraId="369CB9AA" w14:textId="6F78EF0C" w:rsidR="00B73B76" w:rsidRDefault="00B73B76" w:rsidP="00DD69D5">
      <w:pPr>
        <w:spacing w:after="0" w:line="240" w:lineRule="auto"/>
        <w:ind w:firstLine="567"/>
        <w:jc w:val="both"/>
        <w:rPr>
          <w:rFonts w:ascii="Times New Roman" w:eastAsia="Calibri" w:hAnsi="Times New Roman" w:cs="Times New Roman"/>
          <w:kern w:val="2"/>
          <w:sz w:val="24"/>
          <w:szCs w:val="24"/>
          <w:lang w:val="ru-RU"/>
          <w14:ligatures w14:val="standardContextual"/>
        </w:rPr>
      </w:pPr>
    </w:p>
    <w:p w14:paraId="4F8F396E" w14:textId="77777777" w:rsidR="004F295F" w:rsidRDefault="004F295F" w:rsidP="00DD69D5">
      <w:pPr>
        <w:spacing w:after="0" w:line="240" w:lineRule="auto"/>
        <w:ind w:firstLine="567"/>
        <w:jc w:val="both"/>
        <w:rPr>
          <w:rFonts w:ascii="Times New Roman" w:eastAsia="Calibri" w:hAnsi="Times New Roman" w:cs="Times New Roman"/>
          <w:kern w:val="2"/>
          <w:sz w:val="24"/>
          <w:szCs w:val="24"/>
          <w:lang w:val="ru-RU"/>
          <w14:ligatures w14:val="standardContextual"/>
        </w:rPr>
      </w:pPr>
    </w:p>
    <w:p w14:paraId="449B20D4" w14:textId="77777777" w:rsidR="004F295F" w:rsidRDefault="004F295F" w:rsidP="00DD69D5">
      <w:pPr>
        <w:spacing w:after="0" w:line="240" w:lineRule="auto"/>
        <w:ind w:firstLine="567"/>
        <w:jc w:val="both"/>
        <w:rPr>
          <w:rFonts w:ascii="Times New Roman" w:eastAsia="Calibri" w:hAnsi="Times New Roman" w:cs="Times New Roman"/>
          <w:kern w:val="2"/>
          <w:sz w:val="24"/>
          <w:szCs w:val="24"/>
          <w:lang w:val="ru-RU"/>
          <w14:ligatures w14:val="standardContextual"/>
        </w:rPr>
      </w:pPr>
    </w:p>
    <w:p w14:paraId="63AA3C3D" w14:textId="77777777" w:rsidR="00933CAC" w:rsidRPr="00535D2C" w:rsidRDefault="00933CAC" w:rsidP="00DD69D5">
      <w:pPr>
        <w:spacing w:after="0" w:line="240" w:lineRule="auto"/>
        <w:ind w:firstLine="567"/>
        <w:jc w:val="both"/>
        <w:rPr>
          <w:rFonts w:ascii="Times New Roman" w:eastAsia="Calibri" w:hAnsi="Times New Roman" w:cs="Times New Roman"/>
          <w:kern w:val="2"/>
          <w:sz w:val="24"/>
          <w:szCs w:val="24"/>
          <w:lang w:val="ru-RU"/>
          <w14:ligatures w14:val="standardContextual"/>
        </w:rPr>
      </w:pPr>
    </w:p>
    <w:p w14:paraId="6F9F50CD" w14:textId="77777777" w:rsidR="000D7D7C" w:rsidRPr="007B4A99" w:rsidRDefault="004C638A" w:rsidP="00B8646D">
      <w:pPr>
        <w:pStyle w:val="Heading1"/>
        <w:rPr>
          <w:rFonts w:ascii="Times New Roman" w:hAnsi="Times New Roman"/>
        </w:rPr>
      </w:pPr>
      <w:bookmarkStart w:id="7" w:name="_Toc198633078"/>
      <w:r w:rsidRPr="007B4A99">
        <w:rPr>
          <w:rFonts w:ascii="Times New Roman" w:hAnsi="Times New Roman"/>
        </w:rPr>
        <w:t>Цели</w:t>
      </w:r>
      <w:bookmarkEnd w:id="7"/>
    </w:p>
    <w:tbl>
      <w:tblPr>
        <w:tblW w:w="0" w:type="auto"/>
        <w:tblInd w:w="3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02"/>
      </w:tblGrid>
      <w:tr w:rsidR="004500BD" w:rsidRPr="007B4A99" w14:paraId="00B4A574" w14:textId="77777777" w:rsidTr="00D102E9">
        <w:tc>
          <w:tcPr>
            <w:tcW w:w="8702" w:type="dxa"/>
          </w:tcPr>
          <w:p w14:paraId="4DEBC7ED" w14:textId="77777777" w:rsidR="004500BD" w:rsidRPr="007B4A99" w:rsidRDefault="004500BD" w:rsidP="004500BD">
            <w:pPr>
              <w:pStyle w:val="7878"/>
              <w:ind w:left="0"/>
              <w:rPr>
                <w:rFonts w:ascii="Times New Roman" w:hAnsi="Times New Roman"/>
              </w:rPr>
            </w:pPr>
            <w:r w:rsidRPr="007B4A99">
              <w:rPr>
                <w:rFonts w:ascii="Times New Roman" w:hAnsi="Times New Roman"/>
              </w:rPr>
              <w:t xml:space="preserve">[Определянето на целите е втората основна аналитична стъпка (втора от общо шест) при извършването на оценка на въздействието. То се намира в тясна взаимовръзка с дефинирането на проблема (Ръководство, РМС № 728 от 2019 г., стр. 22). </w:t>
            </w:r>
          </w:p>
          <w:p w14:paraId="6961A7E3" w14:textId="77777777" w:rsidR="004500BD" w:rsidRPr="007B4A99" w:rsidRDefault="004500BD" w:rsidP="004500BD">
            <w:pPr>
              <w:pStyle w:val="7878"/>
              <w:ind w:left="0"/>
              <w:rPr>
                <w:rFonts w:ascii="Times New Roman" w:hAnsi="Times New Roman"/>
              </w:rPr>
            </w:pPr>
            <w:r w:rsidRPr="007B4A99">
              <w:rPr>
                <w:rFonts w:ascii="Times New Roman" w:hAnsi="Times New Roman"/>
              </w:rPr>
              <w:t>В тази връзка ако в оценката се решават няколко проблема, то за всеки от тях е необходимо да се определят цели.]</w:t>
            </w:r>
          </w:p>
          <w:p w14:paraId="627292AB" w14:textId="77777777" w:rsidR="004500BD" w:rsidRPr="007B4A99" w:rsidRDefault="004500BD" w:rsidP="004500BD">
            <w:pPr>
              <w:jc w:val="both"/>
              <w:rPr>
                <w:rFonts w:ascii="Times New Roman" w:hAnsi="Times New Roman" w:cs="Times New Roman"/>
                <w:i/>
              </w:rPr>
            </w:pPr>
            <w:r w:rsidRPr="007B4A99">
              <w:rPr>
                <w:rFonts w:ascii="Times New Roman" w:hAnsi="Times New Roman" w:cs="Times New Roman"/>
                <w:i/>
              </w:rPr>
              <w:t>Посочете целите, които се поставят при регулирането на обществените отношения с проекта на нормативен акт, по конкретен и измерим начин и график за тяхното постигане. Какъв ефект би имала промяната и спрямо кого?</w:t>
            </w:r>
          </w:p>
          <w:p w14:paraId="607196D7" w14:textId="77777777" w:rsidR="004500BD" w:rsidRPr="007B4A99" w:rsidRDefault="004500BD" w:rsidP="002628C8">
            <w:pPr>
              <w:jc w:val="both"/>
              <w:rPr>
                <w:rFonts w:ascii="Times New Roman" w:hAnsi="Times New Roman" w:cs="Times New Roman"/>
                <w:i/>
              </w:rPr>
            </w:pPr>
            <w:r w:rsidRPr="007B4A99">
              <w:rPr>
                <w:rFonts w:ascii="Times New Roman" w:hAnsi="Times New Roman" w:cs="Times New Roman"/>
                <w:i/>
              </w:rPr>
              <w:t>Целите са три групи - общи, конкретни и оперативни (Ръководство, РМС № 728 от 2019 г., стр. 23)</w:t>
            </w:r>
          </w:p>
        </w:tc>
      </w:tr>
    </w:tbl>
    <w:p w14:paraId="176DB9F5" w14:textId="77777777" w:rsidR="002B696C" w:rsidRPr="007B4A99" w:rsidRDefault="002B696C" w:rsidP="008C2654">
      <w:pPr>
        <w:spacing w:after="0" w:line="276" w:lineRule="auto"/>
        <w:ind w:firstLine="539"/>
        <w:jc w:val="both"/>
        <w:rPr>
          <w:rFonts w:ascii="Times New Roman" w:eastAsia="Times New Roman" w:hAnsi="Times New Roman" w:cs="Times New Roman"/>
          <w:sz w:val="24"/>
          <w:szCs w:val="24"/>
        </w:rPr>
      </w:pPr>
    </w:p>
    <w:p w14:paraId="6913785E" w14:textId="77777777" w:rsidR="00BD6C53" w:rsidRPr="007B4A99" w:rsidRDefault="00BD6C53" w:rsidP="00DD69D5">
      <w:pPr>
        <w:spacing w:line="240" w:lineRule="auto"/>
        <w:ind w:firstLine="567"/>
        <w:jc w:val="both"/>
        <w:rPr>
          <w:rFonts w:ascii="Times New Roman" w:hAnsi="Times New Roman" w:cs="Times New Roman"/>
          <w:sz w:val="24"/>
          <w:szCs w:val="24"/>
        </w:rPr>
      </w:pPr>
      <w:r w:rsidRPr="007B4A99">
        <w:rPr>
          <w:rFonts w:ascii="Times New Roman" w:hAnsi="Times New Roman" w:cs="Times New Roman"/>
          <w:b/>
          <w:i/>
          <w:color w:val="2E74B5" w:themeColor="accent1" w:themeShade="BF"/>
          <w:sz w:val="24"/>
          <w:szCs w:val="24"/>
        </w:rPr>
        <w:t>3.1. Обща цел</w:t>
      </w:r>
    </w:p>
    <w:p w14:paraId="35FB684A" w14:textId="77777777" w:rsidR="002B696C" w:rsidRPr="007B4A99" w:rsidRDefault="002B696C" w:rsidP="00DD69D5">
      <w:pPr>
        <w:spacing w:after="0" w:line="240" w:lineRule="auto"/>
        <w:ind w:firstLine="539"/>
        <w:jc w:val="both"/>
        <w:rPr>
          <w:rFonts w:ascii="Times New Roman" w:eastAsia="Times New Roman" w:hAnsi="Times New Roman" w:cs="Times New Roman"/>
          <w:sz w:val="24"/>
          <w:szCs w:val="24"/>
        </w:rPr>
      </w:pPr>
      <w:r w:rsidRPr="007B4A99">
        <w:rPr>
          <w:rFonts w:ascii="Times New Roman" w:eastAsia="Times New Roman" w:hAnsi="Times New Roman" w:cs="Times New Roman"/>
          <w:sz w:val="24"/>
          <w:szCs w:val="24"/>
        </w:rPr>
        <w:t>Цялостно подобряване на функционирането на веригата на доставки на земеделски продукти и храни, водещо до повишаване на нейната ефективност и ефикасност и до намаляване на дисбаланса в отношенията между различните участници в нея, в полза на потребителите и обществото като цяло.</w:t>
      </w:r>
    </w:p>
    <w:p w14:paraId="08DCBDE5" w14:textId="77777777" w:rsidR="002B696C" w:rsidRPr="007B4A99" w:rsidRDefault="002B696C" w:rsidP="00DD69D5">
      <w:pPr>
        <w:spacing w:line="240" w:lineRule="auto"/>
        <w:ind w:firstLine="567"/>
        <w:jc w:val="both"/>
        <w:rPr>
          <w:rFonts w:ascii="Times New Roman" w:hAnsi="Times New Roman" w:cs="Times New Roman"/>
          <w:b/>
          <w:i/>
          <w:color w:val="2E74B5" w:themeColor="accent1" w:themeShade="BF"/>
        </w:rPr>
      </w:pPr>
    </w:p>
    <w:p w14:paraId="036ECFDB" w14:textId="12D5DD9F" w:rsidR="00BD6C53" w:rsidRPr="007B4A99" w:rsidRDefault="00BD6C53" w:rsidP="00DD69D5">
      <w:pPr>
        <w:spacing w:line="240" w:lineRule="auto"/>
        <w:ind w:firstLine="567"/>
        <w:jc w:val="both"/>
        <w:rPr>
          <w:rFonts w:ascii="Times New Roman" w:hAnsi="Times New Roman" w:cs="Times New Roman"/>
          <w:b/>
          <w:i/>
          <w:color w:val="2E74B5" w:themeColor="accent1" w:themeShade="BF"/>
          <w:sz w:val="24"/>
          <w:szCs w:val="24"/>
        </w:rPr>
      </w:pPr>
      <w:r w:rsidRPr="007B4A99">
        <w:rPr>
          <w:rFonts w:ascii="Times New Roman" w:hAnsi="Times New Roman" w:cs="Times New Roman"/>
          <w:b/>
          <w:i/>
          <w:color w:val="2E74B5" w:themeColor="accent1" w:themeShade="BF"/>
          <w:sz w:val="24"/>
          <w:szCs w:val="24"/>
        </w:rPr>
        <w:t>3.2. Конкретни цели</w:t>
      </w:r>
      <w:r w:rsidR="002B696C" w:rsidRPr="007B4A99">
        <w:rPr>
          <w:rFonts w:ascii="Times New Roman" w:hAnsi="Times New Roman" w:cs="Times New Roman"/>
          <w:color w:val="000000" w:themeColor="text1"/>
          <w:sz w:val="24"/>
          <w:szCs w:val="24"/>
        </w:rPr>
        <w:t xml:space="preserve"> </w:t>
      </w:r>
    </w:p>
    <w:p w14:paraId="0630F3E3" w14:textId="30981F0A" w:rsidR="00812A41" w:rsidRPr="007B4A99" w:rsidRDefault="00584C0C" w:rsidP="00DD69D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Установяване</w:t>
      </w:r>
      <w:r w:rsidR="00812A41" w:rsidRPr="007B4A99">
        <w:rPr>
          <w:rFonts w:ascii="Times New Roman" w:hAnsi="Times New Roman" w:cs="Times New Roman"/>
          <w:color w:val="000000" w:themeColor="text1"/>
          <w:sz w:val="24"/>
          <w:szCs w:val="24"/>
        </w:rPr>
        <w:t xml:space="preserve"> на ясни, честни и видими за цялото общество правила, по които възникват и се развиват отношенията между участниците по </w:t>
      </w:r>
      <w:r w:rsidR="00812A41" w:rsidRPr="007B4A99">
        <w:rPr>
          <w:rFonts w:ascii="Times New Roman" w:hAnsi="Times New Roman" w:cs="Times New Roman"/>
          <w:sz w:val="24"/>
          <w:szCs w:val="24"/>
        </w:rPr>
        <w:t xml:space="preserve">веригата на доставки на земеделски продукти и храни. </w:t>
      </w:r>
      <w:r w:rsidR="00DC1315" w:rsidRPr="007B4A99">
        <w:rPr>
          <w:rFonts w:ascii="Times New Roman" w:hAnsi="Times New Roman" w:cs="Times New Roman"/>
          <w:sz w:val="24"/>
          <w:szCs w:val="24"/>
        </w:rPr>
        <w:t xml:space="preserve">Създаване на </w:t>
      </w:r>
      <w:r w:rsidR="00DC1315" w:rsidRPr="007B4A99">
        <w:rPr>
          <w:rFonts w:ascii="Times New Roman" w:hAnsi="Times New Roman" w:cs="Times New Roman"/>
          <w:color w:val="000000" w:themeColor="text1"/>
          <w:sz w:val="24"/>
          <w:szCs w:val="24"/>
        </w:rPr>
        <w:t>среда</w:t>
      </w:r>
      <w:r w:rsidR="00812A41" w:rsidRPr="007B4A99">
        <w:rPr>
          <w:rFonts w:ascii="Times New Roman" w:hAnsi="Times New Roman" w:cs="Times New Roman"/>
          <w:color w:val="000000" w:themeColor="text1"/>
          <w:sz w:val="24"/>
          <w:szCs w:val="24"/>
        </w:rPr>
        <w:t xml:space="preserve"> </w:t>
      </w:r>
      <w:r w:rsidR="001A428E" w:rsidRPr="007B4A99">
        <w:rPr>
          <w:rFonts w:ascii="Times New Roman" w:hAnsi="Times New Roman" w:cs="Times New Roman"/>
          <w:color w:val="000000" w:themeColor="text1"/>
          <w:sz w:val="24"/>
          <w:szCs w:val="24"/>
        </w:rPr>
        <w:t>н</w:t>
      </w:r>
      <w:r w:rsidR="00812A41" w:rsidRPr="007B4A99">
        <w:rPr>
          <w:rFonts w:ascii="Times New Roman" w:hAnsi="Times New Roman" w:cs="Times New Roman"/>
          <w:color w:val="000000" w:themeColor="text1"/>
          <w:sz w:val="24"/>
          <w:szCs w:val="24"/>
        </w:rPr>
        <w:t xml:space="preserve">а прозрачност в договарянето, проследимост на функционирането и равнопоставеност в отношенията между участниците </w:t>
      </w:r>
      <w:r w:rsidR="00DC1315" w:rsidRPr="007B4A99">
        <w:rPr>
          <w:rFonts w:ascii="Times New Roman" w:hAnsi="Times New Roman" w:cs="Times New Roman"/>
          <w:color w:val="000000" w:themeColor="text1"/>
          <w:sz w:val="24"/>
          <w:szCs w:val="24"/>
        </w:rPr>
        <w:t xml:space="preserve">по веригата </w:t>
      </w:r>
      <w:r w:rsidR="001A428E" w:rsidRPr="007B4A99">
        <w:rPr>
          <w:rFonts w:ascii="Times New Roman" w:hAnsi="Times New Roman" w:cs="Times New Roman"/>
          <w:color w:val="000000" w:themeColor="text1"/>
          <w:sz w:val="24"/>
          <w:szCs w:val="24"/>
        </w:rPr>
        <w:t>н</w:t>
      </w:r>
      <w:r w:rsidR="00DC1315" w:rsidRPr="007B4A99">
        <w:rPr>
          <w:rFonts w:ascii="Times New Roman" w:hAnsi="Times New Roman" w:cs="Times New Roman"/>
          <w:color w:val="000000" w:themeColor="text1"/>
          <w:sz w:val="24"/>
          <w:szCs w:val="24"/>
        </w:rPr>
        <w:t>а доставки на земеделски продукти и храни</w:t>
      </w:r>
      <w:r w:rsidR="007116C9">
        <w:rPr>
          <w:rFonts w:ascii="Times New Roman" w:hAnsi="Times New Roman" w:cs="Times New Roman"/>
          <w:color w:val="000000" w:themeColor="text1"/>
          <w:sz w:val="24"/>
          <w:szCs w:val="24"/>
        </w:rPr>
        <w:t>,</w:t>
      </w:r>
      <w:r w:rsidR="00DC1315" w:rsidRPr="007B4A99">
        <w:rPr>
          <w:rFonts w:ascii="Times New Roman" w:hAnsi="Times New Roman" w:cs="Times New Roman"/>
          <w:color w:val="000000" w:themeColor="text1"/>
          <w:sz w:val="24"/>
          <w:szCs w:val="24"/>
        </w:rPr>
        <w:t xml:space="preserve"> ко</w:t>
      </w:r>
      <w:r>
        <w:rPr>
          <w:rFonts w:ascii="Times New Roman" w:hAnsi="Times New Roman" w:cs="Times New Roman"/>
          <w:color w:val="000000" w:themeColor="text1"/>
          <w:sz w:val="24"/>
          <w:szCs w:val="24"/>
        </w:rPr>
        <w:t>е</w:t>
      </w:r>
      <w:r w:rsidR="00DC1315" w:rsidRPr="007B4A99">
        <w:rPr>
          <w:rFonts w:ascii="Times New Roman" w:hAnsi="Times New Roman" w:cs="Times New Roman"/>
          <w:color w:val="000000" w:themeColor="text1"/>
          <w:sz w:val="24"/>
          <w:szCs w:val="24"/>
        </w:rPr>
        <w:t>то води</w:t>
      </w:r>
      <w:r w:rsidR="00DC1315" w:rsidRPr="007B4A99">
        <w:rPr>
          <w:rFonts w:ascii="Times New Roman" w:hAnsi="Times New Roman" w:cs="Times New Roman"/>
          <w:sz w:val="24"/>
          <w:szCs w:val="24"/>
        </w:rPr>
        <w:t xml:space="preserve"> </w:t>
      </w:r>
      <w:r w:rsidR="00812A41" w:rsidRPr="007B4A99">
        <w:rPr>
          <w:rFonts w:ascii="Times New Roman" w:hAnsi="Times New Roman" w:cs="Times New Roman"/>
          <w:sz w:val="24"/>
          <w:szCs w:val="24"/>
        </w:rPr>
        <w:t xml:space="preserve">и до базирано на лоялна конкуренция пропорционално </w:t>
      </w:r>
      <w:r w:rsidR="00812A41" w:rsidRPr="007B4A99">
        <w:rPr>
          <w:rFonts w:ascii="Times New Roman" w:hAnsi="Times New Roman" w:cs="Times New Roman"/>
          <w:color w:val="000000" w:themeColor="text1"/>
          <w:sz w:val="24"/>
          <w:szCs w:val="24"/>
        </w:rPr>
        <w:t xml:space="preserve">разпределение на добавената стойност </w:t>
      </w:r>
      <w:r w:rsidR="00DC1315" w:rsidRPr="007B4A99">
        <w:rPr>
          <w:rFonts w:ascii="Times New Roman" w:hAnsi="Times New Roman" w:cs="Times New Roman"/>
          <w:color w:val="000000" w:themeColor="text1"/>
          <w:sz w:val="24"/>
          <w:szCs w:val="24"/>
        </w:rPr>
        <w:t>от нея</w:t>
      </w:r>
      <w:r w:rsidR="00812A41" w:rsidRPr="007B4A99">
        <w:rPr>
          <w:rFonts w:ascii="Times New Roman" w:hAnsi="Times New Roman" w:cs="Times New Roman"/>
          <w:color w:val="000000" w:themeColor="text1"/>
          <w:sz w:val="24"/>
          <w:szCs w:val="24"/>
        </w:rPr>
        <w:t>.</w:t>
      </w:r>
      <w:r w:rsidR="00DC1315" w:rsidRPr="007B4A99">
        <w:t xml:space="preserve"> </w:t>
      </w:r>
    </w:p>
    <w:p w14:paraId="291A4753" w14:textId="77777777" w:rsidR="004C79C2" w:rsidRPr="007B4A99" w:rsidRDefault="004C79C2" w:rsidP="00DD69D5">
      <w:pPr>
        <w:spacing w:after="0" w:line="240" w:lineRule="auto"/>
        <w:ind w:firstLine="567"/>
        <w:jc w:val="both"/>
        <w:rPr>
          <w:rFonts w:ascii="Times New Roman" w:hAnsi="Times New Roman" w:cs="Times New Roman"/>
          <w:sz w:val="24"/>
          <w:szCs w:val="24"/>
        </w:rPr>
      </w:pPr>
    </w:p>
    <w:p w14:paraId="373A124D" w14:textId="77777777" w:rsidR="00584C0C" w:rsidRDefault="00BD6C53" w:rsidP="00DD69D5">
      <w:pPr>
        <w:spacing w:line="240" w:lineRule="auto"/>
        <w:ind w:firstLine="567"/>
        <w:jc w:val="both"/>
        <w:rPr>
          <w:rFonts w:ascii="Times New Roman" w:hAnsi="Times New Roman" w:cs="Times New Roman"/>
          <w:color w:val="000000" w:themeColor="text1"/>
          <w:sz w:val="24"/>
          <w:szCs w:val="24"/>
        </w:rPr>
      </w:pPr>
      <w:r w:rsidRPr="007B4A99">
        <w:rPr>
          <w:rFonts w:ascii="Times New Roman" w:hAnsi="Times New Roman" w:cs="Times New Roman"/>
          <w:b/>
          <w:i/>
          <w:color w:val="2E74B5" w:themeColor="accent1" w:themeShade="BF"/>
          <w:sz w:val="24"/>
          <w:szCs w:val="24"/>
        </w:rPr>
        <w:t>3.3. Оперативни цели</w:t>
      </w:r>
      <w:r w:rsidR="00812A41" w:rsidRPr="007B4A99">
        <w:rPr>
          <w:rFonts w:ascii="Times New Roman" w:hAnsi="Times New Roman" w:cs="Times New Roman"/>
          <w:color w:val="000000" w:themeColor="text1"/>
          <w:sz w:val="24"/>
          <w:szCs w:val="24"/>
        </w:rPr>
        <w:t xml:space="preserve"> </w:t>
      </w:r>
    </w:p>
    <w:p w14:paraId="3F78BFB2" w14:textId="49DCEA71" w:rsidR="00DC1315" w:rsidRPr="007B4A99" w:rsidRDefault="00DC1315" w:rsidP="00DD69D5">
      <w:pPr>
        <w:spacing w:line="240" w:lineRule="auto"/>
        <w:ind w:firstLine="567"/>
        <w:jc w:val="both"/>
        <w:rPr>
          <w:rFonts w:ascii="Times New Roman" w:hAnsi="Times New Roman" w:cs="Times New Roman"/>
          <w:color w:val="000000" w:themeColor="text1"/>
          <w:sz w:val="24"/>
          <w:szCs w:val="24"/>
        </w:rPr>
      </w:pPr>
      <w:r w:rsidRPr="007B4A99">
        <w:rPr>
          <w:rFonts w:ascii="Times New Roman" w:hAnsi="Times New Roman" w:cs="Times New Roman"/>
          <w:color w:val="000000" w:themeColor="text1"/>
          <w:sz w:val="24"/>
          <w:szCs w:val="24"/>
        </w:rPr>
        <w:t xml:space="preserve">Избор на вариант на действие, включващ въвеждането на мерки на национално ниво, водещи до пълноценно разрешаване на дефинираните проблеми, чрез </w:t>
      </w:r>
      <w:r w:rsidRPr="007B4A99">
        <w:rPr>
          <w:rFonts w:ascii="Times New Roman" w:hAnsi="Times New Roman" w:cs="Times New Roman"/>
          <w:color w:val="000000" w:themeColor="text1"/>
          <w:sz w:val="24"/>
          <w:szCs w:val="24"/>
        </w:rPr>
        <w:lastRenderedPageBreak/>
        <w:t xml:space="preserve">отстраняване на двигателите, стоящи в тяхната основа и/или </w:t>
      </w:r>
      <w:r w:rsidR="001A428E" w:rsidRPr="007B4A99">
        <w:rPr>
          <w:rFonts w:ascii="Times New Roman" w:hAnsi="Times New Roman" w:cs="Times New Roman"/>
          <w:color w:val="000000" w:themeColor="text1"/>
          <w:sz w:val="24"/>
          <w:szCs w:val="24"/>
        </w:rPr>
        <w:t>до</w:t>
      </w:r>
      <w:r w:rsidRPr="007B4A99">
        <w:rPr>
          <w:rFonts w:ascii="Times New Roman" w:hAnsi="Times New Roman" w:cs="Times New Roman"/>
          <w:color w:val="000000" w:themeColor="text1"/>
          <w:sz w:val="24"/>
          <w:szCs w:val="24"/>
        </w:rPr>
        <w:t xml:space="preserve"> прекъсване на причинно-следствената връзка между </w:t>
      </w:r>
      <w:r w:rsidR="001A428E" w:rsidRPr="007B4A99">
        <w:rPr>
          <w:rFonts w:ascii="Times New Roman" w:hAnsi="Times New Roman" w:cs="Times New Roman"/>
          <w:color w:val="000000" w:themeColor="text1"/>
          <w:sz w:val="24"/>
          <w:szCs w:val="24"/>
        </w:rPr>
        <w:t>двигателите,</w:t>
      </w:r>
      <w:r w:rsidRPr="007B4A99">
        <w:rPr>
          <w:rFonts w:ascii="Times New Roman" w:hAnsi="Times New Roman" w:cs="Times New Roman"/>
          <w:color w:val="000000" w:themeColor="text1"/>
          <w:sz w:val="24"/>
          <w:szCs w:val="24"/>
        </w:rPr>
        <w:t xml:space="preserve"> </w:t>
      </w:r>
      <w:r w:rsidR="001A428E" w:rsidRPr="007B4A99">
        <w:rPr>
          <w:rFonts w:ascii="Times New Roman" w:hAnsi="Times New Roman" w:cs="Times New Roman"/>
          <w:color w:val="000000" w:themeColor="text1"/>
          <w:sz w:val="24"/>
          <w:szCs w:val="24"/>
        </w:rPr>
        <w:t>проблемите</w:t>
      </w:r>
      <w:r w:rsidRPr="007B4A99">
        <w:rPr>
          <w:rFonts w:ascii="Times New Roman" w:hAnsi="Times New Roman" w:cs="Times New Roman"/>
          <w:color w:val="000000" w:themeColor="text1"/>
          <w:sz w:val="24"/>
          <w:szCs w:val="24"/>
        </w:rPr>
        <w:t xml:space="preserve"> и</w:t>
      </w:r>
      <w:r w:rsidR="001A428E" w:rsidRPr="007B4A99">
        <w:rPr>
          <w:rFonts w:ascii="Times New Roman" w:hAnsi="Times New Roman" w:cs="Times New Roman"/>
          <w:color w:val="000000" w:themeColor="text1"/>
          <w:sz w:val="24"/>
          <w:szCs w:val="24"/>
        </w:rPr>
        <w:t xml:space="preserve"> техните</w:t>
      </w:r>
      <w:r w:rsidRPr="007B4A99">
        <w:rPr>
          <w:rFonts w:ascii="Times New Roman" w:hAnsi="Times New Roman" w:cs="Times New Roman"/>
          <w:color w:val="000000" w:themeColor="text1"/>
          <w:sz w:val="24"/>
          <w:szCs w:val="24"/>
        </w:rPr>
        <w:t xml:space="preserve"> проявления.</w:t>
      </w:r>
    </w:p>
    <w:p w14:paraId="0D28434B" w14:textId="77777777" w:rsidR="003B106A" w:rsidRDefault="003B106A" w:rsidP="00DD69D5">
      <w:pPr>
        <w:spacing w:after="0" w:line="240" w:lineRule="auto"/>
        <w:ind w:firstLine="567"/>
        <w:jc w:val="both"/>
        <w:rPr>
          <w:rFonts w:ascii="Times New Roman" w:eastAsia="Calibri" w:hAnsi="Times New Roman" w:cs="Times New Roman"/>
          <w:b/>
          <w:bCs/>
          <w:color w:val="000000"/>
          <w:sz w:val="24"/>
          <w:szCs w:val="24"/>
        </w:rPr>
      </w:pPr>
    </w:p>
    <w:p w14:paraId="049E67CC" w14:textId="77777777" w:rsidR="00256247" w:rsidRDefault="00256247" w:rsidP="00DD69D5">
      <w:pPr>
        <w:spacing w:after="0" w:line="240" w:lineRule="auto"/>
        <w:ind w:firstLine="567"/>
        <w:jc w:val="both"/>
        <w:rPr>
          <w:rFonts w:ascii="Times New Roman" w:eastAsia="Calibri" w:hAnsi="Times New Roman" w:cs="Times New Roman"/>
          <w:b/>
          <w:bCs/>
          <w:color w:val="000000"/>
          <w:sz w:val="24"/>
          <w:szCs w:val="24"/>
        </w:rPr>
      </w:pPr>
    </w:p>
    <w:p w14:paraId="4C00A8DE" w14:textId="77777777" w:rsidR="00256247" w:rsidRDefault="00256247" w:rsidP="00DD69D5">
      <w:pPr>
        <w:spacing w:after="0" w:line="240" w:lineRule="auto"/>
        <w:ind w:firstLine="567"/>
        <w:jc w:val="both"/>
        <w:rPr>
          <w:rFonts w:ascii="Times New Roman" w:eastAsia="Calibri" w:hAnsi="Times New Roman" w:cs="Times New Roman"/>
          <w:b/>
          <w:bCs/>
          <w:color w:val="000000"/>
          <w:sz w:val="24"/>
          <w:szCs w:val="24"/>
        </w:rPr>
      </w:pPr>
    </w:p>
    <w:p w14:paraId="505B297C" w14:textId="77777777" w:rsidR="00256247" w:rsidRDefault="00256247" w:rsidP="001A428E">
      <w:pPr>
        <w:spacing w:after="0" w:line="276" w:lineRule="auto"/>
        <w:ind w:firstLine="567"/>
        <w:jc w:val="both"/>
        <w:rPr>
          <w:rFonts w:ascii="Times New Roman" w:eastAsia="Calibri" w:hAnsi="Times New Roman" w:cs="Times New Roman"/>
          <w:b/>
          <w:bCs/>
          <w:color w:val="000000"/>
          <w:sz w:val="24"/>
          <w:szCs w:val="24"/>
        </w:rPr>
      </w:pPr>
    </w:p>
    <w:p w14:paraId="4623A3B4" w14:textId="77777777" w:rsidR="00DD69D5" w:rsidRDefault="00DD69D5" w:rsidP="001A428E">
      <w:pPr>
        <w:spacing w:after="0" w:line="276" w:lineRule="auto"/>
        <w:ind w:firstLine="567"/>
        <w:jc w:val="both"/>
        <w:rPr>
          <w:rFonts w:ascii="Times New Roman" w:eastAsia="Calibri" w:hAnsi="Times New Roman" w:cs="Times New Roman"/>
          <w:b/>
          <w:bCs/>
          <w:color w:val="000000"/>
          <w:sz w:val="24"/>
          <w:szCs w:val="24"/>
        </w:rPr>
      </w:pPr>
    </w:p>
    <w:p w14:paraId="545355E8" w14:textId="77777777" w:rsidR="00256247" w:rsidRPr="007B4A99" w:rsidRDefault="00256247" w:rsidP="001A428E">
      <w:pPr>
        <w:spacing w:after="0" w:line="276" w:lineRule="auto"/>
        <w:ind w:firstLine="567"/>
        <w:jc w:val="both"/>
        <w:rPr>
          <w:rFonts w:ascii="Times New Roman" w:eastAsia="Calibri" w:hAnsi="Times New Roman" w:cs="Times New Roman"/>
          <w:b/>
          <w:bCs/>
          <w:color w:val="000000"/>
          <w:sz w:val="24"/>
          <w:szCs w:val="24"/>
        </w:rPr>
      </w:pPr>
    </w:p>
    <w:p w14:paraId="6A70FCE7" w14:textId="77777777" w:rsidR="001A428E" w:rsidRPr="007B4A99" w:rsidRDefault="001A428E" w:rsidP="001A428E">
      <w:pPr>
        <w:spacing w:after="0" w:line="276" w:lineRule="auto"/>
        <w:ind w:firstLine="567"/>
        <w:jc w:val="both"/>
        <w:rPr>
          <w:rFonts w:ascii="Times New Roman" w:eastAsia="Calibri" w:hAnsi="Times New Roman" w:cs="Times New Roman"/>
          <w:b/>
          <w:bCs/>
          <w:color w:val="000000"/>
          <w:sz w:val="24"/>
          <w:szCs w:val="24"/>
        </w:rPr>
      </w:pPr>
      <w:r w:rsidRPr="007B4A99">
        <w:rPr>
          <w:rFonts w:ascii="Times New Roman" w:eastAsia="Calibri" w:hAnsi="Times New Roman" w:cs="Times New Roman"/>
          <w:b/>
          <w:bCs/>
          <w:color w:val="000000"/>
          <w:sz w:val="24"/>
          <w:szCs w:val="24"/>
        </w:rPr>
        <w:t>Фигура 2. Дърво на целите</w:t>
      </w:r>
    </w:p>
    <w:p w14:paraId="0BA3216F" w14:textId="77777777" w:rsidR="001A428E" w:rsidRPr="007B4A99" w:rsidRDefault="001A428E" w:rsidP="00584C0C">
      <w:pPr>
        <w:ind w:left="-567"/>
      </w:pPr>
      <w:r w:rsidRPr="007B4A99">
        <w:rPr>
          <w:noProof/>
          <w:lang w:val="en-US"/>
        </w:rPr>
        <w:drawing>
          <wp:inline distT="0" distB="0" distL="0" distR="0" wp14:anchorId="0C4647F0" wp14:editId="7037D8DA">
            <wp:extent cx="6591300" cy="4229100"/>
            <wp:effectExtent l="0" t="0" r="0" b="0"/>
            <wp:docPr id="2107416596" name="Диагра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3360136" w14:textId="77777777" w:rsidR="00EB4069" w:rsidRPr="007B4A99" w:rsidRDefault="00EB4069" w:rsidP="000E0E39">
      <w:pPr>
        <w:spacing w:after="0" w:line="276" w:lineRule="auto"/>
        <w:ind w:firstLine="567"/>
        <w:jc w:val="both"/>
        <w:rPr>
          <w:rFonts w:ascii="Times New Roman" w:hAnsi="Times New Roman" w:cs="Times New Roman"/>
          <w:color w:val="000000"/>
          <w:sz w:val="24"/>
          <w:szCs w:val="24"/>
        </w:rPr>
      </w:pPr>
    </w:p>
    <w:p w14:paraId="06CB486E" w14:textId="5D3843BE" w:rsidR="000E0E39" w:rsidRPr="007B4A99" w:rsidRDefault="000E0E39" w:rsidP="00DD69D5">
      <w:pPr>
        <w:spacing w:after="0" w:line="240" w:lineRule="auto"/>
        <w:ind w:firstLine="567"/>
        <w:jc w:val="both"/>
        <w:rPr>
          <w:rFonts w:ascii="Times New Roman" w:hAnsi="Times New Roman" w:cs="Times New Roman"/>
          <w:color w:val="000000"/>
          <w:sz w:val="24"/>
          <w:szCs w:val="24"/>
        </w:rPr>
      </w:pPr>
      <w:r w:rsidRPr="007B4A99">
        <w:rPr>
          <w:rFonts w:ascii="Times New Roman" w:hAnsi="Times New Roman" w:cs="Times New Roman"/>
          <w:color w:val="000000"/>
          <w:sz w:val="24"/>
          <w:szCs w:val="24"/>
        </w:rPr>
        <w:t>Постигането на тези цели би имало еднакъв положителен ефект за всички набелязани групи заинтересовани страни. За преките адресати на мерките, процедурите и правилата това би означавало по-добри условия и нови възможности за бизнес, по-голяма правна сигурност и по-голямо доверие в държавата. За държавата тяхното осъществяване би довело да създаването на благоприятна среда за бизнес</w:t>
      </w:r>
      <w:r w:rsidR="00933CAC">
        <w:rPr>
          <w:rFonts w:ascii="Times New Roman" w:hAnsi="Times New Roman" w:cs="Times New Roman"/>
          <w:color w:val="000000"/>
          <w:sz w:val="24"/>
          <w:szCs w:val="24"/>
        </w:rPr>
        <w:t>а</w:t>
      </w:r>
      <w:r w:rsidRPr="007B4A99">
        <w:rPr>
          <w:rFonts w:ascii="Times New Roman" w:hAnsi="Times New Roman" w:cs="Times New Roman"/>
          <w:color w:val="000000"/>
          <w:sz w:val="24"/>
          <w:szCs w:val="24"/>
        </w:rPr>
        <w:t xml:space="preserve"> и най-вече за гражданите, които се явяват крайни потребители. </w:t>
      </w:r>
    </w:p>
    <w:p w14:paraId="5198232F" w14:textId="5D78262A" w:rsidR="000E0E39" w:rsidRPr="007B4A99" w:rsidRDefault="000E0E39" w:rsidP="00DD69D5">
      <w:pPr>
        <w:spacing w:after="0" w:line="240" w:lineRule="auto"/>
        <w:ind w:firstLine="567"/>
        <w:jc w:val="both"/>
        <w:rPr>
          <w:rFonts w:ascii="Times New Roman" w:hAnsi="Times New Roman" w:cs="Times New Roman"/>
          <w:color w:val="000000"/>
          <w:sz w:val="24"/>
          <w:szCs w:val="24"/>
        </w:rPr>
      </w:pPr>
      <w:r w:rsidRPr="007B4A99">
        <w:rPr>
          <w:rFonts w:ascii="Times New Roman" w:hAnsi="Times New Roman" w:cs="Times New Roman"/>
          <w:color w:val="000000"/>
          <w:sz w:val="24"/>
          <w:szCs w:val="24"/>
        </w:rPr>
        <w:t xml:space="preserve">Полезните ефекти от реализирането на горните цели биха могли да се проявят веднага след предприемането на действията и въвеждането на мерките, избрани като </w:t>
      </w:r>
      <w:r w:rsidRPr="007B4A99">
        <w:rPr>
          <w:rFonts w:ascii="Times New Roman" w:hAnsi="Times New Roman" w:cs="Times New Roman"/>
          <w:color w:val="000000"/>
          <w:sz w:val="24"/>
          <w:szCs w:val="24"/>
        </w:rPr>
        <w:lastRenderedPageBreak/>
        <w:t xml:space="preserve">средства за тяхното постигане, като веднага в конкретния случай означава след изтичането на първия времеви цикъл, в рамките на който бъдат събрани, анализирани и отчетени официални данни и доказателства, например след приключване на първата финансова година. </w:t>
      </w:r>
    </w:p>
    <w:p w14:paraId="2C252FAA" w14:textId="77777777" w:rsidR="000E0E39" w:rsidRPr="007B4A99" w:rsidRDefault="000E0E39" w:rsidP="00DD69D5">
      <w:pPr>
        <w:spacing w:after="0" w:line="240" w:lineRule="auto"/>
        <w:ind w:firstLine="567"/>
        <w:jc w:val="both"/>
        <w:rPr>
          <w:rFonts w:ascii="Times New Roman" w:hAnsi="Times New Roman" w:cs="Times New Roman"/>
          <w:i/>
          <w:color w:val="000000" w:themeColor="text1"/>
          <w:sz w:val="24"/>
          <w:szCs w:val="24"/>
        </w:rPr>
      </w:pPr>
    </w:p>
    <w:p w14:paraId="634D794F" w14:textId="77777777" w:rsidR="000D7D7C" w:rsidRPr="007B4A99" w:rsidRDefault="004C638A" w:rsidP="00B8646D">
      <w:pPr>
        <w:pStyle w:val="Heading1"/>
        <w:rPr>
          <w:rFonts w:ascii="Times New Roman" w:hAnsi="Times New Roman"/>
        </w:rPr>
      </w:pPr>
      <w:bookmarkStart w:id="8" w:name="_Toc198633079"/>
      <w:r w:rsidRPr="007B4A99">
        <w:rPr>
          <w:rFonts w:ascii="Times New Roman" w:hAnsi="Times New Roman"/>
        </w:rPr>
        <w:t>Варианти на действие</w:t>
      </w:r>
      <w:bookmarkEnd w:id="8"/>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4500BD" w:rsidRPr="007B4A99" w14:paraId="01D4E007" w14:textId="77777777" w:rsidTr="00DD69D5">
        <w:tc>
          <w:tcPr>
            <w:tcW w:w="9062" w:type="dxa"/>
          </w:tcPr>
          <w:p w14:paraId="2E33B979" w14:textId="77777777" w:rsidR="004500BD" w:rsidRPr="007B4A99" w:rsidRDefault="004500BD" w:rsidP="004500BD">
            <w:pPr>
              <w:pStyle w:val="7878"/>
              <w:ind w:left="0"/>
              <w:rPr>
                <w:rFonts w:ascii="Times New Roman" w:hAnsi="Times New Roman"/>
              </w:rPr>
            </w:pPr>
            <w:r w:rsidRPr="007B4A99">
              <w:rPr>
                <w:rFonts w:ascii="Times New Roman" w:hAnsi="Times New Roman"/>
              </w:rPr>
              <w:t>[Определянето на вариантите за решаването на всеки един от проблемите е третата ключова аналитична стъпка (трета от общо шест) в процеса по изготвяне на предварителна оценка на въздействие.</w:t>
            </w:r>
          </w:p>
          <w:p w14:paraId="115F2569" w14:textId="77777777" w:rsidR="004500BD" w:rsidRPr="007B4A99" w:rsidRDefault="004500BD" w:rsidP="004500BD">
            <w:pPr>
              <w:pStyle w:val="7878"/>
              <w:ind w:left="0"/>
              <w:rPr>
                <w:rFonts w:ascii="Times New Roman" w:hAnsi="Times New Roman"/>
              </w:rPr>
            </w:pPr>
            <w:r w:rsidRPr="007B4A99">
              <w:rPr>
                <w:rFonts w:ascii="Times New Roman" w:hAnsi="Times New Roman"/>
              </w:rPr>
              <w:t xml:space="preserve">Когато в цялостната предварителна оценка на въздействието се решава повече от един проблем, след определянето на целите за всеки от тях </w:t>
            </w:r>
            <w:r w:rsidRPr="007B4A99">
              <w:rPr>
                <w:rFonts w:ascii="Times New Roman" w:hAnsi="Times New Roman"/>
                <w:b/>
              </w:rPr>
              <w:t>се разработват и вариантите за действие за всеки един от проблемите</w:t>
            </w:r>
            <w:r w:rsidRPr="007B4A99">
              <w:rPr>
                <w:rFonts w:ascii="Times New Roman" w:hAnsi="Times New Roman"/>
              </w:rPr>
              <w:t xml:space="preserve">. </w:t>
            </w:r>
          </w:p>
          <w:p w14:paraId="0A2AE771" w14:textId="77777777" w:rsidR="004500BD" w:rsidRPr="007B4A99" w:rsidRDefault="004500BD" w:rsidP="004500BD">
            <w:pPr>
              <w:pStyle w:val="7878"/>
              <w:ind w:left="0"/>
              <w:rPr>
                <w:rFonts w:ascii="Times New Roman" w:hAnsi="Times New Roman"/>
              </w:rPr>
            </w:pPr>
            <w:r w:rsidRPr="007B4A99">
              <w:rPr>
                <w:rFonts w:ascii="Times New Roman" w:hAnsi="Times New Roman"/>
              </w:rPr>
              <w:t xml:space="preserve">Когато се извършва оценка на въздействието на нормативен акт, </w:t>
            </w:r>
            <w:r w:rsidRPr="007B4A99">
              <w:rPr>
                <w:rFonts w:ascii="Times New Roman" w:hAnsi="Times New Roman"/>
                <w:b/>
              </w:rPr>
              <w:t>никога</w:t>
            </w:r>
            <w:r w:rsidRPr="007B4A99">
              <w:rPr>
                <w:rFonts w:ascii="Times New Roman" w:hAnsi="Times New Roman"/>
              </w:rPr>
              <w:t xml:space="preserve"> не се оценяват като алтернативни варианти приемането или неприемането на нормативния акт (особено ако това е предвидено в правото на ЕС или в акт от по-висока степен). Изследват се реалните алтернативи за действие, насочени към разрешаване на проблема, така както той би бил (или вече е бил) поставен при оценката на акта от по-висока степен или на акта на орган на ЕС. (Ръководство, РМС № 728 от 2019 г., стр. 25 - 26).</w:t>
            </w:r>
          </w:p>
          <w:p w14:paraId="2AFD99AB" w14:textId="77777777" w:rsidR="004500BD" w:rsidRPr="007B4A99" w:rsidRDefault="004500BD" w:rsidP="004500BD">
            <w:pPr>
              <w:pStyle w:val="7878"/>
              <w:ind w:left="0"/>
              <w:rPr>
                <w:rFonts w:ascii="Times New Roman" w:hAnsi="Times New Roman"/>
              </w:rPr>
            </w:pPr>
            <w:r w:rsidRPr="007B4A99">
              <w:rPr>
                <w:rFonts w:ascii="Times New Roman" w:hAnsi="Times New Roman"/>
              </w:rPr>
              <w:t>Препоръчва се вариантите да са между 4 и 7. Това е така, тъй като при определянето на вариантите, често има три „служебни“ варианта:</w:t>
            </w:r>
          </w:p>
          <w:p w14:paraId="5DFCF0C3" w14:textId="77777777" w:rsidR="004500BD" w:rsidRPr="007B4A99" w:rsidRDefault="004500BD" w:rsidP="004500BD">
            <w:pPr>
              <w:pStyle w:val="7878"/>
              <w:ind w:left="0"/>
              <w:rPr>
                <w:rFonts w:ascii="Times New Roman" w:hAnsi="Times New Roman"/>
              </w:rPr>
            </w:pPr>
            <w:r w:rsidRPr="007B4A99">
              <w:rPr>
                <w:rFonts w:ascii="Times New Roman" w:hAnsi="Times New Roman"/>
                <w:b/>
              </w:rPr>
              <w:t xml:space="preserve">Вариантът „Без действие“ </w:t>
            </w:r>
            <w:r w:rsidRPr="007B4A99">
              <w:rPr>
                <w:rFonts w:ascii="Times New Roman" w:hAnsi="Times New Roman"/>
              </w:rPr>
              <w:t>– той е задължителен и служи за отправна точка при сравняването на вариантите и евентуално при избора на най-подходящия.</w:t>
            </w:r>
          </w:p>
          <w:p w14:paraId="4BAD5928" w14:textId="77777777" w:rsidR="004500BD" w:rsidRPr="007B4A99" w:rsidRDefault="004500BD" w:rsidP="004500BD">
            <w:pPr>
              <w:pStyle w:val="7878"/>
              <w:ind w:left="0"/>
              <w:rPr>
                <w:rFonts w:ascii="Times New Roman" w:hAnsi="Times New Roman"/>
              </w:rPr>
            </w:pPr>
            <w:r w:rsidRPr="007B4A99">
              <w:rPr>
                <w:rFonts w:ascii="Times New Roman" w:hAnsi="Times New Roman"/>
                <w:b/>
              </w:rPr>
              <w:t xml:space="preserve">Вариант „Фаворит“ </w:t>
            </w:r>
            <w:r w:rsidRPr="007B4A99">
              <w:rPr>
                <w:rFonts w:ascii="Times New Roman" w:hAnsi="Times New Roman"/>
              </w:rPr>
              <w:t>– вариантът, който волно или неволно още с формулирането на проблема, изниква в съзнанието на членовете на екипа още преди аналитичната част</w:t>
            </w:r>
          </w:p>
          <w:p w14:paraId="54423816" w14:textId="77777777" w:rsidR="004500BD" w:rsidRPr="007B4A99" w:rsidRDefault="004500BD" w:rsidP="004500BD">
            <w:pPr>
              <w:pStyle w:val="7878"/>
              <w:ind w:left="0"/>
              <w:rPr>
                <w:rFonts w:ascii="Times New Roman" w:hAnsi="Times New Roman"/>
              </w:rPr>
            </w:pPr>
            <w:r w:rsidRPr="007B4A99">
              <w:rPr>
                <w:rFonts w:ascii="Times New Roman" w:hAnsi="Times New Roman"/>
                <w:b/>
              </w:rPr>
              <w:t>„Краен, очевидно неприемлив вариант”</w:t>
            </w:r>
            <w:r w:rsidRPr="007B4A99">
              <w:rPr>
                <w:rFonts w:ascii="Times New Roman" w:hAnsi="Times New Roman"/>
              </w:rPr>
              <w:t xml:space="preserve"> – вариантът, който често се появява само да покаже, че вариантът „Фаворит“ е приемливото решение (т.е. създава се, за да подкрепи варианта „Фаворит“).</w:t>
            </w:r>
          </w:p>
          <w:p w14:paraId="0B6E74B2" w14:textId="77777777" w:rsidR="004500BD" w:rsidRPr="007B4A99" w:rsidRDefault="004500BD" w:rsidP="004500BD">
            <w:pPr>
              <w:pStyle w:val="7878"/>
              <w:ind w:left="0"/>
              <w:rPr>
                <w:rFonts w:ascii="Times New Roman" w:hAnsi="Times New Roman"/>
              </w:rPr>
            </w:pPr>
            <w:r w:rsidRPr="007B4A99">
              <w:rPr>
                <w:rFonts w:ascii="Times New Roman" w:hAnsi="Times New Roman"/>
                <w:b/>
              </w:rPr>
              <w:t>Това е причина да се очаква поне четвърти вариант, който не означава че е правилният, а просто диференцира и „балансира“ анализа</w:t>
            </w:r>
            <w:r w:rsidRPr="007B4A99">
              <w:rPr>
                <w:rFonts w:ascii="Times New Roman" w:hAnsi="Times New Roman"/>
              </w:rPr>
              <w:t>.</w:t>
            </w:r>
          </w:p>
          <w:p w14:paraId="277F75D5" w14:textId="77777777" w:rsidR="004500BD" w:rsidRPr="007B4A99" w:rsidRDefault="004500BD" w:rsidP="004500BD">
            <w:pPr>
              <w:pStyle w:val="7878"/>
              <w:ind w:left="0"/>
              <w:rPr>
                <w:rFonts w:ascii="Times New Roman" w:hAnsi="Times New Roman"/>
              </w:rPr>
            </w:pPr>
            <w:r w:rsidRPr="007B4A99">
              <w:rPr>
                <w:rFonts w:ascii="Times New Roman" w:hAnsi="Times New Roman"/>
              </w:rPr>
              <w:t xml:space="preserve">Точно тази логика е представена в табличната форма по-долу – </w:t>
            </w:r>
            <w:r w:rsidRPr="007B4A99">
              <w:rPr>
                <w:rFonts w:ascii="Times New Roman" w:hAnsi="Times New Roman"/>
                <w:b/>
              </w:rPr>
              <w:t>за всеки проблем се разработват варианти за действие за неговото решаване</w:t>
            </w:r>
            <w:r w:rsidRPr="007B4A99">
              <w:rPr>
                <w:rFonts w:ascii="Times New Roman" w:hAnsi="Times New Roman"/>
              </w:rPr>
              <w:t>.</w:t>
            </w:r>
          </w:p>
          <w:p w14:paraId="5FD82373" w14:textId="77777777" w:rsidR="004500BD" w:rsidRPr="007B4A99" w:rsidRDefault="004500BD" w:rsidP="004500BD">
            <w:pPr>
              <w:pStyle w:val="7878"/>
              <w:ind w:left="0"/>
              <w:rPr>
                <w:rFonts w:ascii="Times New Roman" w:hAnsi="Times New Roman"/>
              </w:rPr>
            </w:pPr>
            <w:r w:rsidRPr="007B4A99">
              <w:rPr>
                <w:rFonts w:ascii="Times New Roman" w:hAnsi="Times New Roman"/>
              </w:rPr>
              <w:t>Табличната форма визуализира логиката на анализа/структурата на доклада и не е задължителна.]</w:t>
            </w:r>
          </w:p>
        </w:tc>
      </w:tr>
    </w:tbl>
    <w:p w14:paraId="387748EB" w14:textId="77777777" w:rsidR="00026631" w:rsidRPr="007B4A99" w:rsidRDefault="00026631" w:rsidP="00BE4073">
      <w:pPr>
        <w:widowControl w:val="0"/>
        <w:overflowPunct w:val="0"/>
        <w:autoSpaceDE w:val="0"/>
        <w:autoSpaceDN w:val="0"/>
        <w:adjustRightInd w:val="0"/>
        <w:spacing w:after="0"/>
        <w:ind w:firstLine="540"/>
        <w:jc w:val="both"/>
        <w:rPr>
          <w:rFonts w:ascii="Times New Roman" w:hAnsi="Times New Roman" w:cs="Times New Roman"/>
          <w:bCs/>
          <w:sz w:val="24"/>
          <w:szCs w:val="24"/>
        </w:rPr>
      </w:pPr>
    </w:p>
    <w:p w14:paraId="5C2B3BA9" w14:textId="6E6F8D30" w:rsidR="00BE4073" w:rsidRPr="007B4A99" w:rsidRDefault="00BE4073" w:rsidP="00DD69D5">
      <w:pPr>
        <w:widowControl w:val="0"/>
        <w:overflowPunct w:val="0"/>
        <w:autoSpaceDE w:val="0"/>
        <w:autoSpaceDN w:val="0"/>
        <w:adjustRightInd w:val="0"/>
        <w:spacing w:after="0" w:line="240" w:lineRule="auto"/>
        <w:ind w:firstLine="540"/>
        <w:jc w:val="both"/>
        <w:rPr>
          <w:rFonts w:ascii="Times New Roman" w:hAnsi="Times New Roman" w:cs="Times New Roman"/>
          <w:bCs/>
          <w:sz w:val="24"/>
          <w:szCs w:val="24"/>
        </w:rPr>
      </w:pPr>
      <w:r w:rsidRPr="007B4A99">
        <w:rPr>
          <w:rFonts w:ascii="Times New Roman" w:hAnsi="Times New Roman" w:cs="Times New Roman"/>
          <w:bCs/>
          <w:sz w:val="24"/>
          <w:szCs w:val="24"/>
        </w:rPr>
        <w:t>В основата на тази ключова аналитична стъпка от оценката на въздействието стои разбирането, че разрешаването на идентифицираните проблеми, при едновременното постигане на дефинираните цели, може да се постигне по различни начини. От гледна точка на постигането на конкретните</w:t>
      </w:r>
      <w:r w:rsidR="009B7599" w:rsidRPr="007B4A99">
        <w:rPr>
          <w:rFonts w:ascii="Times New Roman" w:hAnsi="Times New Roman" w:cs="Times New Roman"/>
          <w:bCs/>
          <w:sz w:val="24"/>
          <w:szCs w:val="24"/>
        </w:rPr>
        <w:t xml:space="preserve"> и оперативните</w:t>
      </w:r>
      <w:r w:rsidRPr="007B4A99">
        <w:rPr>
          <w:rFonts w:ascii="Times New Roman" w:hAnsi="Times New Roman" w:cs="Times New Roman"/>
          <w:bCs/>
          <w:sz w:val="24"/>
          <w:szCs w:val="24"/>
        </w:rPr>
        <w:t xml:space="preserve"> цели, ОВ е призвана да спомогне </w:t>
      </w:r>
      <w:r w:rsidRPr="007B4A99">
        <w:rPr>
          <w:rFonts w:ascii="Times New Roman" w:hAnsi="Times New Roman" w:cs="Times New Roman"/>
          <w:bCs/>
          <w:sz w:val="24"/>
          <w:szCs w:val="24"/>
        </w:rPr>
        <w:lastRenderedPageBreak/>
        <w:t>за вземането на информирано решение относно оптималния вариант, чрез който ще се постигне най-доброто съотношение между ползи и разходи, при най-ниско ниво на рискове и най-пълно задоволяване интересите на всички групи заинтересовани страни.</w:t>
      </w:r>
    </w:p>
    <w:p w14:paraId="019C98DE" w14:textId="25D92D99" w:rsidR="00BE4073" w:rsidRPr="007B4A99" w:rsidRDefault="00BE4073" w:rsidP="00DD69D5">
      <w:pPr>
        <w:widowControl w:val="0"/>
        <w:overflowPunct w:val="0"/>
        <w:autoSpaceDE w:val="0"/>
        <w:autoSpaceDN w:val="0"/>
        <w:adjustRightInd w:val="0"/>
        <w:spacing w:after="0" w:line="240" w:lineRule="auto"/>
        <w:ind w:firstLine="540"/>
        <w:jc w:val="both"/>
        <w:rPr>
          <w:rFonts w:ascii="Times New Roman" w:hAnsi="Times New Roman" w:cs="Times New Roman"/>
          <w:sz w:val="24"/>
          <w:szCs w:val="24"/>
        </w:rPr>
      </w:pPr>
      <w:r w:rsidRPr="007B4A99">
        <w:rPr>
          <w:rFonts w:ascii="Times New Roman" w:hAnsi="Times New Roman" w:cs="Times New Roman"/>
          <w:bCs/>
          <w:sz w:val="24"/>
          <w:szCs w:val="24"/>
        </w:rPr>
        <w:t xml:space="preserve">От съществено значение </w:t>
      </w:r>
      <w:r w:rsidRPr="007B4A99">
        <w:rPr>
          <w:rFonts w:ascii="Times New Roman" w:hAnsi="Times New Roman" w:cs="Times New Roman"/>
          <w:sz w:val="24"/>
          <w:szCs w:val="24"/>
        </w:rPr>
        <w:t xml:space="preserve">тук е да бъде разгледан широк списък от алтернативни варианти на действие, да се подходи с мислене извън стандартните рамки, с отдаване на дължимото внимание на различни подходи. Запазването докрай на мислене, отворено за нови идеи, е важно, дори когато анализът в ОВ е започнал от една идея, виждане на заинтересована страна или политическо решение за това как дадено предложение за промяна може и трябва да изглежда. Предварително зададената рамка от политики в конкретно анализираната област не следва да оказва влияние върху реално съществуващите други възможности за избор на модел, които да бъдат надеждно обосновани като алтернативни варианти на действие в процеса на оценка на въздействието.  </w:t>
      </w:r>
    </w:p>
    <w:p w14:paraId="6FA12149" w14:textId="30D0F896" w:rsidR="00BE4073" w:rsidRPr="007B4A99" w:rsidRDefault="00BE4073" w:rsidP="00DD69D5">
      <w:pPr>
        <w:widowControl w:val="0"/>
        <w:overflowPunct w:val="0"/>
        <w:autoSpaceDE w:val="0"/>
        <w:autoSpaceDN w:val="0"/>
        <w:adjustRightInd w:val="0"/>
        <w:spacing w:after="0" w:line="240" w:lineRule="auto"/>
        <w:ind w:firstLine="540"/>
        <w:jc w:val="both"/>
        <w:rPr>
          <w:rFonts w:ascii="Times New Roman" w:hAnsi="Times New Roman" w:cs="Times New Roman"/>
          <w:sz w:val="24"/>
          <w:szCs w:val="24"/>
        </w:rPr>
      </w:pPr>
      <w:r w:rsidRPr="007B4A99">
        <w:rPr>
          <w:rFonts w:ascii="Times New Roman" w:hAnsi="Times New Roman" w:cs="Times New Roman"/>
          <w:sz w:val="24"/>
          <w:szCs w:val="24"/>
        </w:rPr>
        <w:t xml:space="preserve">Стремежът е вариантите на действие да са ясно свързани с целите и да са пропорционални на разрешаваните проблеми. ОВ </w:t>
      </w:r>
      <w:r w:rsidR="003A472E" w:rsidRPr="007B4A99">
        <w:rPr>
          <w:rFonts w:ascii="Times New Roman" w:hAnsi="Times New Roman" w:cs="Times New Roman"/>
          <w:sz w:val="24"/>
          <w:szCs w:val="24"/>
        </w:rPr>
        <w:t>следва</w:t>
      </w:r>
      <w:r w:rsidRPr="007B4A99">
        <w:rPr>
          <w:rFonts w:ascii="Times New Roman" w:hAnsi="Times New Roman" w:cs="Times New Roman"/>
          <w:sz w:val="24"/>
          <w:szCs w:val="24"/>
        </w:rPr>
        <w:t xml:space="preserve"> да предложи въздържане от намеса или обратното подходящи интервенции за разрешаване на проблемите. В последния случай тя </w:t>
      </w:r>
      <w:r w:rsidR="003A472E" w:rsidRPr="007B4A99">
        <w:rPr>
          <w:rFonts w:ascii="Times New Roman" w:hAnsi="Times New Roman" w:cs="Times New Roman"/>
          <w:sz w:val="24"/>
          <w:szCs w:val="24"/>
        </w:rPr>
        <w:t>трябва</w:t>
      </w:r>
      <w:r w:rsidRPr="007B4A99">
        <w:rPr>
          <w:rFonts w:ascii="Times New Roman" w:hAnsi="Times New Roman" w:cs="Times New Roman"/>
          <w:sz w:val="24"/>
          <w:szCs w:val="24"/>
        </w:rPr>
        <w:t xml:space="preserve"> да разгледа инструментите, чрез които да бъде осъществена всяка от интервенциите, като постави на анализ предимствата и недостатъците на всеки един от тях. Това най-общо могат да са нерегулаторни мерки</w:t>
      </w:r>
      <w:r w:rsidR="00DB64D8" w:rsidRPr="007B4A99">
        <w:rPr>
          <w:rFonts w:ascii="Times New Roman" w:hAnsi="Times New Roman" w:cs="Times New Roman"/>
          <w:sz w:val="24"/>
          <w:szCs w:val="24"/>
        </w:rPr>
        <w:t>,</w:t>
      </w:r>
      <w:r w:rsidRPr="007B4A99">
        <w:rPr>
          <w:rFonts w:ascii="Times New Roman" w:hAnsi="Times New Roman" w:cs="Times New Roman"/>
          <w:sz w:val="24"/>
          <w:szCs w:val="24"/>
        </w:rPr>
        <w:t xml:space="preserve"> </w:t>
      </w:r>
      <w:r w:rsidR="00DB64D8" w:rsidRPr="007B4A99">
        <w:rPr>
          <w:rFonts w:ascii="Times New Roman" w:hAnsi="Times New Roman" w:cs="Times New Roman"/>
          <w:sz w:val="24"/>
          <w:szCs w:val="24"/>
        </w:rPr>
        <w:t xml:space="preserve">регулаторни мерки </w:t>
      </w:r>
      <w:r w:rsidRPr="007B4A99">
        <w:rPr>
          <w:rFonts w:ascii="Times New Roman" w:hAnsi="Times New Roman" w:cs="Times New Roman"/>
          <w:sz w:val="24"/>
          <w:szCs w:val="24"/>
        </w:rPr>
        <w:t xml:space="preserve">или комбинация от двете. </w:t>
      </w:r>
    </w:p>
    <w:p w14:paraId="39551B30" w14:textId="2B2CE2C6" w:rsidR="00BE4073" w:rsidRPr="007B4A99" w:rsidRDefault="00BE4073" w:rsidP="00DD69D5">
      <w:pPr>
        <w:spacing w:after="0" w:line="240" w:lineRule="auto"/>
        <w:ind w:firstLine="540"/>
        <w:jc w:val="both"/>
        <w:rPr>
          <w:rFonts w:ascii="Times New Roman" w:hAnsi="Times New Roman" w:cs="Times New Roman"/>
          <w:bCs/>
          <w:sz w:val="24"/>
          <w:szCs w:val="24"/>
        </w:rPr>
      </w:pPr>
      <w:r w:rsidRPr="007B4A99">
        <w:rPr>
          <w:rFonts w:ascii="Times New Roman" w:hAnsi="Times New Roman" w:cs="Times New Roman"/>
          <w:i/>
          <w:sz w:val="24"/>
          <w:szCs w:val="24"/>
        </w:rPr>
        <w:t>Нерегулаторните мерки</w:t>
      </w:r>
      <w:r w:rsidRPr="007B4A99">
        <w:rPr>
          <w:rFonts w:ascii="Times New Roman" w:hAnsi="Times New Roman" w:cs="Times New Roman"/>
          <w:sz w:val="24"/>
          <w:szCs w:val="24"/>
        </w:rPr>
        <w:t xml:space="preserve">, наричани още алтернативи на регулирането, са интервенции с по-нисък интензитет. Те включват действие или действия, при които публичната намеса в проблемните обществени отношения е значително по-лека. С такъв вариант не се въвежда радикална промяна в организацията на </w:t>
      </w:r>
      <w:r w:rsidR="00170AD2" w:rsidRPr="007B4A99">
        <w:rPr>
          <w:rFonts w:ascii="Times New Roman" w:hAnsi="Times New Roman" w:cs="Times New Roman"/>
          <w:sz w:val="24"/>
          <w:szCs w:val="24"/>
        </w:rPr>
        <w:t>проблемните</w:t>
      </w:r>
      <w:r w:rsidRPr="007B4A99">
        <w:rPr>
          <w:rFonts w:ascii="Times New Roman" w:hAnsi="Times New Roman" w:cs="Times New Roman"/>
          <w:sz w:val="24"/>
          <w:szCs w:val="24"/>
        </w:rPr>
        <w:t xml:space="preserve"> отношения, не се приемат изменения или допълнения в стратегическата или регулаторната рамка, а се предприемат действия, които са техни заместители. Класически примери за такива мерки са </w:t>
      </w:r>
      <w:r w:rsidRPr="007B4A99">
        <w:rPr>
          <w:rFonts w:ascii="Times New Roman" w:hAnsi="Times New Roman" w:cs="Times New Roman"/>
          <w:i/>
          <w:sz w:val="24"/>
          <w:szCs w:val="24"/>
        </w:rPr>
        <w:t>корегулирането</w:t>
      </w:r>
      <w:r w:rsidRPr="007B4A99">
        <w:rPr>
          <w:rFonts w:ascii="Times New Roman" w:hAnsi="Times New Roman" w:cs="Times New Roman"/>
          <w:sz w:val="24"/>
          <w:szCs w:val="24"/>
        </w:rPr>
        <w:t xml:space="preserve">, </w:t>
      </w:r>
      <w:r w:rsidRPr="007B4A99">
        <w:rPr>
          <w:rFonts w:ascii="Times New Roman" w:hAnsi="Times New Roman" w:cs="Times New Roman"/>
          <w:i/>
          <w:sz w:val="24"/>
          <w:szCs w:val="24"/>
        </w:rPr>
        <w:t>саморегулирането, квазирегулирането</w:t>
      </w:r>
      <w:r w:rsidRPr="007B4A99">
        <w:rPr>
          <w:rFonts w:ascii="Times New Roman" w:hAnsi="Times New Roman" w:cs="Times New Roman"/>
          <w:sz w:val="24"/>
          <w:szCs w:val="24"/>
        </w:rPr>
        <w:t xml:space="preserve"> и други подобни на тях. </w:t>
      </w:r>
      <w:r w:rsidRPr="007B4A99">
        <w:rPr>
          <w:rFonts w:ascii="Times New Roman" w:hAnsi="Times New Roman" w:cs="Times New Roman"/>
          <w:bCs/>
          <w:sz w:val="24"/>
          <w:szCs w:val="24"/>
        </w:rPr>
        <w:t>Предимствата при този тип интервенции са свързани със значително по-малките разходи на ресурси и възможността за често бързото проявление на техните положителни въздействия, когато е налице достатъчно подходяща среда за тях. Предвид необвързващия им характер обаче, тяхната ефективност може да се окаже спорна и разколебана. Това е валидно особено за държави като българската, при които има силно изразен регулаторен инстинкт всички проблеми да се решават чрез приемането на законодателство. Той, от своя страна, е довел до отглеждането на съответстващия му регулаторен рефлекс на адресатите, особено на администрацията, да не се признава валидност и стойност на никакви други правила освен на такива, съдържащи се в законовите и подзаконовите нормативни актове.</w:t>
      </w:r>
    </w:p>
    <w:p w14:paraId="7A3E64CE" w14:textId="77777777" w:rsidR="00DB64D8" w:rsidRPr="007B4A99" w:rsidRDefault="00DB64D8"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bCs/>
          <w:i/>
          <w:sz w:val="24"/>
          <w:szCs w:val="24"/>
        </w:rPr>
        <w:t>Регулаторните мерки</w:t>
      </w:r>
      <w:r w:rsidRPr="007B4A99">
        <w:rPr>
          <w:rFonts w:ascii="Times New Roman" w:hAnsi="Times New Roman" w:cs="Times New Roman"/>
          <w:bCs/>
          <w:sz w:val="24"/>
          <w:szCs w:val="24"/>
        </w:rPr>
        <w:t xml:space="preserve"> включват приемането на правнообвързващи правила под формата на законови или подзаконови правни норми, които фиксират изискванията и </w:t>
      </w:r>
      <w:r w:rsidRPr="007B4A99">
        <w:rPr>
          <w:rFonts w:ascii="Times New Roman" w:hAnsi="Times New Roman" w:cs="Times New Roman"/>
          <w:sz w:val="24"/>
          <w:szCs w:val="24"/>
        </w:rPr>
        <w:t xml:space="preserve">предписват конкретно поведение на техните адресати - физическите и юридическите лица, държавата и нейните институции. Тяхното предимство е, че позволяват постигането на яснота относно очакваното правомерно действие и улесняват разпознаването на неправомерното поведение. Те обаче често изискват значителен </w:t>
      </w:r>
      <w:r w:rsidRPr="007B4A99">
        <w:rPr>
          <w:rFonts w:ascii="Times New Roman" w:hAnsi="Times New Roman" w:cs="Times New Roman"/>
          <w:sz w:val="24"/>
          <w:szCs w:val="24"/>
        </w:rPr>
        <w:lastRenderedPageBreak/>
        <w:t xml:space="preserve">ресурс, включително човешки, организационен и времеви, необходими за тяхното разработване, приемане, въвеждане в действие, администриране, спазване и прилагане. Това означава извършването на непосредствени разходи – веднага, още при тяхното разработване и най-често отдалечено във времето реализиране на свързваните с тях ползи и положителни въздействия. </w:t>
      </w:r>
    </w:p>
    <w:p w14:paraId="4689E4AF" w14:textId="27DE48C8" w:rsidR="000443CB" w:rsidRPr="007B4A99" w:rsidRDefault="000443CB"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Основните задачи за разрешаване при конструирането на вариантите за публична намеса в отношенията между участниците по веригата на доставки на земеделски продукти и храни са няколко основни групи:</w:t>
      </w:r>
    </w:p>
    <w:p w14:paraId="0E3E89FF" w14:textId="505308EB" w:rsidR="000443CB" w:rsidRPr="007B4A99" w:rsidRDefault="00EE4F2E"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1</w:t>
      </w:r>
      <w:r w:rsidR="000443CB" w:rsidRPr="007B4A99">
        <w:rPr>
          <w:rFonts w:ascii="Times New Roman" w:hAnsi="Times New Roman" w:cs="Times New Roman"/>
          <w:sz w:val="24"/>
          <w:szCs w:val="24"/>
        </w:rPr>
        <w:t xml:space="preserve">. </w:t>
      </w:r>
      <w:r w:rsidR="00C1207E">
        <w:rPr>
          <w:rFonts w:ascii="Times New Roman" w:hAnsi="Times New Roman" w:cs="Times New Roman"/>
          <w:sz w:val="24"/>
          <w:szCs w:val="24"/>
        </w:rPr>
        <w:t xml:space="preserve">проучване </w:t>
      </w:r>
      <w:r w:rsidR="000443CB" w:rsidRPr="007B4A99">
        <w:rPr>
          <w:rFonts w:ascii="Times New Roman" w:hAnsi="Times New Roman" w:cs="Times New Roman"/>
          <w:sz w:val="24"/>
          <w:szCs w:val="24"/>
        </w:rPr>
        <w:t>на</w:t>
      </w:r>
      <w:r w:rsidR="00C1207E">
        <w:rPr>
          <w:rFonts w:ascii="Times New Roman" w:hAnsi="Times New Roman" w:cs="Times New Roman"/>
          <w:sz w:val="24"/>
          <w:szCs w:val="24"/>
        </w:rPr>
        <w:t xml:space="preserve"> подходящи</w:t>
      </w:r>
      <w:r w:rsidR="000443CB" w:rsidRPr="007B4A99">
        <w:rPr>
          <w:rFonts w:ascii="Times New Roman" w:hAnsi="Times New Roman" w:cs="Times New Roman"/>
          <w:sz w:val="24"/>
          <w:szCs w:val="24"/>
        </w:rPr>
        <w:t xml:space="preserve"> практики на справяне с подобни или идентични на нашите проблеми от други държави членки на ЕС;</w:t>
      </w:r>
    </w:p>
    <w:p w14:paraId="58CE1AB3" w14:textId="0C6B29D3" w:rsidR="000443CB" w:rsidRPr="007B4A99" w:rsidRDefault="00EE4F2E"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2</w:t>
      </w:r>
      <w:r w:rsidR="000443CB" w:rsidRPr="007B4A99">
        <w:rPr>
          <w:rFonts w:ascii="Times New Roman" w:hAnsi="Times New Roman" w:cs="Times New Roman"/>
          <w:sz w:val="24"/>
          <w:szCs w:val="24"/>
        </w:rPr>
        <w:t xml:space="preserve">. гарантиране </w:t>
      </w:r>
      <w:r w:rsidRPr="007B4A99">
        <w:rPr>
          <w:rFonts w:ascii="Times New Roman" w:hAnsi="Times New Roman" w:cs="Times New Roman"/>
          <w:sz w:val="24"/>
          <w:szCs w:val="24"/>
        </w:rPr>
        <w:t xml:space="preserve">на </w:t>
      </w:r>
      <w:r w:rsidR="000443CB" w:rsidRPr="007B4A99">
        <w:rPr>
          <w:rFonts w:ascii="Times New Roman" w:hAnsi="Times New Roman" w:cs="Times New Roman"/>
          <w:sz w:val="24"/>
          <w:szCs w:val="24"/>
        </w:rPr>
        <w:t xml:space="preserve">съответствие на </w:t>
      </w:r>
      <w:r w:rsidRPr="007B4A99">
        <w:rPr>
          <w:rFonts w:ascii="Times New Roman" w:hAnsi="Times New Roman" w:cs="Times New Roman"/>
          <w:sz w:val="24"/>
          <w:szCs w:val="24"/>
        </w:rPr>
        <w:t>разглежданите национа</w:t>
      </w:r>
      <w:r w:rsidR="000443CB" w:rsidRPr="007B4A99">
        <w:rPr>
          <w:rFonts w:ascii="Times New Roman" w:hAnsi="Times New Roman" w:cs="Times New Roman"/>
          <w:sz w:val="24"/>
          <w:szCs w:val="24"/>
        </w:rPr>
        <w:t>лни мерки за действие с правото на ЕС;</w:t>
      </w:r>
    </w:p>
    <w:p w14:paraId="73020B24" w14:textId="04A868AE" w:rsidR="000443CB" w:rsidRPr="007B4A99" w:rsidRDefault="00EE4F2E"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3</w:t>
      </w:r>
      <w:r w:rsidR="000443CB" w:rsidRPr="007B4A99">
        <w:rPr>
          <w:rFonts w:ascii="Times New Roman" w:hAnsi="Times New Roman" w:cs="Times New Roman"/>
          <w:sz w:val="24"/>
          <w:szCs w:val="24"/>
        </w:rPr>
        <w:t>.</w:t>
      </w:r>
      <w:r w:rsidRPr="007B4A99">
        <w:rPr>
          <w:rFonts w:ascii="Times New Roman" w:hAnsi="Times New Roman" w:cs="Times New Roman"/>
          <w:sz w:val="24"/>
          <w:szCs w:val="24"/>
        </w:rPr>
        <w:t xml:space="preserve"> обезпечаване на съвместимостта, кореспондирането и лесното интегриране и сработване на оценяваните мерки с действащата национална рамка от политики и норми в същата област</w:t>
      </w:r>
      <w:r w:rsidR="000443CB" w:rsidRPr="007B4A99">
        <w:rPr>
          <w:rFonts w:ascii="Times New Roman" w:hAnsi="Times New Roman" w:cs="Times New Roman"/>
          <w:sz w:val="24"/>
          <w:szCs w:val="24"/>
        </w:rPr>
        <w:t>.</w:t>
      </w:r>
    </w:p>
    <w:p w14:paraId="3093A6C7" w14:textId="5FE7B00F" w:rsidR="00F678CB" w:rsidRPr="007B4A99" w:rsidRDefault="00BF2837"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З</w:t>
      </w:r>
      <w:r w:rsidR="00EE4F2E" w:rsidRPr="007B4A99">
        <w:rPr>
          <w:rFonts w:ascii="Times New Roman" w:hAnsi="Times New Roman" w:cs="Times New Roman"/>
          <w:sz w:val="24"/>
          <w:szCs w:val="24"/>
        </w:rPr>
        <w:t xml:space="preserve">а целите на ОВ е проведено кратко изследване чрез </w:t>
      </w:r>
      <w:r w:rsidR="00C1207E">
        <w:rPr>
          <w:rFonts w:ascii="Times New Roman" w:hAnsi="Times New Roman" w:cs="Times New Roman"/>
          <w:sz w:val="24"/>
          <w:szCs w:val="24"/>
        </w:rPr>
        <w:t>сравнително</w:t>
      </w:r>
      <w:r w:rsidR="00C1207E" w:rsidRPr="007B4A99">
        <w:rPr>
          <w:rFonts w:ascii="Times New Roman" w:hAnsi="Times New Roman" w:cs="Times New Roman"/>
          <w:sz w:val="24"/>
          <w:szCs w:val="24"/>
        </w:rPr>
        <w:t>правния</w:t>
      </w:r>
      <w:r w:rsidR="00EE4F2E" w:rsidRPr="007B4A99">
        <w:rPr>
          <w:rFonts w:ascii="Times New Roman" w:hAnsi="Times New Roman" w:cs="Times New Roman"/>
          <w:sz w:val="24"/>
          <w:szCs w:val="24"/>
        </w:rPr>
        <w:t xml:space="preserve"> метод на законодателства и практики, представляващи успешни модели на регулиране или респективно</w:t>
      </w:r>
      <w:r w:rsidR="008720A9">
        <w:rPr>
          <w:rFonts w:ascii="Times New Roman" w:hAnsi="Times New Roman" w:cs="Times New Roman"/>
          <w:sz w:val="24"/>
          <w:szCs w:val="24"/>
        </w:rPr>
        <w:t>,</w:t>
      </w:r>
      <w:r w:rsidR="00EE4F2E" w:rsidRPr="007B4A99">
        <w:rPr>
          <w:rFonts w:ascii="Times New Roman" w:hAnsi="Times New Roman" w:cs="Times New Roman"/>
          <w:sz w:val="24"/>
          <w:szCs w:val="24"/>
        </w:rPr>
        <w:t xml:space="preserve"> на отказ от регулиране на отношенията между доставчици и производители, от една страна</w:t>
      </w:r>
      <w:r w:rsidR="008720A9">
        <w:rPr>
          <w:rFonts w:ascii="Times New Roman" w:hAnsi="Times New Roman" w:cs="Times New Roman"/>
          <w:sz w:val="24"/>
          <w:szCs w:val="24"/>
        </w:rPr>
        <w:t>,</w:t>
      </w:r>
      <w:r w:rsidR="00EE4F2E" w:rsidRPr="007B4A99">
        <w:rPr>
          <w:rFonts w:ascii="Times New Roman" w:hAnsi="Times New Roman" w:cs="Times New Roman"/>
          <w:sz w:val="24"/>
          <w:szCs w:val="24"/>
        </w:rPr>
        <w:t xml:space="preserve"> и големи търговци на дребно, от друга</w:t>
      </w:r>
      <w:r w:rsidR="008720A9">
        <w:rPr>
          <w:rFonts w:ascii="Times New Roman" w:hAnsi="Times New Roman" w:cs="Times New Roman"/>
          <w:sz w:val="24"/>
          <w:szCs w:val="24"/>
        </w:rPr>
        <w:t>,</w:t>
      </w:r>
      <w:r w:rsidR="00EE4F2E" w:rsidRPr="007B4A99">
        <w:rPr>
          <w:rFonts w:ascii="Times New Roman" w:hAnsi="Times New Roman" w:cs="Times New Roman"/>
          <w:sz w:val="24"/>
          <w:szCs w:val="24"/>
        </w:rPr>
        <w:t xml:space="preserve"> прилагани за справянето с проблеми</w:t>
      </w:r>
      <w:r w:rsidR="008720A9">
        <w:rPr>
          <w:rFonts w:ascii="Times New Roman" w:hAnsi="Times New Roman" w:cs="Times New Roman"/>
          <w:sz w:val="24"/>
          <w:szCs w:val="24"/>
        </w:rPr>
        <w:t>,</w:t>
      </w:r>
      <w:r w:rsidR="00EE4F2E" w:rsidRPr="007B4A99">
        <w:rPr>
          <w:rFonts w:ascii="Times New Roman" w:hAnsi="Times New Roman" w:cs="Times New Roman"/>
          <w:sz w:val="24"/>
          <w:szCs w:val="24"/>
        </w:rPr>
        <w:t xml:space="preserve"> аналогични на разглежданите</w:t>
      </w:r>
      <w:r w:rsidR="008720A9">
        <w:rPr>
          <w:rFonts w:ascii="Times New Roman" w:hAnsi="Times New Roman" w:cs="Times New Roman"/>
          <w:sz w:val="24"/>
          <w:szCs w:val="24"/>
        </w:rPr>
        <w:t>,</w:t>
      </w:r>
      <w:r w:rsidR="00EE4F2E" w:rsidRPr="007B4A99">
        <w:rPr>
          <w:rFonts w:ascii="Times New Roman" w:hAnsi="Times New Roman" w:cs="Times New Roman"/>
          <w:sz w:val="24"/>
          <w:szCs w:val="24"/>
        </w:rPr>
        <w:t xml:space="preserve"> с цел извършване на селекция и евентуално адаптирано реципиране у нас. Паралелно с него е направен и преглед на относимите нормативни актове и политики на ЕС в същата област на интервенция за предварително осигуряване на съответствието на предлаганите национални мерки с тези действащи на ниво ЕС.</w:t>
      </w:r>
    </w:p>
    <w:p w14:paraId="31C873F3" w14:textId="77777777" w:rsidR="00BF2837" w:rsidRPr="007B4A99" w:rsidRDefault="00BF2837" w:rsidP="00DD69D5">
      <w:pPr>
        <w:spacing w:after="0" w:line="240" w:lineRule="auto"/>
        <w:ind w:firstLine="567"/>
        <w:jc w:val="both"/>
        <w:rPr>
          <w:rFonts w:ascii="Times New Roman" w:eastAsia="Calibri" w:hAnsi="Times New Roman" w:cs="Times New Roman"/>
          <w:b/>
          <w:i/>
          <w:sz w:val="24"/>
          <w:szCs w:val="24"/>
        </w:rPr>
      </w:pPr>
    </w:p>
    <w:p w14:paraId="4F04EDEE" w14:textId="75C56BE0" w:rsidR="00BF2837" w:rsidRPr="007B4A99" w:rsidRDefault="00BF2837" w:rsidP="00DD69D5">
      <w:pPr>
        <w:spacing w:after="0" w:line="240" w:lineRule="auto"/>
        <w:ind w:firstLine="567"/>
        <w:jc w:val="both"/>
        <w:rPr>
          <w:rFonts w:ascii="Times New Roman" w:hAnsi="Times New Roman" w:cs="Times New Roman"/>
          <w:sz w:val="24"/>
          <w:szCs w:val="24"/>
        </w:rPr>
      </w:pPr>
      <w:r w:rsidRPr="007B4A99">
        <w:rPr>
          <w:rFonts w:ascii="Times New Roman" w:eastAsia="Calibri" w:hAnsi="Times New Roman" w:cs="Times New Roman"/>
          <w:b/>
          <w:i/>
          <w:sz w:val="24"/>
          <w:szCs w:val="24"/>
        </w:rPr>
        <w:t>Франция</w:t>
      </w:r>
    </w:p>
    <w:p w14:paraId="76723346" w14:textId="4F29F5A3" w:rsidR="00AB7DC6" w:rsidRDefault="00BF2837" w:rsidP="00DD69D5">
      <w:pPr>
        <w:spacing w:after="0" w:line="240" w:lineRule="auto"/>
        <w:ind w:firstLine="567"/>
        <w:jc w:val="both"/>
        <w:rPr>
          <w:rFonts w:ascii="Times New Roman" w:eastAsia="Calibri" w:hAnsi="Times New Roman" w:cs="Times New Roman"/>
          <w:iCs/>
          <w:color w:val="000000"/>
          <w:sz w:val="24"/>
          <w:szCs w:val="24"/>
        </w:rPr>
      </w:pPr>
      <w:r w:rsidRPr="007B4A99">
        <w:rPr>
          <w:rFonts w:ascii="Times New Roman" w:eastAsia="Calibri" w:hAnsi="Times New Roman" w:cs="Times New Roman"/>
          <w:sz w:val="24"/>
          <w:szCs w:val="24"/>
        </w:rPr>
        <w:t>Държавата</w:t>
      </w:r>
      <w:r w:rsidRPr="007B4A99">
        <w:rPr>
          <w:rFonts w:ascii="Times New Roman" w:eastAsia="Calibri" w:hAnsi="Times New Roman" w:cs="Times New Roman"/>
          <w:b/>
          <w:i/>
          <w:sz w:val="24"/>
          <w:szCs w:val="24"/>
        </w:rPr>
        <w:t xml:space="preserve"> </w:t>
      </w:r>
      <w:r w:rsidRPr="007B4A99">
        <w:rPr>
          <w:rFonts w:ascii="Times New Roman" w:eastAsia="Calibri" w:hAnsi="Times New Roman" w:cs="Times New Roman"/>
          <w:bCs/>
          <w:iCs/>
          <w:sz w:val="24"/>
          <w:szCs w:val="24"/>
        </w:rPr>
        <w:t>разполага с една от най-строг</w:t>
      </w:r>
      <w:r w:rsidR="00AB7DC6">
        <w:rPr>
          <w:rFonts w:ascii="Times New Roman" w:eastAsia="Calibri" w:hAnsi="Times New Roman" w:cs="Times New Roman"/>
          <w:bCs/>
          <w:iCs/>
          <w:sz w:val="24"/>
          <w:szCs w:val="24"/>
        </w:rPr>
        <w:t>ите</w:t>
      </w:r>
      <w:r w:rsidRPr="007B4A99">
        <w:rPr>
          <w:rFonts w:ascii="Times New Roman" w:eastAsia="Calibri" w:hAnsi="Times New Roman" w:cs="Times New Roman"/>
          <w:bCs/>
          <w:iCs/>
          <w:sz w:val="24"/>
          <w:szCs w:val="24"/>
        </w:rPr>
        <w:t xml:space="preserve"> системи</w:t>
      </w:r>
      <w:r w:rsidR="00AB7DC6">
        <w:rPr>
          <w:rFonts w:ascii="Times New Roman" w:eastAsia="Calibri" w:hAnsi="Times New Roman" w:cs="Times New Roman"/>
          <w:bCs/>
          <w:iCs/>
          <w:sz w:val="24"/>
          <w:szCs w:val="24"/>
        </w:rPr>
        <w:t xml:space="preserve"> на регулиране </w:t>
      </w:r>
      <w:r w:rsidR="00C1207E">
        <w:rPr>
          <w:rFonts w:ascii="Times New Roman" w:eastAsia="Calibri" w:hAnsi="Times New Roman" w:cs="Times New Roman"/>
          <w:bCs/>
          <w:iCs/>
          <w:sz w:val="24"/>
          <w:szCs w:val="24"/>
        </w:rPr>
        <w:t xml:space="preserve">на </w:t>
      </w:r>
      <w:r w:rsidR="00AB7DC6" w:rsidRPr="00AB7DC6">
        <w:rPr>
          <w:rFonts w:ascii="Times New Roman" w:eastAsia="Calibri" w:hAnsi="Times New Roman" w:cs="Times New Roman"/>
          <w:bCs/>
          <w:iCs/>
          <w:sz w:val="24"/>
          <w:szCs w:val="24"/>
        </w:rPr>
        <w:t>веригата на доставки</w:t>
      </w:r>
      <w:r w:rsidR="00AB7DC6">
        <w:rPr>
          <w:rFonts w:ascii="Times New Roman" w:eastAsia="Calibri" w:hAnsi="Times New Roman" w:cs="Times New Roman"/>
          <w:bCs/>
          <w:iCs/>
          <w:sz w:val="24"/>
          <w:szCs w:val="24"/>
        </w:rPr>
        <w:t xml:space="preserve"> на земеделски продукти и храни</w:t>
      </w:r>
      <w:r w:rsidRPr="007B4A99">
        <w:rPr>
          <w:rFonts w:ascii="Times New Roman" w:eastAsia="Calibri" w:hAnsi="Times New Roman" w:cs="Times New Roman"/>
          <w:bCs/>
          <w:iCs/>
          <w:sz w:val="24"/>
          <w:szCs w:val="24"/>
        </w:rPr>
        <w:t xml:space="preserve">, в която </w:t>
      </w:r>
      <w:r w:rsidR="008720A9">
        <w:rPr>
          <w:rFonts w:ascii="Times New Roman" w:eastAsia="Calibri" w:hAnsi="Times New Roman" w:cs="Times New Roman"/>
          <w:bCs/>
          <w:iCs/>
          <w:sz w:val="24"/>
          <w:szCs w:val="24"/>
        </w:rPr>
        <w:t>тя</w:t>
      </w:r>
      <w:r w:rsidR="008720A9" w:rsidRPr="007B4A99">
        <w:rPr>
          <w:rFonts w:ascii="Times New Roman" w:eastAsia="Calibri" w:hAnsi="Times New Roman" w:cs="Times New Roman"/>
          <w:bCs/>
          <w:iCs/>
          <w:sz w:val="24"/>
          <w:szCs w:val="24"/>
        </w:rPr>
        <w:t xml:space="preserve"> </w:t>
      </w:r>
      <w:r w:rsidRPr="007B4A99">
        <w:rPr>
          <w:rFonts w:ascii="Times New Roman" w:eastAsia="Calibri" w:hAnsi="Times New Roman" w:cs="Times New Roman"/>
          <w:bCs/>
          <w:iCs/>
          <w:sz w:val="24"/>
          <w:szCs w:val="24"/>
        </w:rPr>
        <w:t>активно следи за</w:t>
      </w:r>
      <w:r w:rsidR="000C627B">
        <w:rPr>
          <w:rFonts w:ascii="Times New Roman" w:eastAsia="Calibri" w:hAnsi="Times New Roman" w:cs="Times New Roman"/>
          <w:bCs/>
          <w:iCs/>
          <w:sz w:val="24"/>
          <w:szCs w:val="24"/>
        </w:rPr>
        <w:t xml:space="preserve"> необходимия</w:t>
      </w:r>
      <w:r w:rsidRPr="007B4A99">
        <w:rPr>
          <w:rFonts w:ascii="Times New Roman" w:eastAsia="Calibri" w:hAnsi="Times New Roman" w:cs="Times New Roman"/>
          <w:bCs/>
          <w:iCs/>
          <w:sz w:val="24"/>
          <w:szCs w:val="24"/>
        </w:rPr>
        <w:t xml:space="preserve"> баланс чрез значителен институционален апарат от контролни органи. Законодателството цели защита на земеделските производители и налага висока прозрачност в търговските отношения. Още </w:t>
      </w:r>
      <w:r w:rsidRPr="007B4A99">
        <w:rPr>
          <w:rFonts w:ascii="Times New Roman" w:eastAsia="Calibri" w:hAnsi="Times New Roman" w:cs="Times New Roman"/>
          <w:iCs/>
          <w:color w:val="000000"/>
          <w:sz w:val="24"/>
          <w:szCs w:val="24"/>
        </w:rPr>
        <w:t>през 1996 г. се приема Закона Loi Galland, целящ да ограничи дисбаланса между доставчиците и търговците и да защити малките магазини. Ефектите му са противоречиви, отчасти поради съдържащите се в него неясни дефиниции. Наблюдава се временно повишение на цените на популярни марки с над 4% през първото полугодие след влизането му в сила, което впоследствие леко се коригира надолу след период на адаптация. В крайна сметка обаче, броят на продуктите, които се продават на загуба</w:t>
      </w:r>
      <w:r w:rsidR="000C627B">
        <w:rPr>
          <w:rFonts w:ascii="Times New Roman" w:eastAsia="Calibri" w:hAnsi="Times New Roman" w:cs="Times New Roman"/>
          <w:iCs/>
          <w:color w:val="000000"/>
          <w:sz w:val="24"/>
          <w:szCs w:val="24"/>
        </w:rPr>
        <w:t>,</w:t>
      </w:r>
      <w:r w:rsidRPr="007B4A99">
        <w:rPr>
          <w:rFonts w:ascii="Times New Roman" w:eastAsia="Calibri" w:hAnsi="Times New Roman" w:cs="Times New Roman"/>
          <w:iCs/>
          <w:color w:val="000000"/>
          <w:sz w:val="24"/>
          <w:szCs w:val="24"/>
        </w:rPr>
        <w:t xml:space="preserve"> е намалял драстично, като законът </w:t>
      </w:r>
      <w:r w:rsidR="00C1207E" w:rsidRPr="007B4A99">
        <w:rPr>
          <w:rFonts w:ascii="Times New Roman" w:eastAsia="Calibri" w:hAnsi="Times New Roman" w:cs="Times New Roman"/>
          <w:iCs/>
          <w:color w:val="000000"/>
          <w:sz w:val="24"/>
          <w:szCs w:val="24"/>
        </w:rPr>
        <w:t xml:space="preserve">дори </w:t>
      </w:r>
      <w:r w:rsidRPr="007B4A99">
        <w:rPr>
          <w:rFonts w:ascii="Times New Roman" w:eastAsia="Calibri" w:hAnsi="Times New Roman" w:cs="Times New Roman"/>
          <w:iCs/>
          <w:color w:val="000000"/>
          <w:sz w:val="24"/>
          <w:szCs w:val="24"/>
        </w:rPr>
        <w:t xml:space="preserve">е насърчил развитието на собствени марки. </w:t>
      </w:r>
    </w:p>
    <w:p w14:paraId="4C5B8349" w14:textId="70180EAC" w:rsidR="00AB7DC6" w:rsidRDefault="00BF2837" w:rsidP="00DD69D5">
      <w:pPr>
        <w:spacing w:after="0" w:line="240" w:lineRule="auto"/>
        <w:ind w:firstLine="567"/>
        <w:jc w:val="both"/>
        <w:rPr>
          <w:rFonts w:ascii="Times New Roman" w:eastAsia="Calibri" w:hAnsi="Times New Roman" w:cs="Times New Roman"/>
          <w:iCs/>
          <w:sz w:val="24"/>
          <w:szCs w:val="24"/>
        </w:rPr>
      </w:pPr>
      <w:r w:rsidRPr="007B4A99">
        <w:rPr>
          <w:rFonts w:ascii="Times New Roman" w:eastAsia="Calibri" w:hAnsi="Times New Roman" w:cs="Times New Roman"/>
          <w:iCs/>
          <w:sz w:val="24"/>
          <w:szCs w:val="24"/>
        </w:rPr>
        <w:t>Централно място понастоящем в политиката на Франция относно агрохранителната верига заемат разпоредбите на Търговския кодекс (Code de commerce</w:t>
      </w:r>
      <w:r w:rsidRPr="007B4A99">
        <w:rPr>
          <w:rStyle w:val="FootnoteReference"/>
          <w:rFonts w:ascii="Times New Roman" w:eastAsia="Calibri" w:hAnsi="Times New Roman" w:cs="Times New Roman"/>
          <w:iCs/>
          <w:sz w:val="24"/>
          <w:szCs w:val="24"/>
        </w:rPr>
        <w:footnoteReference w:id="19"/>
      </w:r>
      <w:r w:rsidRPr="007B4A99">
        <w:rPr>
          <w:rFonts w:ascii="Times New Roman" w:eastAsia="Calibri" w:hAnsi="Times New Roman" w:cs="Times New Roman"/>
          <w:iCs/>
          <w:sz w:val="24"/>
          <w:szCs w:val="24"/>
        </w:rPr>
        <w:t>). Той регламентира договорните отношения при търговия</w:t>
      </w:r>
      <w:r w:rsidR="00C1207E">
        <w:rPr>
          <w:rFonts w:ascii="Times New Roman" w:eastAsia="Calibri" w:hAnsi="Times New Roman" w:cs="Times New Roman"/>
          <w:iCs/>
          <w:sz w:val="24"/>
          <w:szCs w:val="24"/>
        </w:rPr>
        <w:t>та</w:t>
      </w:r>
      <w:r w:rsidRPr="007B4A99">
        <w:rPr>
          <w:rFonts w:ascii="Times New Roman" w:eastAsia="Calibri" w:hAnsi="Times New Roman" w:cs="Times New Roman"/>
          <w:iCs/>
          <w:sz w:val="24"/>
          <w:szCs w:val="24"/>
        </w:rPr>
        <w:t xml:space="preserve"> със селскостопански и хранителни продукти. Особено значение има Дял IV, който </w:t>
      </w:r>
      <w:r w:rsidRPr="007B4A99">
        <w:rPr>
          <w:rFonts w:ascii="Times New Roman" w:eastAsia="Calibri" w:hAnsi="Times New Roman" w:cs="Times New Roman"/>
          <w:iCs/>
          <w:sz w:val="24"/>
          <w:szCs w:val="24"/>
        </w:rPr>
        <w:lastRenderedPageBreak/>
        <w:t xml:space="preserve">утвърждава принципите на прозрачност и забранява поведение, нарушаващо свободната конкуренция. Френското законодателство цели да балансира икономическите сили чрез насърчаване на кооперирането между производителите в рамките на специални организации и асоциации. </w:t>
      </w:r>
    </w:p>
    <w:p w14:paraId="3DCCDB41" w14:textId="70F3FC71" w:rsidR="00AB7DC6" w:rsidRDefault="00BF2837" w:rsidP="00DD69D5">
      <w:pPr>
        <w:spacing w:after="0" w:line="240" w:lineRule="auto"/>
        <w:ind w:firstLine="567"/>
        <w:jc w:val="both"/>
        <w:rPr>
          <w:rFonts w:ascii="Times New Roman" w:eastAsia="Calibri" w:hAnsi="Times New Roman" w:cs="Times New Roman"/>
          <w:iCs/>
          <w:sz w:val="24"/>
          <w:szCs w:val="24"/>
        </w:rPr>
      </w:pPr>
      <w:r w:rsidRPr="007B4A99">
        <w:rPr>
          <w:rFonts w:ascii="Times New Roman" w:eastAsia="Calibri" w:hAnsi="Times New Roman" w:cs="Times New Roman"/>
          <w:iCs/>
          <w:sz w:val="24"/>
          <w:szCs w:val="24"/>
        </w:rPr>
        <w:t>В последните години действа и Закон № 2023-221</w:t>
      </w:r>
      <w:r w:rsidR="00AB7DC6">
        <w:rPr>
          <w:rFonts w:ascii="Times New Roman" w:eastAsia="Calibri" w:hAnsi="Times New Roman" w:cs="Times New Roman"/>
          <w:iCs/>
          <w:sz w:val="24"/>
          <w:szCs w:val="24"/>
        </w:rPr>
        <w:t xml:space="preserve">, приет на </w:t>
      </w:r>
      <w:r w:rsidRPr="007B4A99">
        <w:rPr>
          <w:rFonts w:ascii="Times New Roman" w:eastAsia="Calibri" w:hAnsi="Times New Roman" w:cs="Times New Roman"/>
          <w:iCs/>
          <w:sz w:val="24"/>
          <w:szCs w:val="24"/>
        </w:rPr>
        <w:t xml:space="preserve">30 март </w:t>
      </w:r>
      <w:r w:rsidR="00AB7DC6">
        <w:rPr>
          <w:rFonts w:ascii="Times New Roman" w:eastAsia="Calibri" w:hAnsi="Times New Roman" w:cs="Times New Roman"/>
          <w:iCs/>
          <w:sz w:val="24"/>
          <w:szCs w:val="24"/>
        </w:rPr>
        <w:t>2023 г.</w:t>
      </w:r>
      <w:r w:rsidRPr="007B4A99">
        <w:rPr>
          <w:rFonts w:ascii="Times New Roman" w:eastAsia="Calibri" w:hAnsi="Times New Roman" w:cs="Times New Roman"/>
          <w:iCs/>
          <w:sz w:val="24"/>
          <w:szCs w:val="24"/>
        </w:rPr>
        <w:t xml:space="preserve">, с който се цели </w:t>
      </w:r>
      <w:r w:rsidR="00C1207E">
        <w:rPr>
          <w:rFonts w:ascii="Times New Roman" w:eastAsia="Calibri" w:hAnsi="Times New Roman" w:cs="Times New Roman"/>
          <w:iCs/>
          <w:sz w:val="24"/>
          <w:szCs w:val="24"/>
        </w:rPr>
        <w:t>допълнително</w:t>
      </w:r>
      <w:r w:rsidRPr="007B4A99">
        <w:rPr>
          <w:rFonts w:ascii="Times New Roman" w:eastAsia="Calibri" w:hAnsi="Times New Roman" w:cs="Times New Roman"/>
          <w:iCs/>
          <w:sz w:val="24"/>
          <w:szCs w:val="24"/>
        </w:rPr>
        <w:t xml:space="preserve"> укрепване на баланса в търговските отношения между доставчици и търговци на дребно. Законът урежда отношенията при предлагането на продукти и услуги на френския пазар, като налага конкретни правила срещу нелоялните практики и цели да предотврати дисбаланса в правата и задълженията между страните. Акцентът се поставя върху ограничаването на непропорционалните цени и прекомерното влияние върху по-слабите участници във веригата. Значително внимание в страната е отделено и на регулирането на промоционалните практики. </w:t>
      </w:r>
    </w:p>
    <w:p w14:paraId="560263EA" w14:textId="3B2CDD03" w:rsidR="00AB7DC6" w:rsidRDefault="00BF2837" w:rsidP="00DD69D5">
      <w:pPr>
        <w:spacing w:after="0" w:line="240" w:lineRule="auto"/>
        <w:ind w:firstLine="567"/>
        <w:jc w:val="both"/>
        <w:rPr>
          <w:rFonts w:ascii="Times New Roman" w:eastAsia="Calibri" w:hAnsi="Times New Roman" w:cs="Times New Roman"/>
          <w:iCs/>
          <w:sz w:val="24"/>
          <w:szCs w:val="24"/>
        </w:rPr>
      </w:pPr>
      <w:r w:rsidRPr="007B4A99">
        <w:rPr>
          <w:rFonts w:ascii="Times New Roman" w:eastAsia="Calibri" w:hAnsi="Times New Roman" w:cs="Times New Roman"/>
          <w:iCs/>
          <w:sz w:val="24"/>
          <w:szCs w:val="24"/>
        </w:rPr>
        <w:t xml:space="preserve">Що </w:t>
      </w:r>
      <w:r w:rsidR="00C1207E">
        <w:rPr>
          <w:rFonts w:ascii="Times New Roman" w:eastAsia="Calibri" w:hAnsi="Times New Roman" w:cs="Times New Roman"/>
          <w:iCs/>
          <w:sz w:val="24"/>
          <w:szCs w:val="24"/>
        </w:rPr>
        <w:t>се отнася до</w:t>
      </w:r>
      <w:r w:rsidRPr="007B4A99">
        <w:rPr>
          <w:rFonts w:ascii="Times New Roman" w:eastAsia="Calibri" w:hAnsi="Times New Roman" w:cs="Times New Roman"/>
          <w:iCs/>
          <w:sz w:val="24"/>
          <w:szCs w:val="24"/>
        </w:rPr>
        <w:t xml:space="preserve"> търговските </w:t>
      </w:r>
      <w:r w:rsidR="00AB7DC6" w:rsidRPr="007B4A99">
        <w:rPr>
          <w:rFonts w:ascii="Times New Roman" w:eastAsia="Calibri" w:hAnsi="Times New Roman" w:cs="Times New Roman"/>
          <w:iCs/>
          <w:sz w:val="24"/>
          <w:szCs w:val="24"/>
        </w:rPr>
        <w:t>отстъпки</w:t>
      </w:r>
      <w:r w:rsidRPr="007B4A99">
        <w:rPr>
          <w:rFonts w:ascii="Times New Roman" w:eastAsia="Calibri" w:hAnsi="Times New Roman" w:cs="Times New Roman"/>
          <w:iCs/>
          <w:sz w:val="24"/>
          <w:szCs w:val="24"/>
        </w:rPr>
        <w:t xml:space="preserve">, </w:t>
      </w:r>
      <w:r w:rsidR="00AB7DC6">
        <w:rPr>
          <w:rFonts w:ascii="Times New Roman" w:eastAsia="Calibri" w:hAnsi="Times New Roman" w:cs="Times New Roman"/>
          <w:iCs/>
          <w:sz w:val="24"/>
          <w:szCs w:val="24"/>
        </w:rPr>
        <w:t xml:space="preserve"> законът от 2023 г.</w:t>
      </w:r>
      <w:r w:rsidRPr="007B4A99">
        <w:rPr>
          <w:rFonts w:ascii="Times New Roman" w:eastAsia="Calibri" w:hAnsi="Times New Roman" w:cs="Times New Roman"/>
          <w:iCs/>
          <w:sz w:val="24"/>
          <w:szCs w:val="24"/>
        </w:rPr>
        <w:t xml:space="preserve"> въвежда количествени и стойностни ограничения върху тях, според които намалението </w:t>
      </w:r>
      <w:r w:rsidRPr="00AB7DC6">
        <w:rPr>
          <w:rFonts w:ascii="Times New Roman" w:eastAsia="Calibri" w:hAnsi="Times New Roman" w:cs="Times New Roman"/>
          <w:i/>
          <w:iCs/>
          <w:sz w:val="24"/>
          <w:szCs w:val="24"/>
        </w:rPr>
        <w:t>не може да надвишава 34% от крайната продажна цена или 25% от договорения обем на продажбите</w:t>
      </w:r>
      <w:r w:rsidRPr="007B4A99">
        <w:rPr>
          <w:rFonts w:ascii="Times New Roman" w:eastAsia="Calibri" w:hAnsi="Times New Roman" w:cs="Times New Roman"/>
          <w:iCs/>
          <w:sz w:val="24"/>
          <w:szCs w:val="24"/>
        </w:rPr>
        <w:t>. Те важат за всички канали на дистрибуция, включително онлайн търговията. С допълнителни мерки, въведени с</w:t>
      </w:r>
      <w:r w:rsidR="00872F6E">
        <w:rPr>
          <w:rFonts w:ascii="Times New Roman" w:eastAsia="Calibri" w:hAnsi="Times New Roman" w:cs="Times New Roman"/>
          <w:iCs/>
          <w:sz w:val="24"/>
          <w:szCs w:val="24"/>
        </w:rPr>
        <w:t>ъс</w:t>
      </w:r>
      <w:r w:rsidRPr="007B4A99">
        <w:rPr>
          <w:rFonts w:ascii="Times New Roman" w:eastAsia="Calibri" w:hAnsi="Times New Roman" w:cs="Times New Roman"/>
          <w:iCs/>
          <w:sz w:val="24"/>
          <w:szCs w:val="24"/>
        </w:rPr>
        <w:t xml:space="preserve"> Закон № 2023-451 от 9 юни 2023 г., се регулира и маркетинговото влияние на някои икономически оператори чрез изисквания за прозрачност при спонсорирано съдържание и стриктни правила за договорните отн</w:t>
      </w:r>
      <w:r w:rsidR="00AB7DC6">
        <w:rPr>
          <w:rFonts w:ascii="Times New Roman" w:eastAsia="Calibri" w:hAnsi="Times New Roman" w:cs="Times New Roman"/>
          <w:iCs/>
          <w:sz w:val="24"/>
          <w:szCs w:val="24"/>
        </w:rPr>
        <w:t>ошения при рекламните кампании.</w:t>
      </w:r>
    </w:p>
    <w:p w14:paraId="2C4AC50E" w14:textId="7A01F54A" w:rsidR="00831AD2" w:rsidRDefault="00BF2837" w:rsidP="00DD69D5">
      <w:pPr>
        <w:spacing w:after="0" w:line="240" w:lineRule="auto"/>
        <w:ind w:firstLine="567"/>
        <w:jc w:val="both"/>
        <w:rPr>
          <w:rFonts w:ascii="Times New Roman" w:hAnsi="Times New Roman" w:cs="Times New Roman"/>
          <w:sz w:val="24"/>
          <w:szCs w:val="24"/>
        </w:rPr>
      </w:pPr>
      <w:r w:rsidRPr="007B4A99">
        <w:rPr>
          <w:rFonts w:ascii="Times New Roman" w:eastAsia="Calibri" w:hAnsi="Times New Roman" w:cs="Times New Roman"/>
          <w:iCs/>
          <w:sz w:val="24"/>
          <w:szCs w:val="24"/>
        </w:rPr>
        <w:t xml:space="preserve">Наред с това, френската правна рамка обхваща и регулациите, свързани с входните такси и условията на плащане и контрол върху търговските договори. Контролът на отношенията </w:t>
      </w:r>
      <w:r w:rsidR="00AB7DC6">
        <w:rPr>
          <w:rFonts w:ascii="Times New Roman" w:eastAsia="Calibri" w:hAnsi="Times New Roman" w:cs="Times New Roman"/>
          <w:iCs/>
          <w:sz w:val="24"/>
          <w:szCs w:val="24"/>
        </w:rPr>
        <w:t>по</w:t>
      </w:r>
      <w:r w:rsidRPr="007B4A99">
        <w:rPr>
          <w:rFonts w:ascii="Times New Roman" w:eastAsia="Calibri" w:hAnsi="Times New Roman" w:cs="Times New Roman"/>
          <w:iCs/>
          <w:sz w:val="24"/>
          <w:szCs w:val="24"/>
        </w:rPr>
        <w:t xml:space="preserve"> верига</w:t>
      </w:r>
      <w:r w:rsidR="00AB7DC6">
        <w:rPr>
          <w:rFonts w:ascii="Times New Roman" w:eastAsia="Calibri" w:hAnsi="Times New Roman" w:cs="Times New Roman"/>
          <w:iCs/>
          <w:sz w:val="24"/>
          <w:szCs w:val="24"/>
        </w:rPr>
        <w:t>та</w:t>
      </w:r>
      <w:r w:rsidRPr="007B4A99">
        <w:rPr>
          <w:rFonts w:ascii="Times New Roman" w:eastAsia="Calibri" w:hAnsi="Times New Roman" w:cs="Times New Roman"/>
          <w:iCs/>
          <w:sz w:val="24"/>
          <w:szCs w:val="24"/>
        </w:rPr>
        <w:t xml:space="preserve"> се осъществява съвместно от няколко държавни органа, сред които водеща роля има Генералната дирекция за конкуренция, потребителски въпроси и контрол на измамите (DGCCRF), както и специализираните структури като Органа за конкуренция (Autorité de la concurrence). Налице е и възможност за осъществяване на </w:t>
      </w:r>
      <w:r w:rsidRPr="007B4A99">
        <w:rPr>
          <w:rFonts w:ascii="Times New Roman" w:hAnsi="Times New Roman" w:cs="Times New Roman"/>
          <w:sz w:val="24"/>
          <w:szCs w:val="24"/>
        </w:rPr>
        <w:t>медиация в търговските отношения с хранителни и селскостопански продукти</w:t>
      </w:r>
      <w:r w:rsidR="00622701">
        <w:rPr>
          <w:rFonts w:ascii="Times New Roman" w:hAnsi="Times New Roman" w:cs="Times New Roman"/>
          <w:sz w:val="24"/>
          <w:szCs w:val="24"/>
        </w:rPr>
        <w:t xml:space="preserve"> от</w:t>
      </w:r>
      <w:r w:rsidRPr="007B4A99">
        <w:rPr>
          <w:rFonts w:ascii="Times New Roman" w:hAnsi="Times New Roman" w:cs="Times New Roman"/>
          <w:sz w:val="24"/>
          <w:szCs w:val="24"/>
        </w:rPr>
        <w:t xml:space="preserve"> Комитет</w:t>
      </w:r>
      <w:r w:rsidR="00622701">
        <w:rPr>
          <w:rFonts w:ascii="Times New Roman" w:hAnsi="Times New Roman" w:cs="Times New Roman"/>
          <w:sz w:val="24"/>
          <w:szCs w:val="24"/>
        </w:rPr>
        <w:t>а</w:t>
      </w:r>
      <w:r w:rsidRPr="007B4A99">
        <w:rPr>
          <w:rFonts w:ascii="Times New Roman" w:hAnsi="Times New Roman" w:cs="Times New Roman"/>
          <w:sz w:val="24"/>
          <w:szCs w:val="24"/>
        </w:rPr>
        <w:t xml:space="preserve"> за уреждане на търговски спорове в областта на селското стопанство /MRCA/, който се радва на изключително широк мандат.</w:t>
      </w:r>
      <w:r w:rsidR="00831AD2">
        <w:rPr>
          <w:rFonts w:ascii="Times New Roman" w:hAnsi="Times New Roman" w:cs="Times New Roman"/>
          <w:sz w:val="24"/>
          <w:szCs w:val="24"/>
        </w:rPr>
        <w:t xml:space="preserve"> </w:t>
      </w:r>
    </w:p>
    <w:p w14:paraId="72F40F0F" w14:textId="77777777" w:rsidR="0005342C" w:rsidRDefault="00831AD2" w:rsidP="00DD69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Отделно от това, още през 2018 г. с наредба</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r w:rsidR="00DA47C0" w:rsidRPr="00DA47C0">
        <w:rPr>
          <w:rFonts w:ascii="Times New Roman" w:hAnsi="Times New Roman" w:cs="Times New Roman"/>
          <w:sz w:val="24"/>
          <w:szCs w:val="24"/>
        </w:rPr>
        <w:t>със срочно действие, последователно удължавано на няколко пъти до 15 април 2026 г., са въведени</w:t>
      </w:r>
      <w:r w:rsidR="00DA47C0">
        <w:rPr>
          <w:rFonts w:ascii="Times New Roman" w:hAnsi="Times New Roman" w:cs="Times New Roman"/>
          <w:sz w:val="24"/>
          <w:szCs w:val="24"/>
        </w:rPr>
        <w:t xml:space="preserve"> и</w:t>
      </w:r>
      <w:r w:rsidR="00DA47C0" w:rsidRPr="00DA47C0">
        <w:rPr>
          <w:rFonts w:ascii="Times New Roman" w:hAnsi="Times New Roman" w:cs="Times New Roman"/>
          <w:sz w:val="24"/>
          <w:szCs w:val="24"/>
        </w:rPr>
        <w:t xml:space="preserve"> </w:t>
      </w:r>
      <w:r w:rsidR="00DA47C0" w:rsidRPr="00622701">
        <w:rPr>
          <w:rFonts w:ascii="Times New Roman" w:hAnsi="Times New Roman" w:cs="Times New Roman"/>
          <w:i/>
          <w:sz w:val="24"/>
          <w:szCs w:val="24"/>
        </w:rPr>
        <w:t>временни механизми за ограничаване на промоционалните практики</w:t>
      </w:r>
      <w:r w:rsidR="0005342C" w:rsidRPr="00DA47C0">
        <w:rPr>
          <w:rFonts w:ascii="Times New Roman" w:hAnsi="Times New Roman" w:cs="Times New Roman"/>
          <w:sz w:val="24"/>
          <w:szCs w:val="24"/>
          <w:vertAlign w:val="superscript"/>
        </w:rPr>
        <w:footnoteReference w:id="21"/>
      </w:r>
      <w:r w:rsidR="00DA47C0" w:rsidRPr="00DA47C0">
        <w:rPr>
          <w:rFonts w:ascii="Times New Roman" w:hAnsi="Times New Roman" w:cs="Times New Roman"/>
          <w:sz w:val="24"/>
          <w:szCs w:val="24"/>
        </w:rPr>
        <w:t xml:space="preserve">. </w:t>
      </w:r>
      <w:r w:rsidR="0005342C">
        <w:rPr>
          <w:rFonts w:ascii="Times New Roman" w:hAnsi="Times New Roman" w:cs="Times New Roman"/>
          <w:sz w:val="24"/>
          <w:szCs w:val="24"/>
        </w:rPr>
        <w:t>Предвидено</w:t>
      </w:r>
      <w:r w:rsidR="00DA47C0" w:rsidRPr="00DA47C0">
        <w:rPr>
          <w:rFonts w:ascii="Times New Roman" w:hAnsi="Times New Roman" w:cs="Times New Roman"/>
          <w:sz w:val="24"/>
          <w:szCs w:val="24"/>
        </w:rPr>
        <w:t xml:space="preserve"> е ограничение върху промоциите на хранителни продукти, като те не могат да надвишават 34% от продажната цена към потребителя и 25% от обема на продаваните стоки по промоция, с цел защита на първичните производители, възстановяване на баланса в преговорите и противодействие на дъмпинг.</w:t>
      </w:r>
      <w:r w:rsidR="00DA47C0">
        <w:rPr>
          <w:rFonts w:ascii="Times New Roman" w:hAnsi="Times New Roman" w:cs="Times New Roman"/>
          <w:sz w:val="24"/>
          <w:szCs w:val="24"/>
        </w:rPr>
        <w:t xml:space="preserve"> </w:t>
      </w:r>
    </w:p>
    <w:p w14:paraId="1D052BE2" w14:textId="17F2A325" w:rsidR="00DA47C0" w:rsidRPr="007B4A99" w:rsidRDefault="00DA47C0" w:rsidP="00DD69D5">
      <w:pPr>
        <w:spacing w:after="0" w:line="240" w:lineRule="auto"/>
        <w:ind w:firstLine="567"/>
        <w:jc w:val="both"/>
        <w:rPr>
          <w:rFonts w:ascii="Times New Roman" w:hAnsi="Times New Roman" w:cs="Times New Roman"/>
          <w:sz w:val="24"/>
          <w:szCs w:val="24"/>
        </w:rPr>
      </w:pPr>
      <w:r w:rsidRPr="00DA47C0">
        <w:rPr>
          <w:rFonts w:ascii="Times New Roman" w:hAnsi="Times New Roman" w:cs="Times New Roman"/>
          <w:sz w:val="24"/>
          <w:szCs w:val="24"/>
        </w:rPr>
        <w:t xml:space="preserve">Във Франция, с цел осигуряване на прозрачност и проследимост на въздействието от ограниченията върху промоциите и маржовете на препродажба, законът EGalim 3 </w:t>
      </w:r>
      <w:r w:rsidRPr="00DA47C0">
        <w:rPr>
          <w:rFonts w:ascii="Times New Roman" w:hAnsi="Times New Roman" w:cs="Times New Roman"/>
          <w:sz w:val="24"/>
          <w:szCs w:val="24"/>
        </w:rPr>
        <w:lastRenderedPageBreak/>
        <w:t>въвежда</w:t>
      </w:r>
      <w:r>
        <w:rPr>
          <w:rFonts w:ascii="Times New Roman" w:hAnsi="Times New Roman" w:cs="Times New Roman"/>
          <w:sz w:val="24"/>
          <w:szCs w:val="24"/>
        </w:rPr>
        <w:t xml:space="preserve"> и</w:t>
      </w:r>
      <w:r w:rsidRPr="00DA47C0">
        <w:rPr>
          <w:rFonts w:ascii="Times New Roman" w:hAnsi="Times New Roman" w:cs="Times New Roman"/>
          <w:sz w:val="24"/>
          <w:szCs w:val="24"/>
        </w:rPr>
        <w:t xml:space="preserve"> допълнителни задължения за докладване от страна на икономическите оператори, както и стриктна регулация на логистичните санкции</w:t>
      </w:r>
      <w:r>
        <w:rPr>
          <w:rFonts w:ascii="Times New Roman" w:hAnsi="Times New Roman" w:cs="Times New Roman"/>
          <w:sz w:val="24"/>
          <w:szCs w:val="24"/>
        </w:rPr>
        <w:t xml:space="preserve"> (</w:t>
      </w:r>
      <w:r w:rsidRPr="00DA47C0">
        <w:rPr>
          <w:rFonts w:ascii="Times New Roman" w:hAnsi="Times New Roman" w:cs="Times New Roman"/>
          <w:sz w:val="24"/>
          <w:szCs w:val="24"/>
        </w:rPr>
        <w:t>финансова неустойка или наказателна такса, която търговец на дребно налага на доставчик, когато последният не изпълни договорени логистични условия</w:t>
      </w:r>
      <w:r>
        <w:rPr>
          <w:rFonts w:ascii="Times New Roman" w:hAnsi="Times New Roman" w:cs="Times New Roman"/>
          <w:sz w:val="24"/>
          <w:szCs w:val="24"/>
        </w:rPr>
        <w:t>)</w:t>
      </w:r>
      <w:r w:rsidRPr="00DA47C0">
        <w:rPr>
          <w:rFonts w:ascii="Times New Roman" w:hAnsi="Times New Roman" w:cs="Times New Roman"/>
          <w:sz w:val="24"/>
          <w:szCs w:val="24"/>
        </w:rPr>
        <w:t>, включително тяхното ограничаване до 2% от стойността на поръчаните стоки, забрана за прилагане със задна дата над една година и възможност за временното им спиране от държавата при извънредни обстоятелства</w:t>
      </w:r>
      <w:r>
        <w:rPr>
          <w:rStyle w:val="FootnoteReference"/>
          <w:rFonts w:ascii="Times New Roman" w:hAnsi="Times New Roman" w:cs="Times New Roman"/>
          <w:sz w:val="24"/>
          <w:szCs w:val="24"/>
        </w:rPr>
        <w:footnoteReference w:id="22"/>
      </w:r>
      <w:r w:rsidRPr="00DA47C0">
        <w:rPr>
          <w:rFonts w:ascii="Times New Roman" w:hAnsi="Times New Roman" w:cs="Times New Roman"/>
          <w:sz w:val="24"/>
          <w:szCs w:val="24"/>
        </w:rPr>
        <w:t>.</w:t>
      </w:r>
    </w:p>
    <w:p w14:paraId="44AB5C4B" w14:textId="77777777" w:rsidR="00BF2837" w:rsidRPr="007B4A99" w:rsidRDefault="00BF2837" w:rsidP="00DD69D5">
      <w:pPr>
        <w:spacing w:after="0" w:line="240" w:lineRule="auto"/>
        <w:ind w:firstLine="540"/>
        <w:jc w:val="both"/>
        <w:rPr>
          <w:rFonts w:ascii="Times New Roman" w:eastAsia="Calibri" w:hAnsi="Times New Roman" w:cs="Times New Roman"/>
          <w:b/>
          <w:bCs/>
          <w:i/>
          <w:sz w:val="24"/>
          <w:szCs w:val="24"/>
        </w:rPr>
      </w:pPr>
    </w:p>
    <w:p w14:paraId="7A00AE0D" w14:textId="77777777" w:rsidR="00BF2837" w:rsidRPr="007B4A99" w:rsidRDefault="00BF2837" w:rsidP="00DD69D5">
      <w:pPr>
        <w:spacing w:after="0" w:line="240" w:lineRule="auto"/>
        <w:ind w:firstLine="540"/>
        <w:jc w:val="both"/>
        <w:rPr>
          <w:rFonts w:ascii="Times New Roman" w:eastAsia="Calibri" w:hAnsi="Times New Roman" w:cs="Times New Roman"/>
          <w:b/>
          <w:bCs/>
          <w:i/>
          <w:sz w:val="24"/>
          <w:szCs w:val="24"/>
        </w:rPr>
      </w:pPr>
      <w:r w:rsidRPr="007B4A99">
        <w:rPr>
          <w:rFonts w:ascii="Times New Roman" w:eastAsia="Calibri" w:hAnsi="Times New Roman" w:cs="Times New Roman"/>
          <w:b/>
          <w:bCs/>
          <w:i/>
          <w:sz w:val="24"/>
          <w:szCs w:val="24"/>
        </w:rPr>
        <w:t xml:space="preserve">Германия </w:t>
      </w:r>
    </w:p>
    <w:p w14:paraId="28C5D5AC" w14:textId="690E2916" w:rsidR="00872F6E" w:rsidRDefault="00BF2837" w:rsidP="00DD69D5">
      <w:pPr>
        <w:spacing w:after="0" w:line="240" w:lineRule="auto"/>
        <w:ind w:firstLine="540"/>
        <w:jc w:val="both"/>
        <w:rPr>
          <w:rFonts w:ascii="Times New Roman" w:eastAsia="Calibri" w:hAnsi="Times New Roman" w:cs="Times New Roman"/>
          <w:iCs/>
          <w:sz w:val="24"/>
          <w:szCs w:val="24"/>
        </w:rPr>
      </w:pPr>
      <w:r w:rsidRPr="007B4A99">
        <w:rPr>
          <w:rFonts w:ascii="Times New Roman" w:eastAsia="Calibri" w:hAnsi="Times New Roman" w:cs="Times New Roman"/>
          <w:bCs/>
          <w:iCs/>
          <w:sz w:val="24"/>
          <w:szCs w:val="24"/>
        </w:rPr>
        <w:t xml:space="preserve">Германия </w:t>
      </w:r>
      <w:r w:rsidRPr="007B4A99">
        <w:rPr>
          <w:rFonts w:ascii="Times New Roman" w:eastAsia="Calibri" w:hAnsi="Times New Roman" w:cs="Times New Roman"/>
          <w:iCs/>
          <w:sz w:val="24"/>
          <w:szCs w:val="24"/>
        </w:rPr>
        <w:t>също</w:t>
      </w:r>
      <w:r w:rsidRPr="007B4A99">
        <w:rPr>
          <w:rFonts w:ascii="Times New Roman" w:eastAsia="Calibri" w:hAnsi="Times New Roman" w:cs="Times New Roman"/>
          <w:i/>
          <w:sz w:val="24"/>
          <w:szCs w:val="24"/>
        </w:rPr>
        <w:t xml:space="preserve"> </w:t>
      </w:r>
      <w:r w:rsidRPr="007B4A99">
        <w:rPr>
          <w:rFonts w:ascii="Times New Roman" w:eastAsia="Calibri" w:hAnsi="Times New Roman" w:cs="Times New Roman"/>
          <w:iCs/>
          <w:sz w:val="24"/>
          <w:szCs w:val="24"/>
        </w:rPr>
        <w:t>е въвела комплексна правна и етична регламентация, обединяваща националното и европейското законодателство, за да гарантира справедливите търговски отношения между всички участници във веригата от доставки. Силен акцент се поставя върху защитата от злоупотреба с пазарна сила, особено спрямо малките икономически оператори. Гражданският кодекс (Bürgerliches Gesetzbuch) урежда търговските договорни отношения, а със специален закон срещу ограниченията на конкуренцията се цели предпазва</w:t>
      </w:r>
      <w:r w:rsidR="00091707">
        <w:rPr>
          <w:rFonts w:ascii="Times New Roman" w:eastAsia="Calibri" w:hAnsi="Times New Roman" w:cs="Times New Roman"/>
          <w:iCs/>
          <w:sz w:val="24"/>
          <w:szCs w:val="24"/>
        </w:rPr>
        <w:t>не срещу</w:t>
      </w:r>
      <w:r w:rsidRPr="007B4A99">
        <w:rPr>
          <w:rFonts w:ascii="Times New Roman" w:eastAsia="Calibri" w:hAnsi="Times New Roman" w:cs="Times New Roman"/>
          <w:iCs/>
          <w:sz w:val="24"/>
          <w:szCs w:val="24"/>
        </w:rPr>
        <w:t xml:space="preserve"> злоупотреби с пазарна сила, особено от страна на големите търговски вериги. Надзорът се осъществява от Федералния картелен орган (Bundeskartellamt)</w:t>
      </w:r>
      <w:r w:rsidR="00567927">
        <w:rPr>
          <w:rFonts w:ascii="Times New Roman" w:eastAsia="Calibri" w:hAnsi="Times New Roman" w:cs="Times New Roman"/>
          <w:iCs/>
          <w:sz w:val="24"/>
          <w:szCs w:val="24"/>
        </w:rPr>
        <w:t>. Ноторен пример от неговата практика е този за</w:t>
      </w:r>
      <w:r w:rsidRPr="007B4A99">
        <w:rPr>
          <w:rFonts w:ascii="Times New Roman" w:eastAsia="Calibri" w:hAnsi="Times New Roman" w:cs="Times New Roman"/>
          <w:iCs/>
          <w:sz w:val="24"/>
          <w:szCs w:val="24"/>
        </w:rPr>
        <w:t xml:space="preserve"> глобена търговска верига в рамките на</w:t>
      </w:r>
      <w:r w:rsidR="00091707">
        <w:rPr>
          <w:rFonts w:ascii="Times New Roman" w:eastAsia="Calibri" w:hAnsi="Times New Roman" w:cs="Times New Roman"/>
          <w:iCs/>
          <w:sz w:val="24"/>
          <w:szCs w:val="24"/>
        </w:rPr>
        <w:t xml:space="preserve"> около</w:t>
      </w:r>
      <w:r w:rsidRPr="007B4A99">
        <w:rPr>
          <w:rFonts w:ascii="Times New Roman" w:eastAsia="Calibri" w:hAnsi="Times New Roman" w:cs="Times New Roman"/>
          <w:iCs/>
          <w:sz w:val="24"/>
          <w:szCs w:val="24"/>
        </w:rPr>
        <w:t xml:space="preserve"> 90 млн. евро за натиск върху доставчици. </w:t>
      </w:r>
    </w:p>
    <w:p w14:paraId="18FB8DCD" w14:textId="0E4AA4C8" w:rsidR="00872F6E" w:rsidRDefault="00BF2837" w:rsidP="00DD69D5">
      <w:pPr>
        <w:spacing w:after="0" w:line="240" w:lineRule="auto"/>
        <w:ind w:firstLine="540"/>
        <w:jc w:val="both"/>
        <w:rPr>
          <w:rFonts w:ascii="Times New Roman" w:eastAsia="Calibri" w:hAnsi="Times New Roman" w:cs="Times New Roman"/>
          <w:iCs/>
          <w:sz w:val="24"/>
          <w:szCs w:val="24"/>
        </w:rPr>
      </w:pPr>
      <w:r w:rsidRPr="007B4A99">
        <w:rPr>
          <w:rFonts w:ascii="Times New Roman" w:eastAsia="Calibri" w:hAnsi="Times New Roman" w:cs="Times New Roman"/>
          <w:iCs/>
          <w:sz w:val="24"/>
          <w:szCs w:val="24"/>
        </w:rPr>
        <w:t>Ценообразуването</w:t>
      </w:r>
      <w:r w:rsidR="00567927">
        <w:rPr>
          <w:rFonts w:ascii="Times New Roman" w:eastAsia="Calibri" w:hAnsi="Times New Roman" w:cs="Times New Roman"/>
          <w:iCs/>
          <w:sz w:val="24"/>
          <w:szCs w:val="24"/>
        </w:rPr>
        <w:t xml:space="preserve"> в страната</w:t>
      </w:r>
      <w:r w:rsidRPr="007B4A99">
        <w:rPr>
          <w:rFonts w:ascii="Times New Roman" w:eastAsia="Calibri" w:hAnsi="Times New Roman" w:cs="Times New Roman"/>
          <w:iCs/>
          <w:sz w:val="24"/>
          <w:szCs w:val="24"/>
        </w:rPr>
        <w:t xml:space="preserve"> е пазарно</w:t>
      </w:r>
      <w:r w:rsidR="00872F6E">
        <w:rPr>
          <w:rFonts w:ascii="Times New Roman" w:eastAsia="Calibri" w:hAnsi="Times New Roman" w:cs="Times New Roman"/>
          <w:iCs/>
          <w:sz w:val="24"/>
          <w:szCs w:val="24"/>
        </w:rPr>
        <w:t xml:space="preserve"> </w:t>
      </w:r>
      <w:r w:rsidRPr="007B4A99">
        <w:rPr>
          <w:rFonts w:ascii="Times New Roman" w:eastAsia="Calibri" w:hAnsi="Times New Roman" w:cs="Times New Roman"/>
          <w:iCs/>
          <w:sz w:val="24"/>
          <w:szCs w:val="24"/>
        </w:rPr>
        <w:t>регулирано, но подчинено на</w:t>
      </w:r>
      <w:r w:rsidR="00D96E8B">
        <w:rPr>
          <w:rFonts w:ascii="Times New Roman" w:eastAsia="Calibri" w:hAnsi="Times New Roman" w:cs="Times New Roman"/>
          <w:iCs/>
          <w:sz w:val="24"/>
          <w:szCs w:val="24"/>
        </w:rPr>
        <w:t xml:space="preserve"> силно</w:t>
      </w:r>
      <w:r w:rsidRPr="007B4A99">
        <w:rPr>
          <w:rFonts w:ascii="Times New Roman" w:eastAsia="Calibri" w:hAnsi="Times New Roman" w:cs="Times New Roman"/>
          <w:iCs/>
          <w:sz w:val="24"/>
          <w:szCs w:val="24"/>
        </w:rPr>
        <w:t xml:space="preserve"> </w:t>
      </w:r>
      <w:r w:rsidR="00091707">
        <w:rPr>
          <w:rFonts w:ascii="Times New Roman" w:eastAsia="Calibri" w:hAnsi="Times New Roman" w:cs="Times New Roman"/>
          <w:iCs/>
          <w:sz w:val="24"/>
          <w:szCs w:val="24"/>
        </w:rPr>
        <w:t>антимонопол</w:t>
      </w:r>
      <w:r w:rsidR="00091707" w:rsidRPr="007B4A99">
        <w:rPr>
          <w:rFonts w:ascii="Times New Roman" w:eastAsia="Calibri" w:hAnsi="Times New Roman" w:cs="Times New Roman"/>
          <w:iCs/>
          <w:sz w:val="24"/>
          <w:szCs w:val="24"/>
        </w:rPr>
        <w:t>н</w:t>
      </w:r>
      <w:r w:rsidR="00091707">
        <w:rPr>
          <w:rFonts w:ascii="Times New Roman" w:eastAsia="Calibri" w:hAnsi="Times New Roman" w:cs="Times New Roman"/>
          <w:iCs/>
          <w:sz w:val="24"/>
          <w:szCs w:val="24"/>
        </w:rPr>
        <w:t>о</w:t>
      </w:r>
      <w:r w:rsidRPr="007B4A99">
        <w:rPr>
          <w:rFonts w:ascii="Times New Roman" w:eastAsia="Calibri" w:hAnsi="Times New Roman" w:cs="Times New Roman"/>
          <w:iCs/>
          <w:sz w:val="24"/>
          <w:szCs w:val="24"/>
        </w:rPr>
        <w:t xml:space="preserve"> законодателство. Германия прилага правила при промоционалните продажби, включително чрез ограничения върху обема на продуктите, предлагани с отстъпка, без обаче да налага обща забрана. Регулациите са насочени към защита на потребителите и поддържане на честната конкуренция. Защитата на конкуренцията и потребителите се осъществява посредством правилата на Закона срещу нелоялната конкуренция (UWG), който забранява подвеждащите търговски практики и договорите с неравноправни условия. Онлайн търговията на храни и земеделски продукти също попадат под обхвата на нормативната уредба. </w:t>
      </w:r>
    </w:p>
    <w:p w14:paraId="77C95E07" w14:textId="77777777" w:rsidR="00872F6E" w:rsidRDefault="00BF2837" w:rsidP="00DD69D5">
      <w:pPr>
        <w:spacing w:after="0" w:line="240" w:lineRule="auto"/>
        <w:ind w:firstLine="540"/>
        <w:jc w:val="both"/>
        <w:rPr>
          <w:rFonts w:ascii="Times New Roman" w:eastAsia="Calibri" w:hAnsi="Times New Roman" w:cs="Times New Roman"/>
          <w:iCs/>
          <w:sz w:val="24"/>
          <w:szCs w:val="24"/>
        </w:rPr>
      </w:pPr>
      <w:r w:rsidRPr="007B4A99">
        <w:rPr>
          <w:rFonts w:ascii="Times New Roman" w:eastAsia="Calibri" w:hAnsi="Times New Roman" w:cs="Times New Roman"/>
          <w:iCs/>
          <w:sz w:val="24"/>
          <w:szCs w:val="24"/>
        </w:rPr>
        <w:t xml:space="preserve">Промоционалните отстъпки и маркетинговите практики също се регулират от специални разпоредби, закрепени в Наредбата за обозначаване на цените (PAngV), UWG и Закона за отстъпките (Rabattgesetz). Законодателството изисква пълна прозрачност при обявяване на намаленията – например, намаления тип „-50%“ са допустими само ако старата цена е била действително прилагана през последните 30 дни. Забранени са дъмпингът, манипулативните техники и практики като „примамка и подмяна“ (Bait and Switch). Продажбата под себестойност е разрешена само в ограничени случаи, например, при ликвидации или специални разпродажби. През 2023 г. страната транспонира Директива (ЕС) 2019/633, като приема Закона за задължението за надлежна проверка по веригата на доставки (Lieferkettengesetz). Той задължава компаниите с над 3 000 служители (от 2024 г. – над 1 000) да следят за нарушения на правата на човека, трудовите и екологични стандарти при доставчиците. </w:t>
      </w:r>
    </w:p>
    <w:p w14:paraId="4B1E0AD1" w14:textId="03292078" w:rsidR="00BF2837" w:rsidRDefault="00BF2837" w:rsidP="00DD69D5">
      <w:pPr>
        <w:spacing w:after="0" w:line="240" w:lineRule="auto"/>
        <w:ind w:firstLine="540"/>
        <w:jc w:val="both"/>
        <w:rPr>
          <w:rFonts w:ascii="Times New Roman" w:eastAsia="Calibri" w:hAnsi="Times New Roman" w:cs="Times New Roman"/>
          <w:iCs/>
          <w:sz w:val="24"/>
          <w:szCs w:val="24"/>
        </w:rPr>
      </w:pPr>
      <w:r w:rsidRPr="007B4A99">
        <w:rPr>
          <w:rFonts w:ascii="Times New Roman" w:eastAsia="Calibri" w:hAnsi="Times New Roman" w:cs="Times New Roman"/>
          <w:iCs/>
          <w:sz w:val="24"/>
          <w:szCs w:val="24"/>
        </w:rPr>
        <w:lastRenderedPageBreak/>
        <w:t>По отношение на входните такси (Regalgebühren), макар да няма изрична федерална забрана, те също подлежат на строг контрол, като трябва да бъдат икономически обосновани, недискриминационни и уредени със споразумения. Условията за плащане също са обект на регулация. Широко разпространена е практиката „сконто“, при която се предлага отстъпка от 2–3% за плащане в кратък срок. Начисляването на допълнителни такси при поискване на по-ранно плащане е допустимо само ако е предварително договорено при разумни и пропорционални условия. Маркетинговите дейности не са задължителни по закон, но ако се прилагат, подлежат на регулация съгласно Закона срещу нелоялната конкуренция, Федералния закон за защита на данните и други секторни нормативни актове, като директният и онлайн маркетинг изискват изрично съгласие от потребителите и пълна прозрачност относно съдържанието и условията на рекламната комуникация.</w:t>
      </w:r>
    </w:p>
    <w:p w14:paraId="5BCF3AB0" w14:textId="77777777" w:rsidR="00872F6E" w:rsidRPr="007B4A99" w:rsidRDefault="00872F6E" w:rsidP="00DD69D5">
      <w:pPr>
        <w:spacing w:after="0" w:line="240" w:lineRule="auto"/>
        <w:ind w:firstLine="540"/>
        <w:jc w:val="both"/>
        <w:rPr>
          <w:rFonts w:ascii="Times New Roman" w:eastAsia="Calibri" w:hAnsi="Times New Roman" w:cs="Times New Roman"/>
          <w:iCs/>
          <w:sz w:val="24"/>
          <w:szCs w:val="24"/>
        </w:rPr>
      </w:pPr>
    </w:p>
    <w:p w14:paraId="4861B1D6" w14:textId="519BD6C9" w:rsidR="00BF2837" w:rsidRPr="007B4A99" w:rsidRDefault="00BF2837" w:rsidP="00DD69D5">
      <w:pPr>
        <w:spacing w:after="0" w:line="240" w:lineRule="auto"/>
        <w:ind w:firstLine="540"/>
        <w:jc w:val="both"/>
        <w:rPr>
          <w:rFonts w:ascii="Times New Roman" w:eastAsia="Calibri" w:hAnsi="Times New Roman" w:cs="Times New Roman"/>
          <w:b/>
          <w:i/>
          <w:noProof/>
          <w:sz w:val="24"/>
          <w:szCs w:val="24"/>
        </w:rPr>
      </w:pPr>
      <w:r w:rsidRPr="007B4A99">
        <w:rPr>
          <w:rFonts w:ascii="Times New Roman" w:eastAsia="Calibri" w:hAnsi="Times New Roman" w:cs="Times New Roman"/>
          <w:b/>
          <w:i/>
          <w:noProof/>
          <w:sz w:val="24"/>
          <w:szCs w:val="24"/>
        </w:rPr>
        <w:t>Италия</w:t>
      </w:r>
    </w:p>
    <w:p w14:paraId="3E46309A" w14:textId="771EC712" w:rsidR="00872F6E" w:rsidRDefault="00BF2837" w:rsidP="00DD69D5">
      <w:pPr>
        <w:spacing w:after="0" w:line="240" w:lineRule="auto"/>
        <w:ind w:firstLine="540"/>
        <w:jc w:val="both"/>
        <w:rPr>
          <w:rFonts w:ascii="Times New Roman" w:eastAsia="Calibri" w:hAnsi="Times New Roman" w:cs="Times New Roman"/>
          <w:iCs/>
          <w:noProof/>
          <w:sz w:val="24"/>
          <w:szCs w:val="24"/>
        </w:rPr>
      </w:pPr>
      <w:r w:rsidRPr="007B4A99">
        <w:rPr>
          <w:rFonts w:ascii="Times New Roman" w:eastAsia="Calibri" w:hAnsi="Times New Roman" w:cs="Times New Roman"/>
          <w:iCs/>
          <w:noProof/>
          <w:sz w:val="24"/>
          <w:szCs w:val="24"/>
        </w:rPr>
        <w:t xml:space="preserve">Италия се храктеризира също с детайлно регулирана </w:t>
      </w:r>
      <w:r w:rsidR="00872F6E" w:rsidRPr="00872F6E">
        <w:rPr>
          <w:rFonts w:ascii="Times New Roman" w:eastAsia="Calibri" w:hAnsi="Times New Roman" w:cs="Times New Roman"/>
          <w:iCs/>
          <w:noProof/>
          <w:sz w:val="24"/>
          <w:szCs w:val="24"/>
        </w:rPr>
        <w:t>верига на доставки</w:t>
      </w:r>
      <w:r w:rsidR="00872F6E">
        <w:rPr>
          <w:rFonts w:ascii="Times New Roman" w:eastAsia="Calibri" w:hAnsi="Times New Roman" w:cs="Times New Roman"/>
          <w:iCs/>
          <w:noProof/>
          <w:sz w:val="24"/>
          <w:szCs w:val="24"/>
        </w:rPr>
        <w:t xml:space="preserve"> на земеделски продукти и храни</w:t>
      </w:r>
      <w:r w:rsidRPr="007B4A99">
        <w:rPr>
          <w:rFonts w:ascii="Times New Roman" w:eastAsia="Calibri" w:hAnsi="Times New Roman" w:cs="Times New Roman"/>
          <w:iCs/>
          <w:noProof/>
          <w:sz w:val="24"/>
          <w:szCs w:val="24"/>
        </w:rPr>
        <w:t xml:space="preserve">, </w:t>
      </w:r>
      <w:r w:rsidR="00872F6E">
        <w:rPr>
          <w:rFonts w:ascii="Times New Roman" w:eastAsia="Calibri" w:hAnsi="Times New Roman" w:cs="Times New Roman"/>
          <w:iCs/>
          <w:noProof/>
          <w:sz w:val="24"/>
          <w:szCs w:val="24"/>
        </w:rPr>
        <w:t>насочено към</w:t>
      </w:r>
      <w:r w:rsidRPr="007B4A99">
        <w:rPr>
          <w:rFonts w:ascii="Times New Roman" w:eastAsia="Calibri" w:hAnsi="Times New Roman" w:cs="Times New Roman"/>
          <w:iCs/>
          <w:noProof/>
          <w:sz w:val="24"/>
          <w:szCs w:val="24"/>
        </w:rPr>
        <w:t xml:space="preserve"> защита на националните хранителни и земеделски продукти. Законодателството е едно от най-строгите в ЕС и цели да прилага правилата на Директива</w:t>
      </w:r>
      <w:r w:rsidR="00AC2F82">
        <w:rPr>
          <w:rFonts w:ascii="Times New Roman" w:eastAsia="Calibri" w:hAnsi="Times New Roman" w:cs="Times New Roman"/>
          <w:iCs/>
          <w:noProof/>
          <w:sz w:val="24"/>
          <w:szCs w:val="24"/>
        </w:rPr>
        <w:t xml:space="preserve"> </w:t>
      </w:r>
      <w:r w:rsidR="00AC2F82" w:rsidRPr="00AC2F82">
        <w:rPr>
          <w:rFonts w:ascii="Times New Roman" w:eastAsia="Calibri" w:hAnsi="Times New Roman" w:cs="Times New Roman"/>
          <w:iCs/>
          <w:noProof/>
          <w:sz w:val="24"/>
          <w:szCs w:val="24"/>
        </w:rPr>
        <w:t>(ЕС)</w:t>
      </w:r>
      <w:r w:rsidRPr="007B4A99">
        <w:rPr>
          <w:rFonts w:ascii="Times New Roman" w:eastAsia="Calibri" w:hAnsi="Times New Roman" w:cs="Times New Roman"/>
          <w:iCs/>
          <w:noProof/>
          <w:sz w:val="24"/>
          <w:szCs w:val="24"/>
        </w:rPr>
        <w:t xml:space="preserve"> 2019/633. </w:t>
      </w:r>
      <w:r w:rsidR="00872F6E" w:rsidRPr="00872F6E">
        <w:rPr>
          <w:rFonts w:ascii="Times New Roman" w:eastAsia="Calibri" w:hAnsi="Times New Roman" w:cs="Times New Roman"/>
          <w:iCs/>
          <w:noProof/>
          <w:sz w:val="24"/>
          <w:szCs w:val="24"/>
        </w:rPr>
        <w:t>Верига</w:t>
      </w:r>
      <w:r w:rsidR="00872F6E">
        <w:rPr>
          <w:rFonts w:ascii="Times New Roman" w:eastAsia="Calibri" w:hAnsi="Times New Roman" w:cs="Times New Roman"/>
          <w:iCs/>
          <w:noProof/>
          <w:sz w:val="24"/>
          <w:szCs w:val="24"/>
        </w:rPr>
        <w:t>та</w:t>
      </w:r>
      <w:r w:rsidR="00872F6E" w:rsidRPr="00872F6E">
        <w:rPr>
          <w:rFonts w:ascii="Times New Roman" w:eastAsia="Calibri" w:hAnsi="Times New Roman" w:cs="Times New Roman"/>
          <w:iCs/>
          <w:noProof/>
          <w:sz w:val="24"/>
          <w:szCs w:val="24"/>
        </w:rPr>
        <w:t xml:space="preserve"> на доставки</w:t>
      </w:r>
      <w:r w:rsidR="00872F6E">
        <w:rPr>
          <w:rFonts w:ascii="Times New Roman" w:eastAsia="Calibri" w:hAnsi="Times New Roman" w:cs="Times New Roman"/>
          <w:iCs/>
          <w:noProof/>
          <w:sz w:val="24"/>
          <w:szCs w:val="24"/>
        </w:rPr>
        <w:t xml:space="preserve"> на земеделски продукти и храни</w:t>
      </w:r>
      <w:r w:rsidRPr="007B4A99">
        <w:rPr>
          <w:rFonts w:ascii="Times New Roman" w:eastAsia="Calibri" w:hAnsi="Times New Roman" w:cs="Times New Roman"/>
          <w:iCs/>
          <w:noProof/>
          <w:sz w:val="24"/>
          <w:szCs w:val="24"/>
        </w:rPr>
        <w:t xml:space="preserve"> има ясно изградена традиционна структура. В центъра й стоят кооперативите, защитаващи интересите на производителите, следвани от складовете на едро и разпределителните звена към търговски вериги и малки магазини. </w:t>
      </w:r>
    </w:p>
    <w:p w14:paraId="21FDAF9A" w14:textId="3850A8C4" w:rsidR="00872F6E" w:rsidRDefault="00872F6E" w:rsidP="00DD69D5">
      <w:pPr>
        <w:spacing w:after="0" w:line="240" w:lineRule="auto"/>
        <w:ind w:firstLine="540"/>
        <w:jc w:val="both"/>
        <w:rPr>
          <w:rFonts w:ascii="Times New Roman" w:eastAsia="Calibri" w:hAnsi="Times New Roman" w:cs="Times New Roman"/>
          <w:iCs/>
          <w:noProof/>
          <w:sz w:val="24"/>
          <w:szCs w:val="24"/>
        </w:rPr>
      </w:pPr>
      <w:r w:rsidRPr="007B4A99">
        <w:rPr>
          <w:rFonts w:ascii="Times New Roman" w:eastAsia="Calibri" w:hAnsi="Times New Roman" w:cs="Times New Roman"/>
          <w:iCs/>
          <w:noProof/>
          <w:sz w:val="24"/>
          <w:szCs w:val="24"/>
        </w:rPr>
        <w:t>В основата на</w:t>
      </w:r>
      <w:r>
        <w:rPr>
          <w:rFonts w:ascii="Times New Roman" w:eastAsia="Calibri" w:hAnsi="Times New Roman" w:cs="Times New Roman"/>
          <w:iCs/>
          <w:noProof/>
          <w:sz w:val="24"/>
          <w:szCs w:val="24"/>
        </w:rPr>
        <w:t xml:space="preserve"> италианската правна уредба стои Законодателе</w:t>
      </w:r>
      <w:r w:rsidRPr="007B4A99">
        <w:rPr>
          <w:rFonts w:ascii="Times New Roman" w:eastAsia="Calibri" w:hAnsi="Times New Roman" w:cs="Times New Roman"/>
          <w:iCs/>
          <w:noProof/>
          <w:sz w:val="24"/>
          <w:szCs w:val="24"/>
        </w:rPr>
        <w:t>н указ № 198/2021.</w:t>
      </w:r>
      <w:r>
        <w:rPr>
          <w:rFonts w:ascii="Times New Roman" w:eastAsia="Calibri" w:hAnsi="Times New Roman" w:cs="Times New Roman"/>
          <w:iCs/>
          <w:noProof/>
          <w:sz w:val="24"/>
          <w:szCs w:val="24"/>
        </w:rPr>
        <w:t xml:space="preserve"> М</w:t>
      </w:r>
      <w:r w:rsidR="00BF2837" w:rsidRPr="007B4A99">
        <w:rPr>
          <w:rFonts w:ascii="Times New Roman" w:eastAsia="Calibri" w:hAnsi="Times New Roman" w:cs="Times New Roman"/>
          <w:iCs/>
          <w:noProof/>
          <w:sz w:val="24"/>
          <w:szCs w:val="24"/>
        </w:rPr>
        <w:t>еханизми</w:t>
      </w:r>
      <w:r>
        <w:rPr>
          <w:rFonts w:ascii="Times New Roman" w:eastAsia="Calibri" w:hAnsi="Times New Roman" w:cs="Times New Roman"/>
          <w:iCs/>
          <w:noProof/>
          <w:sz w:val="24"/>
          <w:szCs w:val="24"/>
        </w:rPr>
        <w:t>те за разплащане</w:t>
      </w:r>
      <w:r w:rsidR="00BF2837" w:rsidRPr="007B4A99">
        <w:rPr>
          <w:rFonts w:ascii="Times New Roman" w:eastAsia="Calibri" w:hAnsi="Times New Roman" w:cs="Times New Roman"/>
          <w:iCs/>
          <w:noProof/>
          <w:sz w:val="24"/>
          <w:szCs w:val="24"/>
        </w:rPr>
        <w:t xml:space="preserve"> са строго регулирани, като заплащането на стоките се извършва при доставка или в срок от 30 до 90 дни в зависимост от трайността, под надзора на данъчната администрация. При забавяне на плащане, лихвата се дължи автоматично, без възможност за отказ от страна на доставчика. Договорните отношения се уреждат задължително писмено (ad substantiam), като всеки договор трябва да съдържа ясно дефинирани клаузи за определени факти, сред които цена, обем, срокове, характеристики на продукта, условия за доставка и плащане. </w:t>
      </w:r>
    </w:p>
    <w:p w14:paraId="04D40844" w14:textId="03E92383" w:rsidR="00872F6E" w:rsidRDefault="00BF2837" w:rsidP="00DD69D5">
      <w:pPr>
        <w:spacing w:after="0" w:line="240" w:lineRule="auto"/>
        <w:ind w:firstLine="540"/>
        <w:jc w:val="both"/>
        <w:rPr>
          <w:rFonts w:ascii="Times New Roman" w:eastAsia="Calibri" w:hAnsi="Times New Roman" w:cs="Times New Roman"/>
          <w:iCs/>
          <w:noProof/>
          <w:sz w:val="24"/>
          <w:szCs w:val="24"/>
        </w:rPr>
      </w:pPr>
      <w:r w:rsidRPr="007B4A99">
        <w:rPr>
          <w:rFonts w:ascii="Times New Roman" w:eastAsia="Calibri" w:hAnsi="Times New Roman" w:cs="Times New Roman"/>
          <w:iCs/>
          <w:noProof/>
          <w:sz w:val="24"/>
          <w:szCs w:val="24"/>
        </w:rPr>
        <w:t>Законът забранява редица нелоялни търговски практики, вкл</w:t>
      </w:r>
      <w:r w:rsidR="00B14246">
        <w:rPr>
          <w:rFonts w:ascii="Times New Roman" w:eastAsia="Calibri" w:hAnsi="Times New Roman" w:cs="Times New Roman"/>
          <w:iCs/>
          <w:noProof/>
          <w:sz w:val="24"/>
          <w:szCs w:val="24"/>
        </w:rPr>
        <w:t>ючително: забавените плащания,</w:t>
      </w:r>
      <w:r w:rsidRPr="007B4A99">
        <w:rPr>
          <w:rFonts w:ascii="Times New Roman" w:eastAsia="Calibri" w:hAnsi="Times New Roman" w:cs="Times New Roman"/>
          <w:iCs/>
          <w:noProof/>
          <w:sz w:val="24"/>
          <w:szCs w:val="24"/>
        </w:rPr>
        <w:t xml:space="preserve"> едн</w:t>
      </w:r>
      <w:r w:rsidR="00B14246">
        <w:rPr>
          <w:rFonts w:ascii="Times New Roman" w:eastAsia="Calibri" w:hAnsi="Times New Roman" w:cs="Times New Roman"/>
          <w:iCs/>
          <w:noProof/>
          <w:sz w:val="24"/>
          <w:szCs w:val="24"/>
        </w:rPr>
        <w:t>остранните промени в договорите,</w:t>
      </w:r>
      <w:r w:rsidRPr="007B4A99">
        <w:rPr>
          <w:rFonts w:ascii="Times New Roman" w:eastAsia="Calibri" w:hAnsi="Times New Roman" w:cs="Times New Roman"/>
          <w:iCs/>
          <w:noProof/>
          <w:sz w:val="24"/>
          <w:szCs w:val="24"/>
        </w:rPr>
        <w:t xml:space="preserve"> анулирането на поръчки с кратко предизвестие</w:t>
      </w:r>
      <w:r w:rsidR="00B14246">
        <w:rPr>
          <w:rFonts w:ascii="Times New Roman" w:eastAsia="Calibri" w:hAnsi="Times New Roman" w:cs="Times New Roman"/>
          <w:iCs/>
          <w:noProof/>
          <w:sz w:val="24"/>
          <w:szCs w:val="24"/>
        </w:rPr>
        <w:t>,</w:t>
      </w:r>
      <w:r w:rsidRPr="007B4A99">
        <w:rPr>
          <w:rFonts w:ascii="Times New Roman" w:eastAsia="Calibri" w:hAnsi="Times New Roman" w:cs="Times New Roman"/>
          <w:iCs/>
          <w:noProof/>
          <w:sz w:val="24"/>
          <w:szCs w:val="24"/>
        </w:rPr>
        <w:t xml:space="preserve"> прехвърлянето на несвързани разходи върху доставчика и др. Продажбата под себестойност също е забранена, с изключение на точно определени случаи. Географските и климатични дадености позволяват широк спектър на производство, което води до 90% разпространение на италиански продукти в търговската мрежа. На фона на висока конкуренция и силно развитото търсене на местни продукти, Италия прилага специфични национални практики, като например, запазване на квоти за млечни продукти и производство на паста от твърда пшеница. </w:t>
      </w:r>
    </w:p>
    <w:p w14:paraId="4A7BBBAF" w14:textId="62315280" w:rsidR="00872F6E" w:rsidRDefault="00BF2837" w:rsidP="00DD69D5">
      <w:pPr>
        <w:spacing w:after="0" w:line="240" w:lineRule="auto"/>
        <w:ind w:firstLine="540"/>
        <w:jc w:val="both"/>
        <w:rPr>
          <w:rFonts w:ascii="Times New Roman" w:eastAsia="Calibri" w:hAnsi="Times New Roman" w:cs="Times New Roman"/>
          <w:iCs/>
          <w:noProof/>
          <w:sz w:val="24"/>
          <w:szCs w:val="24"/>
        </w:rPr>
      </w:pPr>
      <w:r w:rsidRPr="007B4A99">
        <w:rPr>
          <w:rFonts w:ascii="Times New Roman" w:eastAsia="Calibri" w:hAnsi="Times New Roman" w:cs="Times New Roman"/>
          <w:iCs/>
          <w:noProof/>
          <w:sz w:val="24"/>
          <w:szCs w:val="24"/>
        </w:rPr>
        <w:t>Сред основните рестрикции се откроява и забраната за използване на електронни търгове с двойно намаление на селскостопански и хранителни продукти, при които доставчиците се принуждават да подбиват цените си в непрозрачни и агресивни условия; прилагането на обременителни договорни клаузи, като</w:t>
      </w:r>
      <w:r w:rsidR="00D96E8B">
        <w:rPr>
          <w:rFonts w:ascii="Times New Roman" w:eastAsia="Calibri" w:hAnsi="Times New Roman" w:cs="Times New Roman"/>
          <w:iCs/>
          <w:noProof/>
          <w:sz w:val="24"/>
          <w:szCs w:val="24"/>
        </w:rPr>
        <w:t>,</w:t>
      </w:r>
      <w:r w:rsidRPr="007B4A99">
        <w:rPr>
          <w:rFonts w:ascii="Times New Roman" w:eastAsia="Calibri" w:hAnsi="Times New Roman" w:cs="Times New Roman"/>
          <w:iCs/>
          <w:noProof/>
          <w:sz w:val="24"/>
          <w:szCs w:val="24"/>
        </w:rPr>
        <w:t xml:space="preserve"> например</w:t>
      </w:r>
      <w:r w:rsidR="00D96E8B">
        <w:rPr>
          <w:rFonts w:ascii="Times New Roman" w:eastAsia="Calibri" w:hAnsi="Times New Roman" w:cs="Times New Roman"/>
          <w:iCs/>
          <w:noProof/>
          <w:sz w:val="24"/>
          <w:szCs w:val="24"/>
        </w:rPr>
        <w:t>,</w:t>
      </w:r>
      <w:r w:rsidRPr="007B4A99">
        <w:rPr>
          <w:rFonts w:ascii="Times New Roman" w:eastAsia="Calibri" w:hAnsi="Times New Roman" w:cs="Times New Roman"/>
          <w:iCs/>
          <w:noProof/>
          <w:sz w:val="24"/>
          <w:szCs w:val="24"/>
        </w:rPr>
        <w:t xml:space="preserve"> задължение за включване на нови продукти в асортимента или поставяне на конкретни стоки на </w:t>
      </w:r>
      <w:r w:rsidRPr="007B4A99">
        <w:rPr>
          <w:rFonts w:ascii="Times New Roman" w:eastAsia="Calibri" w:hAnsi="Times New Roman" w:cs="Times New Roman"/>
          <w:iCs/>
          <w:noProof/>
          <w:sz w:val="24"/>
          <w:szCs w:val="24"/>
        </w:rPr>
        <w:lastRenderedPageBreak/>
        <w:t>определени места в търговския обект; налагането на неоправдано и непропорционално прехвърляне на икономически риск от една стр</w:t>
      </w:r>
      <w:r w:rsidR="00872F6E">
        <w:rPr>
          <w:rFonts w:ascii="Times New Roman" w:eastAsia="Calibri" w:hAnsi="Times New Roman" w:cs="Times New Roman"/>
          <w:iCs/>
          <w:noProof/>
          <w:sz w:val="24"/>
          <w:szCs w:val="24"/>
        </w:rPr>
        <w:t>ана към нейния контрагент и др.</w:t>
      </w:r>
    </w:p>
    <w:p w14:paraId="1EB449EA" w14:textId="454FB4E8" w:rsidR="00872F6E" w:rsidRDefault="00BF2837" w:rsidP="00DD69D5">
      <w:pPr>
        <w:spacing w:after="0" w:line="240" w:lineRule="auto"/>
        <w:ind w:firstLine="540"/>
        <w:jc w:val="both"/>
        <w:rPr>
          <w:rFonts w:ascii="Times New Roman" w:eastAsia="Calibri" w:hAnsi="Times New Roman" w:cs="Times New Roman"/>
          <w:iCs/>
          <w:noProof/>
          <w:sz w:val="24"/>
          <w:szCs w:val="24"/>
        </w:rPr>
      </w:pPr>
      <w:r w:rsidRPr="007B4A99">
        <w:rPr>
          <w:rFonts w:ascii="Times New Roman" w:eastAsia="Calibri" w:hAnsi="Times New Roman" w:cs="Times New Roman"/>
          <w:iCs/>
          <w:noProof/>
          <w:sz w:val="24"/>
          <w:szCs w:val="24"/>
        </w:rPr>
        <w:t xml:space="preserve">Практиките, които в момента са допустими, единствено ако са ясно договорени, включват искане за заплащане на маркетинг, реклама, разходи за съхранение и позициониране на продуктите, връщане на непродадени стоки без обезщетение и др. Ако се предвиждат такива разходи, купувачът трябва да предостави на доставчика предварителна писмена прогноза, а в определени случаи и </w:t>
      </w:r>
      <w:r w:rsidRPr="007B4A99">
        <w:rPr>
          <w:rFonts w:ascii="Times New Roman" w:hAnsi="Times New Roman" w:cs="Times New Roman"/>
          <w:noProof/>
          <w:sz w:val="24"/>
          <w:szCs w:val="24"/>
        </w:rPr>
        <w:t>писмена оценка на разходите на доставчика и критериите, които стоят в основата на тази оценка</w:t>
      </w:r>
      <w:r w:rsidRPr="007B4A99">
        <w:rPr>
          <w:rFonts w:ascii="Times New Roman" w:eastAsia="Calibri" w:hAnsi="Times New Roman" w:cs="Times New Roman"/>
          <w:iCs/>
          <w:noProof/>
          <w:sz w:val="24"/>
          <w:szCs w:val="24"/>
        </w:rPr>
        <w:t xml:space="preserve">. Промоциите на хранителни продукти също трябва да бъдат прозрачни и да не подвеждат потребителя. Например, намалената цена не може да бъде рекламирана, ако преди това продуктът не е бил продаван на пълната му стойност за определен период. Отстъпките за продукти с изтичащ срок на годност са позволени, но трябва да бъдат ясно обозначени. Не се въвеждат количествени ограничения за промоциите, но се очаква да се спазват принципите на лоялната конкуренция и да не се стимулират ненужни покупки. Макар да няма конкретна уредба за входните такси, те често са предмет на договаряне между производителите и </w:t>
      </w:r>
      <w:r w:rsidR="0013773A">
        <w:rPr>
          <w:rFonts w:ascii="Times New Roman" w:eastAsia="Calibri" w:hAnsi="Times New Roman" w:cs="Times New Roman"/>
          <w:iCs/>
          <w:noProof/>
          <w:sz w:val="24"/>
          <w:szCs w:val="24"/>
        </w:rPr>
        <w:t xml:space="preserve">търговските </w:t>
      </w:r>
      <w:r w:rsidRPr="007B4A99">
        <w:rPr>
          <w:rFonts w:ascii="Times New Roman" w:eastAsia="Calibri" w:hAnsi="Times New Roman" w:cs="Times New Roman"/>
          <w:iCs/>
          <w:noProof/>
          <w:sz w:val="24"/>
          <w:szCs w:val="24"/>
        </w:rPr>
        <w:t xml:space="preserve">вериги и попадат под действието на принципите за договорната прозрачност. </w:t>
      </w:r>
    </w:p>
    <w:p w14:paraId="5A91C0A7" w14:textId="1DDC02DF" w:rsidR="00BF2837" w:rsidRPr="007B4A99" w:rsidRDefault="00BF2837" w:rsidP="00DD69D5">
      <w:pPr>
        <w:spacing w:after="0" w:line="240" w:lineRule="auto"/>
        <w:ind w:firstLine="540"/>
        <w:jc w:val="both"/>
        <w:rPr>
          <w:rFonts w:ascii="Times New Roman" w:eastAsia="Calibri" w:hAnsi="Times New Roman" w:cs="Times New Roman"/>
          <w:iCs/>
          <w:noProof/>
          <w:sz w:val="24"/>
          <w:szCs w:val="24"/>
        </w:rPr>
      </w:pPr>
      <w:r w:rsidRPr="007B4A99">
        <w:rPr>
          <w:rFonts w:ascii="Times New Roman" w:eastAsia="Calibri" w:hAnsi="Times New Roman" w:cs="Times New Roman"/>
          <w:iCs/>
          <w:noProof/>
          <w:sz w:val="24"/>
          <w:szCs w:val="24"/>
        </w:rPr>
        <w:t>Подобна е ситуацията и с маркетинговите разходи. Макар да няма задължителен регламент, те се третират като позволени само при предварителна договорка. Санкциите, предвидени от италианското законодателство за нарушения във веригата на агрохранителните доставки, са сериозни и пропорционални на оборота на нарушителите. За някои съществени нарушения по закона се налага глоба до 5% от оборота за предходната финансова година, но не по-малка от 2</w:t>
      </w:r>
      <w:r w:rsidR="00D96E8B">
        <w:rPr>
          <w:rFonts w:ascii="Times New Roman" w:eastAsia="Calibri" w:hAnsi="Times New Roman" w:cs="Times New Roman"/>
          <w:iCs/>
          <w:noProof/>
          <w:sz w:val="24"/>
          <w:szCs w:val="24"/>
        </w:rPr>
        <w:t xml:space="preserve"> </w:t>
      </w:r>
      <w:r w:rsidRPr="007B4A99">
        <w:rPr>
          <w:rFonts w:ascii="Times New Roman" w:eastAsia="Calibri" w:hAnsi="Times New Roman" w:cs="Times New Roman"/>
          <w:iCs/>
          <w:noProof/>
          <w:sz w:val="24"/>
          <w:szCs w:val="24"/>
        </w:rPr>
        <w:t xml:space="preserve">000 евро. При нарушаване на други разпоредби или неспазване на сроковете за плащане, санкциите достигат съответно до 3,5%. По-сериозни нарушения като едностранни промени в договори или наложени неоснователни разходи водят до санкции до 5% от оборота, </w:t>
      </w:r>
      <w:r w:rsidR="0013773A">
        <w:rPr>
          <w:rFonts w:ascii="Times New Roman" w:eastAsia="Calibri" w:hAnsi="Times New Roman" w:cs="Times New Roman"/>
          <w:iCs/>
          <w:noProof/>
          <w:sz w:val="24"/>
          <w:szCs w:val="24"/>
        </w:rPr>
        <w:t xml:space="preserve">но </w:t>
      </w:r>
      <w:r w:rsidRPr="007B4A99">
        <w:rPr>
          <w:rFonts w:ascii="Times New Roman" w:eastAsia="Calibri" w:hAnsi="Times New Roman" w:cs="Times New Roman"/>
          <w:iCs/>
          <w:noProof/>
          <w:sz w:val="24"/>
          <w:szCs w:val="24"/>
        </w:rPr>
        <w:t>не по-малко от 30 000 евро. При договорени практики, прилагани без съгласие, глобата е до 3%, но минимум 15 000 евро. Нарушения като продажби под себестойност, нелоялни договорни условия и маркетингов натиск водят до санкции между 3 и 4% от оборота, а при съвместни нарушения или повторност, санкциите се удвояват, утрояват и могат да достигнат до 10% от оборота на икономическия оператор.</w:t>
      </w:r>
    </w:p>
    <w:p w14:paraId="1F278A12" w14:textId="77777777" w:rsidR="00BF2837" w:rsidRPr="007B4A99" w:rsidRDefault="00BF2837" w:rsidP="00DD69D5">
      <w:pPr>
        <w:spacing w:after="0" w:line="240" w:lineRule="auto"/>
        <w:ind w:firstLine="540"/>
        <w:jc w:val="both"/>
        <w:rPr>
          <w:rFonts w:ascii="Times New Roman" w:eastAsia="Calibri" w:hAnsi="Times New Roman" w:cs="Times New Roman"/>
          <w:b/>
          <w:i/>
          <w:noProof/>
          <w:sz w:val="24"/>
          <w:szCs w:val="24"/>
        </w:rPr>
      </w:pPr>
    </w:p>
    <w:p w14:paraId="2B34E1BC" w14:textId="47799A76" w:rsidR="00BF2837" w:rsidRPr="007B4A99" w:rsidRDefault="00BF2837" w:rsidP="00DD69D5">
      <w:pPr>
        <w:spacing w:after="0" w:line="240" w:lineRule="auto"/>
        <w:ind w:firstLine="540"/>
        <w:jc w:val="both"/>
        <w:rPr>
          <w:rFonts w:ascii="Times New Roman" w:eastAsia="Calibri" w:hAnsi="Times New Roman" w:cs="Times New Roman"/>
          <w:iCs/>
          <w:sz w:val="24"/>
          <w:szCs w:val="24"/>
        </w:rPr>
      </w:pPr>
      <w:r w:rsidRPr="007B4A99">
        <w:rPr>
          <w:rFonts w:ascii="Times New Roman" w:eastAsia="Calibri" w:hAnsi="Times New Roman" w:cs="Times New Roman"/>
          <w:b/>
          <w:i/>
          <w:noProof/>
          <w:sz w:val="24"/>
          <w:szCs w:val="24"/>
        </w:rPr>
        <w:t>Хърватия</w:t>
      </w:r>
    </w:p>
    <w:p w14:paraId="120C2D9B" w14:textId="71CE4B12" w:rsidR="00872F6E" w:rsidRPr="00B7542A" w:rsidRDefault="00BF2837" w:rsidP="00DD69D5">
      <w:pPr>
        <w:spacing w:after="0" w:line="240" w:lineRule="auto"/>
        <w:ind w:firstLine="567"/>
        <w:jc w:val="both"/>
        <w:rPr>
          <w:rFonts w:ascii="Times New Roman" w:eastAsia="Calibri" w:hAnsi="Times New Roman" w:cs="Times New Roman"/>
          <w:iCs/>
          <w:noProof/>
          <w:sz w:val="24"/>
          <w:szCs w:val="24"/>
        </w:rPr>
      </w:pPr>
      <w:r w:rsidRPr="007B4A99">
        <w:rPr>
          <w:rFonts w:ascii="Times New Roman" w:eastAsia="Calibri" w:hAnsi="Times New Roman" w:cs="Times New Roman"/>
          <w:noProof/>
          <w:sz w:val="24"/>
          <w:szCs w:val="24"/>
        </w:rPr>
        <w:t>Хърватия</w:t>
      </w:r>
      <w:r w:rsidRPr="007B4A99">
        <w:rPr>
          <w:rFonts w:ascii="Times New Roman" w:eastAsia="Calibri" w:hAnsi="Times New Roman" w:cs="Times New Roman"/>
          <w:b/>
          <w:iCs/>
          <w:noProof/>
          <w:sz w:val="24"/>
          <w:szCs w:val="24"/>
        </w:rPr>
        <w:t xml:space="preserve"> </w:t>
      </w:r>
      <w:r w:rsidRPr="007B4A99">
        <w:rPr>
          <w:rFonts w:ascii="Times New Roman" w:eastAsia="Calibri" w:hAnsi="Times New Roman" w:cs="Times New Roman"/>
          <w:bCs/>
          <w:iCs/>
          <w:noProof/>
          <w:sz w:val="24"/>
          <w:szCs w:val="24"/>
        </w:rPr>
        <w:t xml:space="preserve">е хармонизирала своето законодателство с правото на ЕС. Характерно е, че страната въвежда </w:t>
      </w:r>
      <w:r w:rsidRPr="00872F6E">
        <w:rPr>
          <w:rFonts w:ascii="Times New Roman" w:eastAsia="Calibri" w:hAnsi="Times New Roman" w:cs="Times New Roman"/>
          <w:bCs/>
          <w:i/>
          <w:iCs/>
          <w:noProof/>
          <w:sz w:val="24"/>
          <w:szCs w:val="24"/>
        </w:rPr>
        <w:t>прагова система за определяне на значи</w:t>
      </w:r>
      <w:r w:rsidR="00872F6E">
        <w:rPr>
          <w:rFonts w:ascii="Times New Roman" w:eastAsia="Calibri" w:hAnsi="Times New Roman" w:cs="Times New Roman"/>
          <w:bCs/>
          <w:i/>
          <w:iCs/>
          <w:noProof/>
          <w:sz w:val="24"/>
          <w:szCs w:val="24"/>
        </w:rPr>
        <w:t>телна</w:t>
      </w:r>
      <w:r w:rsidRPr="00872F6E">
        <w:rPr>
          <w:rFonts w:ascii="Times New Roman" w:eastAsia="Calibri" w:hAnsi="Times New Roman" w:cs="Times New Roman"/>
          <w:bCs/>
          <w:i/>
          <w:iCs/>
          <w:noProof/>
          <w:sz w:val="24"/>
          <w:szCs w:val="24"/>
        </w:rPr>
        <w:t xml:space="preserve"> пазарна сила</w:t>
      </w:r>
      <w:r w:rsidRPr="007B4A99">
        <w:rPr>
          <w:rFonts w:ascii="Times New Roman" w:eastAsia="Calibri" w:hAnsi="Times New Roman" w:cs="Times New Roman"/>
          <w:bCs/>
          <w:iCs/>
          <w:noProof/>
          <w:sz w:val="24"/>
          <w:szCs w:val="24"/>
        </w:rPr>
        <w:t xml:space="preserve"> и изисква договорна отчетност между участниците във веригата на доставк</w:t>
      </w:r>
      <w:r w:rsidR="00B7542A">
        <w:rPr>
          <w:rFonts w:ascii="Times New Roman" w:eastAsia="Calibri" w:hAnsi="Times New Roman" w:cs="Times New Roman"/>
          <w:bCs/>
          <w:iCs/>
          <w:noProof/>
          <w:sz w:val="24"/>
          <w:szCs w:val="24"/>
        </w:rPr>
        <w:t>и</w:t>
      </w:r>
      <w:r w:rsidRPr="007B4A99">
        <w:rPr>
          <w:rFonts w:ascii="Times New Roman" w:eastAsia="Calibri" w:hAnsi="Times New Roman" w:cs="Times New Roman"/>
          <w:bCs/>
          <w:iCs/>
          <w:noProof/>
          <w:sz w:val="24"/>
          <w:szCs w:val="24"/>
        </w:rPr>
        <w:t xml:space="preserve">. </w:t>
      </w:r>
      <w:r w:rsidRPr="007B4A99">
        <w:rPr>
          <w:rFonts w:ascii="Times New Roman" w:eastAsia="Calibri" w:hAnsi="Times New Roman" w:cs="Times New Roman"/>
          <w:iCs/>
          <w:noProof/>
          <w:sz w:val="24"/>
          <w:szCs w:val="24"/>
        </w:rPr>
        <w:t xml:space="preserve">Значителна част от търговските практики в Хърватия в търговията с хранителни стоки са уредени в </w:t>
      </w:r>
      <w:r w:rsidRPr="00B7542A">
        <w:rPr>
          <w:rFonts w:ascii="Times New Roman" w:eastAsia="Calibri" w:hAnsi="Times New Roman" w:cs="Times New Roman"/>
          <w:iCs/>
          <w:noProof/>
          <w:sz w:val="24"/>
          <w:szCs w:val="24"/>
        </w:rPr>
        <w:t>Закона за забрана на нелоялните търговски практики по веригата за доставки на храни</w:t>
      </w:r>
      <w:r w:rsidR="00872F6E" w:rsidRPr="00B7542A">
        <w:rPr>
          <w:rFonts w:ascii="Times New Roman" w:eastAsia="Calibri" w:hAnsi="Times New Roman" w:cs="Times New Roman"/>
          <w:iCs/>
          <w:noProof/>
          <w:sz w:val="24"/>
          <w:szCs w:val="24"/>
        </w:rPr>
        <w:t>,</w:t>
      </w:r>
      <w:r w:rsidR="00872F6E">
        <w:rPr>
          <w:rFonts w:ascii="Times New Roman" w:eastAsia="Calibri" w:hAnsi="Times New Roman" w:cs="Times New Roman"/>
          <w:iCs/>
          <w:noProof/>
          <w:sz w:val="24"/>
          <w:szCs w:val="24"/>
        </w:rPr>
        <w:t xml:space="preserve"> приет през </w:t>
      </w:r>
      <w:r w:rsidR="00872F6E" w:rsidRPr="004E371E">
        <w:rPr>
          <w:rFonts w:ascii="Times New Roman" w:hAnsi="Times New Roman"/>
        </w:rPr>
        <w:t>2017 г.</w:t>
      </w:r>
      <w:r w:rsidR="00872F6E">
        <w:rPr>
          <w:rFonts w:ascii="Times New Roman" w:hAnsi="Times New Roman"/>
        </w:rPr>
        <w:t>, последно изменен и допълнен през 20</w:t>
      </w:r>
      <w:r w:rsidR="00872F6E" w:rsidRPr="004E371E">
        <w:rPr>
          <w:rFonts w:ascii="Times New Roman" w:eastAsia="Calibri" w:hAnsi="Times New Roman"/>
        </w:rPr>
        <w:t>24</w:t>
      </w:r>
      <w:r w:rsidRPr="007B4A99">
        <w:rPr>
          <w:rFonts w:ascii="Times New Roman" w:eastAsia="Calibri" w:hAnsi="Times New Roman" w:cs="Times New Roman"/>
          <w:iCs/>
          <w:noProof/>
          <w:sz w:val="24"/>
          <w:szCs w:val="24"/>
        </w:rPr>
        <w:t>. През 2021 законът търпи изменение и допълнение с</w:t>
      </w:r>
      <w:r w:rsidR="00872F6E">
        <w:rPr>
          <w:rFonts w:ascii="Times New Roman" w:eastAsia="Calibri" w:hAnsi="Times New Roman" w:cs="Times New Roman"/>
          <w:iCs/>
          <w:noProof/>
          <w:sz w:val="24"/>
          <w:szCs w:val="24"/>
        </w:rPr>
        <w:t xml:space="preserve"> цел </w:t>
      </w:r>
      <w:r w:rsidRPr="007B4A99">
        <w:rPr>
          <w:rFonts w:ascii="Times New Roman" w:eastAsia="Calibri" w:hAnsi="Times New Roman" w:cs="Times New Roman"/>
          <w:iCs/>
          <w:noProof/>
          <w:sz w:val="24"/>
          <w:szCs w:val="24"/>
        </w:rPr>
        <w:t>хармонизиране</w:t>
      </w:r>
      <w:r w:rsidR="00872F6E">
        <w:rPr>
          <w:rFonts w:ascii="Times New Roman" w:eastAsia="Calibri" w:hAnsi="Times New Roman" w:cs="Times New Roman"/>
          <w:iCs/>
          <w:noProof/>
          <w:sz w:val="24"/>
          <w:szCs w:val="24"/>
        </w:rPr>
        <w:t xml:space="preserve"> на хърватското законодателство</w:t>
      </w:r>
      <w:r w:rsidRPr="007B4A99">
        <w:rPr>
          <w:rFonts w:ascii="Times New Roman" w:eastAsia="Calibri" w:hAnsi="Times New Roman" w:cs="Times New Roman"/>
          <w:iCs/>
          <w:noProof/>
          <w:sz w:val="24"/>
          <w:szCs w:val="24"/>
        </w:rPr>
        <w:t xml:space="preserve"> с Директивата на ЕС 2019/633. П</w:t>
      </w:r>
      <w:r w:rsidR="00872F6E">
        <w:rPr>
          <w:rFonts w:ascii="Times New Roman" w:eastAsia="Calibri" w:hAnsi="Times New Roman" w:cs="Times New Roman"/>
          <w:iCs/>
          <w:noProof/>
          <w:sz w:val="24"/>
          <w:szCs w:val="24"/>
        </w:rPr>
        <w:t>рез 2021 е приета</w:t>
      </w:r>
      <w:r w:rsidRPr="007B4A99">
        <w:rPr>
          <w:rFonts w:ascii="Times New Roman" w:eastAsia="Calibri" w:hAnsi="Times New Roman" w:cs="Times New Roman"/>
          <w:iCs/>
          <w:noProof/>
          <w:sz w:val="24"/>
          <w:szCs w:val="24"/>
        </w:rPr>
        <w:t xml:space="preserve"> и </w:t>
      </w:r>
      <w:r w:rsidRPr="00B7542A">
        <w:rPr>
          <w:rFonts w:ascii="Times New Roman" w:eastAsia="Calibri" w:hAnsi="Times New Roman" w:cs="Times New Roman"/>
          <w:iCs/>
          <w:noProof/>
          <w:sz w:val="24"/>
          <w:szCs w:val="24"/>
        </w:rPr>
        <w:t xml:space="preserve">Наредба за земеделските и хранителните продукти, бързоразвалящите се и чувствителните за производството и пазара земеделски и хранителни продукти. </w:t>
      </w:r>
    </w:p>
    <w:p w14:paraId="06DB2DF5" w14:textId="70D83B73" w:rsidR="00872F6E" w:rsidRDefault="00BF2837" w:rsidP="00DD69D5">
      <w:pPr>
        <w:spacing w:after="0" w:line="240" w:lineRule="auto"/>
        <w:ind w:firstLine="567"/>
        <w:jc w:val="both"/>
        <w:rPr>
          <w:rFonts w:ascii="Times New Roman" w:eastAsia="Calibri" w:hAnsi="Times New Roman" w:cs="Times New Roman"/>
          <w:iCs/>
          <w:noProof/>
          <w:sz w:val="24"/>
          <w:szCs w:val="24"/>
        </w:rPr>
      </w:pPr>
      <w:r w:rsidRPr="007B4A99">
        <w:rPr>
          <w:rFonts w:ascii="Times New Roman" w:eastAsia="Calibri" w:hAnsi="Times New Roman" w:cs="Times New Roman"/>
          <w:iCs/>
          <w:noProof/>
          <w:sz w:val="24"/>
          <w:szCs w:val="24"/>
        </w:rPr>
        <w:lastRenderedPageBreak/>
        <w:t xml:space="preserve">Законът за забрана на нелоялните търговски практики установява правилата и мерките срещу злоупотреба със значителна преговорна сила от страна на купувачи, преработватели и търговци спрямо доставчиците. Целта е да се гарантират и защитят справедливите и лоялни търговски отношения в цялата верига, включително лица в общественото хранене и публични субекти. Той забранява натиска при договаряне чрез налагане на нелоялни практики и се прилага за договори за продажба, покупка и доставка на селскостопански и хранителни продукти, както и за услуги от купувача към доставчика – независимо от приложимото право, ако поне една от страните има стопанска дейност в ЕС. В хърватската правна уредба </w:t>
      </w:r>
      <w:r w:rsidR="00B7542A" w:rsidRPr="007B4A99">
        <w:rPr>
          <w:rFonts w:ascii="Times New Roman" w:eastAsia="Calibri" w:hAnsi="Times New Roman" w:cs="Times New Roman"/>
          <w:iCs/>
          <w:noProof/>
          <w:sz w:val="24"/>
          <w:szCs w:val="24"/>
        </w:rPr>
        <w:t xml:space="preserve">купувач </w:t>
      </w:r>
      <w:r w:rsidR="00B7542A">
        <w:rPr>
          <w:rFonts w:ascii="Times New Roman" w:eastAsia="Calibri" w:hAnsi="Times New Roman" w:cs="Times New Roman"/>
          <w:iCs/>
          <w:noProof/>
          <w:sz w:val="24"/>
          <w:szCs w:val="24"/>
        </w:rPr>
        <w:t xml:space="preserve">със </w:t>
      </w:r>
      <w:r w:rsidRPr="007B4A99">
        <w:rPr>
          <w:rFonts w:ascii="Times New Roman" w:eastAsia="Calibri" w:hAnsi="Times New Roman" w:cs="Times New Roman"/>
          <w:iCs/>
          <w:noProof/>
          <w:sz w:val="24"/>
          <w:szCs w:val="24"/>
        </w:rPr>
        <w:t>„значителна прегов</w:t>
      </w:r>
      <w:r w:rsidR="00B7542A">
        <w:rPr>
          <w:rFonts w:ascii="Times New Roman" w:eastAsia="Calibri" w:hAnsi="Times New Roman" w:cs="Times New Roman"/>
          <w:iCs/>
          <w:noProof/>
          <w:sz w:val="24"/>
          <w:szCs w:val="24"/>
        </w:rPr>
        <w:t>орна сила“</w:t>
      </w:r>
      <w:r w:rsidRPr="007B4A99">
        <w:rPr>
          <w:rFonts w:ascii="Times New Roman" w:eastAsia="Calibri" w:hAnsi="Times New Roman" w:cs="Times New Roman"/>
          <w:iCs/>
          <w:noProof/>
          <w:sz w:val="24"/>
          <w:szCs w:val="24"/>
        </w:rPr>
        <w:t xml:space="preserve"> е всеки клиент с годишен приход от поне 15 млн. HRK (около 1.99 млн. EUR), без да се включват вътрешногруповите приходи и данъци като ДДС</w:t>
      </w:r>
      <w:r w:rsidR="00B7542A" w:rsidRPr="007B4A99">
        <w:rPr>
          <w:rStyle w:val="FootnoteReference"/>
          <w:rFonts w:ascii="Times New Roman" w:eastAsia="Calibri" w:hAnsi="Times New Roman" w:cs="Times New Roman"/>
          <w:iCs/>
          <w:noProof/>
          <w:sz w:val="24"/>
          <w:szCs w:val="24"/>
        </w:rPr>
        <w:footnoteReference w:id="23"/>
      </w:r>
      <w:r w:rsidRPr="007B4A99">
        <w:rPr>
          <w:rFonts w:ascii="Times New Roman" w:eastAsia="Calibri" w:hAnsi="Times New Roman" w:cs="Times New Roman"/>
          <w:iCs/>
          <w:noProof/>
          <w:sz w:val="24"/>
          <w:szCs w:val="24"/>
        </w:rPr>
        <w:t xml:space="preserve">. </w:t>
      </w:r>
    </w:p>
    <w:p w14:paraId="6B2A4DF7" w14:textId="1C8B17D8" w:rsidR="00872F6E" w:rsidRDefault="00BF2837" w:rsidP="00DD69D5">
      <w:pPr>
        <w:spacing w:after="0" w:line="240" w:lineRule="auto"/>
        <w:ind w:firstLine="567"/>
        <w:jc w:val="both"/>
        <w:rPr>
          <w:rFonts w:ascii="Times New Roman" w:eastAsia="Calibri" w:hAnsi="Times New Roman" w:cs="Times New Roman"/>
          <w:iCs/>
          <w:noProof/>
          <w:sz w:val="24"/>
          <w:szCs w:val="24"/>
        </w:rPr>
      </w:pPr>
      <w:r w:rsidRPr="007B4A99">
        <w:rPr>
          <w:rFonts w:ascii="Times New Roman" w:eastAsia="Calibri" w:hAnsi="Times New Roman" w:cs="Times New Roman"/>
          <w:iCs/>
          <w:noProof/>
          <w:sz w:val="24"/>
          <w:szCs w:val="24"/>
        </w:rPr>
        <w:t xml:space="preserve">Законът </w:t>
      </w:r>
      <w:r w:rsidR="00872F6E">
        <w:rPr>
          <w:rFonts w:ascii="Times New Roman" w:eastAsia="Calibri" w:hAnsi="Times New Roman" w:cs="Times New Roman"/>
          <w:iCs/>
          <w:noProof/>
          <w:sz w:val="24"/>
          <w:szCs w:val="24"/>
        </w:rPr>
        <w:t>изисква</w:t>
      </w:r>
      <w:r w:rsidRPr="007B4A99">
        <w:rPr>
          <w:rFonts w:ascii="Times New Roman" w:eastAsia="Calibri" w:hAnsi="Times New Roman" w:cs="Times New Roman"/>
          <w:iCs/>
          <w:noProof/>
          <w:sz w:val="24"/>
          <w:szCs w:val="24"/>
        </w:rPr>
        <w:t xml:space="preserve"> договорите между доставчиците и клиентите на селскостопански и хранителни продукти да са в писмена форма и да включват ясно определени елементи като цена, качество, срокове за плащане и доставка, място и продължителност на договора. Плащанията трябва да се извършват до 30 дни за бързоразвалящи се и до 60 дни за останалите продукти, считано от по-късната от датите на фактурата или края на доставния период. </w:t>
      </w:r>
      <w:r w:rsidR="00872F6E">
        <w:rPr>
          <w:rFonts w:ascii="Times New Roman" w:eastAsia="Calibri" w:hAnsi="Times New Roman" w:cs="Times New Roman"/>
          <w:iCs/>
          <w:noProof/>
          <w:sz w:val="24"/>
          <w:szCs w:val="24"/>
        </w:rPr>
        <w:t>З</w:t>
      </w:r>
      <w:r w:rsidRPr="007B4A99">
        <w:rPr>
          <w:rFonts w:ascii="Times New Roman" w:eastAsia="Calibri" w:hAnsi="Times New Roman" w:cs="Times New Roman"/>
          <w:iCs/>
          <w:noProof/>
          <w:sz w:val="24"/>
          <w:szCs w:val="24"/>
        </w:rPr>
        <w:t xml:space="preserve">аконът въвежда </w:t>
      </w:r>
      <w:r w:rsidRPr="00872F6E">
        <w:rPr>
          <w:rFonts w:ascii="Times New Roman" w:eastAsia="Calibri" w:hAnsi="Times New Roman" w:cs="Times New Roman"/>
          <w:i/>
          <w:iCs/>
          <w:noProof/>
          <w:sz w:val="24"/>
          <w:szCs w:val="24"/>
        </w:rPr>
        <w:t>43 забранени нелоялни търговски практики</w:t>
      </w:r>
      <w:r w:rsidRPr="007B4A99">
        <w:rPr>
          <w:rFonts w:ascii="Times New Roman" w:eastAsia="Calibri" w:hAnsi="Times New Roman" w:cs="Times New Roman"/>
          <w:iCs/>
          <w:noProof/>
          <w:sz w:val="24"/>
          <w:szCs w:val="24"/>
        </w:rPr>
        <w:t>, като някои са допустими, но само при предварително писмено споразумение. Сред абсолютно забранените са: едностранната промяна или прекратяването на договор без основание; искането за нерегламентирани плащания; з</w:t>
      </w:r>
      <w:r w:rsidR="00A002B6">
        <w:rPr>
          <w:rFonts w:ascii="Times New Roman" w:eastAsia="Calibri" w:hAnsi="Times New Roman" w:cs="Times New Roman"/>
          <w:iCs/>
          <w:noProof/>
          <w:sz w:val="24"/>
          <w:szCs w:val="24"/>
        </w:rPr>
        <w:t>лоупотребата с търговски тайни,</w:t>
      </w:r>
      <w:r w:rsidRPr="007B4A99">
        <w:rPr>
          <w:rFonts w:ascii="Times New Roman" w:eastAsia="Calibri" w:hAnsi="Times New Roman" w:cs="Times New Roman"/>
          <w:iCs/>
          <w:noProof/>
          <w:sz w:val="24"/>
          <w:szCs w:val="24"/>
        </w:rPr>
        <w:t xml:space="preserve"> продажбата под себестойност на чувствителни продукти и др. Контролът и санкциите се осъществяват от Хърватската агенция за защита на конкуренцията чрез внезапни проверки и административни глоби. </w:t>
      </w:r>
    </w:p>
    <w:p w14:paraId="15339ECD" w14:textId="1F1E6AD9" w:rsidR="009C0D24" w:rsidRDefault="00BF2837" w:rsidP="00DD69D5">
      <w:pPr>
        <w:spacing w:after="0" w:line="240" w:lineRule="auto"/>
        <w:ind w:firstLine="567"/>
        <w:jc w:val="both"/>
        <w:rPr>
          <w:rFonts w:ascii="Times New Roman" w:eastAsia="Calibri" w:hAnsi="Times New Roman" w:cs="Times New Roman"/>
          <w:iCs/>
          <w:noProof/>
          <w:sz w:val="24"/>
          <w:szCs w:val="24"/>
        </w:rPr>
      </w:pPr>
      <w:r w:rsidRPr="007B4A99">
        <w:rPr>
          <w:rFonts w:ascii="Times New Roman" w:eastAsia="Calibri" w:hAnsi="Times New Roman" w:cs="Times New Roman"/>
          <w:iCs/>
          <w:noProof/>
          <w:sz w:val="24"/>
          <w:szCs w:val="24"/>
        </w:rPr>
        <w:t xml:space="preserve">Паралелно с тези правила, в периода 2022-2023 г., Хърватия е приела четири антикризисни пакета срещу инфлацията на стойност 5,2 млрд. евро. От  септември 2023 г. стартира петият пакет, </w:t>
      </w:r>
      <w:r w:rsidRPr="00A002B6">
        <w:rPr>
          <w:rFonts w:ascii="Times New Roman" w:eastAsia="Calibri" w:hAnsi="Times New Roman" w:cs="Times New Roman"/>
          <w:iCs/>
          <w:noProof/>
          <w:sz w:val="24"/>
          <w:szCs w:val="24"/>
        </w:rPr>
        <w:t>който ограничава цените на 30 основни продукта, включително</w:t>
      </w:r>
      <w:r w:rsidRPr="007B4A99">
        <w:rPr>
          <w:rFonts w:ascii="Times New Roman" w:eastAsia="Calibri" w:hAnsi="Times New Roman" w:cs="Times New Roman"/>
          <w:iCs/>
          <w:noProof/>
          <w:sz w:val="24"/>
          <w:szCs w:val="24"/>
        </w:rPr>
        <w:t xml:space="preserve"> </w:t>
      </w:r>
      <w:r w:rsidRPr="00A002B6">
        <w:rPr>
          <w:rFonts w:ascii="Times New Roman" w:eastAsia="Calibri" w:hAnsi="Times New Roman" w:cs="Times New Roman"/>
          <w:i/>
          <w:iCs/>
          <w:noProof/>
          <w:sz w:val="24"/>
          <w:szCs w:val="24"/>
        </w:rPr>
        <w:t>8 хранителни</w:t>
      </w:r>
      <w:r w:rsidRPr="007B4A99">
        <w:rPr>
          <w:rFonts w:ascii="Times New Roman" w:eastAsia="Calibri" w:hAnsi="Times New Roman" w:cs="Times New Roman"/>
          <w:iCs/>
          <w:noProof/>
          <w:sz w:val="24"/>
          <w:szCs w:val="24"/>
        </w:rPr>
        <w:t xml:space="preserve">. През януари 2025 г. Министерството на икономиката на Хърватия въвежда </w:t>
      </w:r>
      <w:r w:rsidRPr="00872F6E">
        <w:rPr>
          <w:rFonts w:ascii="Times New Roman" w:eastAsia="Calibri" w:hAnsi="Times New Roman" w:cs="Times New Roman"/>
          <w:i/>
          <w:iCs/>
          <w:noProof/>
          <w:sz w:val="24"/>
          <w:szCs w:val="24"/>
        </w:rPr>
        <w:t>разширени мерки за директен контрол на цените</w:t>
      </w:r>
      <w:r w:rsidRPr="007B4A99">
        <w:rPr>
          <w:rFonts w:ascii="Times New Roman" w:eastAsia="Calibri" w:hAnsi="Times New Roman" w:cs="Times New Roman"/>
          <w:iCs/>
          <w:noProof/>
          <w:sz w:val="24"/>
          <w:szCs w:val="24"/>
        </w:rPr>
        <w:t xml:space="preserve"> с цел облекчаване на инфлацията и защита на уязвимите групи. През февруари 2025 г. правителството внася в парламента и приема по ускорена процедура</w:t>
      </w:r>
      <w:r w:rsidRPr="007B4A99">
        <w:rPr>
          <w:rFonts w:ascii="Times New Roman" w:eastAsia="Calibri" w:hAnsi="Times New Roman" w:cs="Times New Roman"/>
          <w:iCs/>
          <w:noProof/>
          <w:sz w:val="24"/>
          <w:szCs w:val="24"/>
          <w:vertAlign w:val="superscript"/>
        </w:rPr>
        <w:footnoteReference w:id="24"/>
      </w:r>
      <w:r w:rsidRPr="007B4A99">
        <w:rPr>
          <w:rFonts w:ascii="Times New Roman" w:eastAsia="Calibri" w:hAnsi="Times New Roman" w:cs="Times New Roman"/>
          <w:iCs/>
          <w:noProof/>
          <w:sz w:val="24"/>
          <w:szCs w:val="24"/>
        </w:rPr>
        <w:t xml:space="preserve"> Закон за извънредни мерки за контрол на цените. Законът създава специфична правна рамка, позволяваща временното въвеждане на </w:t>
      </w:r>
      <w:r w:rsidRPr="009C0D24">
        <w:rPr>
          <w:rFonts w:ascii="Times New Roman" w:eastAsia="Calibri" w:hAnsi="Times New Roman" w:cs="Times New Roman"/>
          <w:i/>
          <w:iCs/>
          <w:noProof/>
          <w:sz w:val="24"/>
          <w:szCs w:val="24"/>
        </w:rPr>
        <w:t>ценови ограничения при извънредни пазарни обстоятелства</w:t>
      </w:r>
      <w:r w:rsidRPr="007B4A99">
        <w:rPr>
          <w:rFonts w:ascii="Times New Roman" w:eastAsia="Calibri" w:hAnsi="Times New Roman" w:cs="Times New Roman"/>
          <w:iCs/>
          <w:noProof/>
          <w:sz w:val="24"/>
          <w:szCs w:val="24"/>
        </w:rPr>
        <w:t xml:space="preserve"> като </w:t>
      </w:r>
      <w:r w:rsidRPr="009C0D24">
        <w:rPr>
          <w:rFonts w:ascii="Times New Roman" w:eastAsia="Calibri" w:hAnsi="Times New Roman" w:cs="Times New Roman"/>
          <w:i/>
          <w:iCs/>
          <w:noProof/>
          <w:sz w:val="24"/>
          <w:szCs w:val="24"/>
        </w:rPr>
        <w:t>инфлационен натиск</w:t>
      </w:r>
      <w:r w:rsidRPr="007B4A99">
        <w:rPr>
          <w:rFonts w:ascii="Times New Roman" w:eastAsia="Calibri" w:hAnsi="Times New Roman" w:cs="Times New Roman"/>
          <w:iCs/>
          <w:noProof/>
          <w:sz w:val="24"/>
          <w:szCs w:val="24"/>
        </w:rPr>
        <w:t xml:space="preserve">, </w:t>
      </w:r>
      <w:r w:rsidRPr="009C0D24">
        <w:rPr>
          <w:rFonts w:ascii="Times New Roman" w:eastAsia="Calibri" w:hAnsi="Times New Roman" w:cs="Times New Roman"/>
          <w:i/>
          <w:iCs/>
          <w:noProof/>
          <w:sz w:val="24"/>
          <w:szCs w:val="24"/>
        </w:rPr>
        <w:t>нестабилност на пазара</w:t>
      </w:r>
      <w:r w:rsidRPr="007B4A99">
        <w:rPr>
          <w:rFonts w:ascii="Times New Roman" w:eastAsia="Calibri" w:hAnsi="Times New Roman" w:cs="Times New Roman"/>
          <w:iCs/>
          <w:noProof/>
          <w:sz w:val="24"/>
          <w:szCs w:val="24"/>
        </w:rPr>
        <w:t xml:space="preserve"> или </w:t>
      </w:r>
      <w:r w:rsidRPr="009C0D24">
        <w:rPr>
          <w:rFonts w:ascii="Times New Roman" w:eastAsia="Calibri" w:hAnsi="Times New Roman" w:cs="Times New Roman"/>
          <w:i/>
          <w:iCs/>
          <w:noProof/>
          <w:sz w:val="24"/>
          <w:szCs w:val="24"/>
        </w:rPr>
        <w:t>спекулативни ценови практики</w:t>
      </w:r>
      <w:r w:rsidRPr="007B4A99">
        <w:rPr>
          <w:rFonts w:ascii="Times New Roman" w:eastAsia="Calibri" w:hAnsi="Times New Roman" w:cs="Times New Roman"/>
          <w:iCs/>
          <w:noProof/>
          <w:sz w:val="24"/>
          <w:szCs w:val="24"/>
        </w:rPr>
        <w:t xml:space="preserve">. </w:t>
      </w:r>
    </w:p>
    <w:p w14:paraId="3D46E696" w14:textId="6CF5D534" w:rsidR="009C0D24" w:rsidRDefault="00BF2837" w:rsidP="00DD69D5">
      <w:pPr>
        <w:spacing w:after="0" w:line="240" w:lineRule="auto"/>
        <w:ind w:firstLine="567"/>
        <w:jc w:val="both"/>
        <w:rPr>
          <w:rFonts w:ascii="Times New Roman" w:eastAsia="Calibri" w:hAnsi="Times New Roman" w:cs="Times New Roman"/>
          <w:iCs/>
          <w:noProof/>
          <w:sz w:val="24"/>
          <w:szCs w:val="24"/>
        </w:rPr>
      </w:pPr>
      <w:r w:rsidRPr="007B4A99">
        <w:rPr>
          <w:rFonts w:ascii="Times New Roman" w:eastAsia="Calibri" w:hAnsi="Times New Roman" w:cs="Times New Roman"/>
          <w:iCs/>
          <w:noProof/>
          <w:sz w:val="24"/>
          <w:szCs w:val="24"/>
        </w:rPr>
        <w:t xml:space="preserve">Законът предвижда няколко вида мерки, които могат да се прилагат самостоятелно или в комбинация, според пазарната ситуация. Основната мярка е определянето на </w:t>
      </w:r>
      <w:r w:rsidRPr="009C0D24">
        <w:rPr>
          <w:rFonts w:ascii="Times New Roman" w:eastAsia="Calibri" w:hAnsi="Times New Roman" w:cs="Times New Roman"/>
          <w:i/>
          <w:iCs/>
          <w:noProof/>
          <w:sz w:val="24"/>
          <w:szCs w:val="24"/>
        </w:rPr>
        <w:t>максимална продажна цена</w:t>
      </w:r>
      <w:r w:rsidRPr="007B4A99">
        <w:rPr>
          <w:rFonts w:ascii="Times New Roman" w:eastAsia="Calibri" w:hAnsi="Times New Roman" w:cs="Times New Roman"/>
          <w:iCs/>
          <w:noProof/>
          <w:sz w:val="24"/>
          <w:szCs w:val="24"/>
        </w:rPr>
        <w:t xml:space="preserve">, над която не може да се продава. Друга важна мярка е </w:t>
      </w:r>
      <w:r w:rsidRPr="009C0D24">
        <w:rPr>
          <w:rFonts w:ascii="Times New Roman" w:eastAsia="Calibri" w:hAnsi="Times New Roman" w:cs="Times New Roman"/>
          <w:i/>
          <w:iCs/>
          <w:noProof/>
          <w:sz w:val="24"/>
          <w:szCs w:val="24"/>
        </w:rPr>
        <w:t>връщане на цените към предходно ниво</w:t>
      </w:r>
      <w:r w:rsidRPr="007B4A99">
        <w:rPr>
          <w:rFonts w:ascii="Times New Roman" w:eastAsia="Calibri" w:hAnsi="Times New Roman" w:cs="Times New Roman"/>
          <w:iCs/>
          <w:noProof/>
          <w:sz w:val="24"/>
          <w:szCs w:val="24"/>
        </w:rPr>
        <w:t xml:space="preserve"> (например от определен минал </w:t>
      </w:r>
      <w:r w:rsidRPr="007B4A99">
        <w:rPr>
          <w:rFonts w:ascii="Times New Roman" w:eastAsia="Calibri" w:hAnsi="Times New Roman" w:cs="Times New Roman"/>
          <w:iCs/>
          <w:noProof/>
          <w:sz w:val="24"/>
          <w:szCs w:val="24"/>
        </w:rPr>
        <w:lastRenderedPageBreak/>
        <w:t xml:space="preserve">период). Мерките могат да се прилагат с правителствено решение по предложение на Министерството на икономиката. Ключова промяна е и разширяването на обхвата – </w:t>
      </w:r>
      <w:r w:rsidRPr="00A002B6">
        <w:rPr>
          <w:rFonts w:ascii="Times New Roman" w:eastAsia="Calibri" w:hAnsi="Times New Roman" w:cs="Times New Roman"/>
          <w:iCs/>
          <w:noProof/>
          <w:sz w:val="24"/>
          <w:szCs w:val="24"/>
        </w:rPr>
        <w:t>от 30 на 70 продукта с ограничени цени, от които</w:t>
      </w:r>
      <w:r w:rsidRPr="009C0D24">
        <w:rPr>
          <w:rFonts w:ascii="Times New Roman" w:eastAsia="Calibri" w:hAnsi="Times New Roman" w:cs="Times New Roman"/>
          <w:i/>
          <w:iCs/>
          <w:noProof/>
          <w:sz w:val="24"/>
          <w:szCs w:val="24"/>
        </w:rPr>
        <w:t xml:space="preserve"> над 50 са хранителни</w:t>
      </w:r>
      <w:r w:rsidRPr="007B4A99">
        <w:rPr>
          <w:rFonts w:ascii="Times New Roman" w:eastAsia="Calibri" w:hAnsi="Times New Roman" w:cs="Times New Roman"/>
          <w:iCs/>
          <w:noProof/>
          <w:sz w:val="24"/>
          <w:szCs w:val="24"/>
        </w:rPr>
        <w:t>. Продуктовите категории са определени въз основа на потребителската кошница и след консултации със заинтересовани</w:t>
      </w:r>
      <w:r w:rsidR="00A002B6">
        <w:rPr>
          <w:rFonts w:ascii="Times New Roman" w:eastAsia="Calibri" w:hAnsi="Times New Roman" w:cs="Times New Roman"/>
          <w:iCs/>
          <w:noProof/>
          <w:sz w:val="24"/>
          <w:szCs w:val="24"/>
        </w:rPr>
        <w:t>те</w:t>
      </w:r>
      <w:r w:rsidRPr="007B4A99">
        <w:rPr>
          <w:rFonts w:ascii="Times New Roman" w:eastAsia="Calibri" w:hAnsi="Times New Roman" w:cs="Times New Roman"/>
          <w:iCs/>
          <w:noProof/>
          <w:sz w:val="24"/>
          <w:szCs w:val="24"/>
        </w:rPr>
        <w:t xml:space="preserve"> страни.</w:t>
      </w:r>
      <w:r w:rsidRPr="007B4A99">
        <w:rPr>
          <w:rFonts w:ascii="Times New Roman" w:eastAsia="Calibri" w:hAnsi="Times New Roman" w:cs="Times New Roman"/>
          <w:b/>
          <w:iCs/>
          <w:noProof/>
          <w:sz w:val="24"/>
          <w:szCs w:val="24"/>
        </w:rPr>
        <w:t xml:space="preserve"> </w:t>
      </w:r>
      <w:r w:rsidRPr="007B4A99">
        <w:rPr>
          <w:rFonts w:ascii="Times New Roman" w:eastAsia="Calibri" w:hAnsi="Times New Roman" w:cs="Times New Roman"/>
          <w:iCs/>
          <w:noProof/>
          <w:sz w:val="24"/>
          <w:szCs w:val="24"/>
        </w:rPr>
        <w:t>Търговците са задължени да осигурят поне един представителен продукт от всяка категория и да предоставят видима, четлива и ясна информация за приложените мерки. Освен това цените трябва да се актуализират онлайн в реално време, осигурявайки автоматизиран достъп до ценовите данни.</w:t>
      </w:r>
      <w:r w:rsidRPr="007B4A99">
        <w:rPr>
          <w:rFonts w:ascii="Times New Roman" w:hAnsi="Times New Roman" w:cs="Times New Roman"/>
          <w:sz w:val="24"/>
          <w:szCs w:val="24"/>
        </w:rPr>
        <w:t xml:space="preserve"> </w:t>
      </w:r>
      <w:r w:rsidRPr="007B4A99">
        <w:rPr>
          <w:rFonts w:ascii="Times New Roman" w:eastAsia="Calibri" w:hAnsi="Times New Roman" w:cs="Times New Roman"/>
          <w:iCs/>
          <w:noProof/>
          <w:sz w:val="24"/>
          <w:szCs w:val="24"/>
        </w:rPr>
        <w:t xml:space="preserve">Търговците са задължени да </w:t>
      </w:r>
      <w:r w:rsidRPr="00A002B6">
        <w:rPr>
          <w:rFonts w:ascii="Times New Roman" w:eastAsia="Calibri" w:hAnsi="Times New Roman" w:cs="Times New Roman"/>
          <w:i/>
          <w:iCs/>
          <w:noProof/>
          <w:sz w:val="24"/>
          <w:szCs w:val="24"/>
        </w:rPr>
        <w:t>публикуват редовните и промоционалните си ценоразписи онлайн</w:t>
      </w:r>
      <w:r w:rsidRPr="007B4A99">
        <w:rPr>
          <w:rFonts w:ascii="Times New Roman" w:eastAsia="Calibri" w:hAnsi="Times New Roman" w:cs="Times New Roman"/>
          <w:iCs/>
          <w:noProof/>
          <w:sz w:val="24"/>
          <w:szCs w:val="24"/>
        </w:rPr>
        <w:t xml:space="preserve"> в структуриран формат (.xml или .csv) и да осигурят достъп до тях чрез </w:t>
      </w:r>
      <w:r w:rsidR="009C0D24" w:rsidRPr="00A002B6">
        <w:rPr>
          <w:rFonts w:ascii="Times New Roman" w:eastAsia="Calibri" w:hAnsi="Times New Roman" w:cs="Times New Roman"/>
          <w:i/>
          <w:iCs/>
          <w:noProof/>
          <w:sz w:val="24"/>
          <w:szCs w:val="24"/>
        </w:rPr>
        <w:t>приложения</w:t>
      </w:r>
      <w:r w:rsidRPr="00A002B6">
        <w:rPr>
          <w:rFonts w:ascii="Times New Roman" w:eastAsia="Calibri" w:hAnsi="Times New Roman" w:cs="Times New Roman"/>
          <w:i/>
          <w:iCs/>
          <w:noProof/>
          <w:sz w:val="24"/>
          <w:szCs w:val="24"/>
        </w:rPr>
        <w:t xml:space="preserve"> за автоматизирано събиране и обществен контрол</w:t>
      </w:r>
      <w:r w:rsidRPr="007B4A99">
        <w:rPr>
          <w:rFonts w:ascii="Times New Roman" w:eastAsia="Calibri" w:hAnsi="Times New Roman" w:cs="Times New Roman"/>
          <w:iCs/>
          <w:noProof/>
          <w:sz w:val="24"/>
          <w:szCs w:val="24"/>
        </w:rPr>
        <w:t>. Освен това</w:t>
      </w:r>
      <w:r w:rsidR="009C0D24">
        <w:rPr>
          <w:rFonts w:ascii="Times New Roman" w:eastAsia="Calibri" w:hAnsi="Times New Roman" w:cs="Times New Roman"/>
          <w:iCs/>
          <w:noProof/>
          <w:sz w:val="24"/>
          <w:szCs w:val="24"/>
        </w:rPr>
        <w:t xml:space="preserve"> те</w:t>
      </w:r>
      <w:r w:rsidRPr="007B4A99">
        <w:rPr>
          <w:rFonts w:ascii="Times New Roman" w:eastAsia="Calibri" w:hAnsi="Times New Roman" w:cs="Times New Roman"/>
          <w:iCs/>
          <w:noProof/>
          <w:sz w:val="24"/>
          <w:szCs w:val="24"/>
        </w:rPr>
        <w:t xml:space="preserve"> трябва да показват и предишната цена на продукта за проследимост на увеличението. </w:t>
      </w:r>
    </w:p>
    <w:p w14:paraId="2498A082" w14:textId="6408D36B" w:rsidR="00BF2837" w:rsidRPr="007B4A99" w:rsidRDefault="00BF2837" w:rsidP="00DD69D5">
      <w:pPr>
        <w:spacing w:after="0" w:line="240" w:lineRule="auto"/>
        <w:ind w:firstLine="567"/>
        <w:jc w:val="both"/>
        <w:rPr>
          <w:rFonts w:ascii="Times New Roman" w:eastAsia="Calibri" w:hAnsi="Times New Roman" w:cs="Times New Roman"/>
          <w:iCs/>
          <w:noProof/>
          <w:sz w:val="24"/>
          <w:szCs w:val="24"/>
        </w:rPr>
      </w:pPr>
      <w:r w:rsidRPr="007B4A99">
        <w:rPr>
          <w:rFonts w:ascii="Times New Roman" w:eastAsia="Calibri" w:hAnsi="Times New Roman" w:cs="Times New Roman"/>
          <w:iCs/>
          <w:noProof/>
          <w:sz w:val="24"/>
          <w:szCs w:val="24"/>
        </w:rPr>
        <w:t xml:space="preserve">С оглед максимална прозрачност е въведено задължение за ясно визуално обозначаване на ограничените по цена продукти чрез етикети и плакати с визуален идентификатор. В магазините с площ над 400 кв.м. се изисква обособяване на специална зона за тези артикули, освен ако не се изисква хладилно съхранение. Търговците трябва да осигурят </w:t>
      </w:r>
      <w:r w:rsidRPr="009C0D24">
        <w:rPr>
          <w:rFonts w:ascii="Times New Roman" w:eastAsia="Calibri" w:hAnsi="Times New Roman" w:cs="Times New Roman"/>
          <w:i/>
          <w:iCs/>
          <w:noProof/>
          <w:sz w:val="24"/>
          <w:szCs w:val="24"/>
        </w:rPr>
        <w:t>поне един продукт от всяка категория под ценови контрол</w:t>
      </w:r>
      <w:r w:rsidRPr="007B4A99">
        <w:rPr>
          <w:rFonts w:ascii="Times New Roman" w:eastAsia="Calibri" w:hAnsi="Times New Roman" w:cs="Times New Roman"/>
          <w:iCs/>
          <w:noProof/>
          <w:sz w:val="24"/>
          <w:szCs w:val="24"/>
        </w:rPr>
        <w:t xml:space="preserve"> и да премахнат други такива артикули от други продуктови групи, където това е приложимо. Законът предвижда също така регулярни прегледи на мерките и активна комуникация със заинтересованите страни за адаптация спрямо пазарната динамика. Контролът се осъществява от Държавния инспекторат, който има правомощие да налага административни санкции, включително временно спиране на продажбата при нарушения. Глобите варират от 3 000 до 30 000 евро за юридически лица и от 1 000 до 6 000 евро за физически лица.</w:t>
      </w:r>
    </w:p>
    <w:p w14:paraId="26CA7484" w14:textId="77777777" w:rsidR="00BF2837" w:rsidRPr="007B4A99" w:rsidRDefault="00BF2837" w:rsidP="00DD69D5">
      <w:pPr>
        <w:spacing w:after="0" w:line="240" w:lineRule="auto"/>
        <w:ind w:firstLine="567"/>
        <w:jc w:val="both"/>
        <w:rPr>
          <w:rFonts w:ascii="Times New Roman" w:eastAsia="Calibri" w:hAnsi="Times New Roman" w:cs="Times New Roman"/>
          <w:b/>
          <w:i/>
          <w:noProof/>
          <w:sz w:val="24"/>
          <w:szCs w:val="24"/>
        </w:rPr>
      </w:pPr>
    </w:p>
    <w:p w14:paraId="4AE888EA" w14:textId="08EF0E65" w:rsidR="00BF2837" w:rsidRPr="007B4A99" w:rsidRDefault="00BF2837" w:rsidP="00DD69D5">
      <w:pPr>
        <w:spacing w:after="0" w:line="240" w:lineRule="auto"/>
        <w:ind w:firstLine="567"/>
        <w:jc w:val="both"/>
        <w:rPr>
          <w:rFonts w:ascii="Times New Roman" w:eastAsia="Calibri" w:hAnsi="Times New Roman" w:cs="Times New Roman"/>
          <w:b/>
          <w:iCs/>
          <w:noProof/>
          <w:sz w:val="24"/>
          <w:szCs w:val="24"/>
        </w:rPr>
      </w:pPr>
      <w:r w:rsidRPr="007B4A99">
        <w:rPr>
          <w:rFonts w:ascii="Times New Roman" w:eastAsia="Calibri" w:hAnsi="Times New Roman" w:cs="Times New Roman"/>
          <w:b/>
          <w:i/>
          <w:noProof/>
          <w:sz w:val="24"/>
          <w:szCs w:val="24"/>
        </w:rPr>
        <w:t>Полша</w:t>
      </w:r>
    </w:p>
    <w:p w14:paraId="2A80A221" w14:textId="15E36483" w:rsidR="009C0D24" w:rsidRDefault="00BF2837" w:rsidP="00DD69D5">
      <w:pPr>
        <w:spacing w:after="0" w:line="240" w:lineRule="auto"/>
        <w:ind w:firstLine="567"/>
        <w:jc w:val="both"/>
        <w:rPr>
          <w:rFonts w:ascii="Times New Roman" w:hAnsi="Times New Roman" w:cs="Times New Roman"/>
          <w:noProof/>
          <w:color w:val="000000"/>
          <w:sz w:val="24"/>
          <w:szCs w:val="24"/>
        </w:rPr>
      </w:pPr>
      <w:bookmarkStart w:id="9" w:name="_Hlk195530300"/>
      <w:r w:rsidRPr="007B4A99">
        <w:rPr>
          <w:rFonts w:ascii="Times New Roman" w:eastAsia="Calibri" w:hAnsi="Times New Roman" w:cs="Times New Roman"/>
          <w:bCs/>
          <w:iCs/>
          <w:noProof/>
          <w:sz w:val="24"/>
          <w:szCs w:val="24"/>
        </w:rPr>
        <w:t>Полската държава въвежда концепцията за „договорно предимство“ и прилага строги забрани за злоупотреба с икономическа сила. Страната разграничава „черни“ и „сиви“ практики, като разчита на силен контрол и солидна санкционна система.</w:t>
      </w:r>
      <w:r w:rsidRPr="007B4A99">
        <w:rPr>
          <w:rFonts w:ascii="Times New Roman" w:hAnsi="Times New Roman" w:cs="Times New Roman"/>
          <w:noProof/>
          <w:color w:val="000000"/>
          <w:sz w:val="24"/>
          <w:szCs w:val="24"/>
        </w:rPr>
        <w:t xml:space="preserve"> Отношенията </w:t>
      </w:r>
      <w:r w:rsidR="009C0D24">
        <w:rPr>
          <w:rFonts w:ascii="Times New Roman" w:hAnsi="Times New Roman" w:cs="Times New Roman"/>
          <w:noProof/>
          <w:color w:val="000000"/>
          <w:sz w:val="24"/>
          <w:szCs w:val="24"/>
        </w:rPr>
        <w:t xml:space="preserve">по </w:t>
      </w:r>
      <w:r w:rsidR="009C0D24" w:rsidRPr="009C0D24">
        <w:rPr>
          <w:rFonts w:ascii="Times New Roman" w:hAnsi="Times New Roman" w:cs="Times New Roman"/>
          <w:noProof/>
          <w:color w:val="000000"/>
          <w:sz w:val="24"/>
          <w:szCs w:val="24"/>
        </w:rPr>
        <w:t>веригата на доставки</w:t>
      </w:r>
      <w:r w:rsidR="009C0D24">
        <w:rPr>
          <w:rFonts w:ascii="Times New Roman" w:hAnsi="Times New Roman" w:cs="Times New Roman"/>
          <w:noProof/>
          <w:color w:val="000000"/>
          <w:sz w:val="24"/>
          <w:szCs w:val="24"/>
        </w:rPr>
        <w:t xml:space="preserve"> на земеделски продукти и храни</w:t>
      </w:r>
      <w:r w:rsidR="002064A3">
        <w:rPr>
          <w:rFonts w:ascii="Times New Roman" w:hAnsi="Times New Roman" w:cs="Times New Roman"/>
          <w:noProof/>
          <w:color w:val="000000"/>
          <w:sz w:val="24"/>
          <w:szCs w:val="24"/>
        </w:rPr>
        <w:t xml:space="preserve"> </w:t>
      </w:r>
      <w:r w:rsidRPr="007B4A99">
        <w:rPr>
          <w:rFonts w:ascii="Times New Roman" w:hAnsi="Times New Roman" w:cs="Times New Roman"/>
          <w:noProof/>
          <w:color w:val="000000"/>
          <w:sz w:val="24"/>
          <w:szCs w:val="24"/>
        </w:rPr>
        <w:t xml:space="preserve">първоначално са уредени със </w:t>
      </w:r>
      <w:r w:rsidR="009C0D24" w:rsidRPr="007B4A99">
        <w:rPr>
          <w:rFonts w:ascii="Times New Roman" w:hAnsi="Times New Roman" w:cs="Times New Roman"/>
          <w:noProof/>
          <w:color w:val="000000"/>
          <w:sz w:val="24"/>
          <w:szCs w:val="24"/>
        </w:rPr>
        <w:t xml:space="preserve">закона </w:t>
      </w:r>
      <w:r w:rsidRPr="007B4A99">
        <w:rPr>
          <w:rFonts w:ascii="Times New Roman" w:hAnsi="Times New Roman" w:cs="Times New Roman"/>
          <w:noProof/>
          <w:color w:val="000000"/>
          <w:sz w:val="24"/>
          <w:szCs w:val="24"/>
        </w:rPr>
        <w:t xml:space="preserve">от </w:t>
      </w:r>
      <w:r w:rsidR="009C0D24">
        <w:rPr>
          <w:rFonts w:ascii="Times New Roman" w:hAnsi="Times New Roman" w:cs="Times New Roman"/>
          <w:noProof/>
          <w:color w:val="000000"/>
          <w:sz w:val="24"/>
          <w:szCs w:val="24"/>
        </w:rPr>
        <w:t>2016 г., като</w:t>
      </w:r>
      <w:r w:rsidRPr="007B4A99">
        <w:rPr>
          <w:rFonts w:ascii="Times New Roman" w:hAnsi="Times New Roman" w:cs="Times New Roman"/>
          <w:noProof/>
          <w:color w:val="000000"/>
          <w:sz w:val="24"/>
          <w:szCs w:val="24"/>
        </w:rPr>
        <w:t xml:space="preserve"> </w:t>
      </w:r>
      <w:r w:rsidR="009C0D24">
        <w:rPr>
          <w:rFonts w:ascii="Times New Roman" w:hAnsi="Times New Roman" w:cs="Times New Roman"/>
          <w:noProof/>
          <w:color w:val="000000"/>
          <w:sz w:val="24"/>
          <w:szCs w:val="24"/>
        </w:rPr>
        <w:t>в края на</w:t>
      </w:r>
      <w:r w:rsidRPr="007B4A99">
        <w:rPr>
          <w:rFonts w:ascii="Times New Roman" w:hAnsi="Times New Roman" w:cs="Times New Roman"/>
          <w:noProof/>
          <w:color w:val="000000"/>
          <w:sz w:val="24"/>
          <w:szCs w:val="24"/>
        </w:rPr>
        <w:t xml:space="preserve"> 2021 г. влиза в сила нов закон, с който се транспонира Директива (ЕС) 2019/633. За разлика от европейския акт обаче, законът изрично забранява нелоялното използване на договорно предимство не само от купувача срещу доставчика, но и обратно, като цели да защитава и двете страни. Той се прилага при значителна икономическа диспропорция между страните, определяна чрез разликите в техния оборот, съгласно праговете в директивата. </w:t>
      </w:r>
    </w:p>
    <w:p w14:paraId="13B2D827" w14:textId="6BA520C5" w:rsidR="009C0D24" w:rsidRDefault="00BF2837" w:rsidP="00DD69D5">
      <w:pPr>
        <w:spacing w:after="0" w:line="240" w:lineRule="auto"/>
        <w:ind w:firstLine="567"/>
        <w:jc w:val="both"/>
        <w:rPr>
          <w:rFonts w:ascii="Times New Roman" w:hAnsi="Times New Roman" w:cs="Times New Roman"/>
          <w:noProof/>
          <w:color w:val="000000"/>
          <w:sz w:val="24"/>
          <w:szCs w:val="24"/>
        </w:rPr>
      </w:pPr>
      <w:r w:rsidRPr="007B4A99">
        <w:rPr>
          <w:rFonts w:ascii="Times New Roman" w:hAnsi="Times New Roman" w:cs="Times New Roman"/>
          <w:noProof/>
          <w:color w:val="000000"/>
          <w:sz w:val="24"/>
          <w:szCs w:val="24"/>
        </w:rPr>
        <w:t xml:space="preserve">В практиката се отчита, че най-често по-силният икономически купувач злоупотребява с доставчика, затова законът разширява определението за „купувач“, включвайки и субектите по полския Закон за обществените поръчки, тъй като терминът „публичен орган“, използван в директивата, няма правна дефиниция в полското законодателство. Договорно предимство, според правилата, възниква при значителна разлика в икономическата сила между доставчик и купувач на селскостопански или хранителни продукти. Използването му се счита за нелоялно, ако едновременно </w:t>
      </w:r>
      <w:r w:rsidRPr="007B4A99">
        <w:rPr>
          <w:rFonts w:ascii="Times New Roman" w:hAnsi="Times New Roman" w:cs="Times New Roman"/>
          <w:noProof/>
          <w:color w:val="000000"/>
          <w:sz w:val="24"/>
          <w:szCs w:val="24"/>
        </w:rPr>
        <w:lastRenderedPageBreak/>
        <w:t xml:space="preserve">противоречи на добрите нрави и накърнява или застрашава съществен интерес на другата страна. </w:t>
      </w:r>
    </w:p>
    <w:p w14:paraId="5B02DBA1" w14:textId="60569ED7" w:rsidR="009C0D24" w:rsidRDefault="00BF2837" w:rsidP="00DD69D5">
      <w:pPr>
        <w:spacing w:after="0" w:line="240" w:lineRule="auto"/>
        <w:ind w:firstLine="567"/>
        <w:jc w:val="both"/>
        <w:rPr>
          <w:rFonts w:ascii="Times New Roman" w:hAnsi="Times New Roman" w:cs="Times New Roman"/>
          <w:noProof/>
          <w:color w:val="000000"/>
          <w:sz w:val="24"/>
          <w:szCs w:val="24"/>
        </w:rPr>
      </w:pPr>
      <w:r w:rsidRPr="007B4A99">
        <w:rPr>
          <w:rFonts w:ascii="Times New Roman" w:hAnsi="Times New Roman" w:cs="Times New Roman"/>
          <w:noProof/>
          <w:color w:val="000000"/>
          <w:sz w:val="24"/>
          <w:szCs w:val="24"/>
        </w:rPr>
        <w:t xml:space="preserve">Законът предвижда два типа практики: „черни“, които са абсолютно забранени, и „сиви“, допустими само при определени условия, като компетентен орган по контрол на тези въпроси е председателят на Службата за конкуренция и защита на потребителите (UOKiK). Сред напълно забранените („черни“) практики са: забавеното плащане – над 30 дни за бързо развалящи се продукти и над 60 дни за останалите; анулирането на поръчки за бързо развалящи се продукти по-малко от 30 дни преди доставката; едностранната промяна на договорните условия от купувача; неоправданото намаляване на договорената цена след доставка; исканията за несвързани с продажбата плащания от доставчика; изискването на обезщетения за </w:t>
      </w:r>
      <w:r w:rsidR="009B261E">
        <w:rPr>
          <w:rFonts w:ascii="Times New Roman" w:hAnsi="Times New Roman" w:cs="Times New Roman"/>
          <w:noProof/>
          <w:color w:val="000000"/>
          <w:sz w:val="24"/>
          <w:szCs w:val="24"/>
        </w:rPr>
        <w:t>вреди</w:t>
      </w:r>
      <w:r w:rsidRPr="007B4A99">
        <w:rPr>
          <w:rFonts w:ascii="Times New Roman" w:hAnsi="Times New Roman" w:cs="Times New Roman"/>
          <w:noProof/>
          <w:color w:val="000000"/>
          <w:sz w:val="24"/>
          <w:szCs w:val="24"/>
        </w:rPr>
        <w:t xml:space="preserve">, настъпили у купувача без вина на доставчика; отказът от писмено потвърждение на договорени условия при поискване; искането на компенсации за жалби от потребители, когато причините не са по вина на доставчика и др. </w:t>
      </w:r>
    </w:p>
    <w:p w14:paraId="43E9EC6C" w14:textId="17B09086" w:rsidR="00BF2837" w:rsidRPr="007B4A99" w:rsidRDefault="00BF2837" w:rsidP="00DD69D5">
      <w:pPr>
        <w:spacing w:after="0" w:line="240" w:lineRule="auto"/>
        <w:ind w:firstLine="567"/>
        <w:jc w:val="both"/>
        <w:rPr>
          <w:rFonts w:ascii="Times New Roman" w:hAnsi="Times New Roman" w:cs="Times New Roman"/>
          <w:noProof/>
          <w:color w:val="000000"/>
          <w:sz w:val="24"/>
          <w:szCs w:val="24"/>
        </w:rPr>
      </w:pPr>
      <w:r w:rsidRPr="007B4A99">
        <w:rPr>
          <w:rFonts w:ascii="Times New Roman" w:hAnsi="Times New Roman" w:cs="Times New Roman"/>
          <w:noProof/>
          <w:color w:val="000000"/>
          <w:sz w:val="24"/>
          <w:szCs w:val="24"/>
        </w:rPr>
        <w:t xml:space="preserve">Разрешените, но подлежащи на предварително ясно и писмено договаряне между купувача и доставчика практики („сиви практики“) включват: връщането на непродадени селскостопански и хранителни продукти без заплащане; начисляването на такса от доставчика за съхранение, представяне или пускане на пазара на неговите продукти; поемането от доставчика на разходите за отстъпки при промоции; заплащането от доставчика за реклама и маркетинг на продуктите и др. Нелоялното използване на договорно предимство в Полша подлежи на санкции. Глобата може да достигне до 3% от оборота за финансовата година, предхождаща налагането й. Ако даден субект не предостави информация, подаде невярна или подвеждаща такава, или възпрепятства проверка, може да бъде глобен с до 50 милиона евро. Освен това, физическите лица на ръководни длъжности също могат да бъдат санкционирани с глоба до петдесеткратния размер на средното месечно възнаграждение в сектора на предприятията. </w:t>
      </w:r>
    </w:p>
    <w:p w14:paraId="0E526CE7" w14:textId="1D520DAE" w:rsidR="00BF2837" w:rsidRPr="007B4A99" w:rsidRDefault="00BF2837" w:rsidP="00DD69D5">
      <w:pPr>
        <w:spacing w:after="0" w:line="240" w:lineRule="auto"/>
        <w:ind w:firstLine="567"/>
        <w:jc w:val="both"/>
        <w:rPr>
          <w:rFonts w:ascii="Times New Roman" w:hAnsi="Times New Roman" w:cs="Times New Roman"/>
          <w:noProof/>
          <w:color w:val="000000"/>
          <w:sz w:val="24"/>
          <w:szCs w:val="24"/>
        </w:rPr>
      </w:pPr>
      <w:r w:rsidRPr="007B4A99">
        <w:rPr>
          <w:rFonts w:ascii="Times New Roman" w:hAnsi="Times New Roman" w:cs="Times New Roman"/>
          <w:noProof/>
          <w:color w:val="000000"/>
          <w:sz w:val="24"/>
          <w:szCs w:val="24"/>
        </w:rPr>
        <w:t xml:space="preserve">Освен значителните финансови санкции държавата чрез компетентните органи може да задължава нарушителите да компенсират засегнатите доставчици и да променят практиките си. Полша не е въвела допълнителни ограничения или мерки за регулиране на цените, </w:t>
      </w:r>
      <w:r w:rsidRPr="009B261E">
        <w:rPr>
          <w:rFonts w:ascii="Times New Roman" w:hAnsi="Times New Roman" w:cs="Times New Roman"/>
          <w:noProof/>
          <w:color w:val="000000"/>
          <w:sz w:val="24"/>
          <w:szCs w:val="24"/>
        </w:rPr>
        <w:t>но действащата нормативна рамка се прилага строго и последователно.</w:t>
      </w:r>
      <w:r w:rsidRPr="007B4A99">
        <w:rPr>
          <w:rFonts w:ascii="Times New Roman" w:hAnsi="Times New Roman" w:cs="Times New Roman"/>
          <w:noProof/>
          <w:color w:val="000000"/>
          <w:sz w:val="24"/>
          <w:szCs w:val="24"/>
        </w:rPr>
        <w:t xml:space="preserve"> Практиката по контрол сочи, че </w:t>
      </w:r>
      <w:r w:rsidR="009C0D24" w:rsidRPr="007B4A99">
        <w:rPr>
          <w:rFonts w:ascii="Times New Roman" w:hAnsi="Times New Roman" w:cs="Times New Roman"/>
          <w:noProof/>
          <w:color w:val="000000"/>
          <w:sz w:val="24"/>
          <w:szCs w:val="24"/>
        </w:rPr>
        <w:t xml:space="preserve">Службата за конкуренция и защита на потребителите </w:t>
      </w:r>
      <w:r w:rsidRPr="007B4A99">
        <w:rPr>
          <w:rFonts w:ascii="Times New Roman" w:hAnsi="Times New Roman" w:cs="Times New Roman"/>
          <w:noProof/>
          <w:color w:val="000000"/>
          <w:sz w:val="24"/>
          <w:szCs w:val="24"/>
        </w:rPr>
        <w:t>е наложил</w:t>
      </w:r>
      <w:r w:rsidR="009C0D24">
        <w:rPr>
          <w:rFonts w:ascii="Times New Roman" w:hAnsi="Times New Roman" w:cs="Times New Roman"/>
          <w:noProof/>
          <w:color w:val="000000"/>
          <w:sz w:val="24"/>
          <w:szCs w:val="24"/>
        </w:rPr>
        <w:t>а</w:t>
      </w:r>
      <w:r w:rsidRPr="007B4A99">
        <w:rPr>
          <w:rFonts w:ascii="Times New Roman" w:hAnsi="Times New Roman" w:cs="Times New Roman"/>
          <w:noProof/>
          <w:color w:val="000000"/>
          <w:sz w:val="24"/>
          <w:szCs w:val="24"/>
        </w:rPr>
        <w:t xml:space="preserve"> значителни санкции на водещи търговски вериги за системно прилагане на нелоялни търговски практики спрямо доставчици. </w:t>
      </w:r>
      <w:r w:rsidR="009C0D24">
        <w:rPr>
          <w:rFonts w:ascii="Times New Roman" w:hAnsi="Times New Roman" w:cs="Times New Roman"/>
          <w:noProof/>
          <w:color w:val="000000"/>
          <w:sz w:val="24"/>
          <w:szCs w:val="24"/>
        </w:rPr>
        <w:t>Т</w:t>
      </w:r>
      <w:r w:rsidRPr="007B4A99">
        <w:rPr>
          <w:rFonts w:ascii="Times New Roman" w:hAnsi="Times New Roman" w:cs="Times New Roman"/>
          <w:noProof/>
          <w:color w:val="000000"/>
          <w:sz w:val="24"/>
          <w:szCs w:val="24"/>
        </w:rPr>
        <w:t>акава е глоба</w:t>
      </w:r>
      <w:r w:rsidR="009C0D24">
        <w:rPr>
          <w:rFonts w:ascii="Times New Roman" w:hAnsi="Times New Roman" w:cs="Times New Roman"/>
          <w:noProof/>
          <w:color w:val="000000"/>
          <w:sz w:val="24"/>
          <w:szCs w:val="24"/>
        </w:rPr>
        <w:t xml:space="preserve">та в размер над 22 млн. евро, наложена на търговец </w:t>
      </w:r>
      <w:r w:rsidRPr="007B4A99">
        <w:rPr>
          <w:rFonts w:ascii="Times New Roman" w:hAnsi="Times New Roman" w:cs="Times New Roman"/>
          <w:noProof/>
          <w:color w:val="000000"/>
          <w:sz w:val="24"/>
          <w:szCs w:val="24"/>
        </w:rPr>
        <w:t xml:space="preserve">за логистични такси, които неправомерно </w:t>
      </w:r>
      <w:r w:rsidR="001D4156" w:rsidRPr="007B4A99">
        <w:rPr>
          <w:rFonts w:ascii="Times New Roman" w:hAnsi="Times New Roman" w:cs="Times New Roman"/>
          <w:noProof/>
          <w:color w:val="000000"/>
          <w:sz w:val="24"/>
          <w:szCs w:val="24"/>
        </w:rPr>
        <w:t>с</w:t>
      </w:r>
      <w:r w:rsidR="001D4156">
        <w:rPr>
          <w:rFonts w:ascii="Times New Roman" w:hAnsi="Times New Roman" w:cs="Times New Roman"/>
          <w:noProof/>
          <w:color w:val="000000"/>
          <w:sz w:val="24"/>
          <w:szCs w:val="24"/>
        </w:rPr>
        <w:t>а били</w:t>
      </w:r>
      <w:r w:rsidR="001D4156" w:rsidRPr="007B4A99">
        <w:rPr>
          <w:rFonts w:ascii="Times New Roman" w:hAnsi="Times New Roman" w:cs="Times New Roman"/>
          <w:noProof/>
          <w:color w:val="000000"/>
          <w:sz w:val="24"/>
          <w:szCs w:val="24"/>
        </w:rPr>
        <w:t xml:space="preserve"> </w:t>
      </w:r>
      <w:r w:rsidRPr="007B4A99">
        <w:rPr>
          <w:rFonts w:ascii="Times New Roman" w:hAnsi="Times New Roman" w:cs="Times New Roman"/>
          <w:noProof/>
          <w:color w:val="000000"/>
          <w:sz w:val="24"/>
          <w:szCs w:val="24"/>
        </w:rPr>
        <w:t>начислява</w:t>
      </w:r>
      <w:r w:rsidR="001D4156">
        <w:rPr>
          <w:rFonts w:ascii="Times New Roman" w:hAnsi="Times New Roman" w:cs="Times New Roman"/>
          <w:noProof/>
          <w:color w:val="000000"/>
          <w:sz w:val="24"/>
          <w:szCs w:val="24"/>
        </w:rPr>
        <w:t>ни</w:t>
      </w:r>
      <w:r w:rsidRPr="007B4A99">
        <w:rPr>
          <w:rFonts w:ascii="Times New Roman" w:hAnsi="Times New Roman" w:cs="Times New Roman"/>
          <w:noProof/>
          <w:color w:val="000000"/>
          <w:sz w:val="24"/>
          <w:szCs w:val="24"/>
        </w:rPr>
        <w:t xml:space="preserve"> на доставчиците</w:t>
      </w:r>
      <w:r w:rsidR="009C0D24">
        <w:rPr>
          <w:rStyle w:val="FootnoteReference"/>
          <w:rFonts w:ascii="Times New Roman" w:hAnsi="Times New Roman" w:cs="Times New Roman"/>
          <w:noProof/>
          <w:color w:val="000000"/>
          <w:sz w:val="24"/>
          <w:szCs w:val="24"/>
        </w:rPr>
        <w:footnoteReference w:id="25"/>
      </w:r>
      <w:r w:rsidRPr="007B4A99">
        <w:rPr>
          <w:rFonts w:ascii="Times New Roman" w:hAnsi="Times New Roman" w:cs="Times New Roman"/>
          <w:noProof/>
          <w:color w:val="000000"/>
          <w:sz w:val="24"/>
          <w:szCs w:val="24"/>
        </w:rPr>
        <w:t>. Друга</w:t>
      </w:r>
      <w:r w:rsidR="009C0D24">
        <w:rPr>
          <w:rFonts w:ascii="Times New Roman" w:hAnsi="Times New Roman" w:cs="Times New Roman"/>
          <w:noProof/>
          <w:color w:val="000000"/>
          <w:sz w:val="24"/>
          <w:szCs w:val="24"/>
        </w:rPr>
        <w:t xml:space="preserve"> компания</w:t>
      </w:r>
      <w:r w:rsidRPr="007B4A99">
        <w:rPr>
          <w:rFonts w:ascii="Times New Roman" w:hAnsi="Times New Roman" w:cs="Times New Roman"/>
          <w:noProof/>
          <w:color w:val="000000"/>
          <w:sz w:val="24"/>
          <w:szCs w:val="24"/>
        </w:rPr>
        <w:t xml:space="preserve"> получава санкция от близо 30 млн. евро за отстъпки със задна дата, въведени без предварително споразумение</w:t>
      </w:r>
      <w:r w:rsidR="009C0D24">
        <w:rPr>
          <w:rStyle w:val="FootnoteReference"/>
          <w:rFonts w:ascii="Times New Roman" w:hAnsi="Times New Roman" w:cs="Times New Roman"/>
          <w:noProof/>
          <w:color w:val="000000"/>
          <w:sz w:val="24"/>
          <w:szCs w:val="24"/>
        </w:rPr>
        <w:footnoteReference w:id="26"/>
      </w:r>
      <w:r w:rsidRPr="007B4A99">
        <w:rPr>
          <w:rFonts w:ascii="Times New Roman" w:hAnsi="Times New Roman" w:cs="Times New Roman"/>
          <w:noProof/>
          <w:color w:val="000000"/>
          <w:sz w:val="24"/>
          <w:szCs w:val="24"/>
        </w:rPr>
        <w:t>. Трета е санкционирана с над 20 млн. евро за начисляване на фиктивни такси за „рафтове“, обучения и маркетинг, които не са били договорени или предоставени</w:t>
      </w:r>
      <w:r w:rsidR="009C0D24">
        <w:rPr>
          <w:rStyle w:val="FootnoteReference"/>
          <w:rFonts w:ascii="Times New Roman" w:hAnsi="Times New Roman" w:cs="Times New Roman"/>
          <w:noProof/>
          <w:color w:val="000000"/>
          <w:sz w:val="24"/>
          <w:szCs w:val="24"/>
        </w:rPr>
        <w:footnoteReference w:id="27"/>
      </w:r>
      <w:r w:rsidRPr="007B4A99">
        <w:rPr>
          <w:rFonts w:ascii="Times New Roman" w:hAnsi="Times New Roman" w:cs="Times New Roman"/>
          <w:noProof/>
          <w:color w:val="000000"/>
          <w:sz w:val="24"/>
          <w:szCs w:val="24"/>
        </w:rPr>
        <w:t xml:space="preserve">. Четвърта е обект на две решения – първото </w:t>
      </w:r>
      <w:r w:rsidR="009C0D24">
        <w:rPr>
          <w:rFonts w:ascii="Times New Roman" w:hAnsi="Times New Roman" w:cs="Times New Roman"/>
          <w:noProof/>
          <w:color w:val="000000"/>
          <w:sz w:val="24"/>
          <w:szCs w:val="24"/>
        </w:rPr>
        <w:t xml:space="preserve">е от </w:t>
      </w:r>
      <w:r w:rsidRPr="007B4A99">
        <w:rPr>
          <w:rFonts w:ascii="Times New Roman" w:hAnsi="Times New Roman" w:cs="Times New Roman"/>
          <w:noProof/>
          <w:color w:val="000000"/>
          <w:sz w:val="24"/>
          <w:szCs w:val="24"/>
        </w:rPr>
        <w:t>2021</w:t>
      </w:r>
      <w:r w:rsidR="009C0D24">
        <w:rPr>
          <w:rFonts w:ascii="Times New Roman" w:hAnsi="Times New Roman" w:cs="Times New Roman"/>
          <w:noProof/>
          <w:color w:val="000000"/>
          <w:sz w:val="24"/>
          <w:szCs w:val="24"/>
        </w:rPr>
        <w:t xml:space="preserve"> г.</w:t>
      </w:r>
      <w:r w:rsidRPr="007B4A99">
        <w:rPr>
          <w:rFonts w:ascii="Times New Roman" w:hAnsi="Times New Roman" w:cs="Times New Roman"/>
          <w:noProof/>
          <w:color w:val="000000"/>
          <w:sz w:val="24"/>
          <w:szCs w:val="24"/>
        </w:rPr>
        <w:t xml:space="preserve"> за забавени </w:t>
      </w:r>
      <w:r w:rsidRPr="007B4A99">
        <w:rPr>
          <w:rFonts w:ascii="Times New Roman" w:hAnsi="Times New Roman" w:cs="Times New Roman"/>
          <w:noProof/>
          <w:color w:val="000000"/>
          <w:sz w:val="24"/>
          <w:szCs w:val="24"/>
        </w:rPr>
        <w:lastRenderedPageBreak/>
        <w:t xml:space="preserve">плащания и второто </w:t>
      </w:r>
      <w:r w:rsidR="009C0D24">
        <w:rPr>
          <w:rFonts w:ascii="Times New Roman" w:hAnsi="Times New Roman" w:cs="Times New Roman"/>
          <w:noProof/>
          <w:color w:val="000000"/>
          <w:sz w:val="24"/>
          <w:szCs w:val="24"/>
        </w:rPr>
        <w:t xml:space="preserve">от </w:t>
      </w:r>
      <w:r w:rsidRPr="007B4A99">
        <w:rPr>
          <w:rFonts w:ascii="Times New Roman" w:hAnsi="Times New Roman" w:cs="Times New Roman"/>
          <w:noProof/>
          <w:color w:val="000000"/>
          <w:sz w:val="24"/>
          <w:szCs w:val="24"/>
        </w:rPr>
        <w:t>2023</w:t>
      </w:r>
      <w:r w:rsidR="009C0D24">
        <w:rPr>
          <w:rFonts w:ascii="Times New Roman" w:hAnsi="Times New Roman" w:cs="Times New Roman"/>
          <w:noProof/>
          <w:color w:val="000000"/>
          <w:sz w:val="24"/>
          <w:szCs w:val="24"/>
        </w:rPr>
        <w:t xml:space="preserve"> г.</w:t>
      </w:r>
      <w:r w:rsidRPr="007B4A99">
        <w:rPr>
          <w:rFonts w:ascii="Times New Roman" w:hAnsi="Times New Roman" w:cs="Times New Roman"/>
          <w:noProof/>
          <w:color w:val="000000"/>
          <w:sz w:val="24"/>
          <w:szCs w:val="24"/>
        </w:rPr>
        <w:t xml:space="preserve"> за отстъпки със задна дата – като дружеството е задължено да върне събраните суми с лихви</w:t>
      </w:r>
      <w:r w:rsidR="009B261E">
        <w:rPr>
          <w:rFonts w:ascii="Times New Roman" w:hAnsi="Times New Roman" w:cs="Times New Roman"/>
          <w:noProof/>
          <w:color w:val="000000"/>
          <w:sz w:val="24"/>
          <w:szCs w:val="24"/>
        </w:rPr>
        <w:t>те</w:t>
      </w:r>
      <w:r w:rsidRPr="007B4A99">
        <w:rPr>
          <w:rFonts w:ascii="Times New Roman" w:hAnsi="Times New Roman" w:cs="Times New Roman"/>
          <w:noProof/>
          <w:color w:val="000000"/>
          <w:sz w:val="24"/>
          <w:szCs w:val="24"/>
        </w:rPr>
        <w:t>. Най-голямата глоба е наложена на икономически оператор за изискване на отстъпки без предварително договорени условия</w:t>
      </w:r>
      <w:r w:rsidR="004B1BED">
        <w:rPr>
          <w:rFonts w:ascii="Times New Roman" w:hAnsi="Times New Roman" w:cs="Times New Roman"/>
          <w:noProof/>
          <w:color w:val="000000"/>
          <w:sz w:val="24"/>
          <w:szCs w:val="24"/>
        </w:rPr>
        <w:t>, която е на стойност</w:t>
      </w:r>
      <w:r w:rsidRPr="007B4A99">
        <w:rPr>
          <w:rFonts w:ascii="Times New Roman" w:hAnsi="Times New Roman" w:cs="Times New Roman"/>
          <w:noProof/>
          <w:color w:val="000000"/>
          <w:sz w:val="24"/>
          <w:szCs w:val="24"/>
        </w:rPr>
        <w:t xml:space="preserve"> над 182 млн. евро</w:t>
      </w:r>
      <w:r w:rsidR="004B1BED">
        <w:rPr>
          <w:rStyle w:val="FootnoteReference"/>
          <w:rFonts w:ascii="Times New Roman" w:hAnsi="Times New Roman" w:cs="Times New Roman"/>
          <w:noProof/>
          <w:color w:val="000000"/>
          <w:sz w:val="24"/>
          <w:szCs w:val="24"/>
        </w:rPr>
        <w:footnoteReference w:id="28"/>
      </w:r>
      <w:r w:rsidR="004B1BED">
        <w:rPr>
          <w:rFonts w:ascii="Times New Roman" w:hAnsi="Times New Roman" w:cs="Times New Roman"/>
          <w:noProof/>
          <w:color w:val="000000"/>
          <w:sz w:val="24"/>
          <w:szCs w:val="24"/>
        </w:rPr>
        <w:t>.</w:t>
      </w:r>
      <w:r w:rsidRPr="007B4A99">
        <w:rPr>
          <w:rFonts w:ascii="Times New Roman" w:hAnsi="Times New Roman" w:cs="Times New Roman"/>
          <w:noProof/>
          <w:color w:val="000000"/>
          <w:sz w:val="24"/>
          <w:szCs w:val="24"/>
        </w:rPr>
        <w:t xml:space="preserve"> </w:t>
      </w:r>
    </w:p>
    <w:p w14:paraId="7ACB48D2" w14:textId="77777777" w:rsidR="00BF2837" w:rsidRPr="007B4A99" w:rsidRDefault="00BF2837" w:rsidP="00DD69D5">
      <w:pPr>
        <w:spacing w:after="0" w:line="240" w:lineRule="auto"/>
        <w:ind w:firstLine="567"/>
        <w:jc w:val="both"/>
        <w:rPr>
          <w:rFonts w:ascii="Times New Roman" w:hAnsi="Times New Roman" w:cs="Times New Roman"/>
          <w:noProof/>
          <w:color w:val="000000"/>
          <w:sz w:val="24"/>
          <w:szCs w:val="24"/>
        </w:rPr>
      </w:pPr>
    </w:p>
    <w:p w14:paraId="63B59207" w14:textId="77777777" w:rsidR="00BF2837" w:rsidRPr="007B4A99" w:rsidRDefault="00BF2837" w:rsidP="00DD69D5">
      <w:pPr>
        <w:spacing w:after="0" w:line="240" w:lineRule="auto"/>
        <w:ind w:firstLine="567"/>
        <w:jc w:val="both"/>
        <w:rPr>
          <w:rFonts w:ascii="Times New Roman" w:eastAsia="Calibri" w:hAnsi="Times New Roman" w:cs="Times New Roman"/>
          <w:b/>
          <w:iCs/>
          <w:noProof/>
          <w:sz w:val="24"/>
          <w:szCs w:val="24"/>
        </w:rPr>
      </w:pPr>
      <w:r w:rsidRPr="007B4A99">
        <w:rPr>
          <w:rFonts w:ascii="Times New Roman" w:eastAsia="Calibri" w:hAnsi="Times New Roman" w:cs="Times New Roman"/>
          <w:b/>
          <w:i/>
          <w:noProof/>
          <w:sz w:val="24"/>
          <w:szCs w:val="24"/>
        </w:rPr>
        <w:t>Унгария</w:t>
      </w:r>
      <w:r w:rsidRPr="007B4A99">
        <w:rPr>
          <w:rFonts w:ascii="Times New Roman" w:eastAsia="Calibri" w:hAnsi="Times New Roman" w:cs="Times New Roman"/>
          <w:b/>
          <w:iCs/>
          <w:noProof/>
          <w:sz w:val="24"/>
          <w:szCs w:val="24"/>
        </w:rPr>
        <w:t xml:space="preserve"> </w:t>
      </w:r>
    </w:p>
    <w:p w14:paraId="545EE342" w14:textId="164251C6" w:rsidR="004B1BED" w:rsidRDefault="00BF2837" w:rsidP="00DD69D5">
      <w:pPr>
        <w:spacing w:after="0" w:line="240" w:lineRule="auto"/>
        <w:ind w:firstLine="567"/>
        <w:jc w:val="both"/>
        <w:rPr>
          <w:rFonts w:ascii="Times New Roman" w:eastAsia="Calibri" w:hAnsi="Times New Roman" w:cs="Times New Roman"/>
          <w:bCs/>
          <w:iCs/>
          <w:noProof/>
          <w:sz w:val="24"/>
          <w:szCs w:val="24"/>
        </w:rPr>
      </w:pPr>
      <w:r w:rsidRPr="007B4A99">
        <w:rPr>
          <w:rFonts w:ascii="Times New Roman" w:eastAsia="Calibri" w:hAnsi="Times New Roman" w:cs="Times New Roman"/>
          <w:bCs/>
          <w:iCs/>
          <w:noProof/>
          <w:sz w:val="24"/>
          <w:szCs w:val="24"/>
        </w:rPr>
        <w:t>Унгария прилага сдържан подход към регулациите и оставя широки възможности за договаряне между страните.</w:t>
      </w:r>
      <w:r w:rsidRPr="007B4A99">
        <w:rPr>
          <w:rFonts w:ascii="Times New Roman" w:eastAsia="Calibri" w:hAnsi="Times New Roman" w:cs="Times New Roman"/>
          <w:b/>
          <w:iCs/>
          <w:noProof/>
          <w:sz w:val="24"/>
          <w:szCs w:val="24"/>
        </w:rPr>
        <w:t xml:space="preserve"> </w:t>
      </w:r>
      <w:r w:rsidRPr="007B4A99">
        <w:rPr>
          <w:rFonts w:ascii="Times New Roman" w:eastAsia="Calibri" w:hAnsi="Times New Roman" w:cs="Times New Roman"/>
          <w:bCs/>
          <w:iCs/>
          <w:noProof/>
          <w:sz w:val="24"/>
          <w:szCs w:val="24"/>
        </w:rPr>
        <w:t xml:space="preserve">Законодателството в сектора се основава на нормите на ЕС, без значими национални отклонения. Изключение правят въведените през 2022 г. временни регулации, включващи </w:t>
      </w:r>
      <w:r w:rsidRPr="004B1BED">
        <w:rPr>
          <w:rFonts w:ascii="Times New Roman" w:eastAsia="Calibri" w:hAnsi="Times New Roman" w:cs="Times New Roman"/>
          <w:bCs/>
          <w:i/>
          <w:iCs/>
          <w:noProof/>
          <w:sz w:val="24"/>
          <w:szCs w:val="24"/>
        </w:rPr>
        <w:t>ценови тавани за основни стоки</w:t>
      </w:r>
      <w:r w:rsidRPr="007B4A99">
        <w:rPr>
          <w:rFonts w:ascii="Times New Roman" w:eastAsia="Calibri" w:hAnsi="Times New Roman" w:cs="Times New Roman"/>
          <w:bCs/>
          <w:iCs/>
          <w:noProof/>
          <w:sz w:val="24"/>
          <w:szCs w:val="24"/>
        </w:rPr>
        <w:t xml:space="preserve">. От 1 февруари 2022 г. до 31 юли 2023 г. е в сила постановление </w:t>
      </w:r>
      <w:r w:rsidR="004B1BED">
        <w:rPr>
          <w:rFonts w:ascii="Times New Roman" w:eastAsia="Calibri" w:hAnsi="Times New Roman" w:cs="Times New Roman"/>
          <w:bCs/>
          <w:iCs/>
          <w:noProof/>
          <w:sz w:val="24"/>
          <w:szCs w:val="24"/>
        </w:rPr>
        <w:t>на унгарското правителство</w:t>
      </w:r>
      <w:r w:rsidRPr="007B4A99">
        <w:rPr>
          <w:rFonts w:ascii="Times New Roman" w:eastAsia="Calibri" w:hAnsi="Times New Roman" w:cs="Times New Roman"/>
          <w:bCs/>
          <w:iCs/>
          <w:noProof/>
          <w:sz w:val="24"/>
          <w:szCs w:val="24"/>
        </w:rPr>
        <w:t>,</w:t>
      </w:r>
      <w:r w:rsidR="004B1BED">
        <w:rPr>
          <w:rFonts w:ascii="Times New Roman" w:eastAsia="Calibri" w:hAnsi="Times New Roman" w:cs="Times New Roman"/>
          <w:bCs/>
          <w:iCs/>
          <w:noProof/>
          <w:sz w:val="24"/>
          <w:szCs w:val="24"/>
        </w:rPr>
        <w:t xml:space="preserve"> което</w:t>
      </w:r>
      <w:r w:rsidRPr="007B4A99">
        <w:rPr>
          <w:rFonts w:ascii="Times New Roman" w:eastAsia="Calibri" w:hAnsi="Times New Roman" w:cs="Times New Roman"/>
          <w:bCs/>
          <w:iCs/>
          <w:noProof/>
          <w:sz w:val="24"/>
          <w:szCs w:val="24"/>
        </w:rPr>
        <w:t xml:space="preserve"> задължава търговците да </w:t>
      </w:r>
      <w:r w:rsidR="004B1BED">
        <w:rPr>
          <w:rFonts w:ascii="Times New Roman" w:eastAsia="Calibri" w:hAnsi="Times New Roman" w:cs="Times New Roman"/>
          <w:bCs/>
          <w:iCs/>
          <w:noProof/>
          <w:sz w:val="24"/>
          <w:szCs w:val="24"/>
        </w:rPr>
        <w:t>прилагат</w:t>
      </w:r>
      <w:r w:rsidRPr="007B4A99">
        <w:rPr>
          <w:rFonts w:ascii="Times New Roman" w:eastAsia="Calibri" w:hAnsi="Times New Roman" w:cs="Times New Roman"/>
          <w:bCs/>
          <w:iCs/>
          <w:noProof/>
          <w:sz w:val="24"/>
          <w:szCs w:val="24"/>
        </w:rPr>
        <w:t xml:space="preserve"> регулирани цени за определени количества основни храни като захар, брашно и мляко. Целта е да се осигури достъпност при икономическа несигурност. Въпреки намерението на правителството да защити потребителите, тази регламентация е обжалвана от австрийска търговска верига, която преди това е глобена по силата на постановлението. Образувано е дело пред Съда на Европейския съюз, който </w:t>
      </w:r>
      <w:r w:rsidR="004B1BED">
        <w:rPr>
          <w:rFonts w:ascii="Times New Roman" w:eastAsia="Calibri" w:hAnsi="Times New Roman" w:cs="Times New Roman"/>
          <w:bCs/>
          <w:iCs/>
          <w:noProof/>
          <w:sz w:val="24"/>
          <w:szCs w:val="24"/>
        </w:rPr>
        <w:t>през</w:t>
      </w:r>
      <w:r w:rsidRPr="007B4A99">
        <w:rPr>
          <w:rFonts w:ascii="Times New Roman" w:eastAsia="Calibri" w:hAnsi="Times New Roman" w:cs="Times New Roman"/>
          <w:bCs/>
          <w:iCs/>
          <w:noProof/>
          <w:sz w:val="24"/>
          <w:szCs w:val="24"/>
        </w:rPr>
        <w:t xml:space="preserve"> септември 2024 г. постановява, че мярката противоречи на правото на ЕС. Според Съда, </w:t>
      </w:r>
      <w:r w:rsidR="004B1BED">
        <w:rPr>
          <w:rFonts w:ascii="Times New Roman" w:eastAsia="Calibri" w:hAnsi="Times New Roman" w:cs="Times New Roman"/>
          <w:bCs/>
          <w:iCs/>
          <w:noProof/>
          <w:sz w:val="24"/>
          <w:szCs w:val="24"/>
        </w:rPr>
        <w:t>постановлението</w:t>
      </w:r>
      <w:r w:rsidRPr="007B4A99">
        <w:rPr>
          <w:rFonts w:ascii="Times New Roman" w:eastAsia="Calibri" w:hAnsi="Times New Roman" w:cs="Times New Roman"/>
          <w:bCs/>
          <w:iCs/>
          <w:noProof/>
          <w:sz w:val="24"/>
          <w:szCs w:val="24"/>
        </w:rPr>
        <w:t xml:space="preserve"> нарушава принципите на свободната конкуренция и не е пропорционалн</w:t>
      </w:r>
      <w:r w:rsidR="004B1BED">
        <w:rPr>
          <w:rFonts w:ascii="Times New Roman" w:eastAsia="Calibri" w:hAnsi="Times New Roman" w:cs="Times New Roman"/>
          <w:bCs/>
          <w:iCs/>
          <w:noProof/>
          <w:sz w:val="24"/>
          <w:szCs w:val="24"/>
        </w:rPr>
        <w:t>о</w:t>
      </w:r>
      <w:r w:rsidRPr="007B4A99">
        <w:rPr>
          <w:rFonts w:ascii="Times New Roman" w:eastAsia="Calibri" w:hAnsi="Times New Roman" w:cs="Times New Roman"/>
          <w:bCs/>
          <w:iCs/>
          <w:noProof/>
          <w:sz w:val="24"/>
          <w:szCs w:val="24"/>
        </w:rPr>
        <w:t xml:space="preserve"> на преследваните цели. </w:t>
      </w:r>
    </w:p>
    <w:p w14:paraId="0947D0E8" w14:textId="252F1DC3" w:rsidR="004B1BED" w:rsidRDefault="00BF2837" w:rsidP="00DD69D5">
      <w:pPr>
        <w:spacing w:after="0" w:line="240" w:lineRule="auto"/>
        <w:ind w:firstLine="567"/>
        <w:jc w:val="both"/>
        <w:rPr>
          <w:rFonts w:ascii="Times New Roman" w:eastAsia="Calibri" w:hAnsi="Times New Roman" w:cs="Times New Roman"/>
          <w:bCs/>
          <w:iCs/>
          <w:noProof/>
          <w:sz w:val="24"/>
          <w:szCs w:val="24"/>
        </w:rPr>
      </w:pPr>
      <w:r w:rsidRPr="007B4A99">
        <w:rPr>
          <w:rFonts w:ascii="Times New Roman" w:eastAsia="Calibri" w:hAnsi="Times New Roman" w:cs="Times New Roman"/>
          <w:bCs/>
          <w:iCs/>
          <w:noProof/>
          <w:sz w:val="24"/>
          <w:szCs w:val="24"/>
        </w:rPr>
        <w:t xml:space="preserve">Към настоящия момент Унгария не прилага постоянни регулаторни механизми за приоритизиране на местните производители на храни в търговските вериги. Въпреки това, държавата си запазва правото на временна намеса при необходимост, особено с оглед защита на потребителите и уязвимите социални групи. В този контекст е въведена </w:t>
      </w:r>
      <w:r w:rsidRPr="004B1BED">
        <w:rPr>
          <w:rFonts w:ascii="Times New Roman" w:eastAsia="Calibri" w:hAnsi="Times New Roman" w:cs="Times New Roman"/>
          <w:bCs/>
          <w:i/>
          <w:iCs/>
          <w:noProof/>
          <w:sz w:val="24"/>
          <w:szCs w:val="24"/>
        </w:rPr>
        <w:t>онлайн система за мониторинг на цените на основни хранителни продукти</w:t>
      </w:r>
      <w:r w:rsidRPr="007B4A99">
        <w:rPr>
          <w:rFonts w:ascii="Times New Roman" w:eastAsia="Calibri" w:hAnsi="Times New Roman" w:cs="Times New Roman"/>
          <w:bCs/>
          <w:iCs/>
          <w:noProof/>
          <w:sz w:val="24"/>
          <w:szCs w:val="24"/>
        </w:rPr>
        <w:t xml:space="preserve">, чиято основна цел е да гарантира прозрачност относно ценовите промени в рамките на големите търговски вериги, като търговската политика в страната остава относително либерална. Промоционалните кампании не подлежат на специфична нормативна регулация, като търговците самостоятелно определят условията за тяхното провеждане, не начисляват допълнителни такси на доставчиците за включване в рекламни брошури и не съществуват задължителни изисквания по отношение на размера на предоставяните отстъпки. </w:t>
      </w:r>
    </w:p>
    <w:p w14:paraId="0335A3F9" w14:textId="0631B436" w:rsidR="004B1BED" w:rsidRDefault="00BF2837" w:rsidP="00DD69D5">
      <w:pPr>
        <w:spacing w:after="0" w:line="240" w:lineRule="auto"/>
        <w:ind w:firstLine="567"/>
        <w:jc w:val="both"/>
        <w:rPr>
          <w:rFonts w:ascii="Times New Roman" w:eastAsia="Calibri" w:hAnsi="Times New Roman" w:cs="Times New Roman"/>
          <w:bCs/>
          <w:iCs/>
          <w:noProof/>
          <w:sz w:val="24"/>
          <w:szCs w:val="24"/>
        </w:rPr>
      </w:pPr>
      <w:r w:rsidRPr="007B4A99">
        <w:rPr>
          <w:rFonts w:ascii="Times New Roman" w:eastAsia="Calibri" w:hAnsi="Times New Roman" w:cs="Times New Roman"/>
          <w:bCs/>
          <w:iCs/>
          <w:noProof/>
          <w:sz w:val="24"/>
          <w:szCs w:val="24"/>
        </w:rPr>
        <w:t xml:space="preserve">Единственото регулаторно ограничение се отнася до </w:t>
      </w:r>
      <w:r w:rsidRPr="004B1BED">
        <w:rPr>
          <w:rFonts w:ascii="Times New Roman" w:eastAsia="Calibri" w:hAnsi="Times New Roman" w:cs="Times New Roman"/>
          <w:bCs/>
          <w:i/>
          <w:iCs/>
          <w:noProof/>
          <w:sz w:val="24"/>
          <w:szCs w:val="24"/>
        </w:rPr>
        <w:t>минималната крайна продажна цена</w:t>
      </w:r>
      <w:r w:rsidRPr="007B4A99">
        <w:rPr>
          <w:rFonts w:ascii="Times New Roman" w:eastAsia="Calibri" w:hAnsi="Times New Roman" w:cs="Times New Roman"/>
          <w:bCs/>
          <w:iCs/>
          <w:noProof/>
          <w:sz w:val="24"/>
          <w:szCs w:val="24"/>
        </w:rPr>
        <w:t xml:space="preserve"> с включен ДДС, която не следва да бъде по-ниска от цената на придобиване, с изключение на случаите, при които продуктите са с наближаващ срок на годност. При някои основни хранителни стоки, като</w:t>
      </w:r>
      <w:r w:rsidR="001D4156">
        <w:rPr>
          <w:rFonts w:ascii="Times New Roman" w:eastAsia="Calibri" w:hAnsi="Times New Roman" w:cs="Times New Roman"/>
          <w:bCs/>
          <w:iCs/>
          <w:noProof/>
          <w:sz w:val="24"/>
          <w:szCs w:val="24"/>
        </w:rPr>
        <w:t>,</w:t>
      </w:r>
      <w:r w:rsidRPr="007B4A99">
        <w:rPr>
          <w:rFonts w:ascii="Times New Roman" w:eastAsia="Calibri" w:hAnsi="Times New Roman" w:cs="Times New Roman"/>
          <w:bCs/>
          <w:iCs/>
          <w:noProof/>
          <w:sz w:val="24"/>
          <w:szCs w:val="24"/>
        </w:rPr>
        <w:t xml:space="preserve"> например</w:t>
      </w:r>
      <w:r w:rsidR="001D4156">
        <w:rPr>
          <w:rFonts w:ascii="Times New Roman" w:eastAsia="Calibri" w:hAnsi="Times New Roman" w:cs="Times New Roman"/>
          <w:bCs/>
          <w:iCs/>
          <w:noProof/>
          <w:sz w:val="24"/>
          <w:szCs w:val="24"/>
        </w:rPr>
        <w:t>,</w:t>
      </w:r>
      <w:r w:rsidRPr="007B4A99">
        <w:rPr>
          <w:rFonts w:ascii="Times New Roman" w:eastAsia="Calibri" w:hAnsi="Times New Roman" w:cs="Times New Roman"/>
          <w:bCs/>
          <w:iCs/>
          <w:noProof/>
          <w:sz w:val="24"/>
          <w:szCs w:val="24"/>
        </w:rPr>
        <w:t xml:space="preserve"> олиото и яйцата, в рамките на промоционалните кампании се прилагат </w:t>
      </w:r>
      <w:r w:rsidRPr="004B1BED">
        <w:rPr>
          <w:rFonts w:ascii="Times New Roman" w:eastAsia="Calibri" w:hAnsi="Times New Roman" w:cs="Times New Roman"/>
          <w:bCs/>
          <w:i/>
          <w:iCs/>
          <w:noProof/>
          <w:sz w:val="24"/>
          <w:szCs w:val="24"/>
        </w:rPr>
        <w:t>количествени ограничения</w:t>
      </w:r>
      <w:r w:rsidRPr="007B4A99">
        <w:rPr>
          <w:rFonts w:ascii="Times New Roman" w:eastAsia="Calibri" w:hAnsi="Times New Roman" w:cs="Times New Roman"/>
          <w:bCs/>
          <w:iCs/>
          <w:noProof/>
          <w:sz w:val="24"/>
          <w:szCs w:val="24"/>
        </w:rPr>
        <w:t xml:space="preserve">. Що се отнася до търговските взаимоотношения между доставчиците и търговските вериги, практиката на т.нар. „входни такси“ за достъп до търговски обекти е съществувала, но е била преустановена по време на пандемията от COVID-19, тъй като е била счетена за несъвместима с действащото европейско законодателство. Въпреки това, в практиката продължава да съществува очакване доставчиците да поемат разходите, свързани с </w:t>
      </w:r>
      <w:r w:rsidRPr="007B4A99">
        <w:rPr>
          <w:rFonts w:ascii="Times New Roman" w:eastAsia="Calibri" w:hAnsi="Times New Roman" w:cs="Times New Roman"/>
          <w:bCs/>
          <w:iCs/>
          <w:noProof/>
          <w:sz w:val="24"/>
          <w:szCs w:val="24"/>
        </w:rPr>
        <w:lastRenderedPageBreak/>
        <w:t xml:space="preserve">маркетинговите дейности или предоставянето на допълнителни отстъпки, договорени в рамките на съвместни кампании с търговците. </w:t>
      </w:r>
    </w:p>
    <w:p w14:paraId="25E281C0" w14:textId="77777777" w:rsidR="004B1BED" w:rsidRDefault="00BF2837" w:rsidP="00DD69D5">
      <w:pPr>
        <w:spacing w:after="0" w:line="240" w:lineRule="auto"/>
        <w:ind w:firstLine="567"/>
        <w:jc w:val="both"/>
        <w:rPr>
          <w:rFonts w:ascii="Times New Roman" w:eastAsia="Calibri" w:hAnsi="Times New Roman" w:cs="Times New Roman"/>
          <w:bCs/>
          <w:iCs/>
          <w:noProof/>
          <w:sz w:val="24"/>
          <w:szCs w:val="24"/>
        </w:rPr>
      </w:pPr>
      <w:r w:rsidRPr="007B4A99">
        <w:rPr>
          <w:rFonts w:ascii="Times New Roman" w:eastAsia="Calibri" w:hAnsi="Times New Roman" w:cs="Times New Roman"/>
          <w:bCs/>
          <w:iCs/>
          <w:noProof/>
          <w:sz w:val="24"/>
          <w:szCs w:val="24"/>
        </w:rPr>
        <w:t>Нормативна уредба, регулираща прилагането на допълнителни такси при предсрочно плащане от страна на търговеца, също не съществува. На практика обаче често се прилага механизмът „сконто“, при който търговецът изисква допълнителна търговска отстъпка в замяна на по-кратък срок за извършване на плащането – обикновено в рамките на 5 до 7 календарни дни. В същото време, съгласно действащата нормативна уредба, законово установените срокове за плащане са до 30 календарни дни за хранителни продукти и до 60 календарни дни за нехранителни стоки</w:t>
      </w:r>
      <w:r w:rsidRPr="007B4A99">
        <w:rPr>
          <w:rStyle w:val="FootnoteReference"/>
          <w:rFonts w:ascii="Times New Roman" w:eastAsia="Calibri" w:hAnsi="Times New Roman" w:cs="Times New Roman"/>
          <w:iCs/>
          <w:noProof/>
          <w:sz w:val="24"/>
          <w:szCs w:val="24"/>
        </w:rPr>
        <w:footnoteReference w:id="29"/>
      </w:r>
      <w:r w:rsidRPr="007B4A99">
        <w:rPr>
          <w:rFonts w:ascii="Times New Roman" w:eastAsia="Calibri" w:hAnsi="Times New Roman" w:cs="Times New Roman"/>
          <w:bCs/>
          <w:iCs/>
          <w:noProof/>
          <w:sz w:val="24"/>
          <w:szCs w:val="24"/>
        </w:rPr>
        <w:t xml:space="preserve">. На разположение са възможности за факторинг, които се осъществяват чрез банкови институции или специализирани дружества. </w:t>
      </w:r>
    </w:p>
    <w:p w14:paraId="0B288CF3" w14:textId="5841FFF7" w:rsidR="00BF2837" w:rsidRPr="007B4A99" w:rsidRDefault="00BF2837" w:rsidP="00DD69D5">
      <w:pPr>
        <w:spacing w:after="0" w:line="240" w:lineRule="auto"/>
        <w:ind w:firstLine="567"/>
        <w:jc w:val="both"/>
        <w:rPr>
          <w:rFonts w:ascii="Times New Roman" w:eastAsia="Calibri" w:hAnsi="Times New Roman" w:cs="Times New Roman"/>
          <w:bCs/>
          <w:iCs/>
          <w:noProof/>
          <w:sz w:val="24"/>
          <w:szCs w:val="24"/>
        </w:rPr>
      </w:pPr>
      <w:r w:rsidRPr="007B4A99">
        <w:rPr>
          <w:rFonts w:ascii="Times New Roman" w:eastAsia="Calibri" w:hAnsi="Times New Roman" w:cs="Times New Roman"/>
          <w:bCs/>
          <w:iCs/>
          <w:noProof/>
          <w:sz w:val="24"/>
          <w:szCs w:val="24"/>
        </w:rPr>
        <w:t>Съгласно действащото</w:t>
      </w:r>
      <w:r w:rsidR="004B1BED">
        <w:rPr>
          <w:rFonts w:ascii="Times New Roman" w:eastAsia="Calibri" w:hAnsi="Times New Roman" w:cs="Times New Roman"/>
          <w:bCs/>
          <w:iCs/>
          <w:noProof/>
          <w:sz w:val="24"/>
          <w:szCs w:val="24"/>
        </w:rPr>
        <w:t xml:space="preserve"> унгарско</w:t>
      </w:r>
      <w:r w:rsidRPr="007B4A99">
        <w:rPr>
          <w:rFonts w:ascii="Times New Roman" w:eastAsia="Calibri" w:hAnsi="Times New Roman" w:cs="Times New Roman"/>
          <w:bCs/>
          <w:iCs/>
          <w:noProof/>
          <w:sz w:val="24"/>
          <w:szCs w:val="24"/>
        </w:rPr>
        <w:t xml:space="preserve"> законодателство, търговските оператори, които реализират загуба за период, надвишаващ две последователни години, подлежат на отнемане на лиценза за дейност. Участието на доставчиците в маркетингови програми не е предмет на задължителна регулация. По време на пандемията от COVID-19 на доставчиците на хранителни стоки не са били налагани маркетингови такси, като усилията са били насочени предимно към предоставяне на ценови отстъпки в рамките на доставките. В настоящия момент условията за участие в маркетингови кампании се договарят индивидуално между търговските вериги и техните доставчици. Паралелно с действащите пазарни механизми, държавата прилага и допълнителни мерки, насочени към защита на социално уязвими групи. Сред предстоящите инициативи в тази посока е въвеждането на механизъм за възстановяване на данък върху добавената стойност при закупуването на определени хранителни продукти от страна на пенсионери. </w:t>
      </w:r>
    </w:p>
    <w:bookmarkEnd w:id="9"/>
    <w:p w14:paraId="404B3748" w14:textId="77777777" w:rsidR="00BF2837" w:rsidRPr="007B4A99" w:rsidRDefault="00BF2837" w:rsidP="00DD69D5">
      <w:pPr>
        <w:spacing w:after="0" w:line="240" w:lineRule="auto"/>
        <w:ind w:firstLine="567"/>
        <w:jc w:val="both"/>
        <w:rPr>
          <w:rFonts w:ascii="Times New Roman" w:eastAsia="Calibri" w:hAnsi="Times New Roman" w:cs="Times New Roman"/>
          <w:b/>
          <w:i/>
          <w:iCs/>
          <w:noProof/>
          <w:sz w:val="24"/>
          <w:szCs w:val="24"/>
        </w:rPr>
      </w:pPr>
    </w:p>
    <w:p w14:paraId="0A93BC8E" w14:textId="2F07260B" w:rsidR="00BF2837" w:rsidRPr="007B4A99" w:rsidRDefault="00BF2837" w:rsidP="00DD69D5">
      <w:pPr>
        <w:spacing w:after="0" w:line="240" w:lineRule="auto"/>
        <w:ind w:firstLine="567"/>
        <w:jc w:val="both"/>
        <w:rPr>
          <w:rFonts w:ascii="Times New Roman" w:eastAsia="Calibri" w:hAnsi="Times New Roman" w:cs="Times New Roman"/>
          <w:b/>
          <w:i/>
          <w:iCs/>
          <w:noProof/>
          <w:sz w:val="24"/>
          <w:szCs w:val="24"/>
        </w:rPr>
      </w:pPr>
      <w:r w:rsidRPr="007B4A99">
        <w:rPr>
          <w:rFonts w:ascii="Times New Roman" w:eastAsia="Calibri" w:hAnsi="Times New Roman" w:cs="Times New Roman"/>
          <w:b/>
          <w:i/>
          <w:iCs/>
          <w:noProof/>
          <w:sz w:val="24"/>
          <w:szCs w:val="24"/>
        </w:rPr>
        <w:t>Гърция</w:t>
      </w:r>
    </w:p>
    <w:p w14:paraId="4447BB98" w14:textId="77777777" w:rsidR="00B73740" w:rsidRDefault="00BF2837" w:rsidP="00DD69D5">
      <w:pPr>
        <w:spacing w:after="0" w:line="240" w:lineRule="auto"/>
        <w:ind w:firstLine="567"/>
        <w:jc w:val="both"/>
        <w:rPr>
          <w:rFonts w:ascii="Times New Roman" w:hAnsi="Times New Roman" w:cs="Times New Roman"/>
          <w:noProof/>
          <w:sz w:val="24"/>
          <w:szCs w:val="24"/>
        </w:rPr>
      </w:pPr>
      <w:r w:rsidRPr="007B4A99">
        <w:rPr>
          <w:rFonts w:ascii="Times New Roman" w:eastAsia="Calibri" w:hAnsi="Times New Roman" w:cs="Times New Roman"/>
          <w:iCs/>
          <w:noProof/>
          <w:sz w:val="24"/>
          <w:szCs w:val="24"/>
        </w:rPr>
        <w:t xml:space="preserve">Гърция </w:t>
      </w:r>
      <w:r w:rsidRPr="007B4A99">
        <w:rPr>
          <w:rFonts w:ascii="Times New Roman" w:eastAsia="Calibri" w:hAnsi="Times New Roman" w:cs="Times New Roman"/>
          <w:bCs/>
          <w:iCs/>
          <w:noProof/>
          <w:sz w:val="24"/>
          <w:szCs w:val="24"/>
        </w:rPr>
        <w:t>се стреми да</w:t>
      </w:r>
      <w:r w:rsidRPr="007B4A99">
        <w:rPr>
          <w:rFonts w:ascii="Times New Roman" w:eastAsia="Calibri" w:hAnsi="Times New Roman" w:cs="Times New Roman"/>
          <w:iCs/>
          <w:noProof/>
          <w:sz w:val="24"/>
          <w:szCs w:val="24"/>
        </w:rPr>
        <w:t xml:space="preserve"> </w:t>
      </w:r>
      <w:r w:rsidRPr="007B4A99">
        <w:rPr>
          <w:rFonts w:ascii="Times New Roman" w:eastAsia="Calibri" w:hAnsi="Times New Roman" w:cs="Times New Roman"/>
          <w:bCs/>
          <w:iCs/>
          <w:noProof/>
          <w:sz w:val="24"/>
          <w:szCs w:val="24"/>
        </w:rPr>
        <w:t>прилага стриктно европейските правила, но на практика все още изпитва трудности в овладяването на нелоялните търговски практики. Реформите в законодателството са придружени от недоволство на земеделските производители и активни потребителски бойкоти. В Гърция са въведени както конкретни законодателни, така и специфични мерки</w:t>
      </w:r>
      <w:r w:rsidR="00B73740">
        <w:rPr>
          <w:rFonts w:ascii="Times New Roman" w:eastAsia="Calibri" w:hAnsi="Times New Roman" w:cs="Times New Roman"/>
          <w:bCs/>
          <w:iCs/>
          <w:noProof/>
          <w:sz w:val="24"/>
          <w:szCs w:val="24"/>
        </w:rPr>
        <w:t xml:space="preserve"> на гъвкавото право</w:t>
      </w:r>
      <w:r w:rsidRPr="007B4A99">
        <w:rPr>
          <w:rFonts w:ascii="Times New Roman" w:eastAsia="Calibri" w:hAnsi="Times New Roman" w:cs="Times New Roman"/>
          <w:bCs/>
          <w:iCs/>
          <w:noProof/>
          <w:sz w:val="24"/>
          <w:szCs w:val="24"/>
        </w:rPr>
        <w:t>, регулиращи отношенията между участниците във веригата на доставки. Основната цел на тези мерки е осигуряването на справедлива конкуренция и защита на по-малките доставчици от нелоялни търговски практики, които се проявяват вследствие на дисбаланс в пазарната сила между участниците.</w:t>
      </w:r>
      <w:r w:rsidRPr="007B4A99">
        <w:rPr>
          <w:rFonts w:ascii="Times New Roman" w:hAnsi="Times New Roman" w:cs="Times New Roman"/>
          <w:noProof/>
          <w:sz w:val="24"/>
          <w:szCs w:val="24"/>
        </w:rPr>
        <w:t xml:space="preserve"> </w:t>
      </w:r>
    </w:p>
    <w:p w14:paraId="1D7360E0" w14:textId="69EA79B3" w:rsidR="00B73740" w:rsidRDefault="00BF2837" w:rsidP="00DD69D5">
      <w:pPr>
        <w:spacing w:after="0" w:line="240" w:lineRule="auto"/>
        <w:ind w:firstLine="567"/>
        <w:jc w:val="both"/>
        <w:rPr>
          <w:rFonts w:ascii="Times New Roman" w:eastAsia="Calibri" w:hAnsi="Times New Roman" w:cs="Times New Roman"/>
          <w:b/>
          <w:iCs/>
          <w:noProof/>
          <w:sz w:val="24"/>
          <w:szCs w:val="24"/>
        </w:rPr>
      </w:pPr>
      <w:r w:rsidRPr="007B4A99">
        <w:rPr>
          <w:rFonts w:ascii="Times New Roman" w:eastAsia="Calibri" w:hAnsi="Times New Roman" w:cs="Times New Roman"/>
          <w:bCs/>
          <w:iCs/>
          <w:noProof/>
          <w:sz w:val="24"/>
          <w:szCs w:val="24"/>
        </w:rPr>
        <w:t>Основният нормативен акт</w:t>
      </w:r>
      <w:r w:rsidR="006F24A5">
        <w:rPr>
          <w:rFonts w:ascii="Times New Roman" w:eastAsia="Calibri" w:hAnsi="Times New Roman" w:cs="Times New Roman"/>
          <w:bCs/>
          <w:iCs/>
          <w:noProof/>
          <w:sz w:val="24"/>
          <w:szCs w:val="24"/>
        </w:rPr>
        <w:t>, действащ</w:t>
      </w:r>
      <w:r w:rsidRPr="007B4A99">
        <w:rPr>
          <w:rFonts w:ascii="Times New Roman" w:eastAsia="Calibri" w:hAnsi="Times New Roman" w:cs="Times New Roman"/>
          <w:bCs/>
          <w:iCs/>
          <w:noProof/>
          <w:sz w:val="24"/>
          <w:szCs w:val="24"/>
        </w:rPr>
        <w:t xml:space="preserve"> в оценяваната </w:t>
      </w:r>
      <w:r w:rsidR="006F24A5">
        <w:rPr>
          <w:rFonts w:ascii="Times New Roman" w:eastAsia="Calibri" w:hAnsi="Times New Roman" w:cs="Times New Roman"/>
          <w:bCs/>
          <w:iCs/>
          <w:noProof/>
          <w:sz w:val="24"/>
          <w:szCs w:val="24"/>
        </w:rPr>
        <w:t>област,</w:t>
      </w:r>
      <w:r w:rsidRPr="007B4A99">
        <w:rPr>
          <w:rFonts w:ascii="Times New Roman" w:eastAsia="Calibri" w:hAnsi="Times New Roman" w:cs="Times New Roman"/>
          <w:bCs/>
          <w:iCs/>
          <w:noProof/>
          <w:sz w:val="24"/>
          <w:szCs w:val="24"/>
        </w:rPr>
        <w:t xml:space="preserve"> е Закон 4792/2021, чрез който се транспонира Директива (ЕС) 2019/633. Той съдържа конкретни забрани за нелоялни практики като неплащане на доставени продукти в рамките на 30 дни от получаването им или връщане на продукти без споразумение или обезщетение.</w:t>
      </w:r>
      <w:r w:rsidRPr="007B4A99">
        <w:rPr>
          <w:rFonts w:ascii="Times New Roman" w:eastAsia="Calibri" w:hAnsi="Times New Roman" w:cs="Times New Roman"/>
          <w:b/>
          <w:iCs/>
          <w:noProof/>
          <w:sz w:val="24"/>
          <w:szCs w:val="24"/>
        </w:rPr>
        <w:t xml:space="preserve"> </w:t>
      </w:r>
      <w:r w:rsidRPr="007B4A99">
        <w:rPr>
          <w:rFonts w:ascii="Times New Roman" w:eastAsia="Calibri" w:hAnsi="Times New Roman" w:cs="Times New Roman"/>
          <w:bCs/>
          <w:iCs/>
          <w:noProof/>
          <w:sz w:val="24"/>
          <w:szCs w:val="24"/>
        </w:rPr>
        <w:t>Забранени са и</w:t>
      </w:r>
      <w:r w:rsidRPr="007B4A99">
        <w:rPr>
          <w:rFonts w:ascii="Times New Roman" w:eastAsia="Calibri" w:hAnsi="Times New Roman" w:cs="Times New Roman"/>
          <w:b/>
          <w:iCs/>
          <w:noProof/>
          <w:sz w:val="24"/>
          <w:szCs w:val="24"/>
        </w:rPr>
        <w:t xml:space="preserve"> </w:t>
      </w:r>
      <w:r w:rsidRPr="007B4A99">
        <w:rPr>
          <w:rFonts w:ascii="Times New Roman" w:eastAsia="Calibri" w:hAnsi="Times New Roman" w:cs="Times New Roman"/>
          <w:bCs/>
          <w:iCs/>
          <w:noProof/>
          <w:sz w:val="24"/>
          <w:szCs w:val="24"/>
        </w:rPr>
        <w:t>налагането на неуговорени такси или плащания и</w:t>
      </w:r>
      <w:r w:rsidRPr="007B4A99">
        <w:rPr>
          <w:rFonts w:ascii="Times New Roman" w:eastAsia="Calibri" w:hAnsi="Times New Roman" w:cs="Times New Roman"/>
          <w:b/>
          <w:iCs/>
          <w:noProof/>
          <w:sz w:val="24"/>
          <w:szCs w:val="24"/>
        </w:rPr>
        <w:t xml:space="preserve"> </w:t>
      </w:r>
      <w:r w:rsidRPr="007B4A99">
        <w:rPr>
          <w:rFonts w:ascii="Times New Roman" w:eastAsia="Calibri" w:hAnsi="Times New Roman" w:cs="Times New Roman"/>
          <w:bCs/>
          <w:iCs/>
          <w:noProof/>
          <w:sz w:val="24"/>
          <w:szCs w:val="24"/>
        </w:rPr>
        <w:t>едностранното изменение или анулиране на договори без споразумение.</w:t>
      </w:r>
      <w:r w:rsidRPr="007B4A99">
        <w:rPr>
          <w:rFonts w:ascii="Times New Roman" w:eastAsia="Calibri" w:hAnsi="Times New Roman" w:cs="Times New Roman"/>
          <w:b/>
          <w:iCs/>
          <w:noProof/>
          <w:sz w:val="24"/>
          <w:szCs w:val="24"/>
        </w:rPr>
        <w:t xml:space="preserve"> </w:t>
      </w:r>
      <w:r w:rsidRPr="007B4A99">
        <w:rPr>
          <w:rFonts w:ascii="Times New Roman" w:eastAsia="Calibri" w:hAnsi="Times New Roman" w:cs="Times New Roman"/>
          <w:bCs/>
          <w:iCs/>
          <w:noProof/>
          <w:sz w:val="24"/>
          <w:szCs w:val="24"/>
        </w:rPr>
        <w:t xml:space="preserve">Нормативният акт предвижда процедури за обжалване и санкции. Законът се прилага за всички предприятия, </w:t>
      </w:r>
      <w:r w:rsidRPr="007B4A99">
        <w:rPr>
          <w:rFonts w:ascii="Times New Roman" w:eastAsia="Calibri" w:hAnsi="Times New Roman" w:cs="Times New Roman"/>
          <w:bCs/>
          <w:iCs/>
          <w:noProof/>
          <w:sz w:val="24"/>
          <w:szCs w:val="24"/>
        </w:rPr>
        <w:lastRenderedPageBreak/>
        <w:t xml:space="preserve">работещи </w:t>
      </w:r>
      <w:r w:rsidR="006F24A5">
        <w:rPr>
          <w:rFonts w:ascii="Times New Roman" w:eastAsia="Calibri" w:hAnsi="Times New Roman" w:cs="Times New Roman"/>
          <w:bCs/>
          <w:iCs/>
          <w:noProof/>
          <w:sz w:val="24"/>
          <w:szCs w:val="24"/>
        </w:rPr>
        <w:t>по</w:t>
      </w:r>
      <w:r w:rsidRPr="007B4A99">
        <w:rPr>
          <w:rFonts w:ascii="Times New Roman" w:eastAsia="Calibri" w:hAnsi="Times New Roman" w:cs="Times New Roman"/>
          <w:bCs/>
          <w:iCs/>
          <w:noProof/>
          <w:sz w:val="24"/>
          <w:szCs w:val="24"/>
        </w:rPr>
        <w:t xml:space="preserve"> веригата </w:t>
      </w:r>
      <w:r w:rsidR="006F24A5">
        <w:rPr>
          <w:rFonts w:ascii="Times New Roman" w:eastAsia="Calibri" w:hAnsi="Times New Roman" w:cs="Times New Roman"/>
          <w:bCs/>
          <w:iCs/>
          <w:noProof/>
          <w:sz w:val="24"/>
          <w:szCs w:val="24"/>
        </w:rPr>
        <w:t>н</w:t>
      </w:r>
      <w:r w:rsidRPr="007B4A99">
        <w:rPr>
          <w:rFonts w:ascii="Times New Roman" w:eastAsia="Calibri" w:hAnsi="Times New Roman" w:cs="Times New Roman"/>
          <w:bCs/>
          <w:iCs/>
          <w:noProof/>
          <w:sz w:val="24"/>
          <w:szCs w:val="24"/>
        </w:rPr>
        <w:t>а доставк</w:t>
      </w:r>
      <w:r w:rsidR="006F24A5">
        <w:rPr>
          <w:rFonts w:ascii="Times New Roman" w:eastAsia="Calibri" w:hAnsi="Times New Roman" w:cs="Times New Roman"/>
          <w:bCs/>
          <w:iCs/>
          <w:noProof/>
          <w:sz w:val="24"/>
          <w:szCs w:val="24"/>
        </w:rPr>
        <w:t>и</w:t>
      </w:r>
      <w:r w:rsidRPr="007B4A99">
        <w:rPr>
          <w:rFonts w:ascii="Times New Roman" w:eastAsia="Calibri" w:hAnsi="Times New Roman" w:cs="Times New Roman"/>
          <w:bCs/>
          <w:iCs/>
          <w:noProof/>
          <w:sz w:val="24"/>
          <w:szCs w:val="24"/>
        </w:rPr>
        <w:t xml:space="preserve"> на селскостопански продукти и храни, независимо от размера или правната им форма. Прилагането му се осъществява от Комитета за борба с нелоялните търговски практики към Министерството на развитието на селските райони и храните. С оглед защита на потребителя, в страната са наложени множество мерки за повишаване на прозрачността, като например, задължение за етикетиране на произхода на месото и млякото, к</w:t>
      </w:r>
      <w:r w:rsidR="006F24A5">
        <w:rPr>
          <w:rFonts w:ascii="Times New Roman" w:eastAsia="Calibri" w:hAnsi="Times New Roman" w:cs="Times New Roman"/>
          <w:bCs/>
          <w:iCs/>
          <w:noProof/>
          <w:sz w:val="24"/>
          <w:szCs w:val="24"/>
        </w:rPr>
        <w:t>ое</w:t>
      </w:r>
      <w:r w:rsidRPr="007B4A99">
        <w:rPr>
          <w:rFonts w:ascii="Times New Roman" w:eastAsia="Calibri" w:hAnsi="Times New Roman" w:cs="Times New Roman"/>
          <w:bCs/>
          <w:iCs/>
          <w:noProof/>
          <w:sz w:val="24"/>
          <w:szCs w:val="24"/>
        </w:rPr>
        <w:t xml:space="preserve">то подробно </w:t>
      </w:r>
      <w:r w:rsidR="006F24A5">
        <w:rPr>
          <w:rFonts w:ascii="Times New Roman" w:eastAsia="Calibri" w:hAnsi="Times New Roman" w:cs="Times New Roman"/>
          <w:bCs/>
          <w:iCs/>
          <w:noProof/>
          <w:sz w:val="24"/>
          <w:szCs w:val="24"/>
        </w:rPr>
        <w:t>указва</w:t>
      </w:r>
      <w:r w:rsidRPr="007B4A99">
        <w:rPr>
          <w:rFonts w:ascii="Times New Roman" w:eastAsia="Calibri" w:hAnsi="Times New Roman" w:cs="Times New Roman"/>
          <w:bCs/>
          <w:iCs/>
          <w:noProof/>
          <w:sz w:val="24"/>
          <w:szCs w:val="24"/>
        </w:rPr>
        <w:t xml:space="preserve"> страните на производство, преработка и опаковане.</w:t>
      </w:r>
      <w:r w:rsidRPr="007B4A99">
        <w:rPr>
          <w:rFonts w:ascii="Times New Roman" w:eastAsia="Calibri" w:hAnsi="Times New Roman" w:cs="Times New Roman"/>
          <w:b/>
          <w:iCs/>
          <w:noProof/>
          <w:sz w:val="24"/>
          <w:szCs w:val="24"/>
        </w:rPr>
        <w:t xml:space="preserve"> </w:t>
      </w:r>
    </w:p>
    <w:p w14:paraId="48481CD2" w14:textId="77777777" w:rsidR="00B73740" w:rsidRDefault="00BF2837" w:rsidP="00DD69D5">
      <w:pPr>
        <w:spacing w:after="0" w:line="240" w:lineRule="auto"/>
        <w:ind w:firstLine="567"/>
        <w:jc w:val="both"/>
        <w:rPr>
          <w:rFonts w:ascii="Times New Roman" w:eastAsia="Calibri" w:hAnsi="Times New Roman" w:cs="Times New Roman"/>
          <w:b/>
          <w:iCs/>
          <w:noProof/>
          <w:sz w:val="24"/>
          <w:szCs w:val="24"/>
        </w:rPr>
      </w:pPr>
      <w:r w:rsidRPr="007B4A99">
        <w:rPr>
          <w:rFonts w:ascii="Times New Roman" w:eastAsia="Calibri" w:hAnsi="Times New Roman" w:cs="Times New Roman"/>
          <w:bCs/>
          <w:iCs/>
          <w:noProof/>
          <w:sz w:val="24"/>
          <w:szCs w:val="24"/>
        </w:rPr>
        <w:t xml:space="preserve">В отговор на нарастващите цени на храните, гръцкото правителство въвежда и допълнителни мерки за повишаване на прозрачността на цените. От септември 2023 г. големите вериги супермаркети са длъжни да предоставят на властите </w:t>
      </w:r>
      <w:r w:rsidRPr="00B73740">
        <w:rPr>
          <w:rFonts w:ascii="Times New Roman" w:eastAsia="Calibri" w:hAnsi="Times New Roman" w:cs="Times New Roman"/>
          <w:bCs/>
          <w:i/>
          <w:iCs/>
          <w:noProof/>
          <w:sz w:val="24"/>
          <w:szCs w:val="24"/>
        </w:rPr>
        <w:t>ценовите листи на своите доставчици за основни хранителни продукти</w:t>
      </w:r>
      <w:r w:rsidRPr="007B4A99">
        <w:rPr>
          <w:rStyle w:val="FootnoteReference"/>
          <w:rFonts w:ascii="Times New Roman" w:eastAsia="Calibri" w:hAnsi="Times New Roman" w:cs="Times New Roman"/>
          <w:iCs/>
          <w:noProof/>
          <w:sz w:val="24"/>
          <w:szCs w:val="24"/>
        </w:rPr>
        <w:footnoteReference w:id="30"/>
      </w:r>
      <w:r w:rsidRPr="007B4A99">
        <w:rPr>
          <w:rFonts w:ascii="Times New Roman" w:eastAsia="Calibri" w:hAnsi="Times New Roman" w:cs="Times New Roman"/>
          <w:bCs/>
          <w:iCs/>
          <w:noProof/>
          <w:sz w:val="24"/>
          <w:szCs w:val="24"/>
        </w:rPr>
        <w:t>. Що се отнася до промоциите, въпреки че не са предвидени конкретни ограничения за обема на продуктите, които могат да бъдат продадени в рамките на промоция, търговците на дребно трябва да се придържат към общите законови изисквания, приложими към търговските практики и рекламатата в Гърция. Строги изисквания има и относно етикетирането и наличностите на промоционални продукти. Забраняват се действия като изкуствено покачване на цените преди промоция, липсата на достатъчна наличност или подвеждащите твърдения в рекламата.</w:t>
      </w:r>
      <w:r w:rsidRPr="007B4A99">
        <w:rPr>
          <w:rFonts w:ascii="Times New Roman" w:eastAsia="Calibri" w:hAnsi="Times New Roman" w:cs="Times New Roman"/>
          <w:b/>
          <w:iCs/>
          <w:noProof/>
          <w:sz w:val="24"/>
          <w:szCs w:val="24"/>
        </w:rPr>
        <w:t xml:space="preserve"> </w:t>
      </w:r>
    </w:p>
    <w:p w14:paraId="7195B328" w14:textId="6441588D" w:rsidR="00B73740" w:rsidRDefault="00BF2837" w:rsidP="00DD69D5">
      <w:pPr>
        <w:spacing w:after="0" w:line="240" w:lineRule="auto"/>
        <w:ind w:firstLine="567"/>
        <w:jc w:val="both"/>
        <w:rPr>
          <w:rFonts w:ascii="Times New Roman" w:eastAsia="Calibri" w:hAnsi="Times New Roman" w:cs="Times New Roman"/>
          <w:b/>
          <w:iCs/>
          <w:noProof/>
          <w:sz w:val="24"/>
          <w:szCs w:val="24"/>
        </w:rPr>
      </w:pPr>
      <w:r w:rsidRPr="007B4A99">
        <w:rPr>
          <w:rFonts w:ascii="Times New Roman" w:eastAsia="Calibri" w:hAnsi="Times New Roman" w:cs="Times New Roman"/>
          <w:bCs/>
          <w:iCs/>
          <w:noProof/>
          <w:sz w:val="24"/>
          <w:szCs w:val="24"/>
        </w:rPr>
        <w:t>Регламентирани дейтално нормативно са и обществените отношения, свързани с разплащанията</w:t>
      </w:r>
      <w:r w:rsidRPr="007B4A99">
        <w:rPr>
          <w:rStyle w:val="FootnoteReference"/>
          <w:rFonts w:ascii="Times New Roman" w:eastAsia="Calibri" w:hAnsi="Times New Roman" w:cs="Times New Roman"/>
          <w:iCs/>
          <w:noProof/>
          <w:sz w:val="24"/>
          <w:szCs w:val="24"/>
        </w:rPr>
        <w:footnoteReference w:id="31"/>
      </w:r>
      <w:r w:rsidRPr="007B4A99">
        <w:rPr>
          <w:rFonts w:ascii="Times New Roman" w:eastAsia="Calibri" w:hAnsi="Times New Roman" w:cs="Times New Roman"/>
          <w:bCs/>
          <w:iCs/>
          <w:noProof/>
          <w:sz w:val="24"/>
          <w:szCs w:val="24"/>
        </w:rPr>
        <w:t>. Основният срок за плащане между търговци и производители е закрепен на 60 дни от датата на получаване на стоките или услугите, освен ако</w:t>
      </w:r>
      <w:r w:rsidR="009E06B0">
        <w:rPr>
          <w:rFonts w:ascii="Times New Roman" w:eastAsia="Calibri" w:hAnsi="Times New Roman" w:cs="Times New Roman"/>
          <w:bCs/>
          <w:iCs/>
          <w:noProof/>
          <w:sz w:val="24"/>
          <w:szCs w:val="24"/>
        </w:rPr>
        <w:t xml:space="preserve"> няма </w:t>
      </w:r>
      <w:r w:rsidRPr="007B4A99">
        <w:rPr>
          <w:rFonts w:ascii="Times New Roman" w:eastAsia="Calibri" w:hAnsi="Times New Roman" w:cs="Times New Roman"/>
          <w:bCs/>
          <w:iCs/>
          <w:noProof/>
          <w:sz w:val="24"/>
          <w:szCs w:val="24"/>
        </w:rPr>
        <w:t xml:space="preserve"> друга изрична уоговрка. Този срок може да бъде до 90 дни в случаите, когато е изрично договорен между страните и ако условията на договора позволяват такава удължена времева рамка, но това трябва да бъде ясно посочено и прието от двамата участници</w:t>
      </w:r>
      <w:r w:rsidRPr="007B4A99">
        <w:rPr>
          <w:rStyle w:val="FootnoteReference"/>
          <w:rFonts w:ascii="Times New Roman" w:eastAsia="Calibri" w:hAnsi="Times New Roman" w:cs="Times New Roman"/>
          <w:iCs/>
          <w:noProof/>
          <w:sz w:val="24"/>
          <w:szCs w:val="24"/>
        </w:rPr>
        <w:footnoteReference w:id="32"/>
      </w:r>
      <w:r w:rsidRPr="007B4A99">
        <w:rPr>
          <w:rFonts w:ascii="Times New Roman" w:eastAsia="Calibri" w:hAnsi="Times New Roman" w:cs="Times New Roman"/>
          <w:bCs/>
          <w:iCs/>
          <w:noProof/>
          <w:sz w:val="24"/>
          <w:szCs w:val="24"/>
        </w:rPr>
        <w:t>. Ако плащането не бъде извършено в рамките на договорените срокове, производителят или доставчикът могат да изискват заплащане на лихви за просрочие. Страните могат да договорят и разходи за събиране на дълга, като тези разходи също могат да бъдат на тежест на забавилия плащането търговец.</w:t>
      </w:r>
      <w:r w:rsidRPr="007B4A99">
        <w:rPr>
          <w:rFonts w:ascii="Times New Roman" w:eastAsia="Calibri" w:hAnsi="Times New Roman" w:cs="Times New Roman"/>
          <w:b/>
          <w:iCs/>
          <w:noProof/>
          <w:sz w:val="24"/>
          <w:szCs w:val="24"/>
        </w:rPr>
        <w:t xml:space="preserve"> </w:t>
      </w:r>
    </w:p>
    <w:p w14:paraId="7F668387" w14:textId="21D51D1F" w:rsidR="00B73740" w:rsidRDefault="00B73740" w:rsidP="00DD69D5">
      <w:pPr>
        <w:spacing w:after="0" w:line="240" w:lineRule="auto"/>
        <w:ind w:firstLine="567"/>
        <w:jc w:val="both"/>
        <w:rPr>
          <w:rFonts w:ascii="Times New Roman" w:eastAsia="Calibri" w:hAnsi="Times New Roman" w:cs="Times New Roman"/>
          <w:bCs/>
          <w:iCs/>
          <w:noProof/>
          <w:sz w:val="24"/>
          <w:szCs w:val="24"/>
        </w:rPr>
      </w:pPr>
      <w:r>
        <w:rPr>
          <w:rFonts w:ascii="Times New Roman" w:eastAsia="Calibri" w:hAnsi="Times New Roman" w:cs="Times New Roman"/>
          <w:bCs/>
          <w:iCs/>
          <w:noProof/>
          <w:sz w:val="24"/>
          <w:szCs w:val="24"/>
        </w:rPr>
        <w:t>През 2024 г.</w:t>
      </w:r>
      <w:r w:rsidR="00BF2837" w:rsidRPr="007B4A99">
        <w:rPr>
          <w:rFonts w:ascii="Times New Roman" w:eastAsia="Calibri" w:hAnsi="Times New Roman" w:cs="Times New Roman"/>
          <w:bCs/>
          <w:iCs/>
          <w:noProof/>
          <w:sz w:val="24"/>
          <w:szCs w:val="24"/>
        </w:rPr>
        <w:t xml:space="preserve"> в Гърция е въведен</w:t>
      </w:r>
      <w:r w:rsidR="005C29B6">
        <w:rPr>
          <w:rFonts w:ascii="Times New Roman" w:eastAsia="Calibri" w:hAnsi="Times New Roman" w:cs="Times New Roman"/>
          <w:bCs/>
          <w:iCs/>
          <w:noProof/>
          <w:sz w:val="24"/>
          <w:szCs w:val="24"/>
        </w:rPr>
        <w:t xml:space="preserve"> и</w:t>
      </w:r>
      <w:r w:rsidR="00BF2837" w:rsidRPr="007B4A99">
        <w:rPr>
          <w:rFonts w:ascii="Times New Roman" w:eastAsia="Calibri" w:hAnsi="Times New Roman" w:cs="Times New Roman"/>
          <w:bCs/>
          <w:iCs/>
          <w:noProof/>
          <w:sz w:val="24"/>
          <w:szCs w:val="24"/>
        </w:rPr>
        <w:t xml:space="preserve"> </w:t>
      </w:r>
      <w:r w:rsidR="00BF2837" w:rsidRPr="00B73740">
        <w:rPr>
          <w:rFonts w:ascii="Times New Roman" w:eastAsia="Calibri" w:hAnsi="Times New Roman" w:cs="Times New Roman"/>
          <w:bCs/>
          <w:i/>
          <w:iCs/>
          <w:noProof/>
          <w:sz w:val="24"/>
          <w:szCs w:val="24"/>
        </w:rPr>
        <w:t>Етичен кодекс за намаления на цените</w:t>
      </w:r>
      <w:r w:rsidR="00BF2837" w:rsidRPr="007B4A99">
        <w:rPr>
          <w:rFonts w:ascii="Times New Roman" w:eastAsia="Calibri" w:hAnsi="Times New Roman" w:cs="Times New Roman"/>
          <w:bCs/>
          <w:iCs/>
          <w:noProof/>
          <w:sz w:val="24"/>
          <w:szCs w:val="24"/>
        </w:rPr>
        <w:t xml:space="preserve"> с оферти, отстъпки и промоции, с незадължителен храктер. Крайната му цел е предпазването на потребителите от всяка подвеждаща или нелоялна информация за намаления на цените</w:t>
      </w:r>
      <w:r w:rsidR="00BF2837" w:rsidRPr="007B4A99">
        <w:rPr>
          <w:rStyle w:val="FootnoteReference"/>
          <w:rFonts w:ascii="Times New Roman" w:eastAsia="Calibri" w:hAnsi="Times New Roman" w:cs="Times New Roman"/>
          <w:iCs/>
          <w:noProof/>
          <w:sz w:val="24"/>
          <w:szCs w:val="24"/>
        </w:rPr>
        <w:footnoteReference w:id="33"/>
      </w:r>
      <w:r w:rsidR="00BF2837" w:rsidRPr="007B4A99">
        <w:rPr>
          <w:rFonts w:ascii="Times New Roman" w:eastAsia="Calibri" w:hAnsi="Times New Roman" w:cs="Times New Roman"/>
          <w:bCs/>
          <w:iCs/>
          <w:noProof/>
          <w:sz w:val="24"/>
          <w:szCs w:val="24"/>
        </w:rPr>
        <w:t xml:space="preserve">. Кодексът урежда изчерпателно реда и условията за обявяване и </w:t>
      </w:r>
      <w:r w:rsidR="00BF2837" w:rsidRPr="007B4A99">
        <w:rPr>
          <w:rFonts w:ascii="Times New Roman" w:eastAsia="Calibri" w:hAnsi="Times New Roman" w:cs="Times New Roman"/>
          <w:bCs/>
          <w:iCs/>
          <w:noProof/>
          <w:sz w:val="24"/>
          <w:szCs w:val="24"/>
        </w:rPr>
        <w:lastRenderedPageBreak/>
        <w:t xml:space="preserve">провеждане на намаления, като въвежда изисквания за прозрачност, избягване на подвеждащи практики и коректно информиране на потребителите. Освен това, според правилата, промоциите не трябва да подвеждат потребителите или да създават нелоялна конкуренция. Търговците на дребно трябва да спазват разпоредбите на законодателството в областта за конкуренцията и защитата на потребителите, като гарантират прозрачност и честност в своите оферти. Промоциите не трябва да подвеждат потребителите или да създават нелоялна конкуренция. </w:t>
      </w:r>
    </w:p>
    <w:p w14:paraId="54F6D10C" w14:textId="21A68F1A" w:rsidR="00B73740" w:rsidRDefault="00BF2837" w:rsidP="00DD69D5">
      <w:pPr>
        <w:spacing w:after="0" w:line="240" w:lineRule="auto"/>
        <w:ind w:firstLine="567"/>
        <w:jc w:val="both"/>
        <w:rPr>
          <w:rFonts w:ascii="Times New Roman" w:eastAsia="Calibri" w:hAnsi="Times New Roman" w:cs="Times New Roman"/>
          <w:bCs/>
          <w:iCs/>
          <w:noProof/>
          <w:sz w:val="24"/>
          <w:szCs w:val="24"/>
        </w:rPr>
      </w:pPr>
      <w:r w:rsidRPr="007B4A99">
        <w:rPr>
          <w:rFonts w:ascii="Times New Roman" w:eastAsia="Calibri" w:hAnsi="Times New Roman" w:cs="Times New Roman"/>
          <w:bCs/>
          <w:iCs/>
          <w:noProof/>
          <w:sz w:val="24"/>
          <w:szCs w:val="24"/>
        </w:rPr>
        <w:t xml:space="preserve">Новият </w:t>
      </w:r>
      <w:r w:rsidR="005C29B6" w:rsidRPr="007B4A99">
        <w:rPr>
          <w:rFonts w:ascii="Times New Roman" w:eastAsia="Calibri" w:hAnsi="Times New Roman" w:cs="Times New Roman"/>
          <w:bCs/>
          <w:iCs/>
          <w:noProof/>
          <w:sz w:val="24"/>
          <w:szCs w:val="24"/>
        </w:rPr>
        <w:t xml:space="preserve">кодекс </w:t>
      </w:r>
      <w:r w:rsidRPr="007B4A99">
        <w:rPr>
          <w:rFonts w:ascii="Times New Roman" w:eastAsia="Calibri" w:hAnsi="Times New Roman" w:cs="Times New Roman"/>
          <w:bCs/>
          <w:iCs/>
          <w:noProof/>
          <w:sz w:val="24"/>
          <w:szCs w:val="24"/>
        </w:rPr>
        <w:t xml:space="preserve">въвежда и значителни промени, свързани с </w:t>
      </w:r>
      <w:r w:rsidRPr="00B73740">
        <w:rPr>
          <w:rFonts w:ascii="Times New Roman" w:eastAsia="Calibri" w:hAnsi="Times New Roman" w:cs="Times New Roman"/>
          <w:bCs/>
          <w:i/>
          <w:iCs/>
          <w:noProof/>
          <w:sz w:val="24"/>
          <w:szCs w:val="24"/>
        </w:rPr>
        <w:t>начина на определяне и прилагане на референтните цени при намаления</w:t>
      </w:r>
      <w:r w:rsidRPr="007B4A99">
        <w:rPr>
          <w:rFonts w:ascii="Times New Roman" w:eastAsia="Calibri" w:hAnsi="Times New Roman" w:cs="Times New Roman"/>
          <w:bCs/>
          <w:iCs/>
          <w:noProof/>
          <w:sz w:val="24"/>
          <w:szCs w:val="24"/>
        </w:rPr>
        <w:t>. Основният акцент е, че референтната цена вече няма да бъде първоначалната или препоръчителната цена, а най-ниската цена, на която продуктът реално е бил продаван през последните 30 дни. Това правило важи и при последователни или постепенни намаления. Препоръчителната цена не може да се използва като база за намаления, а само за сравнение. Освен това, при продължителност на намалението над 60 дни, то може да бъде счетено за нелоялна практика. За нетрайни продукти правилото за референтна цена не важи. Също така</w:t>
      </w:r>
      <w:r w:rsidR="005C29B6">
        <w:rPr>
          <w:rFonts w:ascii="Times New Roman" w:eastAsia="Calibri" w:hAnsi="Times New Roman" w:cs="Times New Roman"/>
          <w:bCs/>
          <w:iCs/>
          <w:noProof/>
          <w:sz w:val="24"/>
          <w:szCs w:val="24"/>
        </w:rPr>
        <w:t>,</w:t>
      </w:r>
      <w:r w:rsidRPr="007B4A99">
        <w:rPr>
          <w:rFonts w:ascii="Times New Roman" w:eastAsia="Calibri" w:hAnsi="Times New Roman" w:cs="Times New Roman"/>
          <w:bCs/>
          <w:iCs/>
          <w:noProof/>
          <w:sz w:val="24"/>
          <w:szCs w:val="24"/>
        </w:rPr>
        <w:t xml:space="preserve"> забранява </w:t>
      </w:r>
      <w:r w:rsidR="005C29B6" w:rsidRPr="007B4A99">
        <w:rPr>
          <w:rFonts w:ascii="Times New Roman" w:eastAsia="Calibri" w:hAnsi="Times New Roman" w:cs="Times New Roman"/>
          <w:bCs/>
          <w:iCs/>
          <w:noProof/>
          <w:sz w:val="24"/>
          <w:szCs w:val="24"/>
        </w:rPr>
        <w:t xml:space="preserve">се </w:t>
      </w:r>
      <w:r w:rsidRPr="007B4A99">
        <w:rPr>
          <w:rFonts w:ascii="Times New Roman" w:eastAsia="Calibri" w:hAnsi="Times New Roman" w:cs="Times New Roman"/>
          <w:bCs/>
          <w:iCs/>
          <w:noProof/>
          <w:sz w:val="24"/>
          <w:szCs w:val="24"/>
        </w:rPr>
        <w:t xml:space="preserve">повишаването на цените точно преди пакетни оферти, а рекламите тип „примамка“ не трябва да подвеждат относно наличности и условия. Персоналните отстъпки не подлежат на референтно ценообразуване, освен ако обхващат голяма група клиенти. </w:t>
      </w:r>
    </w:p>
    <w:p w14:paraId="014B26D0" w14:textId="24ED8A6A" w:rsidR="00BF2837" w:rsidRDefault="00B73740" w:rsidP="00DD69D5">
      <w:pPr>
        <w:spacing w:after="0" w:line="240" w:lineRule="auto"/>
        <w:ind w:firstLine="567"/>
        <w:jc w:val="both"/>
        <w:rPr>
          <w:rFonts w:ascii="Times New Roman" w:eastAsia="Calibri" w:hAnsi="Times New Roman" w:cs="Times New Roman"/>
          <w:bCs/>
          <w:iCs/>
          <w:noProof/>
          <w:sz w:val="24"/>
          <w:szCs w:val="24"/>
        </w:rPr>
      </w:pPr>
      <w:r>
        <w:rPr>
          <w:rFonts w:ascii="Times New Roman" w:eastAsia="Calibri" w:hAnsi="Times New Roman" w:cs="Times New Roman"/>
          <w:bCs/>
          <w:iCs/>
          <w:noProof/>
          <w:sz w:val="24"/>
          <w:szCs w:val="24"/>
        </w:rPr>
        <w:t>Очакванията са п</w:t>
      </w:r>
      <w:r w:rsidR="00BF2837" w:rsidRPr="007B4A99">
        <w:rPr>
          <w:rFonts w:ascii="Times New Roman" w:eastAsia="Calibri" w:hAnsi="Times New Roman" w:cs="Times New Roman"/>
          <w:bCs/>
          <w:iCs/>
          <w:noProof/>
          <w:sz w:val="24"/>
          <w:szCs w:val="24"/>
        </w:rPr>
        <w:t>ромените да доведат до значителни ограниче</w:t>
      </w:r>
      <w:r w:rsidR="00DA6A77">
        <w:rPr>
          <w:rFonts w:ascii="Times New Roman" w:eastAsia="Calibri" w:hAnsi="Times New Roman" w:cs="Times New Roman"/>
          <w:bCs/>
          <w:iCs/>
          <w:noProof/>
          <w:sz w:val="24"/>
          <w:szCs w:val="24"/>
        </w:rPr>
        <w:t>ния в промоционалните практики,</w:t>
      </w:r>
      <w:r w:rsidR="00BF2837" w:rsidRPr="007B4A99">
        <w:rPr>
          <w:rFonts w:ascii="Times New Roman" w:eastAsia="Calibri" w:hAnsi="Times New Roman" w:cs="Times New Roman"/>
          <w:bCs/>
          <w:iCs/>
          <w:noProof/>
          <w:sz w:val="24"/>
          <w:szCs w:val="24"/>
        </w:rPr>
        <w:t xml:space="preserve"> </w:t>
      </w:r>
      <w:r>
        <w:rPr>
          <w:rFonts w:ascii="Times New Roman" w:eastAsia="Calibri" w:hAnsi="Times New Roman" w:cs="Times New Roman"/>
          <w:bCs/>
          <w:iCs/>
          <w:noProof/>
          <w:sz w:val="24"/>
          <w:szCs w:val="24"/>
        </w:rPr>
        <w:t>да</w:t>
      </w:r>
      <w:r w:rsidR="00BF2837" w:rsidRPr="007B4A99">
        <w:rPr>
          <w:rFonts w:ascii="Times New Roman" w:eastAsia="Calibri" w:hAnsi="Times New Roman" w:cs="Times New Roman"/>
          <w:bCs/>
          <w:iCs/>
          <w:noProof/>
          <w:sz w:val="24"/>
          <w:szCs w:val="24"/>
        </w:rPr>
        <w:t xml:space="preserve"> се намали броят на промоционалните продукти и честотата на офертите, </w:t>
      </w:r>
      <w:r>
        <w:rPr>
          <w:rFonts w:ascii="Times New Roman" w:eastAsia="Calibri" w:hAnsi="Times New Roman" w:cs="Times New Roman"/>
          <w:bCs/>
          <w:iCs/>
          <w:noProof/>
          <w:sz w:val="24"/>
          <w:szCs w:val="24"/>
        </w:rPr>
        <w:t>да</w:t>
      </w:r>
      <w:r w:rsidR="00BF2837" w:rsidRPr="007B4A99">
        <w:rPr>
          <w:rFonts w:ascii="Times New Roman" w:eastAsia="Calibri" w:hAnsi="Times New Roman" w:cs="Times New Roman"/>
          <w:bCs/>
          <w:iCs/>
          <w:noProof/>
          <w:sz w:val="24"/>
          <w:szCs w:val="24"/>
        </w:rPr>
        <w:t xml:space="preserve"> се ограничат </w:t>
      </w:r>
      <w:r w:rsidR="00BF2837" w:rsidRPr="005C29B6">
        <w:rPr>
          <w:rFonts w:ascii="Times New Roman" w:eastAsia="Calibri" w:hAnsi="Times New Roman" w:cs="Times New Roman"/>
          <w:bCs/>
          <w:i/>
          <w:noProof/>
          <w:sz w:val="24"/>
          <w:szCs w:val="24"/>
        </w:rPr>
        <w:t>on pack</w:t>
      </w:r>
      <w:r w:rsidR="00BF2837" w:rsidRPr="007B4A99">
        <w:rPr>
          <w:rFonts w:ascii="Times New Roman" w:eastAsia="Calibri" w:hAnsi="Times New Roman" w:cs="Times New Roman"/>
          <w:bCs/>
          <w:iCs/>
          <w:noProof/>
          <w:sz w:val="24"/>
          <w:szCs w:val="24"/>
        </w:rPr>
        <w:t xml:space="preserve"> промоциите и стикерите (като „1+1 безплатно“, „3 на цената на 2“ и др.), освен ако производителят не контролира тяхното поставяне и изтегляне в срок. Офертите трябва да се правят в сътрудничество със супермаркетите и с контролирана продължителност поради нуждата от промени в производствените линии. Онлайн и физическите магазини следва бъдат равнопоставени по отношение на прилагането на новите правила, като всички несъответствия с </w:t>
      </w:r>
      <w:r w:rsidR="00DA6A77" w:rsidRPr="007B4A99">
        <w:rPr>
          <w:rFonts w:ascii="Times New Roman" w:eastAsia="Calibri" w:hAnsi="Times New Roman" w:cs="Times New Roman"/>
          <w:bCs/>
          <w:iCs/>
          <w:noProof/>
          <w:sz w:val="24"/>
          <w:szCs w:val="24"/>
        </w:rPr>
        <w:t xml:space="preserve">кодекса </w:t>
      </w:r>
      <w:r w:rsidR="00BF2837" w:rsidRPr="007B4A99">
        <w:rPr>
          <w:rFonts w:ascii="Times New Roman" w:eastAsia="Calibri" w:hAnsi="Times New Roman" w:cs="Times New Roman"/>
          <w:bCs/>
          <w:iCs/>
          <w:noProof/>
          <w:sz w:val="24"/>
          <w:szCs w:val="24"/>
        </w:rPr>
        <w:t>ще се считат за нелоялна търговска. Според данните, на практика, ме</w:t>
      </w:r>
      <w:r w:rsidR="0033146E">
        <w:rPr>
          <w:rFonts w:ascii="Times New Roman" w:eastAsia="Calibri" w:hAnsi="Times New Roman" w:cs="Times New Roman"/>
          <w:bCs/>
          <w:iCs/>
          <w:noProof/>
          <w:sz w:val="24"/>
          <w:szCs w:val="24"/>
        </w:rPr>
        <w:t>рките вече показват резултати. П</w:t>
      </w:r>
      <w:r w:rsidR="00BF2837" w:rsidRPr="007B4A99">
        <w:rPr>
          <w:rFonts w:ascii="Times New Roman" w:eastAsia="Calibri" w:hAnsi="Times New Roman" w:cs="Times New Roman"/>
          <w:bCs/>
          <w:iCs/>
          <w:noProof/>
          <w:sz w:val="24"/>
          <w:szCs w:val="24"/>
        </w:rPr>
        <w:t xml:space="preserve">рез 2024 г. е отчетено </w:t>
      </w:r>
      <w:r w:rsidR="00BF2837" w:rsidRPr="0033146E">
        <w:rPr>
          <w:rFonts w:ascii="Times New Roman" w:eastAsia="Calibri" w:hAnsi="Times New Roman" w:cs="Times New Roman"/>
          <w:bCs/>
          <w:i/>
          <w:iCs/>
          <w:noProof/>
          <w:sz w:val="24"/>
          <w:szCs w:val="24"/>
        </w:rPr>
        <w:t>средно намаление на цените</w:t>
      </w:r>
      <w:r w:rsidR="00BF2837" w:rsidRPr="007B4A99">
        <w:rPr>
          <w:rFonts w:ascii="Times New Roman" w:eastAsia="Calibri" w:hAnsi="Times New Roman" w:cs="Times New Roman"/>
          <w:bCs/>
          <w:iCs/>
          <w:noProof/>
          <w:sz w:val="24"/>
          <w:szCs w:val="24"/>
        </w:rPr>
        <w:t xml:space="preserve"> на стоки</w:t>
      </w:r>
      <w:r w:rsidR="00DA6A77">
        <w:rPr>
          <w:rFonts w:ascii="Times New Roman" w:eastAsia="Calibri" w:hAnsi="Times New Roman" w:cs="Times New Roman"/>
          <w:bCs/>
          <w:iCs/>
          <w:noProof/>
          <w:sz w:val="24"/>
          <w:szCs w:val="24"/>
        </w:rPr>
        <w:t xml:space="preserve">те в </w:t>
      </w:r>
      <w:r w:rsidR="00DA6A77" w:rsidRPr="007B4A99">
        <w:rPr>
          <w:rFonts w:ascii="Times New Roman" w:eastAsia="Calibri" w:hAnsi="Times New Roman" w:cs="Times New Roman"/>
          <w:bCs/>
          <w:iCs/>
          <w:noProof/>
          <w:sz w:val="24"/>
          <w:szCs w:val="24"/>
        </w:rPr>
        <w:t>супермаркет</w:t>
      </w:r>
      <w:r w:rsidR="00DA6A77">
        <w:rPr>
          <w:rFonts w:ascii="Times New Roman" w:eastAsia="Calibri" w:hAnsi="Times New Roman" w:cs="Times New Roman"/>
          <w:bCs/>
          <w:iCs/>
          <w:noProof/>
          <w:sz w:val="24"/>
          <w:szCs w:val="24"/>
        </w:rPr>
        <w:t>ите</w:t>
      </w:r>
      <w:r w:rsidR="00BF2837" w:rsidRPr="007B4A99">
        <w:rPr>
          <w:rFonts w:ascii="Times New Roman" w:eastAsia="Calibri" w:hAnsi="Times New Roman" w:cs="Times New Roman"/>
          <w:bCs/>
          <w:iCs/>
          <w:noProof/>
          <w:sz w:val="24"/>
          <w:szCs w:val="24"/>
        </w:rPr>
        <w:t xml:space="preserve"> с 0.94% спрямо предходната година, както и </w:t>
      </w:r>
      <w:r w:rsidR="00BF2837" w:rsidRPr="0033146E">
        <w:rPr>
          <w:rFonts w:ascii="Times New Roman" w:eastAsia="Calibri" w:hAnsi="Times New Roman" w:cs="Times New Roman"/>
          <w:bCs/>
          <w:i/>
          <w:iCs/>
          <w:noProof/>
          <w:sz w:val="24"/>
          <w:szCs w:val="24"/>
        </w:rPr>
        <w:t>стабилизация на ценовите нива</w:t>
      </w:r>
      <w:r w:rsidR="00BF2837" w:rsidRPr="007B4A99">
        <w:rPr>
          <w:rFonts w:ascii="Times New Roman" w:eastAsia="Calibri" w:hAnsi="Times New Roman" w:cs="Times New Roman"/>
          <w:bCs/>
          <w:iCs/>
          <w:noProof/>
          <w:sz w:val="24"/>
          <w:szCs w:val="24"/>
        </w:rPr>
        <w:t xml:space="preserve">. Очаква се адаптацията към новите правила да доведе до </w:t>
      </w:r>
      <w:r w:rsidR="00BF2837" w:rsidRPr="00DA6A77">
        <w:rPr>
          <w:rFonts w:ascii="Times New Roman" w:eastAsia="Calibri" w:hAnsi="Times New Roman" w:cs="Times New Roman"/>
          <w:bCs/>
          <w:i/>
          <w:iCs/>
          <w:noProof/>
          <w:sz w:val="24"/>
          <w:szCs w:val="24"/>
        </w:rPr>
        <w:t>по-устойчива и прозрачна търговска среда</w:t>
      </w:r>
      <w:r w:rsidR="00BF2837" w:rsidRPr="007B4A99">
        <w:rPr>
          <w:rFonts w:ascii="Times New Roman" w:eastAsia="Calibri" w:hAnsi="Times New Roman" w:cs="Times New Roman"/>
          <w:bCs/>
          <w:iCs/>
          <w:noProof/>
          <w:sz w:val="24"/>
          <w:szCs w:val="24"/>
        </w:rPr>
        <w:t xml:space="preserve"> с ограничени възможности за спекулации и злоупотреби</w:t>
      </w:r>
      <w:r w:rsidR="00BF2837" w:rsidRPr="007B4A99">
        <w:rPr>
          <w:rStyle w:val="FootnoteReference"/>
          <w:rFonts w:ascii="Times New Roman" w:eastAsia="Calibri" w:hAnsi="Times New Roman" w:cs="Times New Roman"/>
          <w:iCs/>
          <w:noProof/>
          <w:sz w:val="24"/>
          <w:szCs w:val="24"/>
        </w:rPr>
        <w:footnoteReference w:id="34"/>
      </w:r>
      <w:r w:rsidR="00BF2837" w:rsidRPr="007B4A99">
        <w:rPr>
          <w:rFonts w:ascii="Times New Roman" w:eastAsia="Calibri" w:hAnsi="Times New Roman" w:cs="Times New Roman"/>
          <w:bCs/>
          <w:iCs/>
          <w:noProof/>
          <w:sz w:val="24"/>
          <w:szCs w:val="24"/>
        </w:rPr>
        <w:t>.</w:t>
      </w:r>
    </w:p>
    <w:p w14:paraId="3AB5620C" w14:textId="589E35A9" w:rsidR="001D4156" w:rsidRPr="007B4A99" w:rsidRDefault="001D4156" w:rsidP="005C29B6">
      <w:pPr>
        <w:spacing w:after="0" w:line="240" w:lineRule="auto"/>
        <w:jc w:val="both"/>
        <w:rPr>
          <w:rFonts w:ascii="Times New Roman" w:eastAsia="Calibri" w:hAnsi="Times New Roman" w:cs="Times New Roman"/>
          <w:bCs/>
          <w:iCs/>
          <w:noProof/>
          <w:sz w:val="24"/>
          <w:szCs w:val="24"/>
        </w:rPr>
      </w:pPr>
    </w:p>
    <w:p w14:paraId="54C2BA57" w14:textId="34C99161" w:rsidR="00BF2837" w:rsidRPr="007B4A99" w:rsidRDefault="00BF2837" w:rsidP="00DD69D5">
      <w:pPr>
        <w:spacing w:after="0" w:line="240" w:lineRule="auto"/>
        <w:ind w:firstLine="567"/>
        <w:jc w:val="both"/>
        <w:rPr>
          <w:rFonts w:ascii="Times New Roman" w:eastAsia="Calibri" w:hAnsi="Times New Roman" w:cs="Times New Roman"/>
          <w:bCs/>
          <w:i/>
          <w:iCs/>
          <w:noProof/>
          <w:sz w:val="24"/>
          <w:szCs w:val="24"/>
        </w:rPr>
      </w:pPr>
      <w:r w:rsidRPr="007B4A99">
        <w:rPr>
          <w:rFonts w:ascii="Times New Roman" w:eastAsia="Calibri" w:hAnsi="Times New Roman" w:cs="Times New Roman"/>
          <w:b/>
          <w:i/>
          <w:iCs/>
          <w:noProof/>
          <w:sz w:val="24"/>
          <w:szCs w:val="24"/>
        </w:rPr>
        <w:t>Румъния</w:t>
      </w:r>
    </w:p>
    <w:p w14:paraId="7DB6264B" w14:textId="77777777" w:rsidR="0033146E" w:rsidRDefault="00BF2837" w:rsidP="00DD69D5">
      <w:pPr>
        <w:spacing w:after="0" w:line="240" w:lineRule="auto"/>
        <w:ind w:firstLine="567"/>
        <w:jc w:val="both"/>
        <w:rPr>
          <w:rFonts w:ascii="Times New Roman" w:eastAsia="Calibri" w:hAnsi="Times New Roman" w:cs="Times New Roman"/>
          <w:iCs/>
          <w:noProof/>
          <w:color w:val="000000"/>
          <w:sz w:val="24"/>
          <w:szCs w:val="24"/>
        </w:rPr>
      </w:pPr>
      <w:r w:rsidRPr="007B4A99">
        <w:rPr>
          <w:rFonts w:ascii="Times New Roman" w:eastAsia="Calibri" w:hAnsi="Times New Roman" w:cs="Times New Roman"/>
          <w:iCs/>
          <w:noProof/>
          <w:sz w:val="24"/>
          <w:szCs w:val="24"/>
        </w:rPr>
        <w:t>Румъния</w:t>
      </w:r>
      <w:r w:rsidRPr="007B4A99">
        <w:rPr>
          <w:rFonts w:ascii="Times New Roman" w:eastAsia="Calibri" w:hAnsi="Times New Roman" w:cs="Times New Roman"/>
          <w:b/>
          <w:iCs/>
          <w:noProof/>
          <w:sz w:val="24"/>
          <w:szCs w:val="24"/>
        </w:rPr>
        <w:t xml:space="preserve"> </w:t>
      </w:r>
      <w:r w:rsidRPr="007B4A99">
        <w:rPr>
          <w:rFonts w:ascii="Times New Roman" w:eastAsia="Calibri" w:hAnsi="Times New Roman" w:cs="Times New Roman"/>
          <w:bCs/>
          <w:iCs/>
          <w:noProof/>
          <w:sz w:val="24"/>
          <w:szCs w:val="24"/>
        </w:rPr>
        <w:t xml:space="preserve">прилага </w:t>
      </w:r>
      <w:r w:rsidRPr="0033146E">
        <w:rPr>
          <w:rFonts w:ascii="Times New Roman" w:eastAsia="Calibri" w:hAnsi="Times New Roman" w:cs="Times New Roman"/>
          <w:bCs/>
          <w:i/>
          <w:iCs/>
          <w:noProof/>
          <w:sz w:val="24"/>
          <w:szCs w:val="24"/>
        </w:rPr>
        <w:t>извънредни регулации върху търговските надценки</w:t>
      </w:r>
      <w:r w:rsidRPr="007B4A99">
        <w:rPr>
          <w:rFonts w:ascii="Times New Roman" w:eastAsia="Calibri" w:hAnsi="Times New Roman" w:cs="Times New Roman"/>
          <w:bCs/>
          <w:iCs/>
          <w:noProof/>
          <w:sz w:val="24"/>
          <w:szCs w:val="24"/>
        </w:rPr>
        <w:t xml:space="preserve"> за определени основни хранителни продукти, с цел овладяване на цените и защита на потребителите. Законодателството предвижда </w:t>
      </w:r>
      <w:r w:rsidRPr="0033146E">
        <w:rPr>
          <w:rFonts w:ascii="Times New Roman" w:eastAsia="Calibri" w:hAnsi="Times New Roman" w:cs="Times New Roman"/>
          <w:bCs/>
          <w:i/>
          <w:iCs/>
          <w:noProof/>
          <w:sz w:val="24"/>
          <w:szCs w:val="24"/>
        </w:rPr>
        <w:t>максимални проценти на надценка</w:t>
      </w:r>
      <w:r w:rsidRPr="007B4A99">
        <w:rPr>
          <w:rFonts w:ascii="Times New Roman" w:eastAsia="Calibri" w:hAnsi="Times New Roman" w:cs="Times New Roman"/>
          <w:bCs/>
          <w:iCs/>
          <w:noProof/>
          <w:sz w:val="24"/>
          <w:szCs w:val="24"/>
        </w:rPr>
        <w:t xml:space="preserve"> по цялата верига на доставки и задължава търговците да спазват срокове за плащане. За целта, държавата разчита както на детайлно законодателство, така и на осъществяването на стриктен контрол. </w:t>
      </w:r>
      <w:r w:rsidRPr="007B4A99">
        <w:rPr>
          <w:rFonts w:ascii="Times New Roman" w:eastAsia="Calibri" w:hAnsi="Times New Roman" w:cs="Times New Roman"/>
          <w:iCs/>
          <w:noProof/>
          <w:color w:val="000000"/>
          <w:sz w:val="24"/>
          <w:szCs w:val="24"/>
        </w:rPr>
        <w:t xml:space="preserve">През 2023 г., в отговор на последиците от високата инфлация и пазарните сътресения, румънското правителство приема Извънредна наредба № 67/2023, с която въвежда временни мерки срещу прекомерното </w:t>
      </w:r>
      <w:r w:rsidRPr="007B4A99">
        <w:rPr>
          <w:rFonts w:ascii="Times New Roman" w:eastAsia="Calibri" w:hAnsi="Times New Roman" w:cs="Times New Roman"/>
          <w:iCs/>
          <w:noProof/>
          <w:color w:val="000000"/>
          <w:sz w:val="24"/>
          <w:szCs w:val="24"/>
        </w:rPr>
        <w:lastRenderedPageBreak/>
        <w:t xml:space="preserve">увеличение на цените на определени селскостопански и хранителни продукти. Мярката е продиктувана от извънредната ситуация, свързана с войната в Украйна и последвалото рязко поскъпване на енергията и суровините. </w:t>
      </w:r>
    </w:p>
    <w:p w14:paraId="7653CEE9" w14:textId="21C2E12C" w:rsidR="0033146E" w:rsidRDefault="00BF2837" w:rsidP="00DD69D5">
      <w:pPr>
        <w:spacing w:after="0" w:line="240" w:lineRule="auto"/>
        <w:ind w:firstLine="567"/>
        <w:jc w:val="both"/>
        <w:rPr>
          <w:rFonts w:ascii="Times New Roman" w:eastAsia="Calibri" w:hAnsi="Times New Roman" w:cs="Times New Roman"/>
          <w:iCs/>
          <w:noProof/>
          <w:color w:val="000000"/>
          <w:sz w:val="24"/>
          <w:szCs w:val="24"/>
        </w:rPr>
      </w:pPr>
      <w:r w:rsidRPr="007B4A99">
        <w:rPr>
          <w:rFonts w:ascii="Times New Roman" w:eastAsia="Calibri" w:hAnsi="Times New Roman" w:cs="Times New Roman"/>
          <w:iCs/>
          <w:noProof/>
          <w:color w:val="000000"/>
          <w:sz w:val="24"/>
          <w:szCs w:val="24"/>
        </w:rPr>
        <w:t xml:space="preserve">С цел защита на обществения интерес, стабилността на потреблението и подкрепа на икономическата активност, се въвежда регулация за </w:t>
      </w:r>
      <w:r w:rsidRPr="0033146E">
        <w:rPr>
          <w:rFonts w:ascii="Times New Roman" w:eastAsia="Calibri" w:hAnsi="Times New Roman" w:cs="Times New Roman"/>
          <w:i/>
          <w:iCs/>
          <w:noProof/>
          <w:color w:val="000000"/>
          <w:sz w:val="24"/>
          <w:szCs w:val="24"/>
        </w:rPr>
        <w:t>ограничаване на ценовия натиск върху основни стоки от първа необходимост</w:t>
      </w:r>
      <w:r w:rsidRPr="007B4A99">
        <w:rPr>
          <w:rFonts w:ascii="Times New Roman" w:eastAsia="Calibri" w:hAnsi="Times New Roman" w:cs="Times New Roman"/>
          <w:iCs/>
          <w:noProof/>
          <w:color w:val="000000"/>
          <w:sz w:val="24"/>
          <w:szCs w:val="24"/>
        </w:rPr>
        <w:t xml:space="preserve">. Румъния въвежда временна мярка за ограничаване на цените на </w:t>
      </w:r>
      <w:r w:rsidRPr="0033146E">
        <w:rPr>
          <w:rFonts w:ascii="Times New Roman" w:eastAsia="Calibri" w:hAnsi="Times New Roman" w:cs="Times New Roman"/>
          <w:i/>
          <w:iCs/>
          <w:noProof/>
          <w:color w:val="000000"/>
          <w:sz w:val="24"/>
          <w:szCs w:val="24"/>
        </w:rPr>
        <w:t>14 групи основни храни</w:t>
      </w:r>
      <w:r w:rsidRPr="007B4A99">
        <w:rPr>
          <w:rFonts w:ascii="Times New Roman" w:eastAsia="Calibri" w:hAnsi="Times New Roman" w:cs="Times New Roman"/>
          <w:iCs/>
          <w:noProof/>
          <w:color w:val="000000"/>
          <w:sz w:val="24"/>
          <w:szCs w:val="24"/>
        </w:rPr>
        <w:t xml:space="preserve"> (вкл. хляб, мляко, месо, зеленчуци и др.) за срок от три месеца, с цел защита на потребителите след енергийна</w:t>
      </w:r>
      <w:r w:rsidR="00DA6A77">
        <w:rPr>
          <w:rFonts w:ascii="Times New Roman" w:eastAsia="Calibri" w:hAnsi="Times New Roman" w:cs="Times New Roman"/>
          <w:iCs/>
          <w:noProof/>
          <w:color w:val="000000"/>
          <w:sz w:val="24"/>
          <w:szCs w:val="24"/>
        </w:rPr>
        <w:t>та</w:t>
      </w:r>
      <w:r w:rsidRPr="007B4A99">
        <w:rPr>
          <w:rFonts w:ascii="Times New Roman" w:eastAsia="Calibri" w:hAnsi="Times New Roman" w:cs="Times New Roman"/>
          <w:iCs/>
          <w:noProof/>
          <w:color w:val="000000"/>
          <w:sz w:val="24"/>
          <w:szCs w:val="24"/>
        </w:rPr>
        <w:t xml:space="preserve"> криза и ръст</w:t>
      </w:r>
      <w:r w:rsidR="00DA6A77">
        <w:rPr>
          <w:rFonts w:ascii="Times New Roman" w:eastAsia="Calibri" w:hAnsi="Times New Roman" w:cs="Times New Roman"/>
          <w:iCs/>
          <w:noProof/>
          <w:color w:val="000000"/>
          <w:sz w:val="24"/>
          <w:szCs w:val="24"/>
        </w:rPr>
        <w:t>а</w:t>
      </w:r>
      <w:r w:rsidRPr="007B4A99">
        <w:rPr>
          <w:rFonts w:ascii="Times New Roman" w:eastAsia="Calibri" w:hAnsi="Times New Roman" w:cs="Times New Roman"/>
          <w:iCs/>
          <w:noProof/>
          <w:color w:val="000000"/>
          <w:sz w:val="24"/>
          <w:szCs w:val="24"/>
        </w:rPr>
        <w:t xml:space="preserve"> на цените. Мярката обхваща всички икономически оператори </w:t>
      </w:r>
      <w:r w:rsidR="00B50769">
        <w:rPr>
          <w:rFonts w:ascii="Times New Roman" w:eastAsia="Calibri" w:hAnsi="Times New Roman" w:cs="Times New Roman"/>
          <w:iCs/>
          <w:noProof/>
          <w:color w:val="000000"/>
          <w:sz w:val="24"/>
          <w:szCs w:val="24"/>
        </w:rPr>
        <w:t>по</w:t>
      </w:r>
      <w:r w:rsidR="00B50769" w:rsidRPr="007B4A99">
        <w:rPr>
          <w:rFonts w:ascii="Times New Roman" w:eastAsia="Calibri" w:hAnsi="Times New Roman" w:cs="Times New Roman"/>
          <w:iCs/>
          <w:noProof/>
          <w:color w:val="000000"/>
          <w:sz w:val="24"/>
          <w:szCs w:val="24"/>
        </w:rPr>
        <w:t xml:space="preserve"> </w:t>
      </w:r>
      <w:r w:rsidRPr="007B4A99">
        <w:rPr>
          <w:rFonts w:ascii="Times New Roman" w:eastAsia="Calibri" w:hAnsi="Times New Roman" w:cs="Times New Roman"/>
          <w:iCs/>
          <w:noProof/>
          <w:color w:val="000000"/>
          <w:sz w:val="24"/>
          <w:szCs w:val="24"/>
        </w:rPr>
        <w:t>верига</w:t>
      </w:r>
      <w:r w:rsidR="00B50769">
        <w:rPr>
          <w:rFonts w:ascii="Times New Roman" w:eastAsia="Calibri" w:hAnsi="Times New Roman" w:cs="Times New Roman"/>
          <w:iCs/>
          <w:noProof/>
          <w:color w:val="000000"/>
          <w:sz w:val="24"/>
          <w:szCs w:val="24"/>
        </w:rPr>
        <w:t>та</w:t>
      </w:r>
      <w:r w:rsidR="00DA6A77">
        <w:rPr>
          <w:rFonts w:ascii="Times New Roman" w:eastAsia="Calibri" w:hAnsi="Times New Roman" w:cs="Times New Roman"/>
          <w:iCs/>
          <w:noProof/>
          <w:color w:val="000000"/>
          <w:sz w:val="24"/>
          <w:szCs w:val="24"/>
        </w:rPr>
        <w:t xml:space="preserve"> на доставки</w:t>
      </w:r>
      <w:r w:rsidRPr="007B4A99">
        <w:rPr>
          <w:rFonts w:ascii="Times New Roman" w:eastAsia="Calibri" w:hAnsi="Times New Roman" w:cs="Times New Roman"/>
          <w:iCs/>
          <w:noProof/>
          <w:color w:val="000000"/>
          <w:sz w:val="24"/>
          <w:szCs w:val="24"/>
        </w:rPr>
        <w:t xml:space="preserve"> и предвижда глоби между 100 000 и 2 000 000 леи (20 000 – 400 000 евро)</w:t>
      </w:r>
      <w:r w:rsidR="00DA6A77" w:rsidRPr="00DA6A77">
        <w:rPr>
          <w:rFonts w:ascii="Times New Roman" w:eastAsia="Calibri" w:hAnsi="Times New Roman" w:cs="Times New Roman"/>
          <w:iCs/>
          <w:noProof/>
          <w:color w:val="000000"/>
          <w:sz w:val="24"/>
          <w:szCs w:val="24"/>
        </w:rPr>
        <w:t xml:space="preserve"> </w:t>
      </w:r>
      <w:r w:rsidR="00DA6A77" w:rsidRPr="007B4A99">
        <w:rPr>
          <w:rFonts w:ascii="Times New Roman" w:eastAsia="Calibri" w:hAnsi="Times New Roman" w:cs="Times New Roman"/>
          <w:iCs/>
          <w:noProof/>
          <w:color w:val="000000"/>
          <w:sz w:val="24"/>
          <w:szCs w:val="24"/>
        </w:rPr>
        <w:t>при нарушения</w:t>
      </w:r>
      <w:r w:rsidRPr="007B4A99">
        <w:rPr>
          <w:rFonts w:ascii="Times New Roman" w:eastAsia="Calibri" w:hAnsi="Times New Roman" w:cs="Times New Roman"/>
          <w:iCs/>
          <w:noProof/>
          <w:color w:val="000000"/>
          <w:sz w:val="24"/>
          <w:szCs w:val="24"/>
        </w:rPr>
        <w:t xml:space="preserve">. Седмица след въвеждането на правилата се отчита </w:t>
      </w:r>
      <w:r w:rsidRPr="00DA6A77">
        <w:rPr>
          <w:rFonts w:ascii="Times New Roman" w:eastAsia="Calibri" w:hAnsi="Times New Roman" w:cs="Times New Roman"/>
          <w:i/>
          <w:iCs/>
          <w:noProof/>
          <w:color w:val="000000"/>
          <w:sz w:val="24"/>
          <w:szCs w:val="24"/>
        </w:rPr>
        <w:t>спад в цените</w:t>
      </w:r>
      <w:r w:rsidRPr="007B4A99">
        <w:rPr>
          <w:rFonts w:ascii="Times New Roman" w:eastAsia="Calibri" w:hAnsi="Times New Roman" w:cs="Times New Roman"/>
          <w:iCs/>
          <w:noProof/>
          <w:color w:val="000000"/>
          <w:sz w:val="24"/>
          <w:szCs w:val="24"/>
        </w:rPr>
        <w:t xml:space="preserve"> до 34% при плодовете и зеленчуците и до 12% при месни и млечни продукти</w:t>
      </w:r>
      <w:r w:rsidRPr="007B4A99">
        <w:rPr>
          <w:rStyle w:val="FootnoteReference"/>
          <w:rFonts w:ascii="Times New Roman" w:eastAsia="Calibri" w:hAnsi="Times New Roman" w:cs="Times New Roman"/>
          <w:iCs/>
          <w:noProof/>
          <w:color w:val="000000"/>
          <w:sz w:val="24"/>
          <w:szCs w:val="24"/>
        </w:rPr>
        <w:footnoteReference w:id="35"/>
      </w:r>
      <w:r w:rsidRPr="007B4A99">
        <w:rPr>
          <w:rFonts w:ascii="Times New Roman" w:eastAsia="Calibri" w:hAnsi="Times New Roman" w:cs="Times New Roman"/>
          <w:iCs/>
          <w:noProof/>
          <w:color w:val="000000"/>
          <w:sz w:val="24"/>
          <w:szCs w:val="24"/>
        </w:rPr>
        <w:t xml:space="preserve">. </w:t>
      </w:r>
    </w:p>
    <w:p w14:paraId="33FA0515" w14:textId="6A54538E" w:rsidR="0033146E" w:rsidRDefault="00BF2837" w:rsidP="00DD69D5">
      <w:pPr>
        <w:spacing w:after="0" w:line="240" w:lineRule="auto"/>
        <w:ind w:firstLine="567"/>
        <w:jc w:val="both"/>
        <w:rPr>
          <w:rFonts w:ascii="Times New Roman" w:eastAsia="Calibri" w:hAnsi="Times New Roman" w:cs="Times New Roman"/>
          <w:iCs/>
          <w:noProof/>
          <w:color w:val="000000"/>
          <w:sz w:val="24"/>
          <w:szCs w:val="24"/>
        </w:rPr>
      </w:pPr>
      <w:r w:rsidRPr="007B4A99">
        <w:rPr>
          <w:rFonts w:ascii="Times New Roman" w:eastAsia="Calibri" w:hAnsi="Times New Roman" w:cs="Times New Roman"/>
          <w:iCs/>
          <w:noProof/>
          <w:color w:val="000000"/>
          <w:sz w:val="24"/>
          <w:szCs w:val="24"/>
        </w:rPr>
        <w:t xml:space="preserve">Според външни оценки към февруари 2024 г., се отбелязва намаление на средните цени в големите търговски вериги за почти всички регулирани хранителни продукти след влизането в сила на мерките. Отчита се средно 11% намаление на разходите за стоки и услуги, необходими за достоен живот на семейство с две деца. С оглед на това, мерките за регулиране на </w:t>
      </w:r>
      <w:r w:rsidR="0033146E" w:rsidRPr="0033146E">
        <w:rPr>
          <w:rFonts w:ascii="Times New Roman" w:eastAsia="Calibri" w:hAnsi="Times New Roman" w:cs="Times New Roman"/>
          <w:iCs/>
          <w:noProof/>
          <w:color w:val="000000"/>
          <w:sz w:val="24"/>
          <w:szCs w:val="24"/>
        </w:rPr>
        <w:t>веригата на доставки</w:t>
      </w:r>
      <w:r w:rsidR="0033146E">
        <w:rPr>
          <w:rFonts w:ascii="Times New Roman" w:eastAsia="Calibri" w:hAnsi="Times New Roman" w:cs="Times New Roman"/>
          <w:iCs/>
          <w:noProof/>
          <w:color w:val="000000"/>
          <w:sz w:val="24"/>
          <w:szCs w:val="24"/>
        </w:rPr>
        <w:t xml:space="preserve"> на земеделски продукти и храни </w:t>
      </w:r>
      <w:r w:rsidRPr="007B4A99">
        <w:rPr>
          <w:rFonts w:ascii="Times New Roman" w:eastAsia="Calibri" w:hAnsi="Times New Roman" w:cs="Times New Roman"/>
          <w:iCs/>
          <w:noProof/>
          <w:color w:val="000000"/>
          <w:sz w:val="24"/>
          <w:szCs w:val="24"/>
        </w:rPr>
        <w:t xml:space="preserve">биват </w:t>
      </w:r>
      <w:r w:rsidR="00DA6A77">
        <w:rPr>
          <w:rFonts w:ascii="Times New Roman" w:eastAsia="Calibri" w:hAnsi="Times New Roman" w:cs="Times New Roman"/>
          <w:iCs/>
          <w:noProof/>
          <w:color w:val="000000"/>
          <w:sz w:val="24"/>
          <w:szCs w:val="24"/>
        </w:rPr>
        <w:t>допълнени</w:t>
      </w:r>
      <w:r w:rsidRPr="007B4A99">
        <w:rPr>
          <w:rFonts w:ascii="Times New Roman" w:eastAsia="Calibri" w:hAnsi="Times New Roman" w:cs="Times New Roman"/>
          <w:iCs/>
          <w:noProof/>
          <w:color w:val="000000"/>
          <w:sz w:val="24"/>
          <w:szCs w:val="24"/>
        </w:rPr>
        <w:t xml:space="preserve"> и удължени с последваща наредба, като продуктите в списъка се увеличават на 21. </w:t>
      </w:r>
    </w:p>
    <w:p w14:paraId="6B2A017F" w14:textId="42755E4D" w:rsidR="0033146E" w:rsidRDefault="00BF2837" w:rsidP="00DD69D5">
      <w:pPr>
        <w:spacing w:after="0" w:line="240" w:lineRule="auto"/>
        <w:ind w:firstLine="567"/>
        <w:jc w:val="both"/>
        <w:rPr>
          <w:rFonts w:ascii="Times New Roman" w:eastAsia="Calibri" w:hAnsi="Times New Roman" w:cs="Times New Roman"/>
          <w:iCs/>
          <w:noProof/>
          <w:color w:val="000000"/>
          <w:sz w:val="24"/>
          <w:szCs w:val="24"/>
        </w:rPr>
      </w:pPr>
      <w:r w:rsidRPr="007B4A99">
        <w:rPr>
          <w:rFonts w:ascii="Times New Roman" w:eastAsia="Calibri" w:hAnsi="Times New Roman" w:cs="Times New Roman"/>
          <w:iCs/>
          <w:noProof/>
          <w:color w:val="000000"/>
          <w:sz w:val="24"/>
          <w:szCs w:val="24"/>
        </w:rPr>
        <w:t>В последствие, мярката за ограничаване на прекомерното поскъпване на определени селскостопански и хранителни продукти бива удължена до края на 2024 г. с приемането на Закон № 63/2024, който изменя и допълва Извънредна наредба № 5/2024 и Наредба № 67/2023. По този начин се продължава действието на ограниченията върху търговските надценки по цялата верига на доставки до 31 декември 2024 г.</w:t>
      </w:r>
      <w:r w:rsidRPr="007B4A99">
        <w:rPr>
          <w:rFonts w:ascii="Times New Roman" w:hAnsi="Times New Roman" w:cs="Times New Roman"/>
          <w:noProof/>
          <w:sz w:val="24"/>
          <w:szCs w:val="24"/>
        </w:rPr>
        <w:t xml:space="preserve"> </w:t>
      </w:r>
      <w:r w:rsidRPr="007B4A99">
        <w:rPr>
          <w:rFonts w:ascii="Times New Roman" w:eastAsia="Calibri" w:hAnsi="Times New Roman" w:cs="Times New Roman"/>
          <w:iCs/>
          <w:noProof/>
          <w:color w:val="000000"/>
          <w:sz w:val="24"/>
          <w:szCs w:val="24"/>
        </w:rPr>
        <w:t xml:space="preserve">На 18 декември правителството отново удължава мерките до средата на 2025 г. Така, към настоящия момент, за избрани </w:t>
      </w:r>
      <w:r w:rsidRPr="0033146E">
        <w:rPr>
          <w:rFonts w:ascii="Times New Roman" w:eastAsia="Calibri" w:hAnsi="Times New Roman" w:cs="Times New Roman"/>
          <w:i/>
          <w:iCs/>
          <w:noProof/>
          <w:color w:val="000000"/>
          <w:sz w:val="24"/>
          <w:szCs w:val="24"/>
        </w:rPr>
        <w:t>21 селскостопански и хранителни продукти</w:t>
      </w:r>
      <w:r w:rsidRPr="007B4A99">
        <w:rPr>
          <w:rFonts w:ascii="Times New Roman" w:eastAsia="Calibri" w:hAnsi="Times New Roman" w:cs="Times New Roman"/>
          <w:iCs/>
          <w:noProof/>
          <w:color w:val="000000"/>
          <w:sz w:val="24"/>
          <w:szCs w:val="24"/>
        </w:rPr>
        <w:t xml:space="preserve"> (вкл. бял хляб, брашно, захар месни и млечни продукти и др.), представляващи основната потребителска кошница, все още се прилагат </w:t>
      </w:r>
      <w:r w:rsidRPr="0033146E">
        <w:rPr>
          <w:rFonts w:ascii="Times New Roman" w:eastAsia="Calibri" w:hAnsi="Times New Roman" w:cs="Times New Roman"/>
          <w:i/>
          <w:iCs/>
          <w:noProof/>
          <w:color w:val="000000"/>
          <w:sz w:val="24"/>
          <w:szCs w:val="24"/>
        </w:rPr>
        <w:t>пределни стойности на търговските надценки</w:t>
      </w:r>
      <w:r w:rsidRPr="007B4A99">
        <w:rPr>
          <w:rFonts w:ascii="Times New Roman" w:eastAsia="Calibri" w:hAnsi="Times New Roman" w:cs="Times New Roman"/>
          <w:iCs/>
          <w:noProof/>
          <w:color w:val="000000"/>
          <w:sz w:val="24"/>
          <w:szCs w:val="24"/>
        </w:rPr>
        <w:t xml:space="preserve">. </w:t>
      </w:r>
    </w:p>
    <w:p w14:paraId="2BAF8E75" w14:textId="2656B083" w:rsidR="0033146E" w:rsidRDefault="00BF2837" w:rsidP="00DD69D5">
      <w:pPr>
        <w:spacing w:after="0" w:line="240" w:lineRule="auto"/>
        <w:ind w:firstLine="567"/>
        <w:jc w:val="both"/>
        <w:rPr>
          <w:rFonts w:ascii="Times New Roman" w:eastAsia="Calibri" w:hAnsi="Times New Roman" w:cs="Times New Roman"/>
          <w:iCs/>
          <w:noProof/>
          <w:color w:val="000000"/>
          <w:sz w:val="24"/>
          <w:szCs w:val="24"/>
        </w:rPr>
      </w:pPr>
      <w:r w:rsidRPr="007B4A99">
        <w:rPr>
          <w:rFonts w:ascii="Times New Roman" w:eastAsia="Calibri" w:hAnsi="Times New Roman" w:cs="Times New Roman"/>
          <w:iCs/>
          <w:noProof/>
          <w:color w:val="000000"/>
          <w:sz w:val="24"/>
          <w:szCs w:val="24"/>
        </w:rPr>
        <w:t>Според въведените ограничения, преработвателите могат да начисляват</w:t>
      </w:r>
      <w:r w:rsidR="00B50769">
        <w:rPr>
          <w:rFonts w:ascii="Times New Roman" w:eastAsia="Calibri" w:hAnsi="Times New Roman" w:cs="Times New Roman"/>
          <w:iCs/>
          <w:noProof/>
          <w:color w:val="000000"/>
          <w:sz w:val="24"/>
          <w:szCs w:val="24"/>
        </w:rPr>
        <w:t xml:space="preserve"> надценка</w:t>
      </w:r>
      <w:r w:rsidRPr="007B4A99">
        <w:rPr>
          <w:rFonts w:ascii="Times New Roman" w:eastAsia="Calibri" w:hAnsi="Times New Roman" w:cs="Times New Roman"/>
          <w:iCs/>
          <w:noProof/>
          <w:color w:val="000000"/>
          <w:sz w:val="24"/>
          <w:szCs w:val="24"/>
        </w:rPr>
        <w:t xml:space="preserve"> максимум 20% спрямо производствената себестойност на продукта, изчислена съгласно действащите счетоводни разпоредби, която включва преки и косвени разходи. Търговската надценка, прилагана кумулативно по цялата дистрибуторска верига, независимо от броя на дистрибуторите във веригата, може да бъде максимум 5% спрямо покупната цена, към която се добавят оперативните разходи. Коефициентът на търговска надценка, прилаган от търговеца към продажбите на дребно и „кеш енд кери“, може да бъде максимум 20% в сравнение с покупната цена, към която се добавят преките и косвените разходи на търговеца. </w:t>
      </w:r>
    </w:p>
    <w:p w14:paraId="52A3F668" w14:textId="6A30E9B5" w:rsidR="0033146E" w:rsidRDefault="00BF2837" w:rsidP="00DD69D5">
      <w:pPr>
        <w:spacing w:after="0" w:line="240" w:lineRule="auto"/>
        <w:ind w:firstLine="567"/>
        <w:jc w:val="both"/>
        <w:rPr>
          <w:rFonts w:ascii="Times New Roman" w:eastAsia="Calibri" w:hAnsi="Times New Roman" w:cs="Times New Roman"/>
          <w:iCs/>
          <w:noProof/>
          <w:color w:val="000000"/>
          <w:sz w:val="24"/>
          <w:szCs w:val="24"/>
        </w:rPr>
      </w:pPr>
      <w:r w:rsidRPr="007B4A99">
        <w:rPr>
          <w:rFonts w:ascii="Times New Roman" w:eastAsia="Calibri" w:hAnsi="Times New Roman" w:cs="Times New Roman"/>
          <w:iCs/>
          <w:noProof/>
          <w:color w:val="000000"/>
          <w:sz w:val="24"/>
          <w:szCs w:val="24"/>
        </w:rPr>
        <w:t>Редът за определяне на цените на склад за продуктите</w:t>
      </w:r>
      <w:r w:rsidR="004F3D3F">
        <w:rPr>
          <w:rFonts w:ascii="Times New Roman" w:eastAsia="Calibri" w:hAnsi="Times New Roman" w:cs="Times New Roman"/>
          <w:iCs/>
          <w:noProof/>
          <w:color w:val="000000"/>
          <w:sz w:val="24"/>
          <w:szCs w:val="24"/>
        </w:rPr>
        <w:t xml:space="preserve"> </w:t>
      </w:r>
      <w:r w:rsidRPr="007B4A99">
        <w:rPr>
          <w:rFonts w:ascii="Times New Roman" w:eastAsia="Calibri" w:hAnsi="Times New Roman" w:cs="Times New Roman"/>
          <w:iCs/>
          <w:noProof/>
          <w:color w:val="000000"/>
          <w:sz w:val="24"/>
          <w:szCs w:val="24"/>
        </w:rPr>
        <w:t xml:space="preserve">трябва да бъде единен както за продуктите със собствена марка на производителя, така и за продуктите със </w:t>
      </w:r>
      <w:r w:rsidRPr="007B4A99">
        <w:rPr>
          <w:rFonts w:ascii="Times New Roman" w:eastAsia="Calibri" w:hAnsi="Times New Roman" w:cs="Times New Roman"/>
          <w:iCs/>
          <w:noProof/>
          <w:color w:val="000000"/>
          <w:sz w:val="24"/>
          <w:szCs w:val="24"/>
        </w:rPr>
        <w:lastRenderedPageBreak/>
        <w:t xml:space="preserve">собствена марка на търговеца. За селскостопански и хранителни продукти, които влизат на територията на Румъния и не се въвеждат в процеса на преработка/клане, квотата за търговска надценка е максимум 5% от покупната цена, към която се добавят преките и косвените разходи. Тези продукти са: олио, захар, брашно, царевичен грис, свинско, пилешко, говеждо, за количества пакетиран продукт над 5 кг., съответно 5 л. </w:t>
      </w:r>
    </w:p>
    <w:p w14:paraId="087E0103" w14:textId="7B6A0A45" w:rsidR="00BF2837" w:rsidRDefault="00BF2837" w:rsidP="00DD69D5">
      <w:pPr>
        <w:spacing w:after="0" w:line="240" w:lineRule="auto"/>
        <w:ind w:firstLine="567"/>
        <w:jc w:val="both"/>
        <w:rPr>
          <w:rFonts w:ascii="Times New Roman" w:hAnsi="Times New Roman" w:cs="Times New Roman"/>
          <w:sz w:val="24"/>
          <w:szCs w:val="24"/>
        </w:rPr>
      </w:pPr>
      <w:r w:rsidRPr="007B4A99">
        <w:rPr>
          <w:rFonts w:ascii="Times New Roman" w:eastAsia="Calibri" w:hAnsi="Times New Roman" w:cs="Times New Roman"/>
          <w:iCs/>
          <w:noProof/>
          <w:color w:val="000000"/>
          <w:sz w:val="24"/>
          <w:szCs w:val="24"/>
        </w:rPr>
        <w:t xml:space="preserve">Търговските надценки се прилагат върху стойността без ДДС на селскостопански и хранителни продукти за описаните по-горе продукти. </w:t>
      </w:r>
      <w:r w:rsidR="0033146E">
        <w:rPr>
          <w:rFonts w:ascii="Times New Roman" w:eastAsia="Calibri" w:hAnsi="Times New Roman" w:cs="Times New Roman"/>
          <w:iCs/>
          <w:noProof/>
          <w:color w:val="000000"/>
          <w:sz w:val="24"/>
          <w:szCs w:val="24"/>
        </w:rPr>
        <w:t xml:space="preserve">Що се отнася до </w:t>
      </w:r>
      <w:r w:rsidRPr="007B4A99">
        <w:rPr>
          <w:rFonts w:ascii="Times New Roman" w:eastAsia="Calibri" w:hAnsi="Times New Roman" w:cs="Times New Roman"/>
          <w:iCs/>
          <w:noProof/>
          <w:color w:val="000000"/>
          <w:sz w:val="24"/>
          <w:szCs w:val="24"/>
        </w:rPr>
        <w:t xml:space="preserve">плащанията, според съществуващ в страната закон е въведено задължение за търговските вериги да извършват плащания по фактури в срок до 30 календарни дни от датата на получаването им. </w:t>
      </w:r>
      <w:r w:rsidRPr="007B4A99">
        <w:rPr>
          <w:rFonts w:ascii="Times New Roman" w:eastAsia="Calibri" w:hAnsi="Times New Roman" w:cs="Times New Roman"/>
          <w:bCs/>
          <w:iCs/>
          <w:noProof/>
          <w:color w:val="000000"/>
          <w:sz w:val="24"/>
          <w:szCs w:val="24"/>
        </w:rPr>
        <w:t>През 2022 г. е приет и Закон № 81/2022 относно нелоялните търговски практики, с който се транспонира</w:t>
      </w:r>
      <w:r w:rsidRPr="007B4A99">
        <w:rPr>
          <w:rFonts w:ascii="Times New Roman" w:eastAsia="Calibri" w:hAnsi="Times New Roman" w:cs="Times New Roman"/>
          <w:iCs/>
          <w:noProof/>
          <w:color w:val="000000"/>
          <w:sz w:val="24"/>
          <w:szCs w:val="24"/>
        </w:rPr>
        <w:t xml:space="preserve"> </w:t>
      </w:r>
      <w:r w:rsidR="00AC2F82" w:rsidRPr="007B4A99">
        <w:rPr>
          <w:rFonts w:ascii="Times New Roman" w:hAnsi="Times New Roman" w:cs="Times New Roman"/>
          <w:sz w:val="24"/>
          <w:szCs w:val="24"/>
        </w:rPr>
        <w:t>Директива (ЕС) 2019/633</w:t>
      </w:r>
      <w:r w:rsidRPr="007B4A99">
        <w:rPr>
          <w:rFonts w:ascii="Times New Roman" w:eastAsia="Calibri" w:hAnsi="Times New Roman" w:cs="Times New Roman"/>
          <w:iCs/>
          <w:noProof/>
          <w:color w:val="000000"/>
          <w:sz w:val="24"/>
          <w:szCs w:val="24"/>
        </w:rPr>
        <w:t>, като за последните години румънският Съвет по конкуренцията</w:t>
      </w:r>
      <w:r w:rsidRPr="007B4A99">
        <w:rPr>
          <w:rFonts w:ascii="Times New Roman" w:eastAsia="Calibri" w:hAnsi="Times New Roman" w:cs="Times New Roman"/>
          <w:iCs/>
          <w:noProof/>
          <w:color w:val="000000"/>
          <w:sz w:val="24"/>
          <w:szCs w:val="24"/>
          <w:vertAlign w:val="superscript"/>
        </w:rPr>
        <w:footnoteReference w:id="36"/>
      </w:r>
      <w:r w:rsidRPr="007B4A99">
        <w:rPr>
          <w:rFonts w:ascii="Times New Roman" w:eastAsia="Calibri" w:hAnsi="Times New Roman" w:cs="Times New Roman"/>
          <w:iCs/>
          <w:noProof/>
          <w:color w:val="000000"/>
          <w:sz w:val="24"/>
          <w:szCs w:val="24"/>
        </w:rPr>
        <w:t xml:space="preserve"> отбелязва значителен напредък в прилагането на новата правна рамка. Отделно, </w:t>
      </w:r>
      <w:r w:rsidRPr="007B4A99">
        <w:rPr>
          <w:rFonts w:ascii="Times New Roman" w:hAnsi="Times New Roman" w:cs="Times New Roman"/>
          <w:sz w:val="24"/>
          <w:szCs w:val="24"/>
        </w:rPr>
        <w:t xml:space="preserve">в Румъния действа </w:t>
      </w:r>
      <w:r w:rsidR="0033146E">
        <w:rPr>
          <w:rFonts w:ascii="Times New Roman" w:hAnsi="Times New Roman" w:cs="Times New Roman"/>
          <w:sz w:val="24"/>
          <w:szCs w:val="24"/>
        </w:rPr>
        <w:t xml:space="preserve">и </w:t>
      </w:r>
      <w:r w:rsidRPr="007B4A99">
        <w:rPr>
          <w:rFonts w:ascii="Times New Roman" w:hAnsi="Times New Roman" w:cs="Times New Roman"/>
          <w:sz w:val="24"/>
          <w:szCs w:val="24"/>
        </w:rPr>
        <w:t xml:space="preserve">закон, според който търговските вериги </w:t>
      </w:r>
      <w:r w:rsidR="00AC2F82">
        <w:rPr>
          <w:rFonts w:ascii="Times New Roman" w:hAnsi="Times New Roman" w:cs="Times New Roman"/>
          <w:sz w:val="24"/>
          <w:szCs w:val="24"/>
        </w:rPr>
        <w:t>с</w:t>
      </w:r>
      <w:r w:rsidRPr="007B4A99">
        <w:rPr>
          <w:rFonts w:ascii="Times New Roman" w:hAnsi="Times New Roman" w:cs="Times New Roman"/>
          <w:sz w:val="24"/>
          <w:szCs w:val="24"/>
        </w:rPr>
        <w:t>а задължени да заплащат издадените към тях фактури в срок от 30 календарни дни след получаването на същите.</w:t>
      </w:r>
    </w:p>
    <w:p w14:paraId="624AB1CE" w14:textId="23B52093" w:rsidR="00BE4073" w:rsidRPr="007B4A99" w:rsidRDefault="00BE4073"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Отчитайки </w:t>
      </w:r>
      <w:r w:rsidR="00BF2837" w:rsidRPr="007B4A99">
        <w:rPr>
          <w:rFonts w:ascii="Times New Roman" w:hAnsi="Times New Roman" w:cs="Times New Roman"/>
          <w:sz w:val="24"/>
          <w:szCs w:val="24"/>
        </w:rPr>
        <w:t>събраните дотук в</w:t>
      </w:r>
      <w:r w:rsidRPr="007B4A99">
        <w:rPr>
          <w:rFonts w:ascii="Times New Roman" w:hAnsi="Times New Roman" w:cs="Times New Roman"/>
          <w:sz w:val="24"/>
          <w:szCs w:val="24"/>
        </w:rPr>
        <w:t xml:space="preserve"> ОВ данни</w:t>
      </w:r>
      <w:r w:rsidR="00F678CB" w:rsidRPr="007B4A99">
        <w:rPr>
          <w:rFonts w:ascii="Times New Roman" w:hAnsi="Times New Roman" w:cs="Times New Roman"/>
          <w:sz w:val="24"/>
          <w:szCs w:val="24"/>
        </w:rPr>
        <w:t xml:space="preserve"> и находки</w:t>
      </w:r>
      <w:r w:rsidR="00BF2837" w:rsidRPr="007B4A99">
        <w:rPr>
          <w:rFonts w:ascii="Times New Roman" w:hAnsi="Times New Roman" w:cs="Times New Roman"/>
          <w:sz w:val="24"/>
          <w:szCs w:val="24"/>
        </w:rPr>
        <w:t>, както и</w:t>
      </w:r>
      <w:r w:rsidRPr="007B4A99">
        <w:rPr>
          <w:rFonts w:ascii="Times New Roman" w:hAnsi="Times New Roman" w:cs="Times New Roman"/>
          <w:sz w:val="24"/>
          <w:szCs w:val="24"/>
        </w:rPr>
        <w:t xml:space="preserve"> дефинираните проблеми, вариантите на действие, които предстои да бъдат оценени, търсят оптималния баланс на правата и интересите на </w:t>
      </w:r>
      <w:r w:rsidR="00170AD2" w:rsidRPr="007B4A99">
        <w:rPr>
          <w:rFonts w:ascii="Times New Roman" w:hAnsi="Times New Roman" w:cs="Times New Roman"/>
          <w:sz w:val="24"/>
          <w:szCs w:val="24"/>
        </w:rPr>
        <w:t>адресатите, засегнатите и заин</w:t>
      </w:r>
      <w:r w:rsidR="00AC2F82">
        <w:rPr>
          <w:rFonts w:ascii="Times New Roman" w:hAnsi="Times New Roman" w:cs="Times New Roman"/>
          <w:sz w:val="24"/>
          <w:szCs w:val="24"/>
        </w:rPr>
        <w:t xml:space="preserve">тересованите страни и на </w:t>
      </w:r>
      <w:r w:rsidR="00BF2837" w:rsidRPr="007B4A99">
        <w:rPr>
          <w:rFonts w:ascii="Times New Roman" w:hAnsi="Times New Roman" w:cs="Times New Roman"/>
          <w:sz w:val="24"/>
          <w:szCs w:val="24"/>
        </w:rPr>
        <w:t xml:space="preserve">държавата и </w:t>
      </w:r>
      <w:r w:rsidR="00170AD2" w:rsidRPr="007B4A99">
        <w:rPr>
          <w:rFonts w:ascii="Times New Roman" w:hAnsi="Times New Roman" w:cs="Times New Roman"/>
          <w:sz w:val="24"/>
          <w:szCs w:val="24"/>
        </w:rPr>
        <w:t>нейните задължения като пълноправен член на ЕС.</w:t>
      </w:r>
      <w:r w:rsidRPr="007B4A99">
        <w:rPr>
          <w:rFonts w:ascii="Times New Roman" w:eastAsia="TimesNewRoman,Bold" w:hAnsi="Times New Roman" w:cs="Times New Roman"/>
          <w:sz w:val="24"/>
          <w:szCs w:val="24"/>
        </w:rPr>
        <w:t xml:space="preserve"> </w:t>
      </w:r>
    </w:p>
    <w:p w14:paraId="5F117DDB" w14:textId="1E4188EE" w:rsidR="004F6B67" w:rsidRPr="007B4A99" w:rsidRDefault="004F6B67" w:rsidP="00DD69D5">
      <w:pPr>
        <w:widowControl w:val="0"/>
        <w:tabs>
          <w:tab w:val="left" w:pos="851"/>
        </w:tabs>
        <w:overflowPunct w:val="0"/>
        <w:autoSpaceDE w:val="0"/>
        <w:autoSpaceDN w:val="0"/>
        <w:adjustRightInd w:val="0"/>
        <w:spacing w:after="0" w:line="240" w:lineRule="auto"/>
        <w:ind w:right="20"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В настоящата ОВ са разработени, </w:t>
      </w:r>
      <w:r w:rsidR="00D47ACA" w:rsidRPr="007B4A99">
        <w:rPr>
          <w:rFonts w:ascii="Times New Roman" w:hAnsi="Times New Roman" w:cs="Times New Roman"/>
          <w:sz w:val="24"/>
          <w:szCs w:val="24"/>
        </w:rPr>
        <w:t xml:space="preserve">представени, </w:t>
      </w:r>
      <w:r w:rsidRPr="007B4A99">
        <w:rPr>
          <w:rFonts w:ascii="Times New Roman" w:hAnsi="Times New Roman" w:cs="Times New Roman"/>
          <w:sz w:val="24"/>
          <w:szCs w:val="24"/>
        </w:rPr>
        <w:t xml:space="preserve">поставени на задълбочен анализ и </w:t>
      </w:r>
      <w:r w:rsidR="00D47ACA" w:rsidRPr="007B4A99">
        <w:rPr>
          <w:rFonts w:ascii="Times New Roman" w:hAnsi="Times New Roman" w:cs="Times New Roman"/>
          <w:sz w:val="24"/>
          <w:szCs w:val="24"/>
        </w:rPr>
        <w:t xml:space="preserve">оценени </w:t>
      </w:r>
      <w:r w:rsidR="00CD217C" w:rsidRPr="007B4A99">
        <w:rPr>
          <w:rFonts w:ascii="Times New Roman" w:hAnsi="Times New Roman" w:cs="Times New Roman"/>
          <w:b/>
          <w:sz w:val="24"/>
          <w:szCs w:val="24"/>
        </w:rPr>
        <w:t>4</w:t>
      </w:r>
      <w:r w:rsidRPr="007B4A99">
        <w:rPr>
          <w:rFonts w:ascii="Times New Roman" w:hAnsi="Times New Roman" w:cs="Times New Roman"/>
          <w:b/>
          <w:sz w:val="24"/>
          <w:szCs w:val="24"/>
        </w:rPr>
        <w:t xml:space="preserve"> варианта</w:t>
      </w:r>
      <w:r w:rsidR="008A617F" w:rsidRPr="007B4A99">
        <w:rPr>
          <w:rFonts w:ascii="Times New Roman" w:hAnsi="Times New Roman" w:cs="Times New Roman"/>
          <w:sz w:val="24"/>
          <w:szCs w:val="24"/>
        </w:rPr>
        <w:t xml:space="preserve"> на действие</w:t>
      </w:r>
      <w:r w:rsidRPr="007B4A99">
        <w:rPr>
          <w:rFonts w:ascii="Times New Roman" w:hAnsi="Times New Roman" w:cs="Times New Roman"/>
          <w:sz w:val="24"/>
          <w:szCs w:val="24"/>
        </w:rPr>
        <w:t>.</w:t>
      </w:r>
    </w:p>
    <w:p w14:paraId="3D161C1E" w14:textId="7E0B2E83" w:rsidR="004F6B67" w:rsidRPr="007B4A99" w:rsidRDefault="004F6B67"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b/>
          <w:bCs/>
          <w:sz w:val="24"/>
          <w:szCs w:val="24"/>
        </w:rPr>
        <w:t>Вариант 0: „Без действие“</w:t>
      </w:r>
      <w:r w:rsidR="00833D07" w:rsidRPr="007B4A99">
        <w:rPr>
          <w:rFonts w:ascii="Times New Roman" w:hAnsi="Times New Roman" w:cs="Times New Roman"/>
          <w:sz w:val="24"/>
          <w:szCs w:val="24"/>
        </w:rPr>
        <w:t xml:space="preserve"> e първият </w:t>
      </w:r>
      <w:r w:rsidR="00170AD2" w:rsidRPr="007B4A99">
        <w:rPr>
          <w:rFonts w:ascii="Times New Roman" w:hAnsi="Times New Roman" w:cs="Times New Roman"/>
          <w:sz w:val="24"/>
          <w:szCs w:val="24"/>
        </w:rPr>
        <w:t>и</w:t>
      </w:r>
      <w:r w:rsidR="00833D07" w:rsidRPr="007B4A99">
        <w:rPr>
          <w:rFonts w:ascii="Times New Roman" w:hAnsi="Times New Roman" w:cs="Times New Roman"/>
          <w:sz w:val="24"/>
          <w:szCs w:val="24"/>
        </w:rPr>
        <w:t xml:space="preserve"> задължител</w:t>
      </w:r>
      <w:r w:rsidR="00170AD2" w:rsidRPr="007B4A99">
        <w:rPr>
          <w:rFonts w:ascii="Times New Roman" w:hAnsi="Times New Roman" w:cs="Times New Roman"/>
          <w:sz w:val="24"/>
          <w:szCs w:val="24"/>
        </w:rPr>
        <w:t>е</w:t>
      </w:r>
      <w:r w:rsidR="00833D07" w:rsidRPr="007B4A99">
        <w:rPr>
          <w:rFonts w:ascii="Times New Roman" w:hAnsi="Times New Roman" w:cs="Times New Roman"/>
          <w:sz w:val="24"/>
          <w:szCs w:val="24"/>
        </w:rPr>
        <w:t>н</w:t>
      </w:r>
      <w:r w:rsidR="00170AD2" w:rsidRPr="007B4A99">
        <w:rPr>
          <w:rFonts w:ascii="Times New Roman" w:hAnsi="Times New Roman" w:cs="Times New Roman"/>
          <w:sz w:val="24"/>
          <w:szCs w:val="24"/>
        </w:rPr>
        <w:t xml:space="preserve"> за разглеждане</w:t>
      </w:r>
      <w:r w:rsidRPr="007B4A99">
        <w:rPr>
          <w:rFonts w:ascii="Times New Roman" w:hAnsi="Times New Roman" w:cs="Times New Roman"/>
          <w:sz w:val="24"/>
          <w:szCs w:val="24"/>
        </w:rPr>
        <w:t xml:space="preserve">, </w:t>
      </w:r>
      <w:r w:rsidR="00170AD2" w:rsidRPr="007B4A99">
        <w:rPr>
          <w:rFonts w:ascii="Times New Roman" w:hAnsi="Times New Roman" w:cs="Times New Roman"/>
          <w:sz w:val="24"/>
          <w:szCs w:val="24"/>
        </w:rPr>
        <w:t xml:space="preserve">наричан още </w:t>
      </w:r>
      <w:r w:rsidR="00170AD2" w:rsidRPr="00AC2F82">
        <w:rPr>
          <w:rFonts w:ascii="Times New Roman" w:hAnsi="Times New Roman" w:cs="Times New Roman"/>
          <w:i/>
          <w:iCs/>
          <w:sz w:val="24"/>
          <w:szCs w:val="24"/>
        </w:rPr>
        <w:t>нулев</w:t>
      </w:r>
      <w:r w:rsidR="002932A8" w:rsidRPr="00AC2F82">
        <w:rPr>
          <w:rFonts w:ascii="Times New Roman" w:hAnsi="Times New Roman" w:cs="Times New Roman"/>
          <w:i/>
          <w:iCs/>
          <w:sz w:val="24"/>
          <w:szCs w:val="24"/>
        </w:rPr>
        <w:t xml:space="preserve"> вариант</w:t>
      </w:r>
      <w:r w:rsidR="00170AD2" w:rsidRPr="007B4A99">
        <w:rPr>
          <w:rFonts w:ascii="Times New Roman" w:hAnsi="Times New Roman" w:cs="Times New Roman"/>
          <w:sz w:val="24"/>
          <w:szCs w:val="24"/>
        </w:rPr>
        <w:t xml:space="preserve">, </w:t>
      </w:r>
      <w:r w:rsidRPr="007B4A99">
        <w:rPr>
          <w:rFonts w:ascii="Times New Roman" w:hAnsi="Times New Roman" w:cs="Times New Roman"/>
          <w:sz w:val="24"/>
          <w:szCs w:val="24"/>
        </w:rPr>
        <w:t xml:space="preserve">който служи за основа при </w:t>
      </w:r>
      <w:r w:rsidR="00E33E7D" w:rsidRPr="007B4A99">
        <w:rPr>
          <w:rFonts w:ascii="Times New Roman" w:hAnsi="Times New Roman" w:cs="Times New Roman"/>
          <w:sz w:val="24"/>
          <w:szCs w:val="24"/>
        </w:rPr>
        <w:t>теоретичното конструиране</w:t>
      </w:r>
      <w:r w:rsidRPr="007B4A99">
        <w:rPr>
          <w:rFonts w:ascii="Times New Roman" w:hAnsi="Times New Roman" w:cs="Times New Roman"/>
          <w:sz w:val="24"/>
          <w:szCs w:val="24"/>
        </w:rPr>
        <w:t xml:space="preserve"> на т.нар. базисен сценарий. </w:t>
      </w:r>
    </w:p>
    <w:p w14:paraId="6607A24D" w14:textId="76AF7DA4" w:rsidR="000443CB" w:rsidRPr="007B4A99" w:rsidRDefault="00EB4069" w:rsidP="00DD69D5">
      <w:pPr>
        <w:spacing w:after="0" w:line="240" w:lineRule="auto"/>
        <w:ind w:firstLine="567"/>
        <w:jc w:val="both"/>
        <w:rPr>
          <w:rFonts w:ascii="Times New Roman" w:hAnsi="Times New Roman" w:cs="Times New Roman"/>
          <w:sz w:val="20"/>
          <w:szCs w:val="20"/>
        </w:rPr>
      </w:pPr>
      <w:r w:rsidRPr="007B4A99">
        <w:rPr>
          <w:rFonts w:ascii="Times New Roman" w:hAnsi="Times New Roman" w:cs="Times New Roman"/>
          <w:sz w:val="24"/>
          <w:szCs w:val="24"/>
        </w:rPr>
        <w:t xml:space="preserve">При разработването и представянето на вариантите ОВ прилага </w:t>
      </w:r>
      <w:r w:rsidRPr="007B4A99">
        <w:rPr>
          <w:rFonts w:ascii="Times New Roman" w:hAnsi="Times New Roman" w:cs="Times New Roman"/>
          <w:bCs/>
          <w:sz w:val="24"/>
          <w:szCs w:val="24"/>
          <w:lang w:eastAsia="en-GB"/>
        </w:rPr>
        <w:t>подхода на „по-лекото докосване</w:t>
      </w:r>
      <w:r w:rsidRPr="007B4A99">
        <w:rPr>
          <w:rFonts w:ascii="Times New Roman" w:hAnsi="Times New Roman" w:cs="Times New Roman"/>
          <w:sz w:val="24"/>
          <w:szCs w:val="24"/>
          <w:lang w:eastAsia="en-GB"/>
        </w:rPr>
        <w:t>”</w:t>
      </w:r>
      <w:r w:rsidRPr="007B4A99">
        <w:rPr>
          <w:rFonts w:ascii="Times New Roman" w:hAnsi="Times New Roman" w:cs="Times New Roman"/>
          <w:sz w:val="24"/>
          <w:szCs w:val="24"/>
          <w:vertAlign w:val="superscript"/>
          <w:lang w:eastAsia="en-GB"/>
        </w:rPr>
        <w:footnoteReference w:id="37"/>
      </w:r>
      <w:r w:rsidRPr="007B4A99">
        <w:rPr>
          <w:rFonts w:ascii="Times New Roman" w:hAnsi="Times New Roman" w:cs="Times New Roman"/>
          <w:sz w:val="24"/>
          <w:szCs w:val="24"/>
          <w:lang w:eastAsia="en-GB"/>
        </w:rPr>
        <w:t xml:space="preserve"> при регулирането. Чрез него на аналитично изпитание последователно се поставят варианти с постепенно нарастващ интензитет на намеса. Целта е да се избегне широко прилаганият от нас регулаторен инстинкт или рефлекс, при който всеки проблем в обществените отношения се разрешава директно с най-инвазивната форма на интервенция. Този подход, от една страна, пести ресурси на държавата, а от друга предотвратява риска от свръхрегулация, нормативна инфлация или непропорционална </w:t>
      </w:r>
      <w:r w:rsidR="000443CB" w:rsidRPr="007B4A99">
        <w:rPr>
          <w:rFonts w:ascii="Times New Roman" w:hAnsi="Times New Roman" w:cs="Times New Roman"/>
          <w:sz w:val="24"/>
          <w:szCs w:val="24"/>
          <w:lang w:eastAsia="en-GB"/>
        </w:rPr>
        <w:t xml:space="preserve">публична </w:t>
      </w:r>
      <w:r w:rsidRPr="007B4A99">
        <w:rPr>
          <w:rFonts w:ascii="Times New Roman" w:hAnsi="Times New Roman" w:cs="Times New Roman"/>
          <w:sz w:val="24"/>
          <w:szCs w:val="24"/>
          <w:lang w:eastAsia="en-GB"/>
        </w:rPr>
        <w:t>намеса</w:t>
      </w:r>
      <w:r w:rsidR="000443CB" w:rsidRPr="007B4A99">
        <w:rPr>
          <w:rFonts w:ascii="Times New Roman" w:hAnsi="Times New Roman" w:cs="Times New Roman"/>
          <w:sz w:val="24"/>
          <w:szCs w:val="24"/>
          <w:lang w:eastAsia="en-GB"/>
        </w:rPr>
        <w:t xml:space="preserve"> в частноправни отношения. Това </w:t>
      </w:r>
      <w:r w:rsidRPr="007B4A99">
        <w:rPr>
          <w:rFonts w:ascii="Times New Roman" w:hAnsi="Times New Roman" w:cs="Times New Roman"/>
          <w:sz w:val="24"/>
          <w:szCs w:val="24"/>
          <w:lang w:eastAsia="en-GB"/>
        </w:rPr>
        <w:t>генерира по-голямо доверие</w:t>
      </w:r>
      <w:r w:rsidR="000443CB" w:rsidRPr="007B4A99">
        <w:rPr>
          <w:rFonts w:ascii="Times New Roman" w:hAnsi="Times New Roman" w:cs="Times New Roman"/>
          <w:sz w:val="24"/>
          <w:szCs w:val="24"/>
          <w:lang w:eastAsia="en-GB"/>
        </w:rPr>
        <w:t xml:space="preserve"> на адресатите на регулиране в държавата, което има за свой краен резултат повишена ефективност от прилагането на избраните мерки за действие.</w:t>
      </w:r>
    </w:p>
    <w:p w14:paraId="14417169" w14:textId="64048EB6" w:rsidR="004F6B67" w:rsidRPr="007B4A99" w:rsidRDefault="004F6B67" w:rsidP="00DD69D5">
      <w:pPr>
        <w:widowControl w:val="0"/>
        <w:tabs>
          <w:tab w:val="left" w:pos="851"/>
        </w:tabs>
        <w:overflowPunct w:val="0"/>
        <w:autoSpaceDE w:val="0"/>
        <w:autoSpaceDN w:val="0"/>
        <w:adjustRightInd w:val="0"/>
        <w:spacing w:after="0" w:line="240" w:lineRule="auto"/>
        <w:ind w:right="20" w:firstLine="567"/>
        <w:jc w:val="both"/>
        <w:rPr>
          <w:rFonts w:ascii="Times New Roman" w:hAnsi="Times New Roman" w:cs="Times New Roman"/>
          <w:sz w:val="24"/>
          <w:szCs w:val="24"/>
        </w:rPr>
      </w:pPr>
      <w:r w:rsidRPr="007B4A99">
        <w:rPr>
          <w:rFonts w:ascii="Times New Roman" w:hAnsi="Times New Roman" w:cs="Times New Roman"/>
          <w:sz w:val="24"/>
          <w:szCs w:val="24"/>
        </w:rPr>
        <w:lastRenderedPageBreak/>
        <w:t>Останалите вариант</w:t>
      </w:r>
      <w:r w:rsidR="00C52A75" w:rsidRPr="007B4A99">
        <w:rPr>
          <w:rFonts w:ascii="Times New Roman" w:hAnsi="Times New Roman" w:cs="Times New Roman"/>
          <w:sz w:val="24"/>
          <w:szCs w:val="24"/>
        </w:rPr>
        <w:t>и</w:t>
      </w:r>
      <w:r w:rsidRPr="007B4A99">
        <w:rPr>
          <w:rFonts w:ascii="Times New Roman" w:hAnsi="Times New Roman" w:cs="Times New Roman"/>
          <w:sz w:val="24"/>
          <w:szCs w:val="24"/>
        </w:rPr>
        <w:t xml:space="preserve"> съдържат </w:t>
      </w:r>
      <w:r w:rsidR="009F686D" w:rsidRPr="007B4A99">
        <w:rPr>
          <w:rFonts w:ascii="Times New Roman" w:hAnsi="Times New Roman" w:cs="Times New Roman"/>
          <w:sz w:val="24"/>
          <w:szCs w:val="24"/>
        </w:rPr>
        <w:t xml:space="preserve">предложения за </w:t>
      </w:r>
      <w:r w:rsidRPr="007B4A99">
        <w:rPr>
          <w:rFonts w:ascii="Times New Roman" w:hAnsi="Times New Roman" w:cs="Times New Roman"/>
          <w:sz w:val="24"/>
          <w:szCs w:val="24"/>
        </w:rPr>
        <w:t>конкретни</w:t>
      </w:r>
      <w:r w:rsidR="00AC6AC0" w:rsidRPr="007B4A99">
        <w:rPr>
          <w:rFonts w:ascii="Times New Roman" w:hAnsi="Times New Roman" w:cs="Times New Roman"/>
          <w:sz w:val="24"/>
          <w:szCs w:val="24"/>
        </w:rPr>
        <w:t xml:space="preserve"> проактивни</w:t>
      </w:r>
      <w:r w:rsidRPr="007B4A99">
        <w:rPr>
          <w:rFonts w:ascii="Times New Roman" w:hAnsi="Times New Roman" w:cs="Times New Roman"/>
          <w:sz w:val="24"/>
          <w:szCs w:val="24"/>
        </w:rPr>
        <w:t xml:space="preserve"> </w:t>
      </w:r>
      <w:r w:rsidR="009F686D" w:rsidRPr="007B4A99">
        <w:rPr>
          <w:rFonts w:ascii="Times New Roman" w:hAnsi="Times New Roman" w:cs="Times New Roman"/>
          <w:sz w:val="24"/>
          <w:szCs w:val="24"/>
        </w:rPr>
        <w:t>интервенции</w:t>
      </w:r>
      <w:r w:rsidRPr="007B4A99">
        <w:rPr>
          <w:rFonts w:ascii="Times New Roman" w:hAnsi="Times New Roman" w:cs="Times New Roman"/>
          <w:sz w:val="24"/>
          <w:szCs w:val="24"/>
        </w:rPr>
        <w:t xml:space="preserve">, чрез които се </w:t>
      </w:r>
      <w:r w:rsidR="009F686D" w:rsidRPr="007B4A99">
        <w:rPr>
          <w:rFonts w:ascii="Times New Roman" w:hAnsi="Times New Roman" w:cs="Times New Roman"/>
          <w:sz w:val="24"/>
          <w:szCs w:val="24"/>
        </w:rPr>
        <w:t>преследва</w:t>
      </w:r>
      <w:r w:rsidRPr="007B4A99">
        <w:rPr>
          <w:rFonts w:ascii="Times New Roman" w:hAnsi="Times New Roman" w:cs="Times New Roman"/>
          <w:sz w:val="24"/>
          <w:szCs w:val="24"/>
        </w:rPr>
        <w:t xml:space="preserve"> подобряване на съществуващата ситуация и разрешаване на установените проблеми. Това са:</w:t>
      </w:r>
    </w:p>
    <w:p w14:paraId="7BCE2C06" w14:textId="29ACDA12" w:rsidR="004C5D4A" w:rsidRPr="007B4A99" w:rsidRDefault="004C5D4A" w:rsidP="00DD69D5">
      <w:pPr>
        <w:widowControl w:val="0"/>
        <w:tabs>
          <w:tab w:val="left" w:pos="851"/>
        </w:tabs>
        <w:overflowPunct w:val="0"/>
        <w:autoSpaceDE w:val="0"/>
        <w:autoSpaceDN w:val="0"/>
        <w:adjustRightInd w:val="0"/>
        <w:spacing w:after="0" w:line="240" w:lineRule="auto"/>
        <w:ind w:right="20" w:firstLine="567"/>
        <w:jc w:val="both"/>
        <w:rPr>
          <w:rFonts w:ascii="Times New Roman" w:hAnsi="Times New Roman" w:cs="Times New Roman"/>
          <w:sz w:val="24"/>
          <w:szCs w:val="24"/>
        </w:rPr>
      </w:pPr>
      <w:r w:rsidRPr="007B4A99">
        <w:rPr>
          <w:rFonts w:ascii="Times New Roman" w:hAnsi="Times New Roman" w:cs="Times New Roman"/>
          <w:bCs/>
          <w:sz w:val="24"/>
          <w:szCs w:val="24"/>
        </w:rPr>
        <w:t xml:space="preserve">1. </w:t>
      </w:r>
      <w:r w:rsidRPr="007B4A99">
        <w:rPr>
          <w:rFonts w:ascii="Times New Roman" w:hAnsi="Times New Roman" w:cs="Times New Roman"/>
          <w:b/>
          <w:bCs/>
          <w:sz w:val="24"/>
          <w:szCs w:val="24"/>
        </w:rPr>
        <w:t>Вариант 1: „Нерегулаторен“</w:t>
      </w:r>
      <w:r w:rsidRPr="007B4A99">
        <w:rPr>
          <w:rFonts w:ascii="Times New Roman" w:hAnsi="Times New Roman" w:cs="Times New Roman"/>
          <w:bCs/>
          <w:sz w:val="24"/>
          <w:szCs w:val="24"/>
        </w:rPr>
        <w:t>,</w:t>
      </w:r>
      <w:r w:rsidRPr="007B4A99">
        <w:rPr>
          <w:rFonts w:ascii="Times New Roman" w:hAnsi="Times New Roman" w:cs="Times New Roman"/>
          <w:sz w:val="24"/>
          <w:szCs w:val="24"/>
        </w:rPr>
        <w:t xml:space="preserve"> който разглежда възможното приложение на различни по своя характер „меки мерки“, които не предвиждат намеса на регулаторно ниво. </w:t>
      </w:r>
    </w:p>
    <w:p w14:paraId="12D546B6" w14:textId="4573FF67" w:rsidR="004C5D4A" w:rsidRPr="007B4A99" w:rsidRDefault="004C5D4A" w:rsidP="00DD69D5">
      <w:pPr>
        <w:widowControl w:val="0"/>
        <w:tabs>
          <w:tab w:val="left" w:pos="851"/>
        </w:tabs>
        <w:overflowPunct w:val="0"/>
        <w:autoSpaceDE w:val="0"/>
        <w:autoSpaceDN w:val="0"/>
        <w:adjustRightInd w:val="0"/>
        <w:spacing w:after="0" w:line="240" w:lineRule="auto"/>
        <w:ind w:right="20" w:firstLine="567"/>
        <w:jc w:val="both"/>
        <w:rPr>
          <w:rFonts w:ascii="Times New Roman" w:hAnsi="Times New Roman" w:cs="Times New Roman"/>
          <w:bCs/>
          <w:sz w:val="24"/>
          <w:szCs w:val="24"/>
        </w:rPr>
      </w:pPr>
      <w:r w:rsidRPr="007B4A99">
        <w:rPr>
          <w:rFonts w:ascii="Times New Roman" w:hAnsi="Times New Roman" w:cs="Times New Roman"/>
          <w:bCs/>
          <w:sz w:val="24"/>
          <w:szCs w:val="24"/>
        </w:rPr>
        <w:t xml:space="preserve">2. </w:t>
      </w:r>
      <w:r w:rsidRPr="007B4A99">
        <w:rPr>
          <w:rFonts w:ascii="Times New Roman" w:hAnsi="Times New Roman" w:cs="Times New Roman"/>
          <w:b/>
          <w:bCs/>
          <w:sz w:val="24"/>
          <w:szCs w:val="24"/>
        </w:rPr>
        <w:t>Вариант 2: „Регулаторен - промени в действащата</w:t>
      </w:r>
      <w:r w:rsidR="00AC6AC0" w:rsidRPr="007B4A99">
        <w:rPr>
          <w:rFonts w:ascii="Times New Roman" w:hAnsi="Times New Roman" w:cs="Times New Roman"/>
          <w:b/>
          <w:bCs/>
          <w:sz w:val="24"/>
          <w:szCs w:val="24"/>
        </w:rPr>
        <w:t xml:space="preserve"> правна</w:t>
      </w:r>
      <w:r w:rsidRPr="007B4A99">
        <w:rPr>
          <w:rFonts w:ascii="Times New Roman" w:hAnsi="Times New Roman" w:cs="Times New Roman"/>
          <w:b/>
          <w:bCs/>
          <w:sz w:val="24"/>
          <w:szCs w:val="24"/>
        </w:rPr>
        <w:t xml:space="preserve"> уредба“</w:t>
      </w:r>
      <w:r w:rsidRPr="007B4A99">
        <w:rPr>
          <w:rFonts w:ascii="Times New Roman" w:hAnsi="Times New Roman" w:cs="Times New Roman"/>
          <w:bCs/>
          <w:sz w:val="24"/>
          <w:szCs w:val="24"/>
        </w:rPr>
        <w:t xml:space="preserve">, който предвижда конкретни интервенции на регулаторно ниво, чрез въвеждането на промени в действащите нормативни актове, уреждащи същата материя и </w:t>
      </w:r>
    </w:p>
    <w:p w14:paraId="2DA879B3" w14:textId="41F5BF32" w:rsidR="009F686D" w:rsidRPr="007B4A99" w:rsidRDefault="004C5D4A" w:rsidP="00DD69D5">
      <w:pPr>
        <w:widowControl w:val="0"/>
        <w:tabs>
          <w:tab w:val="left" w:pos="851"/>
        </w:tabs>
        <w:overflowPunct w:val="0"/>
        <w:autoSpaceDE w:val="0"/>
        <w:autoSpaceDN w:val="0"/>
        <w:adjustRightInd w:val="0"/>
        <w:spacing w:after="0" w:line="240" w:lineRule="auto"/>
        <w:ind w:right="20" w:firstLine="567"/>
        <w:jc w:val="both"/>
        <w:rPr>
          <w:rFonts w:ascii="Times New Roman" w:hAnsi="Times New Roman" w:cs="Times New Roman"/>
          <w:b/>
          <w:bCs/>
          <w:sz w:val="24"/>
          <w:szCs w:val="24"/>
        </w:rPr>
      </w:pPr>
      <w:r w:rsidRPr="007B4A99">
        <w:rPr>
          <w:rFonts w:ascii="Times New Roman" w:hAnsi="Times New Roman" w:cs="Times New Roman"/>
          <w:bCs/>
          <w:sz w:val="24"/>
          <w:szCs w:val="24"/>
        </w:rPr>
        <w:t>3</w:t>
      </w:r>
      <w:r w:rsidR="009F686D" w:rsidRPr="007B4A99">
        <w:rPr>
          <w:rFonts w:ascii="Times New Roman" w:hAnsi="Times New Roman" w:cs="Times New Roman"/>
          <w:bCs/>
          <w:sz w:val="24"/>
          <w:szCs w:val="24"/>
        </w:rPr>
        <w:t xml:space="preserve">. </w:t>
      </w:r>
      <w:r w:rsidR="00C52A75" w:rsidRPr="007B4A99">
        <w:rPr>
          <w:rFonts w:ascii="Times New Roman" w:hAnsi="Times New Roman" w:cs="Times New Roman"/>
          <w:b/>
          <w:bCs/>
          <w:sz w:val="24"/>
          <w:szCs w:val="24"/>
        </w:rPr>
        <w:t xml:space="preserve">Вариант </w:t>
      </w:r>
      <w:r w:rsidRPr="007B4A99">
        <w:rPr>
          <w:rFonts w:ascii="Times New Roman" w:hAnsi="Times New Roman" w:cs="Times New Roman"/>
          <w:b/>
          <w:bCs/>
          <w:sz w:val="24"/>
          <w:szCs w:val="24"/>
        </w:rPr>
        <w:t>3</w:t>
      </w:r>
      <w:r w:rsidR="00C52A75" w:rsidRPr="007B4A99">
        <w:rPr>
          <w:rFonts w:ascii="Times New Roman" w:hAnsi="Times New Roman" w:cs="Times New Roman"/>
          <w:b/>
          <w:bCs/>
          <w:sz w:val="24"/>
          <w:szCs w:val="24"/>
        </w:rPr>
        <w:t>: „Регулатор</w:t>
      </w:r>
      <w:r w:rsidRPr="007B4A99">
        <w:rPr>
          <w:rFonts w:ascii="Times New Roman" w:hAnsi="Times New Roman" w:cs="Times New Roman"/>
          <w:b/>
          <w:bCs/>
          <w:sz w:val="24"/>
          <w:szCs w:val="24"/>
        </w:rPr>
        <w:t>е</w:t>
      </w:r>
      <w:r w:rsidR="00C52A75" w:rsidRPr="007B4A99">
        <w:rPr>
          <w:rFonts w:ascii="Times New Roman" w:hAnsi="Times New Roman" w:cs="Times New Roman"/>
          <w:b/>
          <w:bCs/>
          <w:sz w:val="24"/>
          <w:szCs w:val="24"/>
        </w:rPr>
        <w:t xml:space="preserve">н </w:t>
      </w:r>
      <w:r w:rsidR="008205D6" w:rsidRPr="007B4A99">
        <w:rPr>
          <w:rFonts w:ascii="Times New Roman" w:hAnsi="Times New Roman" w:cs="Times New Roman"/>
          <w:b/>
          <w:bCs/>
          <w:sz w:val="24"/>
          <w:szCs w:val="24"/>
        </w:rPr>
        <w:t>–</w:t>
      </w:r>
      <w:r w:rsidR="00C52A75" w:rsidRPr="007B4A99">
        <w:rPr>
          <w:rFonts w:ascii="Times New Roman" w:hAnsi="Times New Roman" w:cs="Times New Roman"/>
          <w:b/>
          <w:bCs/>
          <w:sz w:val="24"/>
          <w:szCs w:val="24"/>
        </w:rPr>
        <w:t xml:space="preserve"> </w:t>
      </w:r>
      <w:r w:rsidR="008205D6" w:rsidRPr="007B4A99">
        <w:rPr>
          <w:rFonts w:ascii="Times New Roman" w:hAnsi="Times New Roman" w:cs="Times New Roman"/>
          <w:b/>
          <w:bCs/>
          <w:sz w:val="24"/>
          <w:szCs w:val="24"/>
        </w:rPr>
        <w:t xml:space="preserve">изцяло </w:t>
      </w:r>
      <w:r w:rsidR="00C52A75" w:rsidRPr="007B4A99">
        <w:rPr>
          <w:rFonts w:ascii="Times New Roman" w:hAnsi="Times New Roman" w:cs="Times New Roman"/>
          <w:b/>
          <w:bCs/>
          <w:sz w:val="24"/>
          <w:szCs w:val="24"/>
        </w:rPr>
        <w:t>нов</w:t>
      </w:r>
      <w:r w:rsidR="00DB64D8" w:rsidRPr="007B4A99">
        <w:rPr>
          <w:rFonts w:ascii="Times New Roman" w:hAnsi="Times New Roman" w:cs="Times New Roman"/>
          <w:b/>
          <w:bCs/>
          <w:sz w:val="24"/>
          <w:szCs w:val="24"/>
        </w:rPr>
        <w:t xml:space="preserve"> специален</w:t>
      </w:r>
      <w:r w:rsidR="00C52A75" w:rsidRPr="007B4A99">
        <w:rPr>
          <w:rFonts w:ascii="Times New Roman" w:hAnsi="Times New Roman" w:cs="Times New Roman"/>
          <w:b/>
          <w:bCs/>
          <w:sz w:val="24"/>
          <w:szCs w:val="24"/>
        </w:rPr>
        <w:t xml:space="preserve"> закон“</w:t>
      </w:r>
      <w:r w:rsidR="009F686D" w:rsidRPr="007B4A99">
        <w:rPr>
          <w:rFonts w:ascii="Times New Roman" w:hAnsi="Times New Roman" w:cs="Times New Roman"/>
          <w:bCs/>
          <w:sz w:val="24"/>
          <w:szCs w:val="24"/>
        </w:rPr>
        <w:t xml:space="preserve">, който предвижда </w:t>
      </w:r>
      <w:r w:rsidR="008205D6" w:rsidRPr="007B4A99">
        <w:rPr>
          <w:rFonts w:ascii="Times New Roman" w:hAnsi="Times New Roman" w:cs="Times New Roman"/>
          <w:bCs/>
          <w:sz w:val="24"/>
          <w:szCs w:val="24"/>
        </w:rPr>
        <w:t>целенасочена</w:t>
      </w:r>
      <w:r w:rsidR="009F686D" w:rsidRPr="007B4A99">
        <w:rPr>
          <w:rFonts w:ascii="Times New Roman" w:hAnsi="Times New Roman" w:cs="Times New Roman"/>
          <w:bCs/>
          <w:sz w:val="24"/>
          <w:szCs w:val="24"/>
        </w:rPr>
        <w:t xml:space="preserve"> и радикална </w:t>
      </w:r>
      <w:r w:rsidR="005712B1" w:rsidRPr="007B4A99">
        <w:rPr>
          <w:rFonts w:ascii="Times New Roman" w:hAnsi="Times New Roman" w:cs="Times New Roman"/>
          <w:bCs/>
          <w:sz w:val="24"/>
          <w:szCs w:val="24"/>
        </w:rPr>
        <w:t>публична намеса</w:t>
      </w:r>
      <w:r w:rsidR="009F686D" w:rsidRPr="007B4A99">
        <w:rPr>
          <w:rFonts w:ascii="Times New Roman" w:hAnsi="Times New Roman" w:cs="Times New Roman"/>
          <w:bCs/>
          <w:sz w:val="24"/>
          <w:szCs w:val="24"/>
        </w:rPr>
        <w:t xml:space="preserve"> чрез уреждане на проблемните обществени отношения по първичен нач</w:t>
      </w:r>
      <w:r w:rsidRPr="007B4A99">
        <w:rPr>
          <w:rFonts w:ascii="Times New Roman" w:hAnsi="Times New Roman" w:cs="Times New Roman"/>
          <w:bCs/>
          <w:sz w:val="24"/>
          <w:szCs w:val="24"/>
        </w:rPr>
        <w:t>ин с нов законов нормативен акт.</w:t>
      </w:r>
    </w:p>
    <w:p w14:paraId="1EF5EBFD" w14:textId="57C13662" w:rsidR="004C5D4A" w:rsidRPr="007B4A99" w:rsidRDefault="004C5D4A" w:rsidP="00DD69D5">
      <w:pPr>
        <w:autoSpaceDE w:val="0"/>
        <w:autoSpaceDN w:val="0"/>
        <w:adjustRightInd w:val="0"/>
        <w:spacing w:after="0" w:line="240" w:lineRule="auto"/>
        <w:ind w:firstLine="540"/>
        <w:jc w:val="both"/>
        <w:rPr>
          <w:rFonts w:ascii="Times New Roman" w:hAnsi="Times New Roman" w:cs="Times New Roman"/>
          <w:sz w:val="24"/>
          <w:szCs w:val="24"/>
        </w:rPr>
      </w:pPr>
      <w:r w:rsidRPr="007B4A99">
        <w:rPr>
          <w:rFonts w:ascii="Times New Roman" w:hAnsi="Times New Roman" w:cs="Times New Roman"/>
          <w:i/>
          <w:sz w:val="24"/>
          <w:szCs w:val="24"/>
        </w:rPr>
        <w:t>Първият вариант (нерегулаторен)</w:t>
      </w:r>
      <w:r w:rsidRPr="007B4A99">
        <w:rPr>
          <w:rFonts w:ascii="Times New Roman" w:hAnsi="Times New Roman" w:cs="Times New Roman"/>
          <w:sz w:val="24"/>
          <w:szCs w:val="24"/>
        </w:rPr>
        <w:t xml:space="preserve"> включва подход на публична намеса чрез мерки</w:t>
      </w:r>
      <w:r w:rsidR="00B50769">
        <w:rPr>
          <w:rFonts w:ascii="Times New Roman" w:hAnsi="Times New Roman" w:cs="Times New Roman"/>
          <w:sz w:val="24"/>
          <w:szCs w:val="24"/>
        </w:rPr>
        <w:t>,</w:t>
      </w:r>
      <w:r w:rsidRPr="007B4A99">
        <w:rPr>
          <w:rFonts w:ascii="Times New Roman" w:hAnsi="Times New Roman" w:cs="Times New Roman"/>
          <w:sz w:val="24"/>
          <w:szCs w:val="24"/>
        </w:rPr>
        <w:t xml:space="preserve"> алтернативни на класическото правно регулиране, каквито са саморегулирането, корегулирането или квазирегулиране. Те могат да бъдат съчетани и с различни практически, информационни, методологически или други</w:t>
      </w:r>
      <w:r w:rsidR="00AC2F82">
        <w:rPr>
          <w:rFonts w:ascii="Times New Roman" w:hAnsi="Times New Roman" w:cs="Times New Roman"/>
          <w:sz w:val="24"/>
          <w:szCs w:val="24"/>
        </w:rPr>
        <w:t xml:space="preserve"> доброволни</w:t>
      </w:r>
      <w:r w:rsidRPr="007B4A99">
        <w:rPr>
          <w:rFonts w:ascii="Times New Roman" w:hAnsi="Times New Roman" w:cs="Times New Roman"/>
          <w:sz w:val="24"/>
          <w:szCs w:val="24"/>
        </w:rPr>
        <w:t xml:space="preserve"> инструменти, които нямат юридическа сила, но които биха могли да доведат до разрешаване на идентифицираните проблеми, при едновременно реализиране на заложените цели. Такива са</w:t>
      </w:r>
      <w:r w:rsidR="00B50769">
        <w:rPr>
          <w:rFonts w:ascii="Times New Roman" w:hAnsi="Times New Roman" w:cs="Times New Roman"/>
          <w:sz w:val="24"/>
          <w:szCs w:val="24"/>
        </w:rPr>
        <w:t>,</w:t>
      </w:r>
      <w:r w:rsidRPr="007B4A99">
        <w:rPr>
          <w:rFonts w:ascii="Times New Roman" w:hAnsi="Times New Roman" w:cs="Times New Roman"/>
          <w:sz w:val="24"/>
          <w:szCs w:val="24"/>
        </w:rPr>
        <w:t xml:space="preserve"> например</w:t>
      </w:r>
      <w:r w:rsidR="00B50769">
        <w:rPr>
          <w:rFonts w:ascii="Times New Roman" w:hAnsi="Times New Roman" w:cs="Times New Roman"/>
          <w:sz w:val="24"/>
          <w:szCs w:val="24"/>
        </w:rPr>
        <w:t>,</w:t>
      </w:r>
      <w:r w:rsidRPr="007B4A99">
        <w:rPr>
          <w:rFonts w:ascii="Times New Roman" w:hAnsi="Times New Roman" w:cs="Times New Roman"/>
          <w:sz w:val="24"/>
          <w:szCs w:val="24"/>
        </w:rPr>
        <w:t xml:space="preserve"> организирането на национална информационна кампания, провеждането на обучения за потребители или експерти от държавната администрация, </w:t>
      </w:r>
      <w:r w:rsidR="00AC2F82">
        <w:rPr>
          <w:rFonts w:ascii="Times New Roman" w:hAnsi="Times New Roman" w:cs="Times New Roman"/>
          <w:sz w:val="24"/>
          <w:szCs w:val="24"/>
        </w:rPr>
        <w:t xml:space="preserve">приемането на етичен кодекс или </w:t>
      </w:r>
      <w:r w:rsidRPr="007B4A99">
        <w:rPr>
          <w:rFonts w:ascii="Times New Roman" w:hAnsi="Times New Roman" w:cs="Times New Roman"/>
          <w:sz w:val="24"/>
          <w:szCs w:val="24"/>
        </w:rPr>
        <w:t>създаването на специализиран интернет портал и други подобни.</w:t>
      </w:r>
    </w:p>
    <w:p w14:paraId="09AD87A3" w14:textId="2A50384D" w:rsidR="000F33C3" w:rsidRPr="007B4A99" w:rsidRDefault="004C5D4A" w:rsidP="00DD69D5">
      <w:pPr>
        <w:autoSpaceDE w:val="0"/>
        <w:autoSpaceDN w:val="0"/>
        <w:adjustRightInd w:val="0"/>
        <w:spacing w:after="0" w:line="240" w:lineRule="auto"/>
        <w:ind w:firstLine="540"/>
        <w:jc w:val="both"/>
        <w:rPr>
          <w:rFonts w:ascii="Times New Roman" w:hAnsi="Times New Roman" w:cs="Times New Roman"/>
          <w:sz w:val="24"/>
          <w:szCs w:val="24"/>
        </w:rPr>
      </w:pPr>
      <w:r w:rsidRPr="007B4A99">
        <w:rPr>
          <w:rFonts w:ascii="Times New Roman" w:hAnsi="Times New Roman" w:cs="Times New Roman"/>
          <w:i/>
          <w:sz w:val="24"/>
          <w:szCs w:val="24"/>
        </w:rPr>
        <w:t>В</w:t>
      </w:r>
      <w:r w:rsidR="009D11CD" w:rsidRPr="007B4A99">
        <w:rPr>
          <w:rFonts w:ascii="Times New Roman" w:hAnsi="Times New Roman" w:cs="Times New Roman"/>
          <w:i/>
          <w:sz w:val="24"/>
          <w:szCs w:val="24"/>
        </w:rPr>
        <w:t>торият</w:t>
      </w:r>
      <w:r w:rsidRPr="007B4A99">
        <w:rPr>
          <w:rFonts w:ascii="Times New Roman" w:hAnsi="Times New Roman" w:cs="Times New Roman"/>
          <w:i/>
          <w:sz w:val="24"/>
          <w:szCs w:val="24"/>
        </w:rPr>
        <w:t xml:space="preserve"> и третият</w:t>
      </w:r>
      <w:r w:rsidR="009D11CD" w:rsidRPr="007B4A99">
        <w:rPr>
          <w:rFonts w:ascii="Times New Roman" w:hAnsi="Times New Roman" w:cs="Times New Roman"/>
          <w:i/>
          <w:sz w:val="24"/>
          <w:szCs w:val="24"/>
        </w:rPr>
        <w:t xml:space="preserve"> вариа</w:t>
      </w:r>
      <w:r w:rsidR="00AA4358" w:rsidRPr="007B4A99">
        <w:rPr>
          <w:rFonts w:ascii="Times New Roman" w:hAnsi="Times New Roman" w:cs="Times New Roman"/>
          <w:i/>
          <w:sz w:val="24"/>
          <w:szCs w:val="24"/>
        </w:rPr>
        <w:t>нт</w:t>
      </w:r>
      <w:r w:rsidR="009D11CD" w:rsidRPr="007B4A99">
        <w:rPr>
          <w:rFonts w:ascii="Times New Roman" w:hAnsi="Times New Roman" w:cs="Times New Roman"/>
          <w:i/>
          <w:sz w:val="24"/>
          <w:szCs w:val="24"/>
        </w:rPr>
        <w:t xml:space="preserve"> (регулаторни)</w:t>
      </w:r>
      <w:r w:rsidR="009D11CD" w:rsidRPr="007B4A99">
        <w:rPr>
          <w:rFonts w:ascii="Times New Roman" w:hAnsi="Times New Roman" w:cs="Times New Roman"/>
          <w:sz w:val="24"/>
          <w:szCs w:val="24"/>
        </w:rPr>
        <w:t xml:space="preserve"> включват прилагането на мерки с</w:t>
      </w:r>
      <w:r w:rsidR="00AC2F82">
        <w:rPr>
          <w:rFonts w:ascii="Times New Roman" w:hAnsi="Times New Roman" w:cs="Times New Roman"/>
          <w:sz w:val="24"/>
          <w:szCs w:val="24"/>
        </w:rPr>
        <w:t>ъс</w:t>
      </w:r>
      <w:r w:rsidR="009D11CD" w:rsidRPr="007B4A99">
        <w:rPr>
          <w:rFonts w:ascii="Times New Roman" w:hAnsi="Times New Roman" w:cs="Times New Roman"/>
          <w:sz w:val="24"/>
          <w:szCs w:val="24"/>
        </w:rPr>
        <w:t xml:space="preserve"> </w:t>
      </w:r>
      <w:r w:rsidR="00964D43" w:rsidRPr="007B4A99">
        <w:rPr>
          <w:rFonts w:ascii="Times New Roman" w:hAnsi="Times New Roman" w:cs="Times New Roman"/>
          <w:sz w:val="24"/>
          <w:szCs w:val="24"/>
        </w:rPr>
        <w:t>съответно висок</w:t>
      </w:r>
      <w:r w:rsidRPr="007B4A99">
        <w:rPr>
          <w:rFonts w:ascii="Times New Roman" w:hAnsi="Times New Roman" w:cs="Times New Roman"/>
          <w:sz w:val="24"/>
          <w:szCs w:val="24"/>
        </w:rPr>
        <w:t xml:space="preserve"> и най-висок</w:t>
      </w:r>
      <w:r w:rsidR="009D11CD" w:rsidRPr="007B4A99">
        <w:rPr>
          <w:rFonts w:ascii="Times New Roman" w:hAnsi="Times New Roman" w:cs="Times New Roman"/>
          <w:sz w:val="24"/>
          <w:szCs w:val="24"/>
        </w:rPr>
        <w:t xml:space="preserve"> интензитет</w:t>
      </w:r>
      <w:r w:rsidRPr="007B4A99">
        <w:rPr>
          <w:rFonts w:ascii="Times New Roman" w:hAnsi="Times New Roman" w:cs="Times New Roman"/>
          <w:sz w:val="24"/>
          <w:szCs w:val="24"/>
        </w:rPr>
        <w:t xml:space="preserve"> на намеса</w:t>
      </w:r>
      <w:r w:rsidR="009D11CD" w:rsidRPr="007B4A99">
        <w:rPr>
          <w:rFonts w:ascii="Times New Roman" w:hAnsi="Times New Roman" w:cs="Times New Roman"/>
          <w:sz w:val="24"/>
          <w:szCs w:val="24"/>
        </w:rPr>
        <w:t xml:space="preserve"> и степен на определеност. Тяхната непосредствена цел, отчетливо изразена при </w:t>
      </w:r>
      <w:r w:rsidRPr="007B4A99">
        <w:rPr>
          <w:rFonts w:ascii="Times New Roman" w:hAnsi="Times New Roman" w:cs="Times New Roman"/>
          <w:sz w:val="24"/>
          <w:szCs w:val="24"/>
        </w:rPr>
        <w:t>третия</w:t>
      </w:r>
      <w:r w:rsidR="009D11CD" w:rsidRPr="007B4A99">
        <w:rPr>
          <w:rFonts w:ascii="Times New Roman" w:hAnsi="Times New Roman" w:cs="Times New Roman"/>
          <w:sz w:val="24"/>
          <w:szCs w:val="24"/>
        </w:rPr>
        <w:t xml:space="preserve">, е ясно и недвусмислено запълване </w:t>
      </w:r>
      <w:r w:rsidR="00247BC1" w:rsidRPr="007B4A99">
        <w:rPr>
          <w:rFonts w:ascii="Times New Roman" w:hAnsi="Times New Roman" w:cs="Times New Roman"/>
          <w:sz w:val="24"/>
          <w:szCs w:val="24"/>
        </w:rPr>
        <w:t xml:space="preserve">на </w:t>
      </w:r>
      <w:r w:rsidR="009D11CD" w:rsidRPr="007B4A99">
        <w:rPr>
          <w:rFonts w:ascii="Times New Roman" w:hAnsi="Times New Roman" w:cs="Times New Roman"/>
          <w:sz w:val="24"/>
          <w:szCs w:val="24"/>
        </w:rPr>
        <w:t>съществ</w:t>
      </w:r>
      <w:r w:rsidR="002D6B9A" w:rsidRPr="007B4A99">
        <w:rPr>
          <w:rFonts w:ascii="Times New Roman" w:hAnsi="Times New Roman" w:cs="Times New Roman"/>
          <w:sz w:val="24"/>
          <w:szCs w:val="24"/>
        </w:rPr>
        <w:t xml:space="preserve">уващи дефицити </w:t>
      </w:r>
      <w:r w:rsidR="009D11CD" w:rsidRPr="007B4A99">
        <w:rPr>
          <w:rFonts w:ascii="Times New Roman" w:hAnsi="Times New Roman" w:cs="Times New Roman"/>
          <w:sz w:val="24"/>
          <w:szCs w:val="24"/>
        </w:rPr>
        <w:t>в</w:t>
      </w:r>
      <w:r w:rsidR="002D6B9A" w:rsidRPr="007B4A99">
        <w:rPr>
          <w:rFonts w:ascii="Times New Roman" w:hAnsi="Times New Roman" w:cs="Times New Roman"/>
          <w:sz w:val="24"/>
          <w:szCs w:val="24"/>
        </w:rPr>
        <w:t xml:space="preserve"> действащото</w:t>
      </w:r>
      <w:r w:rsidR="009D11CD" w:rsidRPr="007B4A99">
        <w:rPr>
          <w:rFonts w:ascii="Times New Roman" w:hAnsi="Times New Roman" w:cs="Times New Roman"/>
          <w:sz w:val="24"/>
          <w:szCs w:val="24"/>
        </w:rPr>
        <w:t xml:space="preserve"> българско законодателство</w:t>
      </w:r>
      <w:r w:rsidR="000F33C3" w:rsidRPr="007B4A99">
        <w:rPr>
          <w:rFonts w:ascii="Times New Roman" w:hAnsi="Times New Roman" w:cs="Times New Roman"/>
          <w:sz w:val="24"/>
          <w:szCs w:val="24"/>
        </w:rPr>
        <w:t>.</w:t>
      </w:r>
      <w:r w:rsidR="009D11CD" w:rsidRPr="007B4A99">
        <w:rPr>
          <w:rFonts w:ascii="Times New Roman" w:hAnsi="Times New Roman" w:cs="Times New Roman"/>
          <w:sz w:val="24"/>
          <w:szCs w:val="24"/>
        </w:rPr>
        <w:t xml:space="preserve"> Подходът на регулаторната намеса основно се стреми към уреждане </w:t>
      </w:r>
      <w:r w:rsidR="00DB64D8" w:rsidRPr="007B4A99">
        <w:rPr>
          <w:rFonts w:ascii="Times New Roman" w:hAnsi="Times New Roman" w:cs="Times New Roman"/>
          <w:sz w:val="24"/>
          <w:szCs w:val="24"/>
        </w:rPr>
        <w:t xml:space="preserve">по нов начин </w:t>
      </w:r>
      <w:r w:rsidR="009D11CD" w:rsidRPr="007B4A99">
        <w:rPr>
          <w:rFonts w:ascii="Times New Roman" w:hAnsi="Times New Roman" w:cs="Times New Roman"/>
          <w:sz w:val="24"/>
          <w:szCs w:val="24"/>
        </w:rPr>
        <w:t xml:space="preserve">на </w:t>
      </w:r>
      <w:r w:rsidR="000F33C3" w:rsidRPr="007B4A99">
        <w:rPr>
          <w:rFonts w:ascii="Times New Roman" w:hAnsi="Times New Roman" w:cs="Times New Roman"/>
          <w:sz w:val="24"/>
          <w:szCs w:val="24"/>
        </w:rPr>
        <w:t xml:space="preserve">обществените отношения </w:t>
      </w:r>
      <w:r w:rsidR="00DB64D8" w:rsidRPr="007B4A99">
        <w:rPr>
          <w:rFonts w:ascii="Times New Roman" w:hAnsi="Times New Roman" w:cs="Times New Roman"/>
          <w:sz w:val="24"/>
          <w:szCs w:val="24"/>
        </w:rPr>
        <w:t>по веригата на доставки на земеделски продукти и храни</w:t>
      </w:r>
      <w:r w:rsidR="000F33C3" w:rsidRPr="007B4A99">
        <w:rPr>
          <w:rFonts w:ascii="Times New Roman" w:hAnsi="Times New Roman" w:cs="Times New Roman"/>
          <w:sz w:val="24"/>
          <w:szCs w:val="24"/>
        </w:rPr>
        <w:t>.</w:t>
      </w:r>
    </w:p>
    <w:p w14:paraId="1E6C3FDA" w14:textId="206C5E31" w:rsidR="00796C6B" w:rsidRPr="007B4A99" w:rsidRDefault="005712B1" w:rsidP="00DD69D5">
      <w:pPr>
        <w:autoSpaceDE w:val="0"/>
        <w:autoSpaceDN w:val="0"/>
        <w:adjustRightInd w:val="0"/>
        <w:spacing w:after="0" w:line="240" w:lineRule="auto"/>
        <w:ind w:firstLine="540"/>
        <w:jc w:val="both"/>
        <w:rPr>
          <w:rFonts w:ascii="Times New Roman" w:hAnsi="Times New Roman" w:cs="Times New Roman"/>
          <w:sz w:val="24"/>
          <w:szCs w:val="24"/>
        </w:rPr>
      </w:pPr>
      <w:r w:rsidRPr="007B4A99">
        <w:rPr>
          <w:rFonts w:ascii="Times New Roman" w:hAnsi="Times New Roman" w:cs="Times New Roman"/>
          <w:sz w:val="24"/>
          <w:szCs w:val="24"/>
        </w:rPr>
        <w:t xml:space="preserve"> </w:t>
      </w:r>
      <w:r w:rsidR="009D11CD" w:rsidRPr="007B4A99">
        <w:rPr>
          <w:rFonts w:ascii="Times New Roman" w:hAnsi="Times New Roman" w:cs="Times New Roman"/>
          <w:sz w:val="24"/>
          <w:szCs w:val="24"/>
        </w:rPr>
        <w:t>Поначало</w:t>
      </w:r>
      <w:r w:rsidR="00B50769">
        <w:rPr>
          <w:rFonts w:ascii="Times New Roman" w:hAnsi="Times New Roman" w:cs="Times New Roman"/>
          <w:sz w:val="24"/>
          <w:szCs w:val="24"/>
        </w:rPr>
        <w:t>,</w:t>
      </w:r>
      <w:r w:rsidR="009D11CD" w:rsidRPr="007B4A99">
        <w:rPr>
          <w:rFonts w:ascii="Times New Roman" w:hAnsi="Times New Roman" w:cs="Times New Roman"/>
          <w:sz w:val="24"/>
          <w:szCs w:val="24"/>
        </w:rPr>
        <w:t xml:space="preserve"> при всеки регулаторен вариант, на първо място се прибягва до разработването и въвеждането на инструменти за правно регулиране, насочени към подобряване на действащата нормативна уредба. Когато проблемите са от такова естество, че не могат да бъдат разрешени чрез подобни действия, се о</w:t>
      </w:r>
      <w:r w:rsidR="0084287D" w:rsidRPr="007B4A99">
        <w:rPr>
          <w:rFonts w:ascii="Times New Roman" w:hAnsi="Times New Roman" w:cs="Times New Roman"/>
          <w:sz w:val="24"/>
          <w:szCs w:val="24"/>
        </w:rPr>
        <w:t>бмисля приемането на изцяло нов</w:t>
      </w:r>
      <w:r w:rsidR="009D11CD" w:rsidRPr="007B4A99">
        <w:rPr>
          <w:rFonts w:ascii="Times New Roman" w:hAnsi="Times New Roman" w:cs="Times New Roman"/>
          <w:sz w:val="24"/>
          <w:szCs w:val="24"/>
        </w:rPr>
        <w:t xml:space="preserve"> закон</w:t>
      </w:r>
      <w:r w:rsidR="0084287D" w:rsidRPr="007B4A99">
        <w:rPr>
          <w:rFonts w:ascii="Times New Roman" w:hAnsi="Times New Roman" w:cs="Times New Roman"/>
          <w:sz w:val="24"/>
          <w:szCs w:val="24"/>
        </w:rPr>
        <w:t>, кой</w:t>
      </w:r>
      <w:r w:rsidR="00DB64D8" w:rsidRPr="007B4A99">
        <w:rPr>
          <w:rFonts w:ascii="Times New Roman" w:hAnsi="Times New Roman" w:cs="Times New Roman"/>
          <w:sz w:val="24"/>
          <w:szCs w:val="24"/>
        </w:rPr>
        <w:t>то чрез общи и задължителни</w:t>
      </w:r>
      <w:r w:rsidR="00CF2A95" w:rsidRPr="007B4A99">
        <w:rPr>
          <w:rFonts w:ascii="Times New Roman" w:hAnsi="Times New Roman" w:cs="Times New Roman"/>
          <w:sz w:val="24"/>
          <w:szCs w:val="24"/>
        </w:rPr>
        <w:t xml:space="preserve"> за всички</w:t>
      </w:r>
      <w:r w:rsidR="009D11CD" w:rsidRPr="007B4A99">
        <w:rPr>
          <w:rFonts w:ascii="Times New Roman" w:hAnsi="Times New Roman" w:cs="Times New Roman"/>
          <w:sz w:val="24"/>
          <w:szCs w:val="24"/>
        </w:rPr>
        <w:t xml:space="preserve"> </w:t>
      </w:r>
      <w:r w:rsidR="00DB64D8" w:rsidRPr="007B4A99">
        <w:rPr>
          <w:rFonts w:ascii="Times New Roman" w:hAnsi="Times New Roman" w:cs="Times New Roman"/>
          <w:sz w:val="24"/>
          <w:szCs w:val="24"/>
        </w:rPr>
        <w:t xml:space="preserve">правила за поведение </w:t>
      </w:r>
      <w:r w:rsidR="009D11CD" w:rsidRPr="007B4A99">
        <w:rPr>
          <w:rFonts w:ascii="Times New Roman" w:hAnsi="Times New Roman" w:cs="Times New Roman"/>
          <w:sz w:val="24"/>
          <w:szCs w:val="24"/>
        </w:rPr>
        <w:t xml:space="preserve">да уреди трайно и по първичен начин обществените отношения, засегнати от проблемите. </w:t>
      </w:r>
    </w:p>
    <w:p w14:paraId="0E6B768F" w14:textId="39DA620A" w:rsidR="000F33C3" w:rsidRPr="007B4A99" w:rsidRDefault="000F33C3" w:rsidP="00DD69D5">
      <w:pPr>
        <w:autoSpaceDE w:val="0"/>
        <w:autoSpaceDN w:val="0"/>
        <w:adjustRightInd w:val="0"/>
        <w:spacing w:after="0" w:line="240" w:lineRule="auto"/>
        <w:ind w:firstLine="540"/>
        <w:jc w:val="both"/>
        <w:rPr>
          <w:rFonts w:ascii="Times New Roman" w:hAnsi="Times New Roman" w:cs="Times New Roman"/>
          <w:sz w:val="24"/>
          <w:szCs w:val="24"/>
        </w:rPr>
      </w:pPr>
      <w:r w:rsidRPr="007B4A99">
        <w:rPr>
          <w:rFonts w:ascii="Times New Roman" w:hAnsi="Times New Roman" w:cs="Times New Roman"/>
          <w:sz w:val="24"/>
          <w:szCs w:val="24"/>
        </w:rPr>
        <w:t>Така</w:t>
      </w:r>
      <w:r w:rsidR="00DB64D8" w:rsidRPr="007B4A99">
        <w:rPr>
          <w:rFonts w:ascii="Times New Roman" w:hAnsi="Times New Roman" w:cs="Times New Roman"/>
          <w:sz w:val="24"/>
          <w:szCs w:val="24"/>
        </w:rPr>
        <w:t>,</w:t>
      </w:r>
      <w:r w:rsidRPr="007B4A99">
        <w:rPr>
          <w:rFonts w:ascii="Times New Roman" w:hAnsi="Times New Roman" w:cs="Times New Roman"/>
          <w:sz w:val="24"/>
          <w:szCs w:val="24"/>
        </w:rPr>
        <w:t xml:space="preserve"> подобряването на правната среда в дадена сфера от обществения живот чрез усъвършенстване на регулирането на действащите в нея отношения като процес може да включва различни по своята природа действия и мерки според дефицитите, които следва да бъдат адресирани като:</w:t>
      </w:r>
    </w:p>
    <w:p w14:paraId="38432CA3" w14:textId="0627AC29" w:rsidR="004C5D4A" w:rsidRPr="007B4A99" w:rsidRDefault="004C5D4A" w:rsidP="00DD69D5">
      <w:pPr>
        <w:autoSpaceDE w:val="0"/>
        <w:autoSpaceDN w:val="0"/>
        <w:adjustRightInd w:val="0"/>
        <w:spacing w:after="0" w:line="240" w:lineRule="auto"/>
        <w:ind w:firstLine="540"/>
        <w:jc w:val="both"/>
        <w:rPr>
          <w:rFonts w:ascii="Times New Roman" w:hAnsi="Times New Roman" w:cs="Times New Roman"/>
          <w:sz w:val="24"/>
          <w:szCs w:val="24"/>
        </w:rPr>
      </w:pPr>
      <w:r w:rsidRPr="007B4A99">
        <w:rPr>
          <w:rFonts w:ascii="Times New Roman" w:hAnsi="Times New Roman" w:cs="Times New Roman"/>
          <w:sz w:val="24"/>
          <w:szCs w:val="24"/>
        </w:rPr>
        <w:t>1. промяна в съществуващата правна рамка, чрез интервенция в действащ закон или подзаконов нормативе</w:t>
      </w:r>
      <w:r w:rsidR="00AC6AC0" w:rsidRPr="007B4A99">
        <w:rPr>
          <w:rFonts w:ascii="Times New Roman" w:hAnsi="Times New Roman" w:cs="Times New Roman"/>
          <w:sz w:val="24"/>
          <w:szCs w:val="24"/>
        </w:rPr>
        <w:t xml:space="preserve">н акт </w:t>
      </w:r>
      <w:r w:rsidRPr="007B4A99">
        <w:rPr>
          <w:rFonts w:ascii="Times New Roman" w:hAnsi="Times New Roman" w:cs="Times New Roman"/>
          <w:sz w:val="24"/>
          <w:szCs w:val="24"/>
        </w:rPr>
        <w:t>с цел нейното цялостно усъвършенстване или</w:t>
      </w:r>
    </w:p>
    <w:p w14:paraId="3AE3BEE4" w14:textId="24A4951C" w:rsidR="000F33C3" w:rsidRPr="007B4A99" w:rsidRDefault="004C5D4A" w:rsidP="00DD69D5">
      <w:pPr>
        <w:autoSpaceDE w:val="0"/>
        <w:autoSpaceDN w:val="0"/>
        <w:adjustRightInd w:val="0"/>
        <w:spacing w:after="0" w:line="240" w:lineRule="auto"/>
        <w:ind w:firstLine="540"/>
        <w:jc w:val="both"/>
        <w:rPr>
          <w:rFonts w:ascii="Times New Roman" w:hAnsi="Times New Roman" w:cs="Times New Roman"/>
          <w:sz w:val="24"/>
          <w:szCs w:val="24"/>
        </w:rPr>
      </w:pPr>
      <w:r w:rsidRPr="007B4A99">
        <w:rPr>
          <w:rFonts w:ascii="Times New Roman" w:hAnsi="Times New Roman" w:cs="Times New Roman"/>
          <w:sz w:val="24"/>
          <w:szCs w:val="24"/>
        </w:rPr>
        <w:t>2</w:t>
      </w:r>
      <w:r w:rsidR="000F33C3" w:rsidRPr="007B4A99">
        <w:rPr>
          <w:rFonts w:ascii="Times New Roman" w:hAnsi="Times New Roman" w:cs="Times New Roman"/>
          <w:sz w:val="24"/>
          <w:szCs w:val="24"/>
        </w:rPr>
        <w:t xml:space="preserve">. приемане на нов </w:t>
      </w:r>
      <w:r w:rsidR="00796C6B" w:rsidRPr="007B4A99">
        <w:rPr>
          <w:rFonts w:ascii="Times New Roman" w:hAnsi="Times New Roman" w:cs="Times New Roman"/>
          <w:sz w:val="24"/>
          <w:szCs w:val="24"/>
        </w:rPr>
        <w:t xml:space="preserve">специален </w:t>
      </w:r>
      <w:r w:rsidR="000F33C3" w:rsidRPr="007B4A99">
        <w:rPr>
          <w:rFonts w:ascii="Times New Roman" w:hAnsi="Times New Roman" w:cs="Times New Roman"/>
          <w:sz w:val="24"/>
          <w:szCs w:val="24"/>
        </w:rPr>
        <w:t>законов</w:t>
      </w:r>
      <w:r w:rsidR="00AC2F82">
        <w:rPr>
          <w:rFonts w:ascii="Times New Roman" w:hAnsi="Times New Roman" w:cs="Times New Roman"/>
          <w:sz w:val="24"/>
          <w:szCs w:val="24"/>
        </w:rPr>
        <w:t xml:space="preserve"> или подзаконов</w:t>
      </w:r>
      <w:r w:rsidR="000F33C3" w:rsidRPr="007B4A99">
        <w:rPr>
          <w:rFonts w:ascii="Times New Roman" w:hAnsi="Times New Roman" w:cs="Times New Roman"/>
          <w:sz w:val="24"/>
          <w:szCs w:val="24"/>
        </w:rPr>
        <w:t xml:space="preserve"> нормативен акт, който да </w:t>
      </w:r>
      <w:r w:rsidR="00AC6AC0" w:rsidRPr="007B4A99">
        <w:rPr>
          <w:rFonts w:ascii="Times New Roman" w:hAnsi="Times New Roman" w:cs="Times New Roman"/>
          <w:sz w:val="24"/>
          <w:szCs w:val="24"/>
        </w:rPr>
        <w:t xml:space="preserve">се концентрира изцяло върху проблемните обществени отношения и по </w:t>
      </w:r>
      <w:r w:rsidR="00AC2F82">
        <w:rPr>
          <w:rFonts w:ascii="Times New Roman" w:hAnsi="Times New Roman" w:cs="Times New Roman"/>
          <w:sz w:val="24"/>
          <w:szCs w:val="24"/>
        </w:rPr>
        <w:t>целенасочен</w:t>
      </w:r>
      <w:r w:rsidR="00AC6AC0" w:rsidRPr="007B4A99">
        <w:rPr>
          <w:rFonts w:ascii="Times New Roman" w:hAnsi="Times New Roman" w:cs="Times New Roman"/>
          <w:sz w:val="24"/>
          <w:szCs w:val="24"/>
        </w:rPr>
        <w:t xml:space="preserve"> и изчерпателен начин </w:t>
      </w:r>
      <w:r w:rsidR="00AC2F82">
        <w:rPr>
          <w:rFonts w:ascii="Times New Roman" w:hAnsi="Times New Roman" w:cs="Times New Roman"/>
          <w:sz w:val="24"/>
          <w:szCs w:val="24"/>
        </w:rPr>
        <w:t xml:space="preserve">да </w:t>
      </w:r>
      <w:r w:rsidR="00AC6AC0" w:rsidRPr="007B4A99">
        <w:rPr>
          <w:rFonts w:ascii="Times New Roman" w:hAnsi="Times New Roman" w:cs="Times New Roman"/>
          <w:sz w:val="24"/>
          <w:szCs w:val="24"/>
        </w:rPr>
        <w:t>предвиди нова уредба на тези отношения</w:t>
      </w:r>
      <w:r w:rsidR="000F33C3" w:rsidRPr="007B4A99">
        <w:rPr>
          <w:rFonts w:ascii="Times New Roman" w:hAnsi="Times New Roman" w:cs="Times New Roman"/>
          <w:sz w:val="24"/>
          <w:szCs w:val="24"/>
        </w:rPr>
        <w:t>.</w:t>
      </w:r>
    </w:p>
    <w:p w14:paraId="4E1EF8D5" w14:textId="4FE44F53" w:rsidR="000F33C3" w:rsidRPr="007B4A99" w:rsidRDefault="000F33C3" w:rsidP="00DD69D5">
      <w:pPr>
        <w:autoSpaceDE w:val="0"/>
        <w:autoSpaceDN w:val="0"/>
        <w:adjustRightInd w:val="0"/>
        <w:spacing w:after="0" w:line="240" w:lineRule="auto"/>
        <w:ind w:firstLine="540"/>
        <w:jc w:val="both"/>
        <w:rPr>
          <w:rFonts w:ascii="Times New Roman" w:hAnsi="Times New Roman" w:cs="Times New Roman"/>
          <w:sz w:val="24"/>
          <w:szCs w:val="24"/>
        </w:rPr>
      </w:pPr>
      <w:r w:rsidRPr="007B4A99">
        <w:rPr>
          <w:rFonts w:ascii="Times New Roman" w:hAnsi="Times New Roman" w:cs="Times New Roman"/>
          <w:sz w:val="24"/>
          <w:szCs w:val="24"/>
        </w:rPr>
        <w:lastRenderedPageBreak/>
        <w:t>Крайният преследван резултат от тези действия следва да е един и същ – приемането на ясна, разбираема и непротиворечива национална уредба, която води до ефективно правоприлагане на национално ниво и пълно, съответстващо на правото на ЕС и на приложимите за държавата ни международни ангажименти, регулиране на обществените отношения в разглежданата област.</w:t>
      </w:r>
    </w:p>
    <w:p w14:paraId="3FE82458" w14:textId="58F9243E" w:rsidR="005712B1" w:rsidRPr="007B4A99" w:rsidRDefault="000F33C3" w:rsidP="00DD69D5">
      <w:pPr>
        <w:autoSpaceDE w:val="0"/>
        <w:autoSpaceDN w:val="0"/>
        <w:adjustRightInd w:val="0"/>
        <w:spacing w:after="0" w:line="240" w:lineRule="auto"/>
        <w:ind w:firstLine="540"/>
        <w:jc w:val="both"/>
        <w:rPr>
          <w:rFonts w:ascii="Times New Roman" w:hAnsi="Times New Roman" w:cs="Times New Roman"/>
          <w:sz w:val="24"/>
          <w:szCs w:val="24"/>
        </w:rPr>
      </w:pPr>
      <w:r w:rsidRPr="007B4A99">
        <w:rPr>
          <w:rFonts w:ascii="Times New Roman" w:hAnsi="Times New Roman" w:cs="Times New Roman"/>
          <w:sz w:val="24"/>
          <w:szCs w:val="24"/>
        </w:rPr>
        <w:t>Оценяваните тук два регулаторни варианта са разработени и поставени на аналитично изпитание и задълбочено изследване в ОВ в отговор именно на вече посочените проблеми и техните двигатели. Те предвиждат провеждането на адекватна на съществуващите нужди интервенция, водеща до промяна в действащото до момента регулиране</w:t>
      </w:r>
      <w:r w:rsidR="00AC6AC0" w:rsidRPr="007B4A99">
        <w:rPr>
          <w:rFonts w:ascii="Times New Roman" w:hAnsi="Times New Roman" w:cs="Times New Roman"/>
          <w:sz w:val="24"/>
          <w:szCs w:val="24"/>
        </w:rPr>
        <w:t>, респективно</w:t>
      </w:r>
      <w:r w:rsidR="00B50769">
        <w:rPr>
          <w:rFonts w:ascii="Times New Roman" w:hAnsi="Times New Roman" w:cs="Times New Roman"/>
          <w:sz w:val="24"/>
          <w:szCs w:val="24"/>
        </w:rPr>
        <w:t>,</w:t>
      </w:r>
      <w:r w:rsidR="00AC6AC0" w:rsidRPr="007B4A99">
        <w:rPr>
          <w:rFonts w:ascii="Times New Roman" w:hAnsi="Times New Roman" w:cs="Times New Roman"/>
          <w:sz w:val="24"/>
          <w:szCs w:val="24"/>
        </w:rPr>
        <w:t xml:space="preserve"> в запълване на празноти в него чрез нова правна уредба</w:t>
      </w:r>
      <w:r w:rsidRPr="007B4A99">
        <w:rPr>
          <w:rFonts w:ascii="Times New Roman" w:hAnsi="Times New Roman" w:cs="Times New Roman"/>
          <w:sz w:val="24"/>
          <w:szCs w:val="24"/>
        </w:rPr>
        <w:t xml:space="preserve">. </w:t>
      </w:r>
    </w:p>
    <w:p w14:paraId="2BD623DF" w14:textId="68F04CE4" w:rsidR="00FE65A9" w:rsidRPr="007B4A99" w:rsidRDefault="00AC6AC0" w:rsidP="00DD69D5">
      <w:pPr>
        <w:autoSpaceDE w:val="0"/>
        <w:autoSpaceDN w:val="0"/>
        <w:adjustRightInd w:val="0"/>
        <w:spacing w:after="0" w:line="240" w:lineRule="auto"/>
        <w:ind w:firstLine="540"/>
        <w:jc w:val="both"/>
        <w:rPr>
          <w:rFonts w:ascii="Times New Roman" w:hAnsi="Times New Roman" w:cs="Times New Roman"/>
          <w:sz w:val="24"/>
          <w:szCs w:val="24"/>
        </w:rPr>
      </w:pPr>
      <w:r w:rsidRPr="007B4A99">
        <w:rPr>
          <w:rFonts w:ascii="Times New Roman" w:hAnsi="Times New Roman" w:cs="Times New Roman"/>
          <w:sz w:val="24"/>
          <w:szCs w:val="24"/>
        </w:rPr>
        <w:t>В</w:t>
      </w:r>
      <w:r w:rsidR="0069290C" w:rsidRPr="007B4A99">
        <w:rPr>
          <w:rFonts w:ascii="Times New Roman" w:hAnsi="Times New Roman" w:cs="Times New Roman"/>
          <w:sz w:val="24"/>
          <w:szCs w:val="24"/>
        </w:rPr>
        <w:t>ариантът</w:t>
      </w:r>
      <w:r w:rsidR="00F277F9" w:rsidRPr="007B4A99">
        <w:rPr>
          <w:rFonts w:ascii="Times New Roman" w:hAnsi="Times New Roman" w:cs="Times New Roman"/>
          <w:sz w:val="24"/>
          <w:szCs w:val="24"/>
        </w:rPr>
        <w:t>,</w:t>
      </w:r>
      <w:r w:rsidR="0069290C" w:rsidRPr="007B4A99">
        <w:rPr>
          <w:rFonts w:ascii="Times New Roman" w:hAnsi="Times New Roman" w:cs="Times New Roman"/>
          <w:sz w:val="24"/>
          <w:szCs w:val="24"/>
        </w:rPr>
        <w:t xml:space="preserve"> който бъде препоръчан от ОВ ще следва да води до </w:t>
      </w:r>
      <w:r w:rsidR="00817453" w:rsidRPr="007B4A99">
        <w:rPr>
          <w:rFonts w:ascii="Times New Roman" w:hAnsi="Times New Roman" w:cs="Times New Roman"/>
          <w:sz w:val="24"/>
          <w:szCs w:val="24"/>
        </w:rPr>
        <w:t xml:space="preserve">максимално </w:t>
      </w:r>
      <w:r w:rsidR="0069290C" w:rsidRPr="007B4A99">
        <w:rPr>
          <w:rFonts w:ascii="Times New Roman" w:hAnsi="Times New Roman" w:cs="Times New Roman"/>
          <w:sz w:val="24"/>
          <w:szCs w:val="24"/>
        </w:rPr>
        <w:t>постигане на целите</w:t>
      </w:r>
      <w:r w:rsidR="00817453" w:rsidRPr="007B4A99">
        <w:rPr>
          <w:rFonts w:ascii="Times New Roman" w:hAnsi="Times New Roman" w:cs="Times New Roman"/>
          <w:sz w:val="24"/>
          <w:szCs w:val="24"/>
        </w:rPr>
        <w:t xml:space="preserve"> при оптимално</w:t>
      </w:r>
      <w:r w:rsidR="0069290C" w:rsidRPr="007B4A99">
        <w:rPr>
          <w:rFonts w:ascii="Times New Roman" w:hAnsi="Times New Roman" w:cs="Times New Roman"/>
          <w:sz w:val="24"/>
          <w:szCs w:val="24"/>
        </w:rPr>
        <w:t xml:space="preserve"> справяне с проблемите, което означава, че той следва да неутрализира проявлението на техните двигатели или да прекъсва причинно-следствената връзка между тях, п</w:t>
      </w:r>
      <w:r w:rsidR="00410078" w:rsidRPr="007B4A99">
        <w:rPr>
          <w:rFonts w:ascii="Times New Roman" w:hAnsi="Times New Roman" w:cs="Times New Roman"/>
          <w:sz w:val="24"/>
          <w:szCs w:val="24"/>
        </w:rPr>
        <w:t xml:space="preserve">роблемите и техните последици. </w:t>
      </w:r>
      <w:r w:rsidR="00FE65A9" w:rsidRPr="007B4A99">
        <w:rPr>
          <w:rFonts w:ascii="Times New Roman" w:hAnsi="Times New Roman" w:cs="Times New Roman"/>
          <w:sz w:val="24"/>
          <w:szCs w:val="24"/>
        </w:rPr>
        <w:t xml:space="preserve">Решението за избор на най-подходящите мерки, чрез които </w:t>
      </w:r>
      <w:r w:rsidR="00410078" w:rsidRPr="007B4A99">
        <w:rPr>
          <w:rFonts w:ascii="Times New Roman" w:hAnsi="Times New Roman" w:cs="Times New Roman"/>
          <w:sz w:val="24"/>
          <w:szCs w:val="24"/>
        </w:rPr>
        <w:t>въпросната</w:t>
      </w:r>
      <w:r w:rsidR="00FE65A9" w:rsidRPr="007B4A99">
        <w:rPr>
          <w:rFonts w:ascii="Times New Roman" w:hAnsi="Times New Roman" w:cs="Times New Roman"/>
          <w:sz w:val="24"/>
          <w:szCs w:val="24"/>
        </w:rPr>
        <w:t xml:space="preserve"> </w:t>
      </w:r>
      <w:r w:rsidR="000E0E39" w:rsidRPr="007B4A99">
        <w:rPr>
          <w:rFonts w:ascii="Times New Roman" w:hAnsi="Times New Roman" w:cs="Times New Roman"/>
          <w:sz w:val="24"/>
          <w:szCs w:val="24"/>
        </w:rPr>
        <w:t>политика</w:t>
      </w:r>
      <w:r w:rsidR="00FE65A9" w:rsidRPr="007B4A99">
        <w:rPr>
          <w:rFonts w:ascii="Times New Roman" w:hAnsi="Times New Roman" w:cs="Times New Roman"/>
          <w:sz w:val="24"/>
          <w:szCs w:val="24"/>
        </w:rPr>
        <w:t xml:space="preserve"> ще бъде реализирана</w:t>
      </w:r>
      <w:r w:rsidR="005F372D" w:rsidRPr="007B4A99">
        <w:rPr>
          <w:rFonts w:ascii="Times New Roman" w:hAnsi="Times New Roman" w:cs="Times New Roman"/>
          <w:sz w:val="24"/>
          <w:szCs w:val="24"/>
        </w:rPr>
        <w:t>,</w:t>
      </w:r>
      <w:r w:rsidR="00FE65A9" w:rsidRPr="007B4A99">
        <w:rPr>
          <w:rFonts w:ascii="Times New Roman" w:hAnsi="Times New Roman" w:cs="Times New Roman"/>
          <w:sz w:val="24"/>
          <w:szCs w:val="24"/>
        </w:rPr>
        <w:t xml:space="preserve"> ще бъде взето в края на ОВ след анализа на въздействията и сравняването на вариантите, според техните ползи и разходи, рискове и по множеството други критерии, включени в методологическата рамка на оценката.</w:t>
      </w:r>
    </w:p>
    <w:p w14:paraId="26F78100" w14:textId="77777777" w:rsidR="004F6B67" w:rsidRPr="007B4A99" w:rsidRDefault="004F6B67" w:rsidP="00DD69D5">
      <w:pPr>
        <w:pStyle w:val="Heading2"/>
        <w:spacing w:before="0" w:line="240" w:lineRule="auto"/>
        <w:ind w:firstLine="540"/>
        <w:rPr>
          <w:rFonts w:ascii="Times New Roman" w:hAnsi="Times New Roman"/>
          <w:b w:val="0"/>
          <w:sz w:val="24"/>
          <w:szCs w:val="24"/>
        </w:rPr>
      </w:pPr>
      <w:bookmarkStart w:id="10" w:name="_Toc31118186"/>
      <w:bookmarkStart w:id="11" w:name="_Toc198633080"/>
      <w:r w:rsidRPr="007B4A99">
        <w:rPr>
          <w:rFonts w:ascii="Times New Roman" w:hAnsi="Times New Roman"/>
          <w:sz w:val="24"/>
          <w:szCs w:val="24"/>
        </w:rPr>
        <w:t>4.0. Вариант 0: „Без действие“</w:t>
      </w:r>
      <w:bookmarkEnd w:id="10"/>
      <w:bookmarkEnd w:id="11"/>
    </w:p>
    <w:p w14:paraId="0F652E0F" w14:textId="23D9748B" w:rsidR="004C79C2" w:rsidRPr="007B4A99" w:rsidRDefault="004F6B67" w:rsidP="00DD69D5">
      <w:pPr>
        <w:spacing w:after="0" w:line="240" w:lineRule="auto"/>
        <w:ind w:firstLine="567"/>
        <w:jc w:val="both"/>
        <w:rPr>
          <w:rFonts w:ascii="Times New Roman" w:hAnsi="Times New Roman" w:cs="Times New Roman"/>
          <w:sz w:val="24"/>
          <w:szCs w:val="24"/>
          <w:lang w:eastAsia="en-GB"/>
        </w:rPr>
      </w:pPr>
      <w:r w:rsidRPr="007B4A99">
        <w:rPr>
          <w:rFonts w:ascii="Times New Roman" w:hAnsi="Times New Roman" w:cs="Times New Roman"/>
          <w:sz w:val="24"/>
          <w:szCs w:val="24"/>
          <w:lang w:eastAsia="en-GB"/>
        </w:rPr>
        <w:t xml:space="preserve">При нулевия вариант </w:t>
      </w:r>
      <w:r w:rsidR="004C79C2" w:rsidRPr="007B4A99">
        <w:rPr>
          <w:rFonts w:ascii="Times New Roman" w:hAnsi="Times New Roman" w:cs="Times New Roman"/>
          <w:sz w:val="24"/>
          <w:szCs w:val="24"/>
        </w:rPr>
        <w:t>не се предлага публична интервенция в обществените отношения, а въздържание от такава, като се разчита на това идентифицираните проблеми да се решат от само себе си, съответно</w:t>
      </w:r>
      <w:r w:rsidR="00B50769">
        <w:rPr>
          <w:rFonts w:ascii="Times New Roman" w:hAnsi="Times New Roman" w:cs="Times New Roman"/>
          <w:sz w:val="24"/>
          <w:szCs w:val="24"/>
        </w:rPr>
        <w:t>,</w:t>
      </w:r>
      <w:r w:rsidR="004C79C2" w:rsidRPr="007B4A99">
        <w:rPr>
          <w:rFonts w:ascii="Times New Roman" w:hAnsi="Times New Roman" w:cs="Times New Roman"/>
          <w:sz w:val="24"/>
          <w:szCs w:val="24"/>
        </w:rPr>
        <w:t xml:space="preserve"> от влиянието на други фактори на средата или в резултат от начина, по който съответната система от публични политики, норми, мерки и институции функционира към момента. Този вариант, наричан още </w:t>
      </w:r>
      <w:r w:rsidR="004C79C2" w:rsidRPr="007B4A99">
        <w:rPr>
          <w:rFonts w:ascii="Times New Roman" w:hAnsi="Times New Roman" w:cs="Times New Roman"/>
          <w:color w:val="000000"/>
          <w:sz w:val="24"/>
          <w:szCs w:val="24"/>
        </w:rPr>
        <w:t>Вариант „Не прави нищо“</w:t>
      </w:r>
      <w:r w:rsidR="004C79C2" w:rsidRPr="007B4A99">
        <w:rPr>
          <w:rFonts w:ascii="Times New Roman" w:hAnsi="Times New Roman" w:cs="Times New Roman"/>
          <w:sz w:val="24"/>
          <w:szCs w:val="24"/>
          <w:vertAlign w:val="superscript"/>
        </w:rPr>
        <w:footnoteReference w:id="38"/>
      </w:r>
      <w:r w:rsidR="004C79C2" w:rsidRPr="007B4A99">
        <w:rPr>
          <w:rFonts w:ascii="Times New Roman" w:hAnsi="Times New Roman" w:cs="Times New Roman"/>
          <w:sz w:val="24"/>
          <w:szCs w:val="24"/>
        </w:rPr>
        <w:t>, означава да не се предприемат никакви действия на публична намеса в обществените отношения, които попадат в обхвата на оценяваната сфера на политики. Той е задължителен за анализиране, предвид възприетите общ курс и тенденции в ЕС за оптимизиране на законодателството и намаляване на административната и регулаторна тежест, съвременните подходи</w:t>
      </w:r>
      <w:r w:rsidR="00794641">
        <w:rPr>
          <w:rFonts w:ascii="Times New Roman" w:hAnsi="Times New Roman" w:cs="Times New Roman"/>
          <w:sz w:val="24"/>
          <w:szCs w:val="24"/>
        </w:rPr>
        <w:t xml:space="preserve"> на по-доброто регулиране в ЕС, който</w:t>
      </w:r>
      <w:r w:rsidR="004C79C2" w:rsidRPr="007B4A99">
        <w:rPr>
          <w:rFonts w:ascii="Times New Roman" w:hAnsi="Times New Roman" w:cs="Times New Roman"/>
          <w:sz w:val="24"/>
          <w:szCs w:val="24"/>
        </w:rPr>
        <w:t xml:space="preserve"> предполага приемането на ново законодателство в краен случай, след изчерпване на целия спектър от останали инструменти, който предлага действащата уредба, включително чрез нейното опростяване.</w:t>
      </w:r>
    </w:p>
    <w:p w14:paraId="001C9666" w14:textId="2E806926" w:rsidR="004F6B67" w:rsidRPr="007B4A99" w:rsidRDefault="004C79C2" w:rsidP="00DD69D5">
      <w:pPr>
        <w:spacing w:after="0" w:line="240" w:lineRule="auto"/>
        <w:ind w:firstLine="567"/>
        <w:jc w:val="both"/>
        <w:rPr>
          <w:rFonts w:ascii="Times New Roman" w:hAnsi="Times New Roman" w:cs="Times New Roman"/>
          <w:sz w:val="24"/>
          <w:szCs w:val="24"/>
          <w:lang w:eastAsia="en-GB"/>
        </w:rPr>
      </w:pPr>
      <w:r w:rsidRPr="007B4A99">
        <w:rPr>
          <w:rFonts w:ascii="Times New Roman" w:hAnsi="Times New Roman" w:cs="Times New Roman"/>
          <w:sz w:val="24"/>
          <w:szCs w:val="24"/>
          <w:lang w:eastAsia="en-GB"/>
        </w:rPr>
        <w:t xml:space="preserve">При Вариант 0: „Без действие“ </w:t>
      </w:r>
      <w:r w:rsidR="004F6B67" w:rsidRPr="007B4A99">
        <w:rPr>
          <w:rFonts w:ascii="Times New Roman" w:hAnsi="Times New Roman" w:cs="Times New Roman"/>
          <w:sz w:val="24"/>
          <w:szCs w:val="24"/>
          <w:lang w:eastAsia="en-GB"/>
        </w:rPr>
        <w:t>се изхожда от позицията, че когато проблемът възниква в среда, в която действат дългогодишно установени</w:t>
      </w:r>
      <w:r w:rsidR="000E0E39" w:rsidRPr="007B4A99">
        <w:rPr>
          <w:rFonts w:ascii="Times New Roman" w:hAnsi="Times New Roman" w:cs="Times New Roman"/>
          <w:sz w:val="24"/>
          <w:szCs w:val="24"/>
          <w:lang w:eastAsia="en-GB"/>
        </w:rPr>
        <w:t xml:space="preserve"> пазарни правила, принципи на свободната конкуренция и утвърдени демократични традиции, от гледна точка на държавата</w:t>
      </w:r>
      <w:r w:rsidR="004F6B67" w:rsidRPr="007B4A99">
        <w:rPr>
          <w:rFonts w:ascii="Times New Roman" w:hAnsi="Times New Roman" w:cs="Times New Roman"/>
          <w:sz w:val="24"/>
          <w:szCs w:val="24"/>
          <w:lang w:eastAsia="en-GB"/>
        </w:rPr>
        <w:t xml:space="preserve"> би било по-ефективно и ефикасно засегнатите обществени отношения да се оставят да се регулират сами – от самата среда, от самите </w:t>
      </w:r>
      <w:r w:rsidR="000E0E39" w:rsidRPr="007B4A99">
        <w:rPr>
          <w:rFonts w:ascii="Times New Roman" w:hAnsi="Times New Roman" w:cs="Times New Roman"/>
          <w:sz w:val="24"/>
          <w:szCs w:val="24"/>
          <w:lang w:eastAsia="en-GB"/>
        </w:rPr>
        <w:t xml:space="preserve">принципи и </w:t>
      </w:r>
      <w:r w:rsidR="004F6B67" w:rsidRPr="007B4A99">
        <w:rPr>
          <w:rFonts w:ascii="Times New Roman" w:hAnsi="Times New Roman" w:cs="Times New Roman"/>
          <w:sz w:val="24"/>
          <w:szCs w:val="24"/>
          <w:lang w:eastAsia="en-GB"/>
        </w:rPr>
        <w:t xml:space="preserve">стандарти, като се </w:t>
      </w:r>
      <w:r w:rsidR="000E0E39" w:rsidRPr="007B4A99">
        <w:rPr>
          <w:rFonts w:ascii="Times New Roman" w:hAnsi="Times New Roman" w:cs="Times New Roman"/>
          <w:sz w:val="24"/>
          <w:szCs w:val="24"/>
          <w:lang w:eastAsia="en-GB"/>
        </w:rPr>
        <w:t xml:space="preserve">заложи на </w:t>
      </w:r>
      <w:r w:rsidR="004F6B67" w:rsidRPr="007B4A99">
        <w:rPr>
          <w:rFonts w:ascii="Times New Roman" w:hAnsi="Times New Roman" w:cs="Times New Roman"/>
          <w:sz w:val="24"/>
          <w:szCs w:val="24"/>
          <w:lang w:eastAsia="en-GB"/>
        </w:rPr>
        <w:t>обосновано</w:t>
      </w:r>
      <w:r w:rsidR="000E0E39" w:rsidRPr="007B4A99">
        <w:rPr>
          <w:rFonts w:ascii="Times New Roman" w:hAnsi="Times New Roman" w:cs="Times New Roman"/>
          <w:sz w:val="24"/>
          <w:szCs w:val="24"/>
          <w:lang w:eastAsia="en-GB"/>
        </w:rPr>
        <w:t>то</w:t>
      </w:r>
      <w:r w:rsidR="004F6B67" w:rsidRPr="007B4A99">
        <w:rPr>
          <w:rFonts w:ascii="Times New Roman" w:hAnsi="Times New Roman" w:cs="Times New Roman"/>
          <w:sz w:val="24"/>
          <w:szCs w:val="24"/>
          <w:lang w:eastAsia="en-GB"/>
        </w:rPr>
        <w:t xml:space="preserve"> предположение, че проблемът би се </w:t>
      </w:r>
      <w:r w:rsidR="007D5D80" w:rsidRPr="007B4A99">
        <w:rPr>
          <w:rFonts w:ascii="Times New Roman" w:hAnsi="Times New Roman" w:cs="Times New Roman"/>
          <w:sz w:val="24"/>
          <w:szCs w:val="24"/>
          <w:lang w:eastAsia="en-GB"/>
        </w:rPr>
        <w:t>саморазрешил</w:t>
      </w:r>
      <w:r w:rsidR="004F6B67" w:rsidRPr="007B4A99">
        <w:rPr>
          <w:rFonts w:ascii="Times New Roman" w:hAnsi="Times New Roman" w:cs="Times New Roman"/>
          <w:sz w:val="24"/>
          <w:szCs w:val="24"/>
          <w:lang w:eastAsia="en-GB"/>
        </w:rPr>
        <w:t xml:space="preserve"> без каквато и да е </w:t>
      </w:r>
      <w:r w:rsidR="0080757E" w:rsidRPr="007B4A99">
        <w:rPr>
          <w:rFonts w:ascii="Times New Roman" w:hAnsi="Times New Roman" w:cs="Times New Roman"/>
          <w:sz w:val="24"/>
          <w:szCs w:val="24"/>
          <w:lang w:eastAsia="en-GB"/>
        </w:rPr>
        <w:t xml:space="preserve">външна </w:t>
      </w:r>
      <w:r w:rsidR="004F6B67" w:rsidRPr="007B4A99">
        <w:rPr>
          <w:rFonts w:ascii="Times New Roman" w:hAnsi="Times New Roman" w:cs="Times New Roman"/>
          <w:sz w:val="24"/>
          <w:szCs w:val="24"/>
          <w:lang w:eastAsia="en-GB"/>
        </w:rPr>
        <w:t>намеса.</w:t>
      </w:r>
    </w:p>
    <w:p w14:paraId="25E6BFA4" w14:textId="77777777" w:rsidR="00B32AFD" w:rsidRPr="007B4A99" w:rsidRDefault="004F6B67" w:rsidP="00DD69D5">
      <w:pPr>
        <w:spacing w:after="0" w:line="240" w:lineRule="auto"/>
        <w:ind w:firstLine="567"/>
        <w:jc w:val="both"/>
        <w:rPr>
          <w:rFonts w:ascii="Times New Roman" w:hAnsi="Times New Roman" w:cs="Times New Roman"/>
          <w:sz w:val="24"/>
          <w:szCs w:val="24"/>
          <w:lang w:eastAsia="en-GB"/>
        </w:rPr>
      </w:pPr>
      <w:r w:rsidRPr="007B4A99">
        <w:rPr>
          <w:rFonts w:ascii="Times New Roman" w:hAnsi="Times New Roman" w:cs="Times New Roman"/>
          <w:sz w:val="24"/>
          <w:szCs w:val="24"/>
          <w:lang w:eastAsia="en-GB"/>
        </w:rPr>
        <w:t xml:space="preserve">Вариант 0: „Без действие“ е за предпочитане и в </w:t>
      </w:r>
      <w:r w:rsidR="00B32AFD" w:rsidRPr="007B4A99">
        <w:rPr>
          <w:rFonts w:ascii="Times New Roman" w:hAnsi="Times New Roman" w:cs="Times New Roman"/>
          <w:sz w:val="24"/>
          <w:szCs w:val="24"/>
          <w:lang w:eastAsia="en-GB"/>
        </w:rPr>
        <w:t>хипотезите</w:t>
      </w:r>
      <w:r w:rsidRPr="007B4A99">
        <w:rPr>
          <w:rFonts w:ascii="Times New Roman" w:hAnsi="Times New Roman" w:cs="Times New Roman"/>
          <w:sz w:val="24"/>
          <w:szCs w:val="24"/>
          <w:lang w:eastAsia="en-GB"/>
        </w:rPr>
        <w:t xml:space="preserve">, когато има достатъчно доказателства, че проблемът не е свързан с липсата на въведени мерки за </w:t>
      </w:r>
      <w:r w:rsidRPr="007B4A99">
        <w:rPr>
          <w:rFonts w:ascii="Times New Roman" w:hAnsi="Times New Roman" w:cs="Times New Roman"/>
          <w:sz w:val="24"/>
          <w:szCs w:val="24"/>
          <w:lang w:eastAsia="en-GB"/>
        </w:rPr>
        <w:lastRenderedPageBreak/>
        <w:t>регулиране, а по-скоро с лошо правоприлагане или недостатъчна степен на постигане на</w:t>
      </w:r>
      <w:r w:rsidR="0080757E" w:rsidRPr="007B4A99">
        <w:rPr>
          <w:rFonts w:ascii="Times New Roman" w:hAnsi="Times New Roman" w:cs="Times New Roman"/>
          <w:sz w:val="24"/>
          <w:szCs w:val="24"/>
          <w:lang w:eastAsia="en-GB"/>
        </w:rPr>
        <w:t xml:space="preserve"> поставените</w:t>
      </w:r>
      <w:r w:rsidRPr="007B4A99">
        <w:rPr>
          <w:rFonts w:ascii="Times New Roman" w:hAnsi="Times New Roman" w:cs="Times New Roman"/>
          <w:sz w:val="24"/>
          <w:szCs w:val="24"/>
          <w:lang w:eastAsia="en-GB"/>
        </w:rPr>
        <w:t xml:space="preserve"> цели. </w:t>
      </w:r>
    </w:p>
    <w:p w14:paraId="53E23185" w14:textId="6F2C50FD" w:rsidR="005F3F0A" w:rsidRPr="007B4A99" w:rsidRDefault="004F6B67" w:rsidP="00DD69D5">
      <w:pPr>
        <w:spacing w:after="0" w:line="240" w:lineRule="auto"/>
        <w:ind w:firstLine="567"/>
        <w:jc w:val="both"/>
        <w:rPr>
          <w:rFonts w:ascii="Times New Roman" w:hAnsi="Times New Roman" w:cs="Times New Roman"/>
          <w:sz w:val="24"/>
          <w:szCs w:val="24"/>
          <w:lang w:eastAsia="en-GB"/>
        </w:rPr>
      </w:pPr>
      <w:r w:rsidRPr="007B4A99">
        <w:rPr>
          <w:rFonts w:ascii="Times New Roman" w:hAnsi="Times New Roman" w:cs="Times New Roman"/>
          <w:sz w:val="24"/>
          <w:szCs w:val="24"/>
          <w:lang w:eastAsia="en-GB"/>
        </w:rPr>
        <w:t xml:space="preserve">Вариантът е най-подходящ и в случаите, когато са налице достатъчно факти и фактори от обективната действителност, като например </w:t>
      </w:r>
      <w:r w:rsidR="00696AB3" w:rsidRPr="007B4A99">
        <w:rPr>
          <w:rFonts w:ascii="Times New Roman" w:hAnsi="Times New Roman" w:cs="Times New Roman"/>
          <w:sz w:val="24"/>
          <w:szCs w:val="24"/>
          <w:lang w:eastAsia="en-GB"/>
        </w:rPr>
        <w:t xml:space="preserve">устойчива честна конкурентна среда, </w:t>
      </w:r>
      <w:r w:rsidRPr="007B4A99">
        <w:rPr>
          <w:rFonts w:ascii="Times New Roman" w:hAnsi="Times New Roman" w:cs="Times New Roman"/>
          <w:sz w:val="24"/>
          <w:szCs w:val="24"/>
          <w:lang w:eastAsia="en-GB"/>
        </w:rPr>
        <w:t xml:space="preserve">трайно възприети </w:t>
      </w:r>
      <w:r w:rsidR="00696AB3" w:rsidRPr="007B4A99">
        <w:rPr>
          <w:rFonts w:ascii="Times New Roman" w:hAnsi="Times New Roman" w:cs="Times New Roman"/>
          <w:sz w:val="24"/>
          <w:szCs w:val="24"/>
          <w:lang w:eastAsia="en-GB"/>
        </w:rPr>
        <w:t>лоялни търговски практики и</w:t>
      </w:r>
      <w:r w:rsidR="000E0E39" w:rsidRPr="007B4A99">
        <w:rPr>
          <w:rFonts w:ascii="Times New Roman" w:hAnsi="Times New Roman" w:cs="Times New Roman"/>
          <w:sz w:val="24"/>
          <w:szCs w:val="24"/>
          <w:lang w:eastAsia="en-GB"/>
        </w:rPr>
        <w:t xml:space="preserve"> справедливи пазарни условия, съчетани с добре функционираща отговорна </w:t>
      </w:r>
      <w:r w:rsidR="00091E03" w:rsidRPr="007B4A99">
        <w:rPr>
          <w:rFonts w:ascii="Times New Roman" w:hAnsi="Times New Roman" w:cs="Times New Roman"/>
          <w:sz w:val="24"/>
          <w:szCs w:val="24"/>
          <w:lang w:eastAsia="en-GB"/>
        </w:rPr>
        <w:t>администра</w:t>
      </w:r>
      <w:r w:rsidR="000E0E39" w:rsidRPr="007B4A99">
        <w:rPr>
          <w:rFonts w:ascii="Times New Roman" w:hAnsi="Times New Roman" w:cs="Times New Roman"/>
          <w:sz w:val="24"/>
          <w:szCs w:val="24"/>
          <w:lang w:eastAsia="en-GB"/>
        </w:rPr>
        <w:t>ция</w:t>
      </w:r>
      <w:r w:rsidR="00696AB3" w:rsidRPr="007B4A99">
        <w:rPr>
          <w:rFonts w:ascii="Times New Roman" w:hAnsi="Times New Roman" w:cs="Times New Roman"/>
          <w:sz w:val="24"/>
          <w:szCs w:val="24"/>
          <w:lang w:eastAsia="en-GB"/>
        </w:rPr>
        <w:t>,</w:t>
      </w:r>
      <w:r w:rsidR="000E0E39" w:rsidRPr="007B4A99">
        <w:rPr>
          <w:rFonts w:ascii="Times New Roman" w:hAnsi="Times New Roman" w:cs="Times New Roman"/>
          <w:sz w:val="24"/>
          <w:szCs w:val="24"/>
          <w:lang w:eastAsia="en-GB"/>
        </w:rPr>
        <w:t xml:space="preserve"> </w:t>
      </w:r>
      <w:r w:rsidRPr="007B4A99">
        <w:rPr>
          <w:rFonts w:ascii="Times New Roman" w:hAnsi="Times New Roman" w:cs="Times New Roman"/>
          <w:sz w:val="24"/>
          <w:szCs w:val="24"/>
          <w:lang w:eastAsia="en-GB"/>
        </w:rPr>
        <w:t>и високо ниво на правосъзнание на лица</w:t>
      </w:r>
      <w:r w:rsidR="00696AB3" w:rsidRPr="007B4A99">
        <w:rPr>
          <w:rFonts w:ascii="Times New Roman" w:hAnsi="Times New Roman" w:cs="Times New Roman"/>
          <w:sz w:val="24"/>
          <w:szCs w:val="24"/>
          <w:lang w:eastAsia="en-GB"/>
        </w:rPr>
        <w:t>та и техните</w:t>
      </w:r>
      <w:r w:rsidRPr="007B4A99">
        <w:rPr>
          <w:rFonts w:ascii="Times New Roman" w:hAnsi="Times New Roman" w:cs="Times New Roman"/>
          <w:sz w:val="24"/>
          <w:szCs w:val="24"/>
          <w:lang w:eastAsia="en-GB"/>
        </w:rPr>
        <w:t xml:space="preserve"> общности</w:t>
      </w:r>
      <w:r w:rsidR="00696AB3" w:rsidRPr="007B4A99">
        <w:rPr>
          <w:rFonts w:ascii="Times New Roman" w:hAnsi="Times New Roman" w:cs="Times New Roman"/>
          <w:sz w:val="24"/>
          <w:szCs w:val="24"/>
          <w:lang w:eastAsia="en-GB"/>
        </w:rPr>
        <w:t>, участващи в разглежданите обществени отношения</w:t>
      </w:r>
      <w:r w:rsidRPr="007B4A99">
        <w:rPr>
          <w:rFonts w:ascii="Times New Roman" w:hAnsi="Times New Roman" w:cs="Times New Roman"/>
          <w:sz w:val="24"/>
          <w:szCs w:val="24"/>
          <w:lang w:eastAsia="en-GB"/>
        </w:rPr>
        <w:t xml:space="preserve">, които правят достатъчно реалистична вероятността набелязаните проблеми да се разрешат от само себе си. </w:t>
      </w:r>
      <w:bookmarkStart w:id="12" w:name="_Toc31118187"/>
    </w:p>
    <w:p w14:paraId="24637673" w14:textId="30A200C2" w:rsidR="000E3929" w:rsidRPr="007B4A99" w:rsidRDefault="000E3929"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b/>
          <w:i/>
          <w:sz w:val="24"/>
          <w:szCs w:val="24"/>
          <w:lang w:eastAsia="en-GB"/>
        </w:rPr>
        <w:t>Нулевият вариант вече е бил въвеждан</w:t>
      </w:r>
      <w:r w:rsidRPr="007B4A99">
        <w:rPr>
          <w:rFonts w:ascii="Times New Roman" w:hAnsi="Times New Roman" w:cs="Times New Roman"/>
          <w:sz w:val="24"/>
          <w:szCs w:val="24"/>
          <w:lang w:eastAsia="en-GB"/>
        </w:rPr>
        <w:t xml:space="preserve"> от българската държава. Това е периодът 2012 – 2015 г.</w:t>
      </w:r>
      <w:r w:rsidRPr="007B4A99">
        <w:rPr>
          <w:rFonts w:ascii="Times New Roman" w:hAnsi="Times New Roman" w:cs="Times New Roman"/>
          <w:sz w:val="24"/>
          <w:szCs w:val="24"/>
        </w:rPr>
        <w:t xml:space="preserve"> </w:t>
      </w:r>
      <w:r w:rsidRPr="007B4A99">
        <w:rPr>
          <w:rFonts w:ascii="Times New Roman" w:hAnsi="Times New Roman" w:cs="Times New Roman"/>
          <w:sz w:val="24"/>
          <w:szCs w:val="24"/>
          <w:lang w:eastAsia="en-GB"/>
        </w:rPr>
        <w:t xml:space="preserve">на т.нар. в тази ОВ </w:t>
      </w:r>
      <w:r w:rsidR="00567927">
        <w:rPr>
          <w:rFonts w:ascii="Times New Roman" w:hAnsi="Times New Roman" w:cs="Times New Roman"/>
          <w:sz w:val="24"/>
          <w:szCs w:val="24"/>
          <w:lang w:eastAsia="en-GB"/>
        </w:rPr>
        <w:t>„</w:t>
      </w:r>
      <w:r w:rsidRPr="007B4A99">
        <w:rPr>
          <w:rFonts w:ascii="Times New Roman" w:hAnsi="Times New Roman" w:cs="Times New Roman"/>
          <w:sz w:val="24"/>
          <w:szCs w:val="24"/>
          <w:lang w:eastAsia="en-GB"/>
        </w:rPr>
        <w:t>н</w:t>
      </w:r>
      <w:r w:rsidRPr="007B4A99">
        <w:rPr>
          <w:rFonts w:ascii="Times New Roman" w:hAnsi="Times New Roman" w:cs="Times New Roman"/>
          <w:sz w:val="24"/>
          <w:szCs w:val="24"/>
        </w:rPr>
        <w:t>улев пакет с предложения</w:t>
      </w:r>
      <w:r w:rsidR="00567927">
        <w:rPr>
          <w:rFonts w:ascii="Times New Roman" w:hAnsi="Times New Roman" w:cs="Times New Roman"/>
          <w:sz w:val="24"/>
          <w:szCs w:val="24"/>
        </w:rPr>
        <w:t>“</w:t>
      </w:r>
      <w:r w:rsidRPr="007B4A99">
        <w:rPr>
          <w:rFonts w:ascii="Times New Roman" w:hAnsi="Times New Roman" w:cs="Times New Roman"/>
          <w:sz w:val="24"/>
          <w:szCs w:val="24"/>
        </w:rPr>
        <w:t xml:space="preserve">. </w:t>
      </w:r>
      <w:r w:rsidR="00567927">
        <w:rPr>
          <w:rFonts w:ascii="Times New Roman" w:hAnsi="Times New Roman" w:cs="Times New Roman"/>
          <w:sz w:val="24"/>
          <w:szCs w:val="24"/>
        </w:rPr>
        <w:t>За този период са у</w:t>
      </w:r>
      <w:r w:rsidRPr="007B4A99">
        <w:rPr>
          <w:rFonts w:ascii="Times New Roman" w:hAnsi="Times New Roman" w:cs="Times New Roman"/>
          <w:sz w:val="24"/>
          <w:szCs w:val="24"/>
        </w:rPr>
        <w:t>становени поредица от основополагащи недостатъци при функционирането на веригата на доставки на храни и земеделски продукти като краткосрочност и едностранност, непредвидимост и неравнопоставеност в отношенията между участниците в нея, но държавата не е предприела никакви действия по публична намеса, целяща тяхното отстраняване.</w:t>
      </w:r>
    </w:p>
    <w:p w14:paraId="2EBD0FC6" w14:textId="30DD07D1" w:rsidR="009A3EA8" w:rsidRPr="007B4A99" w:rsidRDefault="000E3929"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 xml:space="preserve">По сходен начин, през същия времеви период, с </w:t>
      </w:r>
      <w:r w:rsidR="009A3EA8" w:rsidRPr="007B4A99">
        <w:rPr>
          <w:rFonts w:ascii="Times New Roman" w:hAnsi="Times New Roman" w:cs="Times New Roman"/>
          <w:sz w:val="24"/>
          <w:szCs w:val="24"/>
        </w:rPr>
        <w:t xml:space="preserve">меки мерки или </w:t>
      </w:r>
      <w:r w:rsidRPr="007B4A99">
        <w:rPr>
          <w:rFonts w:ascii="Times New Roman" w:hAnsi="Times New Roman" w:cs="Times New Roman"/>
          <w:sz w:val="24"/>
          <w:szCs w:val="24"/>
        </w:rPr>
        <w:t xml:space="preserve">инструменти на </w:t>
      </w:r>
      <w:r w:rsidR="009A3EA8" w:rsidRPr="007B4A99">
        <w:rPr>
          <w:rFonts w:ascii="Times New Roman" w:hAnsi="Times New Roman" w:cs="Times New Roman"/>
          <w:sz w:val="24"/>
          <w:szCs w:val="24"/>
        </w:rPr>
        <w:t>„</w:t>
      </w:r>
      <w:r w:rsidRPr="007B4A99">
        <w:rPr>
          <w:rFonts w:ascii="Times New Roman" w:hAnsi="Times New Roman" w:cs="Times New Roman"/>
          <w:sz w:val="24"/>
          <w:szCs w:val="24"/>
        </w:rPr>
        <w:t>гъвкавото право</w:t>
      </w:r>
      <w:r w:rsidR="009A3EA8" w:rsidRPr="007B4A99">
        <w:rPr>
          <w:rFonts w:ascii="Times New Roman" w:hAnsi="Times New Roman" w:cs="Times New Roman"/>
          <w:sz w:val="24"/>
          <w:szCs w:val="24"/>
        </w:rPr>
        <w:t>“</w:t>
      </w:r>
      <w:r w:rsidR="009A3EA8" w:rsidRPr="007B4A99">
        <w:rPr>
          <w:rStyle w:val="FootnoteReference"/>
          <w:rFonts w:ascii="Times New Roman" w:hAnsi="Times New Roman" w:cs="Times New Roman"/>
          <w:sz w:val="24"/>
          <w:szCs w:val="24"/>
        </w:rPr>
        <w:footnoteReference w:id="39"/>
      </w:r>
      <w:r w:rsidRPr="007B4A99">
        <w:rPr>
          <w:rFonts w:ascii="Times New Roman" w:hAnsi="Times New Roman" w:cs="Times New Roman"/>
          <w:sz w:val="24"/>
          <w:szCs w:val="24"/>
        </w:rPr>
        <w:t xml:space="preserve"> </w:t>
      </w:r>
      <w:r w:rsidR="00181A7A">
        <w:rPr>
          <w:rFonts w:ascii="Times New Roman" w:hAnsi="Times New Roman" w:cs="Times New Roman"/>
          <w:sz w:val="24"/>
          <w:szCs w:val="24"/>
        </w:rPr>
        <w:t xml:space="preserve">е </w:t>
      </w:r>
      <w:r w:rsidRPr="007B4A99">
        <w:rPr>
          <w:rFonts w:ascii="Times New Roman" w:hAnsi="Times New Roman" w:cs="Times New Roman"/>
          <w:sz w:val="24"/>
          <w:szCs w:val="24"/>
        </w:rPr>
        <w:t>реагира</w:t>
      </w:r>
      <w:r w:rsidR="00181A7A">
        <w:rPr>
          <w:rFonts w:ascii="Times New Roman" w:hAnsi="Times New Roman" w:cs="Times New Roman"/>
          <w:sz w:val="24"/>
          <w:szCs w:val="24"/>
        </w:rPr>
        <w:t>ла</w:t>
      </w:r>
      <w:r w:rsidRPr="007B4A99">
        <w:rPr>
          <w:rFonts w:ascii="Times New Roman" w:hAnsi="Times New Roman" w:cs="Times New Roman"/>
          <w:sz w:val="24"/>
          <w:szCs w:val="24"/>
        </w:rPr>
        <w:t xml:space="preserve"> и </w:t>
      </w:r>
      <w:r w:rsidR="00B50769" w:rsidRPr="007B4A99">
        <w:rPr>
          <w:rFonts w:ascii="Times New Roman" w:hAnsi="Times New Roman" w:cs="Times New Roman"/>
          <w:sz w:val="24"/>
          <w:szCs w:val="24"/>
        </w:rPr>
        <w:t>Е</w:t>
      </w:r>
      <w:r w:rsidR="00B50769">
        <w:rPr>
          <w:rFonts w:ascii="Times New Roman" w:hAnsi="Times New Roman" w:cs="Times New Roman"/>
          <w:sz w:val="24"/>
          <w:szCs w:val="24"/>
        </w:rPr>
        <w:t>вропейската комисия</w:t>
      </w:r>
      <w:r w:rsidRPr="007B4A99">
        <w:rPr>
          <w:rFonts w:ascii="Times New Roman" w:hAnsi="Times New Roman" w:cs="Times New Roman"/>
          <w:sz w:val="24"/>
          <w:szCs w:val="24"/>
        </w:rPr>
        <w:t xml:space="preserve">. </w:t>
      </w:r>
      <w:r w:rsidR="009A3EA8" w:rsidRPr="007B4A99">
        <w:rPr>
          <w:rFonts w:ascii="Times New Roman" w:hAnsi="Times New Roman" w:cs="Times New Roman"/>
          <w:sz w:val="24"/>
          <w:szCs w:val="24"/>
        </w:rPr>
        <w:t xml:space="preserve">През 2011 г. ръководеният от Комисията Форум на високо равнище за подобряване на функционирането на веригата на доставки на храни одобрява набор от принципи за добри практики във вертикалните отношения по веригата за доставки на храни, приети от организации, представляващи мнозинството оператори във веригата </w:t>
      </w:r>
      <w:r w:rsidR="00181A7A">
        <w:rPr>
          <w:rFonts w:ascii="Times New Roman" w:hAnsi="Times New Roman" w:cs="Times New Roman"/>
          <w:sz w:val="24"/>
          <w:szCs w:val="24"/>
        </w:rPr>
        <w:t>на</w:t>
      </w:r>
      <w:r w:rsidR="009A3EA8" w:rsidRPr="007B4A99">
        <w:rPr>
          <w:rFonts w:ascii="Times New Roman" w:hAnsi="Times New Roman" w:cs="Times New Roman"/>
          <w:sz w:val="24"/>
          <w:szCs w:val="24"/>
        </w:rPr>
        <w:t xml:space="preserve"> доставки на храни. </w:t>
      </w:r>
    </w:p>
    <w:p w14:paraId="6F63CDD2" w14:textId="0A4FC248" w:rsidR="009A3EA8" w:rsidRPr="007B4A99" w:rsidRDefault="000E3929"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През 20</w:t>
      </w:r>
      <w:r w:rsidR="009A3EA8" w:rsidRPr="007B4A99">
        <w:rPr>
          <w:rFonts w:ascii="Times New Roman" w:hAnsi="Times New Roman" w:cs="Times New Roman"/>
          <w:sz w:val="24"/>
          <w:szCs w:val="24"/>
        </w:rPr>
        <w:t>14</w:t>
      </w:r>
      <w:r w:rsidRPr="007B4A99">
        <w:rPr>
          <w:rFonts w:ascii="Times New Roman" w:hAnsi="Times New Roman" w:cs="Times New Roman"/>
          <w:sz w:val="24"/>
          <w:szCs w:val="24"/>
        </w:rPr>
        <w:t xml:space="preserve"> г. </w:t>
      </w:r>
      <w:r w:rsidR="00181A7A">
        <w:rPr>
          <w:rFonts w:ascii="Times New Roman" w:hAnsi="Times New Roman" w:cs="Times New Roman"/>
          <w:sz w:val="24"/>
          <w:szCs w:val="24"/>
        </w:rPr>
        <w:t>ЕК</w:t>
      </w:r>
      <w:r w:rsidR="00B50769" w:rsidRPr="007B4A99">
        <w:rPr>
          <w:rFonts w:ascii="Times New Roman" w:hAnsi="Times New Roman" w:cs="Times New Roman"/>
          <w:sz w:val="24"/>
          <w:szCs w:val="24"/>
        </w:rPr>
        <w:t xml:space="preserve"> </w:t>
      </w:r>
      <w:r w:rsidRPr="007B4A99">
        <w:rPr>
          <w:rFonts w:ascii="Times New Roman" w:hAnsi="Times New Roman" w:cs="Times New Roman"/>
          <w:sz w:val="24"/>
          <w:szCs w:val="24"/>
        </w:rPr>
        <w:t xml:space="preserve">приема </w:t>
      </w:r>
      <w:r w:rsidR="009A3EA8" w:rsidRPr="007B4A99">
        <w:rPr>
          <w:rFonts w:ascii="Times New Roman" w:hAnsi="Times New Roman" w:cs="Times New Roman"/>
          <w:sz w:val="24"/>
          <w:szCs w:val="24"/>
        </w:rPr>
        <w:t>С</w:t>
      </w:r>
      <w:r w:rsidRPr="007B4A99">
        <w:rPr>
          <w:rFonts w:ascii="Times New Roman" w:hAnsi="Times New Roman" w:cs="Times New Roman"/>
          <w:sz w:val="24"/>
          <w:szCs w:val="24"/>
        </w:rPr>
        <w:t>ъобщение</w:t>
      </w:r>
      <w:r w:rsidR="009A3EA8" w:rsidRPr="007B4A99">
        <w:rPr>
          <w:rFonts w:ascii="Times New Roman" w:hAnsi="Times New Roman" w:cs="Times New Roman"/>
          <w:sz w:val="24"/>
          <w:szCs w:val="24"/>
        </w:rPr>
        <w:t xml:space="preserve"> </w:t>
      </w:r>
      <w:r w:rsidRPr="007B4A99">
        <w:rPr>
          <w:rFonts w:ascii="Times New Roman" w:hAnsi="Times New Roman" w:cs="Times New Roman"/>
          <w:sz w:val="24"/>
          <w:szCs w:val="24"/>
        </w:rPr>
        <w:t>относно борбата с нелоялните търговски практики във веригата за доставки на храни между предприятия</w:t>
      </w:r>
      <w:r w:rsidR="009A3EA8" w:rsidRPr="007B4A99">
        <w:rPr>
          <w:rFonts w:ascii="Times New Roman" w:hAnsi="Times New Roman" w:cs="Times New Roman"/>
          <w:sz w:val="24"/>
          <w:szCs w:val="24"/>
        </w:rPr>
        <w:t>, а през 2016 г. излиза с доклад</w:t>
      </w:r>
      <w:r w:rsidRPr="007B4A99">
        <w:rPr>
          <w:rFonts w:ascii="Times New Roman" w:hAnsi="Times New Roman" w:cs="Times New Roman"/>
          <w:sz w:val="24"/>
          <w:szCs w:val="24"/>
        </w:rPr>
        <w:t xml:space="preserve"> относно нелоялните търговски практики във веригата за доставки на храни между предприятия). </w:t>
      </w:r>
      <w:r w:rsidRPr="00181A7A">
        <w:rPr>
          <w:rFonts w:ascii="Times New Roman" w:hAnsi="Times New Roman" w:cs="Times New Roman"/>
          <w:sz w:val="24"/>
          <w:szCs w:val="24"/>
        </w:rPr>
        <w:t>В предложенията си Комисията очерта</w:t>
      </w:r>
      <w:r w:rsidR="009A3EA8" w:rsidRPr="00181A7A">
        <w:rPr>
          <w:rFonts w:ascii="Times New Roman" w:hAnsi="Times New Roman" w:cs="Times New Roman"/>
          <w:sz w:val="24"/>
          <w:szCs w:val="24"/>
        </w:rPr>
        <w:t>ва</w:t>
      </w:r>
      <w:r w:rsidRPr="00181A7A">
        <w:rPr>
          <w:rFonts w:ascii="Times New Roman" w:hAnsi="Times New Roman" w:cs="Times New Roman"/>
          <w:sz w:val="24"/>
          <w:szCs w:val="24"/>
        </w:rPr>
        <w:t xml:space="preserve"> характеристиките, които е </w:t>
      </w:r>
      <w:r w:rsidRPr="00181A7A">
        <w:rPr>
          <w:rFonts w:ascii="Times New Roman" w:hAnsi="Times New Roman" w:cs="Times New Roman"/>
          <w:i/>
          <w:sz w:val="24"/>
          <w:szCs w:val="24"/>
        </w:rPr>
        <w:t>желателно</w:t>
      </w:r>
      <w:r w:rsidRPr="007B4A99">
        <w:rPr>
          <w:rFonts w:ascii="Times New Roman" w:hAnsi="Times New Roman" w:cs="Times New Roman"/>
          <w:sz w:val="24"/>
          <w:szCs w:val="24"/>
        </w:rPr>
        <w:t xml:space="preserve"> да залегнат в националната рамка и доброволните рамки за управление на нелоялните търговски практики във веригата за доставки на храни. Не всички посочени характеристики са намерили място в правната рамка или в доброволните режими на управление в държавите членки, поради което разпространението на тези практики остава основна тема в политическия дебат в Съюза.</w:t>
      </w:r>
    </w:p>
    <w:p w14:paraId="3CC012C3" w14:textId="3DDB6EC2" w:rsidR="000E3929" w:rsidRPr="007B4A99" w:rsidRDefault="00C54033"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През 2016 г. със своя резолюция относно нелоялните търговски практики във веригата за доставка на храни</w:t>
      </w:r>
      <w:r w:rsidRPr="007B4A99">
        <w:rPr>
          <w:rStyle w:val="FootnoteReference"/>
          <w:rFonts w:ascii="Times New Roman" w:hAnsi="Times New Roman" w:cs="Times New Roman"/>
          <w:sz w:val="24"/>
          <w:szCs w:val="24"/>
        </w:rPr>
        <w:footnoteReference w:id="40"/>
      </w:r>
      <w:r w:rsidRPr="007B4A99">
        <w:rPr>
          <w:rFonts w:ascii="Times New Roman" w:hAnsi="Times New Roman" w:cs="Times New Roman"/>
          <w:sz w:val="24"/>
          <w:szCs w:val="24"/>
        </w:rPr>
        <w:t xml:space="preserve"> Европейският парламент за първи път призовава </w:t>
      </w:r>
      <w:r w:rsidR="00B50769">
        <w:rPr>
          <w:rFonts w:ascii="Times New Roman" w:hAnsi="Times New Roman" w:cs="Times New Roman"/>
          <w:sz w:val="24"/>
          <w:szCs w:val="24"/>
        </w:rPr>
        <w:t>Комисията</w:t>
      </w:r>
      <w:r w:rsidR="00B50769" w:rsidRPr="007B4A99">
        <w:rPr>
          <w:rFonts w:ascii="Times New Roman" w:hAnsi="Times New Roman" w:cs="Times New Roman"/>
          <w:sz w:val="24"/>
          <w:szCs w:val="24"/>
        </w:rPr>
        <w:t xml:space="preserve"> </w:t>
      </w:r>
      <w:r w:rsidRPr="007B4A99">
        <w:rPr>
          <w:rFonts w:ascii="Times New Roman" w:hAnsi="Times New Roman" w:cs="Times New Roman"/>
          <w:sz w:val="24"/>
          <w:szCs w:val="24"/>
        </w:rPr>
        <w:t xml:space="preserve">да предприеме активни действия по регулиране като </w:t>
      </w:r>
      <w:r w:rsidR="000E3929" w:rsidRPr="007B4A99">
        <w:rPr>
          <w:rFonts w:ascii="Times New Roman" w:hAnsi="Times New Roman" w:cs="Times New Roman"/>
          <w:sz w:val="24"/>
          <w:szCs w:val="24"/>
        </w:rPr>
        <w:t xml:space="preserve">представи предложение за правна рамка на Съюза относно нелоялните търговски практики. Съветът </w:t>
      </w:r>
      <w:r w:rsidR="00F22D3F">
        <w:rPr>
          <w:rFonts w:ascii="Times New Roman" w:hAnsi="Times New Roman" w:cs="Times New Roman"/>
          <w:sz w:val="24"/>
          <w:szCs w:val="24"/>
        </w:rPr>
        <w:t>изисква от</w:t>
      </w:r>
      <w:r w:rsidR="000E3929" w:rsidRPr="007B4A99">
        <w:rPr>
          <w:rFonts w:ascii="Times New Roman" w:hAnsi="Times New Roman" w:cs="Times New Roman"/>
          <w:sz w:val="24"/>
          <w:szCs w:val="24"/>
        </w:rPr>
        <w:t xml:space="preserve"> </w:t>
      </w:r>
      <w:r w:rsidR="00B50769">
        <w:rPr>
          <w:rFonts w:ascii="Times New Roman" w:hAnsi="Times New Roman" w:cs="Times New Roman"/>
          <w:sz w:val="24"/>
          <w:szCs w:val="24"/>
        </w:rPr>
        <w:t>Европейската комисия</w:t>
      </w:r>
      <w:r w:rsidR="00B50769" w:rsidRPr="007B4A99">
        <w:rPr>
          <w:rFonts w:ascii="Times New Roman" w:hAnsi="Times New Roman" w:cs="Times New Roman"/>
          <w:sz w:val="24"/>
          <w:szCs w:val="24"/>
        </w:rPr>
        <w:t xml:space="preserve"> </w:t>
      </w:r>
      <w:r w:rsidR="000E3929" w:rsidRPr="007B4A99">
        <w:rPr>
          <w:rFonts w:ascii="Times New Roman" w:hAnsi="Times New Roman" w:cs="Times New Roman"/>
          <w:sz w:val="24"/>
          <w:szCs w:val="24"/>
        </w:rPr>
        <w:t xml:space="preserve">своевременно да </w:t>
      </w:r>
      <w:r w:rsidRPr="007B4A99">
        <w:rPr>
          <w:rFonts w:ascii="Times New Roman" w:hAnsi="Times New Roman" w:cs="Times New Roman"/>
          <w:sz w:val="24"/>
          <w:szCs w:val="24"/>
        </w:rPr>
        <w:t>изготви</w:t>
      </w:r>
      <w:r w:rsidR="000E3929" w:rsidRPr="007B4A99">
        <w:rPr>
          <w:rFonts w:ascii="Times New Roman" w:hAnsi="Times New Roman" w:cs="Times New Roman"/>
          <w:sz w:val="24"/>
          <w:szCs w:val="24"/>
        </w:rPr>
        <w:t xml:space="preserve"> оценка на въздействието, за да предложи законодателна рамка на Съюза или незаконодателни мерки за борба с нелоялните търговски практики. Комисията изготв</w:t>
      </w:r>
      <w:r w:rsidRPr="007B4A99">
        <w:rPr>
          <w:rFonts w:ascii="Times New Roman" w:hAnsi="Times New Roman" w:cs="Times New Roman"/>
          <w:sz w:val="24"/>
          <w:szCs w:val="24"/>
        </w:rPr>
        <w:t>я</w:t>
      </w:r>
      <w:r w:rsidR="000E3929" w:rsidRPr="007B4A99">
        <w:rPr>
          <w:rFonts w:ascii="Times New Roman" w:hAnsi="Times New Roman" w:cs="Times New Roman"/>
          <w:sz w:val="24"/>
          <w:szCs w:val="24"/>
        </w:rPr>
        <w:t xml:space="preserve"> оценка</w:t>
      </w:r>
      <w:r w:rsidR="00F22D3F">
        <w:rPr>
          <w:rFonts w:ascii="Times New Roman" w:hAnsi="Times New Roman" w:cs="Times New Roman"/>
          <w:sz w:val="24"/>
          <w:szCs w:val="24"/>
        </w:rPr>
        <w:t>та</w:t>
      </w:r>
      <w:r w:rsidR="000E3929" w:rsidRPr="007B4A99">
        <w:rPr>
          <w:rFonts w:ascii="Times New Roman" w:hAnsi="Times New Roman" w:cs="Times New Roman"/>
          <w:sz w:val="24"/>
          <w:szCs w:val="24"/>
        </w:rPr>
        <w:t xml:space="preserve"> на въздействието, като преди това </w:t>
      </w:r>
      <w:r w:rsidR="00567927" w:rsidRPr="007B4A99">
        <w:rPr>
          <w:rFonts w:ascii="Times New Roman" w:hAnsi="Times New Roman" w:cs="Times New Roman"/>
          <w:sz w:val="24"/>
          <w:szCs w:val="24"/>
        </w:rPr>
        <w:t>прове</w:t>
      </w:r>
      <w:r w:rsidR="00567927">
        <w:rPr>
          <w:rFonts w:ascii="Times New Roman" w:hAnsi="Times New Roman" w:cs="Times New Roman"/>
          <w:sz w:val="24"/>
          <w:szCs w:val="24"/>
        </w:rPr>
        <w:t>жда</w:t>
      </w:r>
      <w:r w:rsidR="00567927" w:rsidRPr="007B4A99">
        <w:rPr>
          <w:rFonts w:ascii="Times New Roman" w:hAnsi="Times New Roman" w:cs="Times New Roman"/>
          <w:sz w:val="24"/>
          <w:szCs w:val="24"/>
        </w:rPr>
        <w:t xml:space="preserve"> </w:t>
      </w:r>
      <w:r w:rsidR="000E3929" w:rsidRPr="007B4A99">
        <w:rPr>
          <w:rFonts w:ascii="Times New Roman" w:hAnsi="Times New Roman" w:cs="Times New Roman"/>
          <w:sz w:val="24"/>
          <w:szCs w:val="24"/>
        </w:rPr>
        <w:t>открита обществена консултация и други целенасочени консултации</w:t>
      </w:r>
      <w:r w:rsidRPr="007B4A99">
        <w:rPr>
          <w:rFonts w:ascii="Times New Roman" w:hAnsi="Times New Roman" w:cs="Times New Roman"/>
          <w:sz w:val="24"/>
          <w:szCs w:val="24"/>
        </w:rPr>
        <w:t xml:space="preserve"> в рамките на този процес</w:t>
      </w:r>
      <w:r w:rsidR="00567927">
        <w:rPr>
          <w:rFonts w:ascii="Times New Roman" w:hAnsi="Times New Roman" w:cs="Times New Roman"/>
          <w:sz w:val="24"/>
          <w:szCs w:val="24"/>
        </w:rPr>
        <w:t xml:space="preserve">. </w:t>
      </w:r>
      <w:r w:rsidRPr="007B4A99">
        <w:rPr>
          <w:rFonts w:ascii="Times New Roman" w:hAnsi="Times New Roman" w:cs="Times New Roman"/>
          <w:sz w:val="24"/>
          <w:szCs w:val="24"/>
        </w:rPr>
        <w:t xml:space="preserve"> </w:t>
      </w:r>
      <w:r w:rsidR="00F22D3F">
        <w:rPr>
          <w:rFonts w:ascii="Times New Roman" w:hAnsi="Times New Roman" w:cs="Times New Roman"/>
          <w:sz w:val="24"/>
          <w:szCs w:val="24"/>
        </w:rPr>
        <w:t>От тях се у</w:t>
      </w:r>
      <w:r w:rsidRPr="007B4A99">
        <w:rPr>
          <w:rFonts w:ascii="Times New Roman" w:hAnsi="Times New Roman" w:cs="Times New Roman"/>
          <w:sz w:val="24"/>
          <w:szCs w:val="24"/>
        </w:rPr>
        <w:t>становява</w:t>
      </w:r>
      <w:r w:rsidR="00567927">
        <w:rPr>
          <w:rFonts w:ascii="Times New Roman" w:hAnsi="Times New Roman" w:cs="Times New Roman"/>
          <w:sz w:val="24"/>
          <w:szCs w:val="24"/>
        </w:rPr>
        <w:t xml:space="preserve"> </w:t>
      </w:r>
      <w:r w:rsidRPr="007B4A99">
        <w:rPr>
          <w:rFonts w:ascii="Times New Roman" w:hAnsi="Times New Roman" w:cs="Times New Roman"/>
          <w:sz w:val="24"/>
          <w:szCs w:val="24"/>
        </w:rPr>
        <w:t>това</w:t>
      </w:r>
      <w:r w:rsidR="00567927">
        <w:rPr>
          <w:rFonts w:ascii="Times New Roman" w:hAnsi="Times New Roman" w:cs="Times New Roman"/>
          <w:sz w:val="24"/>
          <w:szCs w:val="24"/>
        </w:rPr>
        <w:t>,</w:t>
      </w:r>
      <w:r w:rsidRPr="007B4A99">
        <w:rPr>
          <w:rFonts w:ascii="Times New Roman" w:hAnsi="Times New Roman" w:cs="Times New Roman"/>
          <w:sz w:val="24"/>
          <w:szCs w:val="24"/>
        </w:rPr>
        <w:t xml:space="preserve"> което българската държава вече е </w:t>
      </w:r>
      <w:r w:rsidR="00F22D3F">
        <w:rPr>
          <w:rFonts w:ascii="Times New Roman" w:hAnsi="Times New Roman" w:cs="Times New Roman"/>
          <w:sz w:val="24"/>
          <w:szCs w:val="24"/>
        </w:rPr>
        <w:t>осъзнала</w:t>
      </w:r>
      <w:r w:rsidR="00567927" w:rsidRPr="007B4A99">
        <w:rPr>
          <w:rFonts w:ascii="Times New Roman" w:hAnsi="Times New Roman" w:cs="Times New Roman"/>
          <w:sz w:val="24"/>
          <w:szCs w:val="24"/>
        </w:rPr>
        <w:t xml:space="preserve"> </w:t>
      </w:r>
      <w:r w:rsidRPr="007B4A99">
        <w:rPr>
          <w:rFonts w:ascii="Times New Roman" w:hAnsi="Times New Roman" w:cs="Times New Roman"/>
          <w:sz w:val="24"/>
          <w:szCs w:val="24"/>
        </w:rPr>
        <w:t>още през 2012 г.,</w:t>
      </w:r>
      <w:r w:rsidR="000E3929" w:rsidRPr="007B4A99">
        <w:rPr>
          <w:rFonts w:ascii="Times New Roman" w:hAnsi="Times New Roman" w:cs="Times New Roman"/>
          <w:sz w:val="24"/>
          <w:szCs w:val="24"/>
        </w:rPr>
        <w:t xml:space="preserve"> че крупните оператори </w:t>
      </w:r>
      <w:r w:rsidR="000E3929" w:rsidRPr="007B4A99">
        <w:rPr>
          <w:rFonts w:ascii="Times New Roman" w:hAnsi="Times New Roman" w:cs="Times New Roman"/>
          <w:sz w:val="24"/>
          <w:szCs w:val="24"/>
        </w:rPr>
        <w:lastRenderedPageBreak/>
        <w:t>представляват значителен дял от общата стойност на производството.</w:t>
      </w:r>
      <w:r w:rsidR="00153C65" w:rsidRPr="007B4A99">
        <w:rPr>
          <w:rFonts w:ascii="Times New Roman" w:hAnsi="Times New Roman" w:cs="Times New Roman"/>
          <w:sz w:val="24"/>
          <w:szCs w:val="24"/>
        </w:rPr>
        <w:t xml:space="preserve"> Чак през 2019 г. ЕС стига до решението, че е наложителен изричен съюзен нормативен акт, касаещ нелоялните търговски практики в отношенията между стопанските субекти </w:t>
      </w:r>
      <w:r w:rsidR="00F22D3F">
        <w:rPr>
          <w:rFonts w:ascii="Times New Roman" w:hAnsi="Times New Roman" w:cs="Times New Roman"/>
          <w:sz w:val="24"/>
          <w:szCs w:val="24"/>
        </w:rPr>
        <w:t>по</w:t>
      </w:r>
      <w:r w:rsidR="00153C65" w:rsidRPr="007B4A99">
        <w:rPr>
          <w:rFonts w:ascii="Times New Roman" w:hAnsi="Times New Roman" w:cs="Times New Roman"/>
          <w:sz w:val="24"/>
          <w:szCs w:val="24"/>
        </w:rPr>
        <w:t xml:space="preserve"> веригата </w:t>
      </w:r>
      <w:r w:rsidR="00F22D3F">
        <w:rPr>
          <w:rFonts w:ascii="Times New Roman" w:hAnsi="Times New Roman" w:cs="Times New Roman"/>
          <w:sz w:val="24"/>
          <w:szCs w:val="24"/>
        </w:rPr>
        <w:t>на</w:t>
      </w:r>
      <w:r w:rsidR="00153C65" w:rsidRPr="007B4A99">
        <w:rPr>
          <w:rFonts w:ascii="Times New Roman" w:hAnsi="Times New Roman" w:cs="Times New Roman"/>
          <w:sz w:val="24"/>
          <w:szCs w:val="24"/>
        </w:rPr>
        <w:t xml:space="preserve"> доставки на селскостопански и хранителни продукти, в резултат на което е приета Директива (ЕС) 2019/633 на Европейския парламент и Съвета.</w:t>
      </w:r>
    </w:p>
    <w:p w14:paraId="7BEEFD43" w14:textId="77777777" w:rsidR="00153C65" w:rsidRPr="007B4A99" w:rsidRDefault="00153C65" w:rsidP="00DD69D5">
      <w:pPr>
        <w:spacing w:after="0" w:line="240" w:lineRule="auto"/>
        <w:ind w:firstLine="539"/>
        <w:jc w:val="both"/>
        <w:rPr>
          <w:rFonts w:ascii="Times New Roman" w:hAnsi="Times New Roman" w:cs="Times New Roman"/>
          <w:sz w:val="24"/>
          <w:szCs w:val="24"/>
        </w:rPr>
      </w:pPr>
    </w:p>
    <w:p w14:paraId="2E6C2656" w14:textId="04BEE1A0" w:rsidR="00AC6AC0" w:rsidRPr="007B4A99" w:rsidRDefault="00AC6AC0" w:rsidP="00DD69D5">
      <w:pPr>
        <w:pStyle w:val="Heading2"/>
        <w:spacing w:before="0" w:line="240" w:lineRule="auto"/>
        <w:ind w:firstLine="540"/>
        <w:rPr>
          <w:rFonts w:ascii="Times New Roman" w:hAnsi="Times New Roman"/>
          <w:b w:val="0"/>
          <w:sz w:val="24"/>
          <w:szCs w:val="24"/>
        </w:rPr>
      </w:pPr>
      <w:bookmarkStart w:id="13" w:name="_Toc198633081"/>
      <w:r w:rsidRPr="007B4A99">
        <w:rPr>
          <w:rFonts w:ascii="Times New Roman" w:hAnsi="Times New Roman"/>
          <w:sz w:val="24"/>
          <w:szCs w:val="24"/>
        </w:rPr>
        <w:t>4.1. Вариант 1: „Нерегулаторен“</w:t>
      </w:r>
      <w:bookmarkEnd w:id="13"/>
      <w:r w:rsidRPr="007B4A99">
        <w:rPr>
          <w:rFonts w:ascii="Times New Roman" w:hAnsi="Times New Roman"/>
          <w:sz w:val="24"/>
          <w:szCs w:val="24"/>
        </w:rPr>
        <w:t xml:space="preserve">  </w:t>
      </w:r>
    </w:p>
    <w:p w14:paraId="060770A3" w14:textId="117E18CC" w:rsidR="00AC6AC0" w:rsidRPr="007B4A99" w:rsidRDefault="00AC6AC0" w:rsidP="00DD69D5">
      <w:pPr>
        <w:spacing w:after="0" w:line="240" w:lineRule="auto"/>
        <w:ind w:firstLine="567"/>
        <w:jc w:val="both"/>
        <w:rPr>
          <w:rFonts w:ascii="Times New Roman" w:eastAsia="Times New Roman" w:hAnsi="Times New Roman" w:cs="Times New Roman"/>
          <w:sz w:val="24"/>
          <w:szCs w:val="24"/>
        </w:rPr>
      </w:pPr>
      <w:r w:rsidRPr="007B4A99">
        <w:rPr>
          <w:rFonts w:ascii="Times New Roman" w:hAnsi="Times New Roman" w:cs="Times New Roman"/>
          <w:bCs/>
          <w:sz w:val="24"/>
          <w:szCs w:val="24"/>
        </w:rPr>
        <w:t xml:space="preserve">Вариант 1 включва предприемането на описаните вече по-горе „меки мерки“, изразяващи се в прилагането на </w:t>
      </w:r>
      <w:r w:rsidR="004C79C2" w:rsidRPr="007B4A99">
        <w:rPr>
          <w:rFonts w:ascii="Times New Roman" w:hAnsi="Times New Roman" w:cs="Times New Roman"/>
          <w:bCs/>
          <w:sz w:val="24"/>
          <w:szCs w:val="24"/>
        </w:rPr>
        <w:t xml:space="preserve">модели на </w:t>
      </w:r>
      <w:r w:rsidRPr="007B4A99">
        <w:rPr>
          <w:rFonts w:ascii="Times New Roman" w:hAnsi="Times New Roman" w:cs="Times New Roman"/>
          <w:bCs/>
          <w:sz w:val="24"/>
          <w:szCs w:val="24"/>
        </w:rPr>
        <w:t>корегулиране, саморегулиране или квазирегулиране или възприемането на различни</w:t>
      </w:r>
      <w:r w:rsidR="004C79C2" w:rsidRPr="007B4A99">
        <w:rPr>
          <w:rFonts w:ascii="Times New Roman" w:hAnsi="Times New Roman" w:cs="Times New Roman"/>
          <w:bCs/>
          <w:sz w:val="24"/>
          <w:szCs w:val="24"/>
        </w:rPr>
        <w:t xml:space="preserve"> нерегулативни подходи, които на практика насърчават съществуващото регулиране или подобряването на функциониране на проблемните обществени отношения. Такива са организирането на национални</w:t>
      </w:r>
      <w:r w:rsidRPr="007B4A99">
        <w:rPr>
          <w:rFonts w:ascii="Times New Roman" w:hAnsi="Times New Roman" w:cs="Times New Roman"/>
          <w:bCs/>
          <w:sz w:val="24"/>
          <w:szCs w:val="24"/>
        </w:rPr>
        <w:t xml:space="preserve"> информационни</w:t>
      </w:r>
      <w:r w:rsidR="004C79C2" w:rsidRPr="007B4A99">
        <w:rPr>
          <w:rFonts w:ascii="Times New Roman" w:hAnsi="Times New Roman" w:cs="Times New Roman"/>
          <w:bCs/>
          <w:sz w:val="24"/>
          <w:szCs w:val="24"/>
        </w:rPr>
        <w:t xml:space="preserve"> кампании</w:t>
      </w:r>
      <w:r w:rsidRPr="007B4A99">
        <w:rPr>
          <w:rFonts w:ascii="Times New Roman" w:hAnsi="Times New Roman" w:cs="Times New Roman"/>
          <w:bCs/>
          <w:sz w:val="24"/>
          <w:szCs w:val="24"/>
        </w:rPr>
        <w:t xml:space="preserve">, </w:t>
      </w:r>
      <w:r w:rsidR="004C79C2" w:rsidRPr="007B4A99">
        <w:rPr>
          <w:rFonts w:ascii="Times New Roman" w:hAnsi="Times New Roman" w:cs="Times New Roman"/>
          <w:bCs/>
          <w:sz w:val="24"/>
          <w:szCs w:val="24"/>
        </w:rPr>
        <w:t xml:space="preserve">въвеждането на </w:t>
      </w:r>
      <w:r w:rsidRPr="007B4A99">
        <w:rPr>
          <w:rFonts w:ascii="Times New Roman" w:hAnsi="Times New Roman" w:cs="Times New Roman"/>
          <w:bCs/>
          <w:sz w:val="24"/>
          <w:szCs w:val="24"/>
        </w:rPr>
        <w:t xml:space="preserve">методологически </w:t>
      </w:r>
      <w:r w:rsidR="00381D13">
        <w:rPr>
          <w:rFonts w:ascii="Times New Roman" w:hAnsi="Times New Roman" w:cs="Times New Roman"/>
          <w:bCs/>
          <w:sz w:val="24"/>
          <w:szCs w:val="24"/>
        </w:rPr>
        <w:t>инструменти като</w:t>
      </w:r>
      <w:r w:rsidR="004C79C2" w:rsidRPr="007B4A99">
        <w:rPr>
          <w:rFonts w:ascii="Times New Roman" w:hAnsi="Times New Roman" w:cs="Times New Roman"/>
          <w:bCs/>
          <w:sz w:val="24"/>
          <w:szCs w:val="24"/>
        </w:rPr>
        <w:t xml:space="preserve"> насоки,</w:t>
      </w:r>
      <w:r w:rsidR="00FF1BCC" w:rsidRPr="007B4A99">
        <w:rPr>
          <w:rFonts w:ascii="Times New Roman" w:hAnsi="Times New Roman" w:cs="Times New Roman"/>
          <w:bCs/>
          <w:sz w:val="24"/>
          <w:szCs w:val="24"/>
        </w:rPr>
        <w:t xml:space="preserve"> ръководства, </w:t>
      </w:r>
      <w:r w:rsidR="004C79C2" w:rsidRPr="007B4A99">
        <w:rPr>
          <w:rFonts w:ascii="Times New Roman" w:hAnsi="Times New Roman" w:cs="Times New Roman"/>
          <w:bCs/>
          <w:sz w:val="24"/>
          <w:szCs w:val="24"/>
        </w:rPr>
        <w:t xml:space="preserve">правила за </w:t>
      </w:r>
      <w:r w:rsidR="00FF1BCC" w:rsidRPr="007B4A99">
        <w:rPr>
          <w:rFonts w:ascii="Times New Roman" w:hAnsi="Times New Roman" w:cs="Times New Roman"/>
          <w:bCs/>
          <w:sz w:val="24"/>
          <w:szCs w:val="24"/>
        </w:rPr>
        <w:t xml:space="preserve">работа </w:t>
      </w:r>
      <w:r w:rsidRPr="007B4A99">
        <w:rPr>
          <w:rFonts w:ascii="Times New Roman" w:hAnsi="Times New Roman" w:cs="Times New Roman"/>
          <w:bCs/>
          <w:sz w:val="24"/>
          <w:szCs w:val="24"/>
        </w:rPr>
        <w:t>или</w:t>
      </w:r>
      <w:r w:rsidR="00FF1BCC" w:rsidRPr="007B4A99">
        <w:rPr>
          <w:rFonts w:ascii="Times New Roman" w:hAnsi="Times New Roman" w:cs="Times New Roman"/>
          <w:bCs/>
          <w:sz w:val="24"/>
          <w:szCs w:val="24"/>
        </w:rPr>
        <w:t xml:space="preserve"> </w:t>
      </w:r>
      <w:r w:rsidR="00381D13">
        <w:rPr>
          <w:rFonts w:ascii="Times New Roman" w:hAnsi="Times New Roman" w:cs="Times New Roman"/>
          <w:bCs/>
          <w:sz w:val="24"/>
          <w:szCs w:val="24"/>
        </w:rPr>
        <w:t xml:space="preserve">приемането на </w:t>
      </w:r>
      <w:r w:rsidR="00043624" w:rsidRPr="006C58D7">
        <w:rPr>
          <w:rFonts w:ascii="Times New Roman" w:eastAsia="Times New Roman" w:hAnsi="Times New Roman" w:cs="Times New Roman"/>
          <w:sz w:val="24"/>
          <w:szCs w:val="24"/>
        </w:rPr>
        <w:t xml:space="preserve">кодекси за поведение, доброволни стандарти или споразумения, </w:t>
      </w:r>
      <w:r w:rsidR="00043624">
        <w:rPr>
          <w:rFonts w:ascii="Times New Roman" w:eastAsia="Times New Roman" w:hAnsi="Times New Roman" w:cs="Times New Roman"/>
          <w:sz w:val="24"/>
          <w:szCs w:val="24"/>
        </w:rPr>
        <w:t>които са</w:t>
      </w:r>
      <w:r w:rsidR="00043624" w:rsidRPr="006C58D7">
        <w:rPr>
          <w:rFonts w:ascii="Times New Roman" w:eastAsia="Times New Roman" w:hAnsi="Times New Roman" w:cs="Times New Roman"/>
          <w:sz w:val="24"/>
          <w:szCs w:val="24"/>
        </w:rPr>
        <w:t xml:space="preserve"> </w:t>
      </w:r>
      <w:r w:rsidR="00043624" w:rsidRPr="006C58D7">
        <w:rPr>
          <w:rFonts w:ascii="Times New Roman" w:eastAsia="Times New Roman" w:hAnsi="Times New Roman" w:cs="Times New Roman"/>
          <w:bCs/>
          <w:sz w:val="24"/>
          <w:szCs w:val="24"/>
        </w:rPr>
        <w:t xml:space="preserve">без </w:t>
      </w:r>
      <w:r w:rsidR="00043624">
        <w:rPr>
          <w:rFonts w:ascii="Times New Roman" w:eastAsia="Times New Roman" w:hAnsi="Times New Roman" w:cs="Times New Roman"/>
          <w:bCs/>
          <w:sz w:val="24"/>
          <w:szCs w:val="24"/>
        </w:rPr>
        <w:t xml:space="preserve">задължителна </w:t>
      </w:r>
      <w:r w:rsidR="00043624" w:rsidRPr="006C58D7">
        <w:rPr>
          <w:rFonts w:ascii="Times New Roman" w:eastAsia="Times New Roman" w:hAnsi="Times New Roman" w:cs="Times New Roman"/>
          <w:bCs/>
          <w:sz w:val="24"/>
          <w:szCs w:val="24"/>
        </w:rPr>
        <w:t>правна сила</w:t>
      </w:r>
      <w:r w:rsidR="00043624">
        <w:rPr>
          <w:rFonts w:ascii="Times New Roman" w:eastAsia="Times New Roman" w:hAnsi="Times New Roman" w:cs="Times New Roman"/>
          <w:bCs/>
          <w:sz w:val="24"/>
          <w:szCs w:val="24"/>
        </w:rPr>
        <w:t xml:space="preserve"> </w:t>
      </w:r>
      <w:r w:rsidR="00043624">
        <w:rPr>
          <w:rFonts w:ascii="Times New Roman" w:hAnsi="Times New Roman" w:cs="Times New Roman"/>
          <w:bCs/>
          <w:sz w:val="24"/>
          <w:szCs w:val="24"/>
        </w:rPr>
        <w:t>з</w:t>
      </w:r>
      <w:r w:rsidR="00FF1BCC" w:rsidRPr="007B4A99">
        <w:rPr>
          <w:rFonts w:ascii="Times New Roman" w:hAnsi="Times New Roman" w:cs="Times New Roman"/>
          <w:bCs/>
          <w:sz w:val="24"/>
          <w:szCs w:val="24"/>
        </w:rPr>
        <w:t>а участниците по веригата на доставки.</w:t>
      </w:r>
      <w:r w:rsidRPr="007B4A99">
        <w:rPr>
          <w:rFonts w:ascii="Times New Roman" w:hAnsi="Times New Roman" w:cs="Times New Roman"/>
          <w:bCs/>
          <w:sz w:val="24"/>
          <w:szCs w:val="24"/>
        </w:rPr>
        <w:t xml:space="preserve"> </w:t>
      </w:r>
      <w:r w:rsidR="00FF1BCC" w:rsidRPr="007B4A99">
        <w:rPr>
          <w:rFonts w:ascii="Times New Roman" w:hAnsi="Times New Roman" w:cs="Times New Roman"/>
          <w:bCs/>
          <w:sz w:val="24"/>
          <w:szCs w:val="24"/>
        </w:rPr>
        <w:t>Целта при тези</w:t>
      </w:r>
      <w:r w:rsidRPr="007B4A99">
        <w:rPr>
          <w:rFonts w:ascii="Times New Roman" w:hAnsi="Times New Roman" w:cs="Times New Roman"/>
          <w:bCs/>
          <w:sz w:val="24"/>
          <w:szCs w:val="24"/>
        </w:rPr>
        <w:t xml:space="preserve"> </w:t>
      </w:r>
      <w:r w:rsidR="00FF1BCC" w:rsidRPr="007B4A99">
        <w:rPr>
          <w:rFonts w:ascii="Times New Roman" w:hAnsi="Times New Roman" w:cs="Times New Roman"/>
          <w:bCs/>
          <w:sz w:val="24"/>
          <w:szCs w:val="24"/>
        </w:rPr>
        <w:t xml:space="preserve">подходи е </w:t>
      </w:r>
      <w:r w:rsidRPr="007B4A99">
        <w:rPr>
          <w:rFonts w:ascii="Times New Roman" w:hAnsi="Times New Roman" w:cs="Times New Roman"/>
          <w:bCs/>
          <w:sz w:val="24"/>
          <w:szCs w:val="24"/>
        </w:rPr>
        <w:t>без да</w:t>
      </w:r>
      <w:r w:rsidR="00FF1BCC" w:rsidRPr="007B4A99">
        <w:rPr>
          <w:rFonts w:ascii="Times New Roman" w:hAnsi="Times New Roman" w:cs="Times New Roman"/>
          <w:bCs/>
          <w:sz w:val="24"/>
          <w:szCs w:val="24"/>
        </w:rPr>
        <w:t xml:space="preserve"> се стига до намеса от държавата с мерки, които</w:t>
      </w:r>
      <w:r w:rsidRPr="007B4A99">
        <w:rPr>
          <w:rFonts w:ascii="Times New Roman" w:hAnsi="Times New Roman" w:cs="Times New Roman"/>
          <w:bCs/>
          <w:sz w:val="24"/>
          <w:szCs w:val="24"/>
        </w:rPr>
        <w:t xml:space="preserve"> имат правнообвързващ характер, да </w:t>
      </w:r>
      <w:r w:rsidR="00FF1BCC" w:rsidRPr="007B4A99">
        <w:rPr>
          <w:rFonts w:ascii="Times New Roman" w:hAnsi="Times New Roman" w:cs="Times New Roman"/>
          <w:bCs/>
          <w:sz w:val="24"/>
          <w:szCs w:val="24"/>
        </w:rPr>
        <w:t>се постигне</w:t>
      </w:r>
      <w:r w:rsidRPr="007B4A99">
        <w:rPr>
          <w:rFonts w:ascii="Times New Roman" w:hAnsi="Times New Roman" w:cs="Times New Roman"/>
          <w:bCs/>
          <w:sz w:val="24"/>
          <w:szCs w:val="24"/>
        </w:rPr>
        <w:t xml:space="preserve"> разрешаване на идентифицираните проблеми, при едновременно постигане на поставените цели. </w:t>
      </w:r>
      <w:r w:rsidRPr="007B4A99">
        <w:rPr>
          <w:rFonts w:ascii="Times New Roman" w:eastAsia="Times New Roman" w:hAnsi="Times New Roman" w:cs="Times New Roman"/>
          <w:sz w:val="24"/>
          <w:szCs w:val="24"/>
        </w:rPr>
        <w:t xml:space="preserve">При </w:t>
      </w:r>
      <w:r w:rsidR="00FF1BCC" w:rsidRPr="007B4A99">
        <w:rPr>
          <w:rFonts w:ascii="Times New Roman" w:eastAsia="Times New Roman" w:hAnsi="Times New Roman" w:cs="Times New Roman"/>
          <w:sz w:val="24"/>
          <w:szCs w:val="24"/>
        </w:rPr>
        <w:t>този вариант</w:t>
      </w:r>
      <w:r w:rsidRPr="007B4A99">
        <w:rPr>
          <w:rFonts w:ascii="Times New Roman" w:eastAsia="Times New Roman" w:hAnsi="Times New Roman" w:cs="Times New Roman"/>
          <w:sz w:val="24"/>
          <w:szCs w:val="24"/>
        </w:rPr>
        <w:t xml:space="preserve"> не се </w:t>
      </w:r>
      <w:r w:rsidR="00381D13">
        <w:rPr>
          <w:rFonts w:ascii="Times New Roman" w:eastAsia="Times New Roman" w:hAnsi="Times New Roman" w:cs="Times New Roman"/>
          <w:sz w:val="24"/>
          <w:szCs w:val="24"/>
        </w:rPr>
        <w:t>реализира</w:t>
      </w:r>
      <w:r w:rsidRPr="007B4A99">
        <w:rPr>
          <w:rFonts w:ascii="Times New Roman" w:eastAsia="Times New Roman" w:hAnsi="Times New Roman" w:cs="Times New Roman"/>
          <w:sz w:val="24"/>
          <w:szCs w:val="24"/>
        </w:rPr>
        <w:t xml:space="preserve"> нормативна промяна, не се приемат изменения или допълнения в законови или подзаконовите нормативни актове, а се предлагат действия, обезпечаващи тяхното </w:t>
      </w:r>
      <w:r w:rsidR="00381D13">
        <w:rPr>
          <w:rFonts w:ascii="Times New Roman" w:eastAsia="Times New Roman" w:hAnsi="Times New Roman" w:cs="Times New Roman"/>
          <w:sz w:val="24"/>
          <w:szCs w:val="24"/>
        </w:rPr>
        <w:t>по-</w:t>
      </w:r>
      <w:r w:rsidRPr="007B4A99">
        <w:rPr>
          <w:rFonts w:ascii="Times New Roman" w:eastAsia="Times New Roman" w:hAnsi="Times New Roman" w:cs="Times New Roman"/>
          <w:sz w:val="24"/>
          <w:szCs w:val="24"/>
        </w:rPr>
        <w:t>пълноценно прилагане.</w:t>
      </w:r>
    </w:p>
    <w:p w14:paraId="6B8A0FDB" w14:textId="3E8E1118" w:rsidR="0000070B" w:rsidRPr="007B4A99" w:rsidRDefault="0000070B" w:rsidP="00DD69D5">
      <w:pPr>
        <w:spacing w:after="0" w:line="240" w:lineRule="auto"/>
        <w:ind w:firstLine="567"/>
        <w:jc w:val="both"/>
        <w:rPr>
          <w:rFonts w:ascii="Times New Roman" w:hAnsi="Times New Roman" w:cs="Times New Roman"/>
          <w:sz w:val="24"/>
          <w:szCs w:val="24"/>
          <w:shd w:val="clear" w:color="auto" w:fill="FFFFFF"/>
        </w:rPr>
      </w:pPr>
      <w:r w:rsidRPr="007B4A99">
        <w:rPr>
          <w:rFonts w:ascii="Times New Roman" w:hAnsi="Times New Roman" w:cs="Times New Roman"/>
          <w:sz w:val="24"/>
          <w:szCs w:val="24"/>
          <w:shd w:val="clear" w:color="auto" w:fill="FFFFFF"/>
        </w:rPr>
        <w:t>Саморегулирането е често срещано явление в икономическите, професионалните и финансовите сектори, при което операторите в тях на доброволен принцип се съгласяват да приемат и спазват определен минимален праг от изисквания за качество на дейността, правила за поведение, морални норми и други. В някои случаи държавата също може да има ограничено участие в този процес, като</w:t>
      </w:r>
      <w:r w:rsidR="00BD762B">
        <w:rPr>
          <w:rFonts w:ascii="Times New Roman" w:hAnsi="Times New Roman" w:cs="Times New Roman"/>
          <w:sz w:val="24"/>
          <w:szCs w:val="24"/>
          <w:shd w:val="clear" w:color="auto" w:fill="FFFFFF"/>
        </w:rPr>
        <w:t>,</w:t>
      </w:r>
      <w:r w:rsidRPr="007B4A99">
        <w:rPr>
          <w:rFonts w:ascii="Times New Roman" w:hAnsi="Times New Roman" w:cs="Times New Roman"/>
          <w:sz w:val="24"/>
          <w:szCs w:val="24"/>
          <w:shd w:val="clear" w:color="auto" w:fill="FFFFFF"/>
        </w:rPr>
        <w:t xml:space="preserve"> например</w:t>
      </w:r>
      <w:r w:rsidR="00BD762B">
        <w:rPr>
          <w:rFonts w:ascii="Times New Roman" w:hAnsi="Times New Roman" w:cs="Times New Roman"/>
          <w:sz w:val="24"/>
          <w:szCs w:val="24"/>
          <w:shd w:val="clear" w:color="auto" w:fill="FFFFFF"/>
        </w:rPr>
        <w:t>,</w:t>
      </w:r>
      <w:r w:rsidRPr="007B4A99">
        <w:rPr>
          <w:rFonts w:ascii="Times New Roman" w:hAnsi="Times New Roman" w:cs="Times New Roman"/>
          <w:sz w:val="24"/>
          <w:szCs w:val="24"/>
          <w:shd w:val="clear" w:color="auto" w:fill="FFFFFF"/>
        </w:rPr>
        <w:t xml:space="preserve"> предостави експертна помощ и съвети. В други случаи самите правила, създадени по пътя на саморегулирането</w:t>
      </w:r>
      <w:r w:rsidR="00BD762B">
        <w:rPr>
          <w:rFonts w:ascii="Times New Roman" w:hAnsi="Times New Roman" w:cs="Times New Roman"/>
          <w:sz w:val="24"/>
          <w:szCs w:val="24"/>
          <w:shd w:val="clear" w:color="auto" w:fill="FFFFFF"/>
        </w:rPr>
        <w:t>,</w:t>
      </w:r>
      <w:r w:rsidRPr="007B4A99">
        <w:rPr>
          <w:rFonts w:ascii="Times New Roman" w:hAnsi="Times New Roman" w:cs="Times New Roman"/>
          <w:sz w:val="24"/>
          <w:szCs w:val="24"/>
          <w:shd w:val="clear" w:color="auto" w:fill="FFFFFF"/>
        </w:rPr>
        <w:t xml:space="preserve"> може да намират своята основа в законодателството. </w:t>
      </w:r>
    </w:p>
    <w:p w14:paraId="24CFD9ED" w14:textId="2D89FB90" w:rsidR="006447C1" w:rsidRPr="007B4A99" w:rsidRDefault="006447C1"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Корегулирането е форма на саморегулиране, при което даден сектор разработва и администрира собствените си правила, а държавата дава само правното основание, като осигурява привеждането в действие на правилата, приети чрез корегулиране. </w:t>
      </w:r>
    </w:p>
    <w:p w14:paraId="2A8F27EA" w14:textId="76E13A99" w:rsidR="0000070B" w:rsidRPr="007B4A99" w:rsidRDefault="0000070B"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Квази - регулирането се ползва от държавата, за да накара даден сектор да спазва определени правила и стандарти, каквито са например приети от нея кодекси за практика, ръководства, национални</w:t>
      </w:r>
      <w:r w:rsidR="00FF1BCC" w:rsidRPr="007B4A99">
        <w:rPr>
          <w:rFonts w:ascii="Times New Roman" w:hAnsi="Times New Roman" w:cs="Times New Roman"/>
          <w:sz w:val="24"/>
          <w:szCs w:val="24"/>
        </w:rPr>
        <w:t xml:space="preserve"> планове за действие или</w:t>
      </w:r>
      <w:r w:rsidRPr="007B4A99">
        <w:rPr>
          <w:rFonts w:ascii="Times New Roman" w:hAnsi="Times New Roman" w:cs="Times New Roman"/>
          <w:sz w:val="24"/>
          <w:szCs w:val="24"/>
        </w:rPr>
        <w:t xml:space="preserve"> програми и др. По подобие на саморегулирането, квази - регулирането, е по-гъвкав и по-целенасочен подход за организиране на обществените отношения, в сравнение с приемана от държавата правна уредба. То поначало има за резултат и по-добро спазване на правилата.  </w:t>
      </w:r>
    </w:p>
    <w:p w14:paraId="4AB300D1" w14:textId="1EFBC336" w:rsidR="0000070B" w:rsidRPr="007B4A99" w:rsidRDefault="0000070B"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Ползите от саморегулирането, </w:t>
      </w:r>
      <w:r w:rsidR="006447C1" w:rsidRPr="007B4A99">
        <w:rPr>
          <w:rFonts w:ascii="Times New Roman" w:hAnsi="Times New Roman" w:cs="Times New Roman"/>
          <w:sz w:val="24"/>
          <w:szCs w:val="24"/>
        </w:rPr>
        <w:t xml:space="preserve">корегулиране </w:t>
      </w:r>
      <w:r w:rsidRPr="007B4A99">
        <w:rPr>
          <w:rFonts w:ascii="Times New Roman" w:hAnsi="Times New Roman" w:cs="Times New Roman"/>
          <w:sz w:val="24"/>
          <w:szCs w:val="24"/>
        </w:rPr>
        <w:t xml:space="preserve">и </w:t>
      </w:r>
      <w:r w:rsidR="006447C1" w:rsidRPr="007B4A99">
        <w:rPr>
          <w:rFonts w:ascii="Times New Roman" w:hAnsi="Times New Roman" w:cs="Times New Roman"/>
          <w:sz w:val="24"/>
          <w:szCs w:val="24"/>
        </w:rPr>
        <w:t xml:space="preserve">квази - регулирането </w:t>
      </w:r>
      <w:r w:rsidRPr="007B4A99">
        <w:rPr>
          <w:rFonts w:ascii="Times New Roman" w:hAnsi="Times New Roman" w:cs="Times New Roman"/>
          <w:sz w:val="24"/>
          <w:szCs w:val="24"/>
        </w:rPr>
        <w:t>като цяло се свързват с по-ниски разходи за администриране на държавата. Те поначало се считат за по-</w:t>
      </w:r>
      <w:r w:rsidR="00FF1BCC" w:rsidRPr="007B4A99">
        <w:rPr>
          <w:rFonts w:ascii="Times New Roman" w:hAnsi="Times New Roman" w:cs="Times New Roman"/>
          <w:sz w:val="24"/>
          <w:szCs w:val="24"/>
        </w:rPr>
        <w:t>целенасочени</w:t>
      </w:r>
      <w:r w:rsidRPr="007B4A99">
        <w:rPr>
          <w:rFonts w:ascii="Times New Roman" w:hAnsi="Times New Roman" w:cs="Times New Roman"/>
          <w:sz w:val="24"/>
          <w:szCs w:val="24"/>
        </w:rPr>
        <w:t xml:space="preserve"> и отговарящи на обществените отношения, за регулирането на които са предназначени, тъй като са съобразени със специфичните нужди и са базирани на максимално достоверна информация, предоставена от самите адресати на регулирането</w:t>
      </w:r>
      <w:r w:rsidR="00BD762B">
        <w:rPr>
          <w:rFonts w:ascii="Times New Roman" w:hAnsi="Times New Roman" w:cs="Times New Roman"/>
          <w:sz w:val="24"/>
          <w:szCs w:val="24"/>
        </w:rPr>
        <w:t>,</w:t>
      </w:r>
      <w:r w:rsidRPr="007B4A99">
        <w:rPr>
          <w:rFonts w:ascii="Times New Roman" w:hAnsi="Times New Roman" w:cs="Times New Roman"/>
          <w:sz w:val="24"/>
          <w:szCs w:val="24"/>
        </w:rPr>
        <w:t xml:space="preserve"> затова се определят и като подходи с по-високо ниво на релевантност. Отличават се с по-висока гъвкавост, </w:t>
      </w:r>
      <w:r w:rsidR="006447C1" w:rsidRPr="007B4A99">
        <w:rPr>
          <w:rFonts w:ascii="Times New Roman" w:hAnsi="Times New Roman" w:cs="Times New Roman"/>
          <w:sz w:val="24"/>
          <w:szCs w:val="24"/>
        </w:rPr>
        <w:t>фокусираност</w:t>
      </w:r>
      <w:r w:rsidRPr="007B4A99">
        <w:rPr>
          <w:rFonts w:ascii="Times New Roman" w:hAnsi="Times New Roman" w:cs="Times New Roman"/>
          <w:sz w:val="24"/>
          <w:szCs w:val="24"/>
        </w:rPr>
        <w:t xml:space="preserve"> и бързина при тяхното прилагане. </w:t>
      </w:r>
      <w:r w:rsidRPr="007B4A99">
        <w:rPr>
          <w:rFonts w:ascii="Times New Roman" w:hAnsi="Times New Roman" w:cs="Times New Roman"/>
          <w:sz w:val="24"/>
          <w:szCs w:val="24"/>
        </w:rPr>
        <w:lastRenderedPageBreak/>
        <w:t xml:space="preserve">Позволяват и своевременно да бъдат изменяни или отменяни и в този смисъл са способни в по-голяма степен да откликнат на необходимостите на отношенията или средата, които регулират. </w:t>
      </w:r>
    </w:p>
    <w:p w14:paraId="50332120" w14:textId="2B83B245" w:rsidR="0000070B" w:rsidRPr="007B4A99" w:rsidRDefault="0000070B"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Основните рискове, съществуващи при саморегули</w:t>
      </w:r>
      <w:r w:rsidR="00381D13">
        <w:rPr>
          <w:rFonts w:ascii="Times New Roman" w:hAnsi="Times New Roman" w:cs="Times New Roman"/>
          <w:sz w:val="24"/>
          <w:szCs w:val="24"/>
        </w:rPr>
        <w:t>рането, корегулирането и квази -</w:t>
      </w:r>
      <w:r w:rsidRPr="007B4A99">
        <w:rPr>
          <w:rFonts w:ascii="Times New Roman" w:hAnsi="Times New Roman" w:cs="Times New Roman"/>
          <w:sz w:val="24"/>
          <w:szCs w:val="24"/>
        </w:rPr>
        <w:t xml:space="preserve"> регулирането</w:t>
      </w:r>
      <w:r w:rsidR="00BD762B">
        <w:rPr>
          <w:rFonts w:ascii="Times New Roman" w:hAnsi="Times New Roman" w:cs="Times New Roman"/>
          <w:sz w:val="24"/>
          <w:szCs w:val="24"/>
        </w:rPr>
        <w:t>,</w:t>
      </w:r>
      <w:r w:rsidRPr="007B4A99">
        <w:rPr>
          <w:rFonts w:ascii="Times New Roman" w:hAnsi="Times New Roman" w:cs="Times New Roman"/>
          <w:sz w:val="24"/>
          <w:szCs w:val="24"/>
        </w:rPr>
        <w:t xml:space="preserve"> се свързват с ограниченията на конкуренцията, например</w:t>
      </w:r>
      <w:r w:rsidR="00BD762B">
        <w:rPr>
          <w:rFonts w:ascii="Times New Roman" w:hAnsi="Times New Roman" w:cs="Times New Roman"/>
          <w:sz w:val="24"/>
          <w:szCs w:val="24"/>
        </w:rPr>
        <w:t>,</w:t>
      </w:r>
      <w:r w:rsidRPr="007B4A99">
        <w:rPr>
          <w:rFonts w:ascii="Times New Roman" w:hAnsi="Times New Roman" w:cs="Times New Roman"/>
          <w:sz w:val="24"/>
          <w:szCs w:val="24"/>
        </w:rPr>
        <w:t xml:space="preserve"> чрез поставянето на бариери за навлизане в дадения сектор. Тези алтернативни на традиционното правно регулиране подходи, често могат да доведат и до намаляване на избора на потенциалните адресати например, чрез налагане на завишени стандарти, които те не покриват. </w:t>
      </w:r>
    </w:p>
    <w:p w14:paraId="3B8809EB" w14:textId="77777777" w:rsidR="00D04B0E" w:rsidRDefault="0000070B"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Държавните органи или институциите, в чиято компетентност попадат отношенията, уреждани чрез подходите на саморегулиране, корегулиране и квази</w:t>
      </w:r>
      <w:r w:rsidR="00381D13">
        <w:rPr>
          <w:rFonts w:ascii="Times New Roman" w:hAnsi="Times New Roman" w:cs="Times New Roman"/>
          <w:sz w:val="24"/>
          <w:szCs w:val="24"/>
        </w:rPr>
        <w:t xml:space="preserve"> </w:t>
      </w:r>
      <w:r w:rsidRPr="007B4A99">
        <w:rPr>
          <w:rFonts w:ascii="Times New Roman" w:hAnsi="Times New Roman" w:cs="Times New Roman"/>
          <w:sz w:val="24"/>
          <w:szCs w:val="24"/>
        </w:rPr>
        <w:t>-регулиране</w:t>
      </w:r>
      <w:r w:rsidR="00BD762B">
        <w:rPr>
          <w:rFonts w:ascii="Times New Roman" w:hAnsi="Times New Roman" w:cs="Times New Roman"/>
          <w:sz w:val="24"/>
          <w:szCs w:val="24"/>
        </w:rPr>
        <w:t>,</w:t>
      </w:r>
      <w:r w:rsidRPr="007B4A99">
        <w:rPr>
          <w:rFonts w:ascii="Times New Roman" w:hAnsi="Times New Roman" w:cs="Times New Roman"/>
          <w:sz w:val="24"/>
          <w:szCs w:val="24"/>
        </w:rPr>
        <w:t xml:space="preserve"> по принцип дават официално одобрение на актовете, с които те се реализират, следят за тяхното спазване и прилагане, могат да отправят препоръки за тяхното усъвършенстване и да оттеглят одобрението си за онези от тях, които не работят добре. Те са отговорни и за цялостния мониторинг, контрол, оценка и отчитане на резултатите от реализираните подходи на регулиране чрез алтернативни на правото инструменти.</w:t>
      </w:r>
    </w:p>
    <w:p w14:paraId="657EE14A" w14:textId="4B336297" w:rsidR="0000070B" w:rsidRPr="007B4A99" w:rsidRDefault="0000070B" w:rsidP="00DD69D5">
      <w:pPr>
        <w:spacing w:after="0" w:line="240" w:lineRule="auto"/>
        <w:ind w:firstLine="567"/>
        <w:jc w:val="both"/>
        <w:rPr>
          <w:rFonts w:ascii="Times New Roman" w:eastAsia="Calibri" w:hAnsi="Times New Roman" w:cs="Times New Roman"/>
          <w:sz w:val="24"/>
          <w:szCs w:val="24"/>
        </w:rPr>
      </w:pPr>
      <w:r w:rsidRPr="007B4A99">
        <w:rPr>
          <w:rFonts w:ascii="Times New Roman" w:eastAsia="Calibri" w:hAnsi="Times New Roman" w:cs="Times New Roman"/>
          <w:sz w:val="24"/>
          <w:szCs w:val="24"/>
        </w:rPr>
        <w:t>Според Стандартите за прилагане на алтернативни регулаторни подходи на Министерски съвет</w:t>
      </w:r>
      <w:r w:rsidRPr="007B4A99">
        <w:rPr>
          <w:rStyle w:val="FootnoteReference"/>
          <w:rFonts w:ascii="Times New Roman" w:eastAsia="Calibri" w:hAnsi="Times New Roman" w:cs="Times New Roman"/>
          <w:sz w:val="24"/>
          <w:szCs w:val="24"/>
        </w:rPr>
        <w:footnoteReference w:id="41"/>
      </w:r>
      <w:r w:rsidRPr="007B4A99">
        <w:rPr>
          <w:rFonts w:ascii="Times New Roman" w:eastAsia="Calibri" w:hAnsi="Times New Roman" w:cs="Times New Roman"/>
          <w:sz w:val="24"/>
          <w:szCs w:val="24"/>
        </w:rPr>
        <w:t>, в области, които не са обхванати от съществуващата нормативна уредба, компетентните органи могат да предприемат действия за насърчаване на прилагането на саморегулаторни инициативи чрез ненормативни актове (soft law), като насоки, препоръки</w:t>
      </w:r>
      <w:r w:rsidR="00D04B0E">
        <w:rPr>
          <w:rFonts w:ascii="Times New Roman" w:eastAsia="Calibri" w:hAnsi="Times New Roman" w:cs="Times New Roman"/>
          <w:sz w:val="24"/>
          <w:szCs w:val="24"/>
        </w:rPr>
        <w:t>, кодекси</w:t>
      </w:r>
      <w:r w:rsidRPr="007B4A99">
        <w:rPr>
          <w:rFonts w:ascii="Times New Roman" w:eastAsia="Calibri" w:hAnsi="Times New Roman" w:cs="Times New Roman"/>
          <w:sz w:val="24"/>
          <w:szCs w:val="24"/>
        </w:rPr>
        <w:t xml:space="preserve"> и др., които определят критерии, приоритети и други, за постигане на определени обществени цели. Отговорност на институциите е в рамките на своята текуща дейност да разглеждат съществуващи практики по саморегулиране с оглед установяване на тяхното съответствие с обществените интереси. При установяване на практики, които застрашават или могат да застрашат, защитени от закона права, компетентният орган предприема необходимите мерки за гарантиране на спазването на тези права, включително</w:t>
      </w:r>
      <w:r w:rsidR="00BD762B">
        <w:rPr>
          <w:rFonts w:ascii="Times New Roman" w:eastAsia="Calibri" w:hAnsi="Times New Roman" w:cs="Times New Roman"/>
          <w:sz w:val="24"/>
          <w:szCs w:val="24"/>
        </w:rPr>
        <w:t>,</w:t>
      </w:r>
      <w:r w:rsidRPr="007B4A99">
        <w:rPr>
          <w:rFonts w:ascii="Times New Roman" w:eastAsia="Calibri" w:hAnsi="Times New Roman" w:cs="Times New Roman"/>
          <w:sz w:val="24"/>
          <w:szCs w:val="24"/>
        </w:rPr>
        <w:t xml:space="preserve"> за преустановяване на констатираните нарушения съгласно установения ред.</w:t>
      </w:r>
    </w:p>
    <w:p w14:paraId="31225997" w14:textId="5251D3EC" w:rsidR="008568EE" w:rsidRPr="007B4A99" w:rsidRDefault="00691EA2" w:rsidP="00DD69D5">
      <w:pPr>
        <w:spacing w:after="0" w:line="240" w:lineRule="auto"/>
        <w:ind w:firstLine="567"/>
        <w:jc w:val="both"/>
        <w:rPr>
          <w:rFonts w:ascii="Times New Roman" w:eastAsia="Times New Roman" w:hAnsi="Times New Roman" w:cs="Times New Roman"/>
          <w:sz w:val="24"/>
          <w:szCs w:val="24"/>
        </w:rPr>
      </w:pPr>
      <w:r w:rsidRPr="007B4A99">
        <w:rPr>
          <w:rFonts w:ascii="Times New Roman" w:hAnsi="Times New Roman"/>
          <w:sz w:val="24"/>
          <w:szCs w:val="24"/>
        </w:rPr>
        <w:t>Вариант 1: „Нерегулаторен“, както беше посочено, може да</w:t>
      </w:r>
      <w:r w:rsidR="00AC6AC0" w:rsidRPr="007B4A99">
        <w:rPr>
          <w:rFonts w:ascii="Times New Roman" w:eastAsia="Times New Roman" w:hAnsi="Times New Roman" w:cs="Times New Roman"/>
          <w:sz w:val="24"/>
          <w:szCs w:val="24"/>
        </w:rPr>
        <w:t xml:space="preserve"> включва организирането и провеждането на национална разяснителна кампания, която да бъде широко популяризирана, включително чрез средствата за масова информация</w:t>
      </w:r>
      <w:r w:rsidR="003F223C" w:rsidRPr="007B4A99">
        <w:rPr>
          <w:rFonts w:ascii="Times New Roman" w:eastAsia="Times New Roman" w:hAnsi="Times New Roman" w:cs="Times New Roman"/>
          <w:sz w:val="24"/>
          <w:szCs w:val="24"/>
        </w:rPr>
        <w:t>. Той може да предвижда като мярка</w:t>
      </w:r>
      <w:r w:rsidR="00AC6AC0" w:rsidRPr="007B4A99">
        <w:rPr>
          <w:rFonts w:ascii="Times New Roman" w:eastAsia="Times New Roman" w:hAnsi="Times New Roman" w:cs="Times New Roman"/>
          <w:sz w:val="24"/>
          <w:szCs w:val="24"/>
        </w:rPr>
        <w:t xml:space="preserve"> </w:t>
      </w:r>
      <w:r w:rsidR="00043624">
        <w:rPr>
          <w:rFonts w:ascii="Times New Roman" w:eastAsia="Times New Roman" w:hAnsi="Times New Roman" w:cs="Times New Roman"/>
          <w:sz w:val="24"/>
          <w:szCs w:val="24"/>
        </w:rPr>
        <w:t>приемането на</w:t>
      </w:r>
      <w:r w:rsidR="00043624" w:rsidRPr="007B4A99">
        <w:rPr>
          <w:rFonts w:ascii="Times New Roman" w:eastAsia="Times New Roman" w:hAnsi="Times New Roman" w:cs="Times New Roman"/>
          <w:sz w:val="24"/>
          <w:szCs w:val="24"/>
        </w:rPr>
        <w:t xml:space="preserve"> </w:t>
      </w:r>
      <w:r w:rsidR="00043624" w:rsidRPr="006C58D7">
        <w:rPr>
          <w:rFonts w:ascii="Times New Roman" w:eastAsia="Times New Roman" w:hAnsi="Times New Roman" w:cs="Times New Roman"/>
          <w:sz w:val="24"/>
          <w:szCs w:val="24"/>
        </w:rPr>
        <w:t xml:space="preserve">кодекси за поведение, доброволни стандарти или споразумения, </w:t>
      </w:r>
      <w:r w:rsidR="00043624">
        <w:rPr>
          <w:rFonts w:ascii="Times New Roman" w:eastAsia="Times New Roman" w:hAnsi="Times New Roman" w:cs="Times New Roman"/>
          <w:sz w:val="24"/>
          <w:szCs w:val="24"/>
        </w:rPr>
        <w:t>които са</w:t>
      </w:r>
      <w:r w:rsidR="00043624" w:rsidRPr="006C58D7">
        <w:rPr>
          <w:rFonts w:ascii="Times New Roman" w:eastAsia="Times New Roman" w:hAnsi="Times New Roman" w:cs="Times New Roman"/>
          <w:sz w:val="24"/>
          <w:szCs w:val="24"/>
        </w:rPr>
        <w:t xml:space="preserve"> </w:t>
      </w:r>
      <w:r w:rsidR="00043624" w:rsidRPr="006C58D7">
        <w:rPr>
          <w:rFonts w:ascii="Times New Roman" w:eastAsia="Times New Roman" w:hAnsi="Times New Roman" w:cs="Times New Roman"/>
          <w:bCs/>
          <w:sz w:val="24"/>
          <w:szCs w:val="24"/>
        </w:rPr>
        <w:t xml:space="preserve">без </w:t>
      </w:r>
      <w:r w:rsidR="00043624">
        <w:rPr>
          <w:rFonts w:ascii="Times New Roman" w:eastAsia="Times New Roman" w:hAnsi="Times New Roman" w:cs="Times New Roman"/>
          <w:bCs/>
          <w:sz w:val="24"/>
          <w:szCs w:val="24"/>
        </w:rPr>
        <w:t xml:space="preserve">задължителна </w:t>
      </w:r>
      <w:r w:rsidR="00043624" w:rsidRPr="006C58D7">
        <w:rPr>
          <w:rFonts w:ascii="Times New Roman" w:eastAsia="Times New Roman" w:hAnsi="Times New Roman" w:cs="Times New Roman"/>
          <w:bCs/>
          <w:sz w:val="24"/>
          <w:szCs w:val="24"/>
        </w:rPr>
        <w:t>правна сила</w:t>
      </w:r>
      <w:r w:rsidR="00043624">
        <w:rPr>
          <w:rFonts w:ascii="Times New Roman" w:eastAsia="Times New Roman" w:hAnsi="Times New Roman" w:cs="Times New Roman"/>
          <w:sz w:val="24"/>
          <w:szCs w:val="24"/>
        </w:rPr>
        <w:t>,</w:t>
      </w:r>
      <w:r w:rsidR="00043624" w:rsidRPr="007B4A99">
        <w:rPr>
          <w:rFonts w:ascii="Times New Roman" w:eastAsia="Times New Roman" w:hAnsi="Times New Roman" w:cs="Times New Roman"/>
          <w:sz w:val="24"/>
          <w:szCs w:val="24"/>
        </w:rPr>
        <w:t xml:space="preserve"> </w:t>
      </w:r>
      <w:r w:rsidR="00AC6AC0" w:rsidRPr="007B4A99">
        <w:rPr>
          <w:rFonts w:ascii="Times New Roman" w:eastAsia="Times New Roman" w:hAnsi="Times New Roman" w:cs="Times New Roman"/>
          <w:sz w:val="24"/>
          <w:szCs w:val="24"/>
        </w:rPr>
        <w:t xml:space="preserve">изработването на общ документ с практически характер, под формата на наръчник или сборник с указания и инструкции, по който да бъдат проведени обучения за засегнатите страни, включително да бъде осигурена публичност и осведоменост на заинтересованите страни и обществото като цяло и други подобни. </w:t>
      </w:r>
    </w:p>
    <w:p w14:paraId="1BA95E5C" w14:textId="33823422" w:rsidR="000D3407" w:rsidRPr="007B4A99" w:rsidRDefault="003F223C" w:rsidP="00DD69D5">
      <w:pPr>
        <w:spacing w:after="0" w:line="240" w:lineRule="auto"/>
        <w:ind w:firstLine="567"/>
        <w:jc w:val="both"/>
        <w:rPr>
          <w:rFonts w:ascii="Times New Roman" w:hAnsi="Times New Roman"/>
          <w:sz w:val="24"/>
          <w:szCs w:val="24"/>
        </w:rPr>
      </w:pPr>
      <w:r w:rsidRPr="007B4A99">
        <w:rPr>
          <w:rFonts w:ascii="Times New Roman" w:hAnsi="Times New Roman" w:cs="Times New Roman"/>
          <w:sz w:val="24"/>
          <w:szCs w:val="24"/>
        </w:rPr>
        <w:t>Т</w:t>
      </w:r>
      <w:r w:rsidR="008568EE" w:rsidRPr="007B4A99">
        <w:rPr>
          <w:rFonts w:ascii="Times New Roman" w:hAnsi="Times New Roman" w:cs="Times New Roman"/>
          <w:sz w:val="24"/>
          <w:szCs w:val="24"/>
        </w:rPr>
        <w:t xml:space="preserve">ипична нерегулаторна мярка представлява и </w:t>
      </w:r>
      <w:r w:rsidRPr="007B4A99">
        <w:rPr>
          <w:rFonts w:ascii="Times New Roman" w:hAnsi="Times New Roman" w:cs="Times New Roman"/>
          <w:sz w:val="24"/>
          <w:szCs w:val="24"/>
        </w:rPr>
        <w:t>създаването на специализиран интернет портал и други подобни.</w:t>
      </w:r>
      <w:r w:rsidR="008568EE" w:rsidRPr="007B4A99">
        <w:rPr>
          <w:rFonts w:ascii="Times New Roman" w:hAnsi="Times New Roman" w:cs="Times New Roman"/>
          <w:sz w:val="24"/>
          <w:szCs w:val="24"/>
        </w:rPr>
        <w:t xml:space="preserve"> Такава вече е</w:t>
      </w:r>
      <w:r w:rsidR="004A566F">
        <w:rPr>
          <w:rFonts w:ascii="Times New Roman" w:hAnsi="Times New Roman" w:cs="Times New Roman"/>
          <w:sz w:val="24"/>
          <w:szCs w:val="24"/>
        </w:rPr>
        <w:t xml:space="preserve"> била</w:t>
      </w:r>
      <w:r w:rsidR="008568EE" w:rsidRPr="007B4A99">
        <w:rPr>
          <w:rFonts w:ascii="Times New Roman" w:hAnsi="Times New Roman" w:cs="Times New Roman"/>
          <w:sz w:val="24"/>
          <w:szCs w:val="24"/>
        </w:rPr>
        <w:t xml:space="preserve"> въведена от българската държава през 2023 г. с изграждането на информационния портал за наблюдение и сравнение на цените на част от хранителните продукти в малката потребителска кошница в България </w:t>
      </w:r>
      <w:hyperlink r:id="rId16" w:history="1">
        <w:r w:rsidR="008568EE" w:rsidRPr="007B4A99">
          <w:rPr>
            <w:rStyle w:val="Hyperlink"/>
            <w:rFonts w:ascii="Times New Roman" w:hAnsi="Times New Roman" w:cs="Times New Roman"/>
            <w:color w:val="auto"/>
            <w:sz w:val="24"/>
            <w:szCs w:val="24"/>
          </w:rPr>
          <w:t>www.foodprice.bg</w:t>
        </w:r>
      </w:hyperlink>
      <w:r w:rsidR="008568EE" w:rsidRPr="007B4A99">
        <w:rPr>
          <w:rFonts w:ascii="Times New Roman" w:hAnsi="Times New Roman" w:cs="Times New Roman"/>
          <w:sz w:val="24"/>
          <w:szCs w:val="24"/>
        </w:rPr>
        <w:t xml:space="preserve">. Неговата основна цел е постигане на по-голяма прозрачност за ценообразуването по веригата за доставки на храни, както и </w:t>
      </w:r>
      <w:r w:rsidR="004A566F">
        <w:rPr>
          <w:rFonts w:ascii="Times New Roman" w:hAnsi="Times New Roman" w:cs="Times New Roman"/>
          <w:sz w:val="24"/>
          <w:szCs w:val="24"/>
        </w:rPr>
        <w:t>обезпечаване на ефективността на</w:t>
      </w:r>
      <w:r w:rsidR="008568EE" w:rsidRPr="007B4A99">
        <w:rPr>
          <w:rFonts w:ascii="Times New Roman" w:hAnsi="Times New Roman" w:cs="Times New Roman"/>
          <w:sz w:val="24"/>
          <w:szCs w:val="24"/>
        </w:rPr>
        <w:t xml:space="preserve"> планирани от правителството бъдещи нормативни промени. Последните обаче остават нереализирани, при което и към настоящия момент порталът функционира, т.е.</w:t>
      </w:r>
      <w:r w:rsidR="006925C9" w:rsidRPr="007B4A99">
        <w:rPr>
          <w:rFonts w:ascii="Times New Roman" w:hAnsi="Times New Roman" w:cs="Times New Roman"/>
          <w:sz w:val="24"/>
          <w:szCs w:val="24"/>
        </w:rPr>
        <w:t xml:space="preserve"> на практика е</w:t>
      </w:r>
      <w:r w:rsidR="008568EE" w:rsidRPr="007B4A99">
        <w:rPr>
          <w:rFonts w:ascii="Times New Roman" w:hAnsi="Times New Roman" w:cs="Times New Roman"/>
          <w:sz w:val="24"/>
          <w:szCs w:val="24"/>
        </w:rPr>
        <w:t xml:space="preserve"> </w:t>
      </w:r>
      <w:r w:rsidR="008568EE" w:rsidRPr="007B4A99">
        <w:rPr>
          <w:rFonts w:ascii="Times New Roman" w:hAnsi="Times New Roman" w:cs="Times New Roman"/>
          <w:b/>
          <w:i/>
          <w:sz w:val="24"/>
          <w:szCs w:val="24"/>
        </w:rPr>
        <w:t>налице въведен нерегулаторен в</w:t>
      </w:r>
      <w:r w:rsidR="008568EE" w:rsidRPr="007B4A99">
        <w:rPr>
          <w:rFonts w:ascii="Times New Roman" w:hAnsi="Times New Roman"/>
          <w:b/>
          <w:i/>
          <w:sz w:val="24"/>
          <w:szCs w:val="24"/>
        </w:rPr>
        <w:t>ариант</w:t>
      </w:r>
      <w:r w:rsidR="008568EE" w:rsidRPr="007B4A99">
        <w:rPr>
          <w:rFonts w:ascii="Times New Roman" w:hAnsi="Times New Roman"/>
          <w:sz w:val="24"/>
          <w:szCs w:val="24"/>
        </w:rPr>
        <w:t xml:space="preserve"> за справяне със същите </w:t>
      </w:r>
      <w:r w:rsidR="000D3407" w:rsidRPr="007B4A99">
        <w:rPr>
          <w:rFonts w:ascii="Times New Roman" w:hAnsi="Times New Roman"/>
          <w:sz w:val="24"/>
          <w:szCs w:val="24"/>
        </w:rPr>
        <w:t xml:space="preserve">или идентични </w:t>
      </w:r>
      <w:r w:rsidR="008568EE" w:rsidRPr="007B4A99">
        <w:rPr>
          <w:rFonts w:ascii="Times New Roman" w:hAnsi="Times New Roman"/>
          <w:sz w:val="24"/>
          <w:szCs w:val="24"/>
        </w:rPr>
        <w:t>проблеми</w:t>
      </w:r>
      <w:r w:rsidR="000D3407" w:rsidRPr="007B4A99">
        <w:rPr>
          <w:rFonts w:ascii="Times New Roman" w:hAnsi="Times New Roman"/>
          <w:sz w:val="24"/>
          <w:szCs w:val="24"/>
        </w:rPr>
        <w:t xml:space="preserve">, които са обект на изследване и в настоящата ОВ. </w:t>
      </w:r>
    </w:p>
    <w:p w14:paraId="63239ED2" w14:textId="778E6E32" w:rsidR="0084412A" w:rsidRPr="007B4A99" w:rsidRDefault="000D3407"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 xml:space="preserve">Планираното към онзи момент от </w:t>
      </w:r>
      <w:r w:rsidR="00746B0D" w:rsidRPr="007B4A99">
        <w:rPr>
          <w:rFonts w:ascii="Times New Roman" w:hAnsi="Times New Roman" w:cs="Times New Roman"/>
          <w:sz w:val="24"/>
          <w:szCs w:val="24"/>
        </w:rPr>
        <w:t>правителството</w:t>
      </w:r>
      <w:r w:rsidRPr="007B4A99">
        <w:rPr>
          <w:rFonts w:ascii="Times New Roman" w:hAnsi="Times New Roman" w:cs="Times New Roman"/>
          <w:sz w:val="24"/>
          <w:szCs w:val="24"/>
        </w:rPr>
        <w:t xml:space="preserve"> последващо ниво на надграждане на функционалностите на портала</w:t>
      </w:r>
      <w:r w:rsidR="00BD762B">
        <w:rPr>
          <w:rFonts w:ascii="Times New Roman" w:hAnsi="Times New Roman" w:cs="Times New Roman"/>
          <w:sz w:val="24"/>
          <w:szCs w:val="24"/>
        </w:rPr>
        <w:t xml:space="preserve"> да</w:t>
      </w:r>
      <w:r w:rsidRPr="007B4A99">
        <w:rPr>
          <w:rFonts w:ascii="Times New Roman" w:hAnsi="Times New Roman" w:cs="Times New Roman"/>
          <w:sz w:val="24"/>
          <w:szCs w:val="24"/>
        </w:rPr>
        <w:t xml:space="preserve"> включва създаването на възможността информация на него да могат да подават търговски вериги и държавните публични предприятия с годишен оборот над 30 млн. лв. остава нереализирано. Една от планираните нерегулаторни мерки, съпътстваща портал</w:t>
      </w:r>
      <w:r w:rsidR="00BD762B">
        <w:rPr>
          <w:rFonts w:ascii="Times New Roman" w:hAnsi="Times New Roman" w:cs="Times New Roman"/>
          <w:sz w:val="24"/>
          <w:szCs w:val="24"/>
        </w:rPr>
        <w:t>а,</w:t>
      </w:r>
      <w:r w:rsidRPr="007B4A99">
        <w:rPr>
          <w:rFonts w:ascii="Times New Roman" w:hAnsi="Times New Roman" w:cs="Times New Roman"/>
          <w:sz w:val="24"/>
          <w:szCs w:val="24"/>
        </w:rPr>
        <w:t xml:space="preserve"> включва и идеята те</w:t>
      </w:r>
      <w:r w:rsidR="004A566F">
        <w:rPr>
          <w:rFonts w:ascii="Times New Roman" w:hAnsi="Times New Roman" w:cs="Times New Roman"/>
          <w:sz w:val="24"/>
          <w:szCs w:val="24"/>
        </w:rPr>
        <w:t>зи субекти</w:t>
      </w:r>
      <w:r w:rsidRPr="007B4A99">
        <w:rPr>
          <w:rFonts w:ascii="Times New Roman" w:hAnsi="Times New Roman" w:cs="Times New Roman"/>
          <w:sz w:val="24"/>
          <w:szCs w:val="24"/>
        </w:rPr>
        <w:t xml:space="preserve"> да предоставят информация на ежеседмична база за най-ниската цена по продукти, но без такива в промоция, както и доброволно </w:t>
      </w:r>
      <w:r w:rsidR="004A566F">
        <w:rPr>
          <w:rFonts w:ascii="Times New Roman" w:hAnsi="Times New Roman" w:cs="Times New Roman"/>
          <w:sz w:val="24"/>
          <w:szCs w:val="24"/>
        </w:rPr>
        <w:t xml:space="preserve">да </w:t>
      </w:r>
      <w:r w:rsidRPr="007B4A99">
        <w:rPr>
          <w:rFonts w:ascii="Times New Roman" w:hAnsi="Times New Roman" w:cs="Times New Roman"/>
          <w:sz w:val="24"/>
          <w:szCs w:val="24"/>
        </w:rPr>
        <w:t xml:space="preserve">се ангажират с това, че тази цена няма да бъде по-висока за декларирания период. Последното е вид самостоятелна нерегулаторна мярка във формата на доброволно съглашение между държавата и съответните оператори на </w:t>
      </w:r>
      <w:r w:rsidR="0052220D" w:rsidRPr="007B4A99">
        <w:rPr>
          <w:rFonts w:ascii="Times New Roman" w:hAnsi="Times New Roman" w:cs="Times New Roman"/>
          <w:sz w:val="24"/>
          <w:szCs w:val="24"/>
        </w:rPr>
        <w:t>пазара</w:t>
      </w:r>
      <w:r w:rsidR="00CF2D07" w:rsidRPr="007B4A99">
        <w:rPr>
          <w:rFonts w:ascii="Times New Roman" w:hAnsi="Times New Roman" w:cs="Times New Roman"/>
          <w:sz w:val="24"/>
          <w:szCs w:val="24"/>
        </w:rPr>
        <w:t xml:space="preserve">. </w:t>
      </w:r>
    </w:p>
    <w:p w14:paraId="4C8AD520" w14:textId="60DD859B" w:rsidR="00746B0D" w:rsidRPr="007B4A99" w:rsidRDefault="00CF2D07" w:rsidP="00DD69D5">
      <w:pPr>
        <w:spacing w:after="0" w:line="240" w:lineRule="auto"/>
        <w:ind w:firstLine="539"/>
        <w:jc w:val="both"/>
      </w:pPr>
      <w:r w:rsidRPr="007B4A99">
        <w:rPr>
          <w:rFonts w:ascii="Times New Roman" w:hAnsi="Times New Roman" w:cs="Times New Roman"/>
          <w:sz w:val="24"/>
          <w:szCs w:val="24"/>
        </w:rPr>
        <w:t>Планирано е и последващо надграждане на порта</w:t>
      </w:r>
      <w:r w:rsidR="00746B0D" w:rsidRPr="007B4A99">
        <w:rPr>
          <w:rFonts w:ascii="Times New Roman" w:hAnsi="Times New Roman" w:cs="Times New Roman"/>
          <w:sz w:val="24"/>
          <w:szCs w:val="24"/>
        </w:rPr>
        <w:t>л</w:t>
      </w:r>
      <w:r w:rsidRPr="007B4A99">
        <w:rPr>
          <w:rFonts w:ascii="Times New Roman" w:hAnsi="Times New Roman" w:cs="Times New Roman"/>
          <w:sz w:val="24"/>
          <w:szCs w:val="24"/>
        </w:rPr>
        <w:t xml:space="preserve">а с възможност за предоставянето на актуална информация за проверките на </w:t>
      </w:r>
      <w:r w:rsidR="00746B0D" w:rsidRPr="007B4A99">
        <w:rPr>
          <w:rFonts w:ascii="Times New Roman" w:hAnsi="Times New Roman" w:cs="Times New Roman"/>
          <w:sz w:val="24"/>
          <w:szCs w:val="24"/>
        </w:rPr>
        <w:t>контролните</w:t>
      </w:r>
      <w:r w:rsidRPr="007B4A99">
        <w:rPr>
          <w:rFonts w:ascii="Times New Roman" w:hAnsi="Times New Roman" w:cs="Times New Roman"/>
          <w:sz w:val="24"/>
          <w:szCs w:val="24"/>
        </w:rPr>
        <w:t xml:space="preserve"> органи с установена бърза връзка за подаване на сигнали към отделните </w:t>
      </w:r>
      <w:r w:rsidR="00746B0D" w:rsidRPr="007B4A99">
        <w:rPr>
          <w:rFonts w:ascii="Times New Roman" w:hAnsi="Times New Roman" w:cs="Times New Roman"/>
          <w:sz w:val="24"/>
          <w:szCs w:val="24"/>
        </w:rPr>
        <w:t>компетентни</w:t>
      </w:r>
      <w:r w:rsidRPr="007B4A99">
        <w:rPr>
          <w:rFonts w:ascii="Times New Roman" w:hAnsi="Times New Roman" w:cs="Times New Roman"/>
          <w:sz w:val="24"/>
          <w:szCs w:val="24"/>
        </w:rPr>
        <w:t xml:space="preserve"> институции като – КЗП, КЗК и БАБХ. </w:t>
      </w:r>
    </w:p>
    <w:p w14:paraId="2D5B87EA" w14:textId="30FE261B" w:rsidR="0084412A" w:rsidRPr="007B4A99" w:rsidRDefault="00746B0D" w:rsidP="00DD69D5">
      <w:pPr>
        <w:spacing w:after="0" w:line="240" w:lineRule="auto"/>
        <w:ind w:firstLine="539"/>
        <w:jc w:val="both"/>
        <w:rPr>
          <w:rFonts w:ascii="Times New Roman" w:hAnsi="Times New Roman"/>
          <w:sz w:val="24"/>
          <w:szCs w:val="24"/>
        </w:rPr>
      </w:pPr>
      <w:r w:rsidRPr="007B4A99">
        <w:rPr>
          <w:rFonts w:ascii="Times New Roman" w:hAnsi="Times New Roman"/>
          <w:sz w:val="24"/>
          <w:szCs w:val="24"/>
        </w:rPr>
        <w:t>Основните рискове, с които поначало се свързва изборът на алтернативни на правното регулиране варианти</w:t>
      </w:r>
      <w:r w:rsidR="00567927">
        <w:rPr>
          <w:rFonts w:ascii="Times New Roman" w:hAnsi="Times New Roman"/>
          <w:sz w:val="24"/>
          <w:szCs w:val="24"/>
        </w:rPr>
        <w:t>,</w:t>
      </w:r>
      <w:r w:rsidRPr="007B4A99">
        <w:rPr>
          <w:rFonts w:ascii="Times New Roman" w:hAnsi="Times New Roman"/>
          <w:sz w:val="24"/>
          <w:szCs w:val="24"/>
        </w:rPr>
        <w:t xml:space="preserve"> са общи и специфични за отделните държави. Общите се отнасят до неефективността на санкциите при неспазване на доброволните правила, оттам до появата на своеобразен нов сив сектор от бизнес оператори, които отказват да спазват тези правила, както и до възможност от объркване сред заинтересованите страни и цялото общество относно актуалните изисквания и стандарти, които участниците на съо</w:t>
      </w:r>
      <w:r w:rsidR="008F52A9" w:rsidRPr="007B4A99">
        <w:rPr>
          <w:rFonts w:ascii="Times New Roman" w:hAnsi="Times New Roman"/>
          <w:sz w:val="24"/>
          <w:szCs w:val="24"/>
        </w:rPr>
        <w:t xml:space="preserve">тветния пазар следва да спазват. </w:t>
      </w:r>
    </w:p>
    <w:p w14:paraId="3A759F41" w14:textId="75A56C69" w:rsidR="004A45D1" w:rsidRPr="007B4A99" w:rsidRDefault="008F52A9" w:rsidP="00DD69D5">
      <w:pPr>
        <w:spacing w:after="0" w:line="240" w:lineRule="auto"/>
        <w:ind w:firstLine="539"/>
        <w:jc w:val="both"/>
        <w:rPr>
          <w:rFonts w:ascii="Times New Roman" w:hAnsi="Times New Roman"/>
          <w:sz w:val="24"/>
          <w:szCs w:val="24"/>
        </w:rPr>
      </w:pPr>
      <w:r w:rsidRPr="004A566F">
        <w:rPr>
          <w:rFonts w:ascii="Times New Roman" w:hAnsi="Times New Roman"/>
          <w:sz w:val="24"/>
          <w:szCs w:val="24"/>
        </w:rPr>
        <w:t>Специфичните за отделните държави рискове при избора на алтернативни на правното регулиране варианти се свързват с общото ниво на правосъзнание на обществото, с доверието в държавата и готовността на правните субекти да спазват нейните правила, с авторитета и силата на отделните професионални или браншови организации, със установените традиции за нормосъобразно, респективно</w:t>
      </w:r>
      <w:r w:rsidR="00BD762B" w:rsidRPr="004A566F">
        <w:rPr>
          <w:rFonts w:ascii="Times New Roman" w:hAnsi="Times New Roman"/>
          <w:sz w:val="24"/>
          <w:szCs w:val="24"/>
        </w:rPr>
        <w:t>,</w:t>
      </w:r>
      <w:r w:rsidRPr="004A566F">
        <w:rPr>
          <w:rFonts w:ascii="Times New Roman" w:hAnsi="Times New Roman"/>
          <w:sz w:val="24"/>
          <w:szCs w:val="24"/>
        </w:rPr>
        <w:t xml:space="preserve"> аномно поведение от адресатите на правното регулиране и др. Това са обективни предпоставки, при липсата на които не би могло да се очаква пълноценно сработване на алтернативните на правото подходи за регулиране.</w:t>
      </w:r>
    </w:p>
    <w:p w14:paraId="409F436D" w14:textId="78908A0B" w:rsidR="0084412A" w:rsidRPr="007B4A99" w:rsidRDefault="0084412A" w:rsidP="00DD69D5">
      <w:pPr>
        <w:spacing w:after="0" w:line="240" w:lineRule="auto"/>
        <w:ind w:firstLine="539"/>
        <w:jc w:val="both"/>
      </w:pPr>
      <w:r w:rsidRPr="007B4A99">
        <w:rPr>
          <w:rFonts w:ascii="Times New Roman" w:hAnsi="Times New Roman" w:cs="Times New Roman"/>
          <w:sz w:val="24"/>
          <w:szCs w:val="24"/>
        </w:rPr>
        <w:t xml:space="preserve">Описаните по-горе мерки са останали само на ниво планиране. </w:t>
      </w:r>
      <w:r w:rsidRPr="007B4A99">
        <w:rPr>
          <w:rFonts w:ascii="Times New Roman" w:hAnsi="Times New Roman"/>
          <w:sz w:val="24"/>
          <w:szCs w:val="24"/>
        </w:rPr>
        <w:t xml:space="preserve">Въпреки липсата на фокусиран анализ за ефективността и полезността от действието на портала за изминалия двугодишен период, от всички събрани данни и доказателства от </w:t>
      </w:r>
      <w:r w:rsidR="007B3A45">
        <w:rPr>
          <w:rFonts w:ascii="Times New Roman" w:hAnsi="Times New Roman"/>
          <w:sz w:val="24"/>
          <w:szCs w:val="24"/>
        </w:rPr>
        <w:t>ОВ</w:t>
      </w:r>
      <w:r w:rsidRPr="007B4A99">
        <w:rPr>
          <w:rFonts w:ascii="Times New Roman" w:hAnsi="Times New Roman"/>
          <w:sz w:val="24"/>
          <w:szCs w:val="24"/>
        </w:rPr>
        <w:t xml:space="preserve"> е видно</w:t>
      </w:r>
      <w:r w:rsidR="00567927">
        <w:rPr>
          <w:rFonts w:ascii="Times New Roman" w:hAnsi="Times New Roman"/>
          <w:sz w:val="24"/>
          <w:szCs w:val="24"/>
        </w:rPr>
        <w:t>,</w:t>
      </w:r>
      <w:r w:rsidRPr="007B4A99">
        <w:rPr>
          <w:rFonts w:ascii="Times New Roman" w:hAnsi="Times New Roman"/>
          <w:sz w:val="24"/>
          <w:szCs w:val="24"/>
        </w:rPr>
        <w:t xml:space="preserve"> че проблемите, които е трябвало да бъдат разрешени с него</w:t>
      </w:r>
      <w:r w:rsidR="00567927">
        <w:rPr>
          <w:rFonts w:ascii="Times New Roman" w:hAnsi="Times New Roman"/>
          <w:sz w:val="24"/>
          <w:szCs w:val="24"/>
        </w:rPr>
        <w:t>,</w:t>
      </w:r>
      <w:r w:rsidRPr="007B4A99">
        <w:rPr>
          <w:rFonts w:ascii="Times New Roman" w:hAnsi="Times New Roman"/>
          <w:sz w:val="24"/>
          <w:szCs w:val="24"/>
        </w:rPr>
        <w:t xml:space="preserve"> продължават да съществуват, а някои от тях са намерили и своето развитие и надграждане.</w:t>
      </w:r>
      <w:r w:rsidRPr="007B4A99">
        <w:t xml:space="preserve"> </w:t>
      </w:r>
    </w:p>
    <w:p w14:paraId="436B8D3D" w14:textId="77777777" w:rsidR="00696AB3" w:rsidRPr="007B4A99" w:rsidRDefault="00696AB3" w:rsidP="00DD69D5">
      <w:pPr>
        <w:spacing w:after="0" w:line="240" w:lineRule="auto"/>
        <w:ind w:firstLine="539"/>
        <w:jc w:val="both"/>
      </w:pPr>
    </w:p>
    <w:p w14:paraId="5A03A6E0" w14:textId="36AB84B5" w:rsidR="00C52A75" w:rsidRPr="007B4A99" w:rsidRDefault="00C52A75" w:rsidP="00DD69D5">
      <w:pPr>
        <w:pStyle w:val="Heading2"/>
        <w:spacing w:before="0" w:line="240" w:lineRule="auto"/>
        <w:ind w:firstLine="567"/>
        <w:jc w:val="both"/>
        <w:rPr>
          <w:rFonts w:ascii="Times New Roman" w:hAnsi="Times New Roman"/>
          <w:b w:val="0"/>
          <w:sz w:val="24"/>
          <w:szCs w:val="24"/>
        </w:rPr>
      </w:pPr>
      <w:bookmarkStart w:id="14" w:name="_Toc198633082"/>
      <w:bookmarkEnd w:id="12"/>
      <w:r w:rsidRPr="007B4A99">
        <w:rPr>
          <w:rFonts w:ascii="Times New Roman" w:hAnsi="Times New Roman"/>
          <w:sz w:val="24"/>
          <w:szCs w:val="24"/>
        </w:rPr>
        <w:t>4.2. Вариант 2: „Регулатор</w:t>
      </w:r>
      <w:r w:rsidR="008205D6" w:rsidRPr="007B4A99">
        <w:rPr>
          <w:rFonts w:ascii="Times New Roman" w:hAnsi="Times New Roman"/>
          <w:sz w:val="24"/>
          <w:szCs w:val="24"/>
        </w:rPr>
        <w:t>е</w:t>
      </w:r>
      <w:r w:rsidRPr="007B4A99">
        <w:rPr>
          <w:rFonts w:ascii="Times New Roman" w:hAnsi="Times New Roman"/>
          <w:sz w:val="24"/>
          <w:szCs w:val="24"/>
        </w:rPr>
        <w:t xml:space="preserve">н </w:t>
      </w:r>
      <w:r w:rsidR="008205D6" w:rsidRPr="007B4A99">
        <w:rPr>
          <w:rFonts w:ascii="Times New Roman" w:hAnsi="Times New Roman"/>
          <w:sz w:val="24"/>
          <w:szCs w:val="24"/>
        </w:rPr>
        <w:t>-</w:t>
      </w:r>
      <w:r w:rsidRPr="007B4A99">
        <w:rPr>
          <w:rFonts w:ascii="Times New Roman" w:hAnsi="Times New Roman"/>
          <w:sz w:val="24"/>
          <w:szCs w:val="24"/>
        </w:rPr>
        <w:t xml:space="preserve"> промени в действащата </w:t>
      </w:r>
      <w:r w:rsidR="00B817ED" w:rsidRPr="007B4A99">
        <w:rPr>
          <w:rFonts w:ascii="Times New Roman" w:hAnsi="Times New Roman"/>
          <w:sz w:val="24"/>
          <w:szCs w:val="24"/>
        </w:rPr>
        <w:t xml:space="preserve">правна </w:t>
      </w:r>
      <w:r w:rsidRPr="007B4A99">
        <w:rPr>
          <w:rFonts w:ascii="Times New Roman" w:hAnsi="Times New Roman"/>
          <w:sz w:val="24"/>
          <w:szCs w:val="24"/>
        </w:rPr>
        <w:t>уредба“</w:t>
      </w:r>
      <w:bookmarkEnd w:id="14"/>
    </w:p>
    <w:p w14:paraId="5925C666" w14:textId="6280956B" w:rsidR="00E913D0" w:rsidRPr="007B4A99" w:rsidRDefault="00EB4069" w:rsidP="00DD69D5">
      <w:pPr>
        <w:widowControl w:val="0"/>
        <w:autoSpaceDE w:val="0"/>
        <w:autoSpaceDN w:val="0"/>
        <w:adjustRightInd w:val="0"/>
        <w:spacing w:after="0" w:line="240" w:lineRule="auto"/>
        <w:ind w:firstLine="567"/>
        <w:jc w:val="both"/>
        <w:rPr>
          <w:rFonts w:ascii="Times New Roman" w:hAnsi="Times New Roman" w:cs="Times New Roman"/>
          <w:sz w:val="24"/>
          <w:szCs w:val="24"/>
          <w:lang w:eastAsia="en-GB"/>
        </w:rPr>
      </w:pPr>
      <w:bookmarkStart w:id="15" w:name="_Toc31118188"/>
      <w:r w:rsidRPr="007B4A99">
        <w:rPr>
          <w:rFonts w:ascii="Times New Roman" w:hAnsi="Times New Roman" w:cs="Times New Roman"/>
          <w:bCs/>
          <w:sz w:val="24"/>
          <w:szCs w:val="24"/>
          <w:lang w:eastAsia="en-GB"/>
        </w:rPr>
        <w:t>При т</w:t>
      </w:r>
      <w:r w:rsidR="00E913D0" w:rsidRPr="007B4A99">
        <w:rPr>
          <w:rFonts w:ascii="Times New Roman" w:hAnsi="Times New Roman" w:cs="Times New Roman"/>
          <w:bCs/>
          <w:sz w:val="24"/>
          <w:szCs w:val="24"/>
          <w:lang w:eastAsia="en-GB"/>
        </w:rPr>
        <w:t xml:space="preserve">ози вариант </w:t>
      </w:r>
      <w:r w:rsidR="00E913D0" w:rsidRPr="007B4A99">
        <w:rPr>
          <w:rFonts w:ascii="Times New Roman" w:hAnsi="Times New Roman" w:cs="Times New Roman"/>
          <w:sz w:val="24"/>
          <w:szCs w:val="24"/>
          <w:lang w:eastAsia="en-GB"/>
        </w:rPr>
        <w:t xml:space="preserve">не се въвежда радикална нормативна промяна, не се приема изцяло нов нормативен акт, а се предприемат отделни действия по </w:t>
      </w:r>
      <w:r w:rsidR="00105034" w:rsidRPr="007B4A99">
        <w:rPr>
          <w:rFonts w:ascii="Times New Roman" w:hAnsi="Times New Roman" w:cs="Times New Roman"/>
          <w:sz w:val="24"/>
          <w:szCs w:val="24"/>
          <w:lang w:eastAsia="en-GB"/>
        </w:rPr>
        <w:t>подобряване</w:t>
      </w:r>
      <w:r w:rsidR="00E913D0" w:rsidRPr="007B4A99">
        <w:rPr>
          <w:rFonts w:ascii="Times New Roman" w:hAnsi="Times New Roman" w:cs="Times New Roman"/>
          <w:sz w:val="24"/>
          <w:szCs w:val="24"/>
          <w:lang w:eastAsia="en-GB"/>
        </w:rPr>
        <w:t xml:space="preserve"> на </w:t>
      </w:r>
      <w:r w:rsidR="00E913D0" w:rsidRPr="007B4A99">
        <w:rPr>
          <w:rFonts w:ascii="Times New Roman" w:hAnsi="Times New Roman" w:cs="Times New Roman"/>
          <w:sz w:val="24"/>
          <w:szCs w:val="24"/>
          <w:lang w:eastAsia="en-GB"/>
        </w:rPr>
        <w:lastRenderedPageBreak/>
        <w:t xml:space="preserve">правната уредба, която се съдържа в съществуващите нормативни актове. Този вариант </w:t>
      </w:r>
      <w:r w:rsidR="00F20E8E" w:rsidRPr="007B4A99">
        <w:rPr>
          <w:rFonts w:ascii="Times New Roman" w:hAnsi="Times New Roman" w:cs="Times New Roman"/>
          <w:sz w:val="24"/>
          <w:szCs w:val="24"/>
          <w:lang w:eastAsia="en-GB"/>
        </w:rPr>
        <w:t xml:space="preserve">може да </w:t>
      </w:r>
      <w:r w:rsidR="00E913D0" w:rsidRPr="007B4A99">
        <w:rPr>
          <w:rFonts w:ascii="Times New Roman" w:hAnsi="Times New Roman" w:cs="Times New Roman"/>
          <w:sz w:val="24"/>
          <w:szCs w:val="24"/>
          <w:lang w:eastAsia="en-GB"/>
        </w:rPr>
        <w:t xml:space="preserve">се отнася до </w:t>
      </w:r>
      <w:r w:rsidR="00105034" w:rsidRPr="007B4A99">
        <w:rPr>
          <w:rFonts w:ascii="Times New Roman" w:hAnsi="Times New Roman" w:cs="Times New Roman"/>
          <w:sz w:val="24"/>
          <w:szCs w:val="24"/>
          <w:lang w:eastAsia="en-GB"/>
        </w:rPr>
        <w:t xml:space="preserve">нова </w:t>
      </w:r>
      <w:r w:rsidR="00E913D0" w:rsidRPr="007B4A99">
        <w:rPr>
          <w:rFonts w:ascii="Times New Roman" w:hAnsi="Times New Roman" w:cs="Times New Roman"/>
          <w:sz w:val="24"/>
          <w:szCs w:val="24"/>
          <w:lang w:eastAsia="en-GB"/>
        </w:rPr>
        <w:t>настройка на действащите мерки по регулиране,</w:t>
      </w:r>
      <w:r w:rsidR="00F20E8E" w:rsidRPr="007B4A99">
        <w:rPr>
          <w:rFonts w:ascii="Times New Roman" w:hAnsi="Times New Roman" w:cs="Times New Roman"/>
          <w:sz w:val="24"/>
          <w:szCs w:val="24"/>
          <w:lang w:eastAsia="en-GB"/>
        </w:rPr>
        <w:t xml:space="preserve"> към изменението на средата или до фокусиране на нормативните правила с цел насочване към разрешаване на </w:t>
      </w:r>
      <w:r w:rsidR="001E1A94" w:rsidRPr="007B4A99">
        <w:rPr>
          <w:rFonts w:ascii="Times New Roman" w:hAnsi="Times New Roman" w:cs="Times New Roman"/>
          <w:sz w:val="24"/>
          <w:szCs w:val="24"/>
          <w:lang w:eastAsia="en-GB"/>
        </w:rPr>
        <w:t xml:space="preserve">установените </w:t>
      </w:r>
      <w:r w:rsidR="00105034" w:rsidRPr="007B4A99">
        <w:rPr>
          <w:rFonts w:ascii="Times New Roman" w:hAnsi="Times New Roman" w:cs="Times New Roman"/>
          <w:sz w:val="24"/>
          <w:szCs w:val="24"/>
          <w:lang w:eastAsia="en-GB"/>
        </w:rPr>
        <w:t>проблеми в обществените отношения</w:t>
      </w:r>
      <w:r w:rsidR="00E913D0" w:rsidRPr="007B4A99">
        <w:rPr>
          <w:rFonts w:ascii="Times New Roman" w:hAnsi="Times New Roman" w:cs="Times New Roman"/>
          <w:sz w:val="24"/>
          <w:szCs w:val="24"/>
          <w:lang w:eastAsia="en-GB"/>
        </w:rPr>
        <w:t xml:space="preserve">. </w:t>
      </w:r>
    </w:p>
    <w:p w14:paraId="1E71C971" w14:textId="52DDB66E" w:rsidR="00F20E8E" w:rsidRPr="007B4A99" w:rsidRDefault="00F20E8E" w:rsidP="00DD69D5">
      <w:pPr>
        <w:tabs>
          <w:tab w:val="left" w:pos="851"/>
        </w:tabs>
        <w:spacing w:after="0" w:line="240" w:lineRule="auto"/>
        <w:ind w:firstLine="567"/>
        <w:jc w:val="both"/>
        <w:rPr>
          <w:rFonts w:ascii="Times New Roman" w:hAnsi="Times New Roman" w:cs="Times New Roman"/>
          <w:sz w:val="24"/>
          <w:szCs w:val="24"/>
          <w:lang w:eastAsia="en-GB"/>
        </w:rPr>
      </w:pPr>
      <w:r w:rsidRPr="007B4A99">
        <w:rPr>
          <w:rFonts w:ascii="Times New Roman" w:hAnsi="Times New Roman" w:cs="Times New Roman"/>
          <w:sz w:val="24"/>
          <w:szCs w:val="24"/>
          <w:lang w:eastAsia="en-GB"/>
        </w:rPr>
        <w:t xml:space="preserve">Поначало вариантите, предпоставящи регулаторна намеса, следва да търсят разрешаване на проблемите чрез интервенция, която да гарантира възможно най-ефективно и ефикасно постигане на поставените цели и едновременно с това осигуряване на предвидимост на правоприлагането. </w:t>
      </w:r>
      <w:r w:rsidR="006925C9" w:rsidRPr="007B4A99">
        <w:rPr>
          <w:rFonts w:ascii="Times New Roman" w:hAnsi="Times New Roman" w:cs="Times New Roman"/>
          <w:sz w:val="24"/>
          <w:szCs w:val="24"/>
          <w:lang w:eastAsia="en-GB"/>
        </w:rPr>
        <w:t>Най-често с тях</w:t>
      </w:r>
      <w:r w:rsidRPr="007B4A99">
        <w:rPr>
          <w:rFonts w:ascii="Times New Roman" w:hAnsi="Times New Roman" w:cs="Times New Roman"/>
          <w:sz w:val="24"/>
          <w:szCs w:val="24"/>
          <w:lang w:eastAsia="en-GB"/>
        </w:rPr>
        <w:t xml:space="preserve"> се </w:t>
      </w:r>
      <w:r w:rsidR="006925C9" w:rsidRPr="007B4A99">
        <w:rPr>
          <w:rFonts w:ascii="Times New Roman" w:hAnsi="Times New Roman" w:cs="Times New Roman"/>
          <w:sz w:val="24"/>
          <w:szCs w:val="24"/>
          <w:lang w:eastAsia="en-GB"/>
        </w:rPr>
        <w:t>преследва</w:t>
      </w:r>
      <w:r w:rsidRPr="007B4A99">
        <w:rPr>
          <w:rFonts w:ascii="Times New Roman" w:hAnsi="Times New Roman" w:cs="Times New Roman"/>
          <w:sz w:val="24"/>
          <w:szCs w:val="24"/>
          <w:lang w:eastAsia="en-GB"/>
        </w:rPr>
        <w:t xml:space="preserve"> достъпност, прозрачност, качество, бързина на процедурите и функциониране на институциите, изцяло в полза на адресатите на регулирането и заинтересованите страни. </w:t>
      </w:r>
    </w:p>
    <w:p w14:paraId="2700B393" w14:textId="77777777" w:rsidR="00AB6CE8" w:rsidRPr="007B4A99" w:rsidRDefault="00105034" w:rsidP="00DD69D5">
      <w:pPr>
        <w:widowControl w:val="0"/>
        <w:autoSpaceDE w:val="0"/>
        <w:autoSpaceDN w:val="0"/>
        <w:adjustRightInd w:val="0"/>
        <w:spacing w:after="0" w:line="240" w:lineRule="auto"/>
        <w:ind w:firstLine="567"/>
        <w:jc w:val="both"/>
        <w:rPr>
          <w:rFonts w:ascii="Times New Roman" w:hAnsi="Times New Roman" w:cs="Times New Roman"/>
          <w:sz w:val="24"/>
          <w:szCs w:val="24"/>
          <w:lang w:eastAsia="en-GB"/>
        </w:rPr>
      </w:pPr>
      <w:r w:rsidRPr="007B4A99">
        <w:rPr>
          <w:rFonts w:ascii="Times New Roman" w:hAnsi="Times New Roman" w:cs="Times New Roman"/>
          <w:sz w:val="24"/>
          <w:szCs w:val="24"/>
          <w:lang w:eastAsia="en-GB"/>
        </w:rPr>
        <w:t>Много често, когато е налице непоследователна, парцелирана, фрагментирана или противоречива действаща уредба, съдържаща се в поредица от нормативни актове, хаотично или многократно изменяни в кратък период от време</w:t>
      </w:r>
      <w:r w:rsidR="002809CA" w:rsidRPr="007B4A99">
        <w:rPr>
          <w:rFonts w:ascii="Times New Roman" w:hAnsi="Times New Roman" w:cs="Times New Roman"/>
          <w:sz w:val="24"/>
          <w:szCs w:val="24"/>
          <w:lang w:eastAsia="en-GB"/>
        </w:rPr>
        <w:t>,</w:t>
      </w:r>
      <w:r w:rsidRPr="007B4A99">
        <w:rPr>
          <w:rFonts w:ascii="Times New Roman" w:hAnsi="Times New Roman" w:cs="Times New Roman"/>
          <w:sz w:val="24"/>
          <w:szCs w:val="24"/>
          <w:lang w:eastAsia="en-GB"/>
        </w:rPr>
        <w:t xml:space="preserve"> се прибягва до някои от способите, прилагани широк</w:t>
      </w:r>
      <w:r w:rsidR="006925C9" w:rsidRPr="007B4A99">
        <w:rPr>
          <w:rFonts w:ascii="Times New Roman" w:hAnsi="Times New Roman" w:cs="Times New Roman"/>
          <w:sz w:val="24"/>
          <w:szCs w:val="24"/>
          <w:lang w:eastAsia="en-GB"/>
        </w:rPr>
        <w:t>о</w:t>
      </w:r>
      <w:r w:rsidRPr="007B4A99">
        <w:rPr>
          <w:rFonts w:ascii="Times New Roman" w:hAnsi="Times New Roman" w:cs="Times New Roman"/>
          <w:sz w:val="24"/>
          <w:szCs w:val="24"/>
          <w:lang w:eastAsia="en-GB"/>
        </w:rPr>
        <w:t xml:space="preserve"> в правото на ЕС, каквито са </w:t>
      </w:r>
      <w:r w:rsidR="00E913D0" w:rsidRPr="007B4A99">
        <w:rPr>
          <w:rFonts w:ascii="Times New Roman" w:hAnsi="Times New Roman" w:cs="Times New Roman"/>
          <w:sz w:val="24"/>
          <w:szCs w:val="24"/>
          <w:lang w:eastAsia="en-GB"/>
        </w:rPr>
        <w:t>опростяване, консолидиране и</w:t>
      </w:r>
      <w:r w:rsidR="004851D2" w:rsidRPr="007B4A99">
        <w:rPr>
          <w:rFonts w:ascii="Times New Roman" w:hAnsi="Times New Roman" w:cs="Times New Roman"/>
          <w:sz w:val="24"/>
          <w:szCs w:val="24"/>
          <w:lang w:eastAsia="en-GB"/>
        </w:rPr>
        <w:t>ли</w:t>
      </w:r>
      <w:r w:rsidR="00E913D0" w:rsidRPr="007B4A99">
        <w:rPr>
          <w:rFonts w:ascii="Times New Roman" w:hAnsi="Times New Roman" w:cs="Times New Roman"/>
          <w:sz w:val="24"/>
          <w:szCs w:val="24"/>
          <w:lang w:eastAsia="en-GB"/>
        </w:rPr>
        <w:t xml:space="preserve"> унификация</w:t>
      </w:r>
      <w:r w:rsidR="00E913D0" w:rsidRPr="007B4A99">
        <w:rPr>
          <w:rFonts w:ascii="Times New Roman" w:hAnsi="Times New Roman" w:cs="Times New Roman"/>
          <w:b/>
          <w:sz w:val="24"/>
          <w:szCs w:val="24"/>
          <w:lang w:eastAsia="en-GB"/>
        </w:rPr>
        <w:t xml:space="preserve"> </w:t>
      </w:r>
      <w:r w:rsidR="00E913D0" w:rsidRPr="007B4A99">
        <w:rPr>
          <w:rFonts w:ascii="Times New Roman" w:hAnsi="Times New Roman" w:cs="Times New Roman"/>
          <w:sz w:val="24"/>
          <w:szCs w:val="24"/>
          <w:lang w:eastAsia="en-GB"/>
        </w:rPr>
        <w:t>на действащата правна уредба</w:t>
      </w:r>
      <w:r w:rsidR="006925C9" w:rsidRPr="007B4A99">
        <w:rPr>
          <w:rFonts w:ascii="Times New Roman" w:hAnsi="Times New Roman" w:cs="Times New Roman"/>
          <w:sz w:val="24"/>
          <w:szCs w:val="24"/>
          <w:lang w:eastAsia="en-GB"/>
        </w:rPr>
        <w:t>, като се прибягва именно до такъв вариант на действие</w:t>
      </w:r>
      <w:r w:rsidR="00E913D0" w:rsidRPr="007B4A99">
        <w:rPr>
          <w:rFonts w:ascii="Times New Roman" w:hAnsi="Times New Roman" w:cs="Times New Roman"/>
          <w:sz w:val="24"/>
          <w:szCs w:val="24"/>
          <w:lang w:eastAsia="en-GB"/>
        </w:rPr>
        <w:t>.</w:t>
      </w:r>
    </w:p>
    <w:p w14:paraId="2982329B" w14:textId="784494F3" w:rsidR="00AB6CE8" w:rsidRPr="007B4A99" w:rsidRDefault="006925C9" w:rsidP="00DD69D5">
      <w:pPr>
        <w:widowControl w:val="0"/>
        <w:autoSpaceDE w:val="0"/>
        <w:autoSpaceDN w:val="0"/>
        <w:adjustRightInd w:val="0"/>
        <w:spacing w:after="0" w:line="240" w:lineRule="auto"/>
        <w:ind w:firstLine="567"/>
        <w:jc w:val="both"/>
        <w:rPr>
          <w:rFonts w:ascii="Times New Roman" w:hAnsi="Times New Roman" w:cs="Times New Roman"/>
          <w:sz w:val="24"/>
          <w:szCs w:val="24"/>
          <w:lang w:eastAsia="en-GB"/>
        </w:rPr>
      </w:pPr>
      <w:r w:rsidRPr="007B4A99">
        <w:rPr>
          <w:rFonts w:ascii="Times New Roman" w:hAnsi="Times New Roman" w:cs="Times New Roman"/>
          <w:sz w:val="24"/>
          <w:szCs w:val="24"/>
          <w:lang w:eastAsia="en-GB"/>
        </w:rPr>
        <w:t xml:space="preserve">Основанията за това Вариант 2: „Регулаторен - промени в действащата правна уредба“ да бъде поставен на разглеждане и задълбочен анализ от ОВ са същите като при Вариант 3 </w:t>
      </w:r>
      <w:r w:rsidR="00B966EB">
        <w:rPr>
          <w:rFonts w:ascii="Times New Roman" w:hAnsi="Times New Roman" w:cs="Times New Roman"/>
          <w:sz w:val="24"/>
          <w:szCs w:val="24"/>
          <w:lang w:eastAsia="en-GB"/>
        </w:rPr>
        <w:t>–</w:t>
      </w:r>
      <w:r w:rsidRPr="007B4A99">
        <w:rPr>
          <w:rFonts w:ascii="Times New Roman" w:hAnsi="Times New Roman" w:cs="Times New Roman"/>
          <w:sz w:val="24"/>
          <w:szCs w:val="24"/>
          <w:lang w:eastAsia="en-GB"/>
        </w:rPr>
        <w:t xml:space="preserve"> установен</w:t>
      </w:r>
      <w:r w:rsidR="00B966EB">
        <w:rPr>
          <w:rFonts w:ascii="Times New Roman" w:hAnsi="Times New Roman" w:cs="Times New Roman"/>
          <w:sz w:val="24"/>
          <w:szCs w:val="24"/>
          <w:lang w:eastAsia="en-GB"/>
        </w:rPr>
        <w:t xml:space="preserve">и дефицити във отношенията между участниците по </w:t>
      </w:r>
      <w:r w:rsidR="00B966EB" w:rsidRPr="00B966EB">
        <w:rPr>
          <w:rFonts w:ascii="Times New Roman" w:hAnsi="Times New Roman" w:cs="Times New Roman"/>
          <w:sz w:val="24"/>
          <w:szCs w:val="24"/>
          <w:lang w:eastAsia="en-GB"/>
        </w:rPr>
        <w:t>веригата на доставки на земеделски продукти и храни</w:t>
      </w:r>
      <w:r w:rsidR="00B966EB">
        <w:rPr>
          <w:rFonts w:ascii="Times New Roman" w:hAnsi="Times New Roman" w:cs="Times New Roman"/>
          <w:sz w:val="24"/>
          <w:szCs w:val="24"/>
          <w:lang w:eastAsia="en-GB"/>
        </w:rPr>
        <w:t>, при действието на сегашната</w:t>
      </w:r>
      <w:r w:rsidRPr="007B4A99">
        <w:rPr>
          <w:rFonts w:ascii="Times New Roman" w:hAnsi="Times New Roman" w:cs="Times New Roman"/>
          <w:sz w:val="24"/>
          <w:szCs w:val="24"/>
          <w:lang w:eastAsia="en-GB"/>
        </w:rPr>
        <w:t xml:space="preserve"> национална правна уредба. Единствено интензитетът на регулаторната намеса в настоящия вариант е по-нисък </w:t>
      </w:r>
      <w:r w:rsidR="00B966EB">
        <w:rPr>
          <w:rFonts w:ascii="Times New Roman" w:hAnsi="Times New Roman" w:cs="Times New Roman"/>
          <w:sz w:val="24"/>
          <w:szCs w:val="24"/>
          <w:lang w:eastAsia="en-GB"/>
        </w:rPr>
        <w:t xml:space="preserve">от този при Вариант 3 </w:t>
      </w:r>
      <w:r w:rsidRPr="007B4A99">
        <w:rPr>
          <w:rFonts w:ascii="Times New Roman" w:hAnsi="Times New Roman" w:cs="Times New Roman"/>
          <w:sz w:val="24"/>
          <w:szCs w:val="24"/>
          <w:lang w:eastAsia="en-GB"/>
        </w:rPr>
        <w:t>и подходите, с които се предлага това да бъде извършено, са различни.</w:t>
      </w:r>
    </w:p>
    <w:p w14:paraId="6473FA9F" w14:textId="41D1C0AF" w:rsidR="00E9154D" w:rsidRPr="007B4A99" w:rsidRDefault="00F20E8E" w:rsidP="00DD69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B4A99">
        <w:rPr>
          <w:rFonts w:ascii="Times New Roman" w:eastAsia="Times New Roman" w:hAnsi="Times New Roman" w:cs="Times New Roman"/>
          <w:sz w:val="24"/>
          <w:szCs w:val="24"/>
        </w:rPr>
        <w:t xml:space="preserve">При този вариант би могло да се търси разрешаване на проблемите и постигане на поставените цели чрез </w:t>
      </w:r>
      <w:r w:rsidR="006925C9" w:rsidRPr="007B4A99">
        <w:rPr>
          <w:rFonts w:ascii="Times New Roman" w:eastAsia="Times New Roman" w:hAnsi="Times New Roman" w:cs="Times New Roman"/>
          <w:sz w:val="24"/>
          <w:szCs w:val="24"/>
        </w:rPr>
        <w:t xml:space="preserve">следващи </w:t>
      </w:r>
      <w:r w:rsidRPr="007B4A99">
        <w:rPr>
          <w:rFonts w:ascii="Times New Roman" w:eastAsia="Times New Roman" w:hAnsi="Times New Roman" w:cs="Times New Roman"/>
          <w:sz w:val="24"/>
          <w:szCs w:val="24"/>
        </w:rPr>
        <w:t xml:space="preserve">промени </w:t>
      </w:r>
      <w:r w:rsidR="00BD762B">
        <w:rPr>
          <w:rFonts w:ascii="Times New Roman" w:eastAsia="Times New Roman" w:hAnsi="Times New Roman" w:cs="Times New Roman"/>
          <w:sz w:val="24"/>
          <w:szCs w:val="24"/>
        </w:rPr>
        <w:t>ЗЗК</w:t>
      </w:r>
      <w:r w:rsidR="006925C9" w:rsidRPr="007B4A99">
        <w:rPr>
          <w:rFonts w:ascii="Times New Roman" w:eastAsia="Times New Roman" w:hAnsi="Times New Roman" w:cs="Times New Roman"/>
          <w:sz w:val="24"/>
          <w:szCs w:val="24"/>
        </w:rPr>
        <w:t>, който се явява общият хоризонтален закон, действащ на национално ниво, който ре</w:t>
      </w:r>
      <w:r w:rsidR="00071505" w:rsidRPr="007B4A99">
        <w:rPr>
          <w:rFonts w:ascii="Times New Roman" w:eastAsia="Times New Roman" w:hAnsi="Times New Roman" w:cs="Times New Roman"/>
          <w:sz w:val="24"/>
          <w:szCs w:val="24"/>
        </w:rPr>
        <w:t xml:space="preserve">гламентира защитата срещу </w:t>
      </w:r>
      <w:r w:rsidR="006925C9" w:rsidRPr="007B4A99">
        <w:rPr>
          <w:rFonts w:ascii="Times New Roman" w:eastAsia="Times New Roman" w:hAnsi="Times New Roman" w:cs="Times New Roman"/>
          <w:sz w:val="24"/>
          <w:szCs w:val="24"/>
        </w:rPr>
        <w:t>споразумения,</w:t>
      </w:r>
      <w:r w:rsidR="00071505" w:rsidRPr="007B4A99">
        <w:rPr>
          <w:rFonts w:ascii="Times New Roman" w:eastAsia="Times New Roman" w:hAnsi="Times New Roman" w:cs="Times New Roman"/>
          <w:sz w:val="24"/>
          <w:szCs w:val="24"/>
        </w:rPr>
        <w:t xml:space="preserve"> решения и съгласувани практики, </w:t>
      </w:r>
      <w:r w:rsidR="006925C9" w:rsidRPr="007B4A99">
        <w:rPr>
          <w:rFonts w:ascii="Times New Roman" w:eastAsia="Times New Roman" w:hAnsi="Times New Roman" w:cs="Times New Roman"/>
          <w:sz w:val="24"/>
          <w:szCs w:val="24"/>
        </w:rPr>
        <w:t>злоупотреба</w:t>
      </w:r>
      <w:r w:rsidR="00071505" w:rsidRPr="007B4A99">
        <w:rPr>
          <w:rFonts w:ascii="Times New Roman" w:eastAsia="Times New Roman" w:hAnsi="Times New Roman" w:cs="Times New Roman"/>
          <w:sz w:val="24"/>
          <w:szCs w:val="24"/>
        </w:rPr>
        <w:t>та</w:t>
      </w:r>
      <w:r w:rsidR="006925C9" w:rsidRPr="007B4A99">
        <w:rPr>
          <w:rFonts w:ascii="Times New Roman" w:eastAsia="Times New Roman" w:hAnsi="Times New Roman" w:cs="Times New Roman"/>
          <w:sz w:val="24"/>
          <w:szCs w:val="24"/>
        </w:rPr>
        <w:t xml:space="preserve"> с монополно и господстващо положение на пазара,</w:t>
      </w:r>
      <w:r w:rsidR="00071505" w:rsidRPr="007B4A99">
        <w:rPr>
          <w:rFonts w:ascii="Times New Roman" w:eastAsia="Times New Roman" w:hAnsi="Times New Roman" w:cs="Times New Roman"/>
          <w:sz w:val="24"/>
          <w:szCs w:val="24"/>
        </w:rPr>
        <w:t xml:space="preserve"> защитата срещу </w:t>
      </w:r>
      <w:r w:rsidR="006925C9" w:rsidRPr="007B4A99">
        <w:rPr>
          <w:rFonts w:ascii="Times New Roman" w:eastAsia="Times New Roman" w:hAnsi="Times New Roman" w:cs="Times New Roman"/>
          <w:sz w:val="24"/>
          <w:szCs w:val="24"/>
        </w:rPr>
        <w:t>нелоялна</w:t>
      </w:r>
      <w:r w:rsidR="00071505" w:rsidRPr="007B4A99">
        <w:rPr>
          <w:rFonts w:ascii="Times New Roman" w:eastAsia="Times New Roman" w:hAnsi="Times New Roman" w:cs="Times New Roman"/>
          <w:sz w:val="24"/>
          <w:szCs w:val="24"/>
        </w:rPr>
        <w:t>та</w:t>
      </w:r>
      <w:r w:rsidR="006925C9" w:rsidRPr="007B4A99">
        <w:rPr>
          <w:rFonts w:ascii="Times New Roman" w:eastAsia="Times New Roman" w:hAnsi="Times New Roman" w:cs="Times New Roman"/>
          <w:sz w:val="24"/>
          <w:szCs w:val="24"/>
        </w:rPr>
        <w:t xml:space="preserve"> конкуренция или нелоялни търговски практики между стопански субекти </w:t>
      </w:r>
      <w:r w:rsidR="00B966EB">
        <w:rPr>
          <w:rFonts w:ascii="Times New Roman" w:eastAsia="Times New Roman" w:hAnsi="Times New Roman" w:cs="Times New Roman"/>
          <w:sz w:val="24"/>
          <w:szCs w:val="24"/>
        </w:rPr>
        <w:t>по</w:t>
      </w:r>
      <w:r w:rsidR="006925C9" w:rsidRPr="007B4A99">
        <w:rPr>
          <w:rFonts w:ascii="Times New Roman" w:eastAsia="Times New Roman" w:hAnsi="Times New Roman" w:cs="Times New Roman"/>
          <w:sz w:val="24"/>
          <w:szCs w:val="24"/>
        </w:rPr>
        <w:t xml:space="preserve"> веригата за доставки на селскостопански и хранителни продукти</w:t>
      </w:r>
      <w:r w:rsidR="00071505" w:rsidRPr="007B4A99">
        <w:rPr>
          <w:rFonts w:ascii="Times New Roman" w:eastAsia="Times New Roman" w:hAnsi="Times New Roman" w:cs="Times New Roman"/>
          <w:sz w:val="24"/>
          <w:szCs w:val="24"/>
        </w:rPr>
        <w:t xml:space="preserve"> и др.</w:t>
      </w:r>
      <w:r w:rsidR="00E9154D" w:rsidRPr="007B4A99">
        <w:rPr>
          <w:rFonts w:ascii="Times New Roman" w:eastAsia="Times New Roman" w:hAnsi="Times New Roman" w:cs="Times New Roman"/>
          <w:sz w:val="24"/>
          <w:szCs w:val="24"/>
        </w:rPr>
        <w:t xml:space="preserve"> Същият може да се реализира и с интервенция със следващи изменения и допълнения в общия секторен Закон за храните, където да бъде усъвършенствано регулирането в отношенията между страните по договорите за покупка, доставка и продажба на храни.</w:t>
      </w:r>
    </w:p>
    <w:p w14:paraId="13A63006" w14:textId="77777777" w:rsidR="00B966EB" w:rsidRDefault="00E9154D" w:rsidP="00DD69D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B4A99">
        <w:rPr>
          <w:rFonts w:ascii="Times New Roman" w:eastAsia="Times New Roman" w:hAnsi="Times New Roman" w:cs="Times New Roman"/>
          <w:sz w:val="24"/>
          <w:szCs w:val="24"/>
        </w:rPr>
        <w:t xml:space="preserve">Този </w:t>
      </w:r>
      <w:r w:rsidR="00BF2837" w:rsidRPr="007B4A99">
        <w:rPr>
          <w:rFonts w:ascii="Times New Roman" w:eastAsia="Times New Roman" w:hAnsi="Times New Roman" w:cs="Times New Roman"/>
          <w:b/>
          <w:i/>
          <w:sz w:val="24"/>
          <w:szCs w:val="24"/>
        </w:rPr>
        <w:t xml:space="preserve">регулаторен вариант, който предвижда </w:t>
      </w:r>
      <w:r w:rsidRPr="007B4A99">
        <w:rPr>
          <w:rFonts w:ascii="Times New Roman" w:eastAsia="Times New Roman" w:hAnsi="Times New Roman" w:cs="Times New Roman"/>
          <w:b/>
          <w:i/>
          <w:sz w:val="24"/>
          <w:szCs w:val="24"/>
        </w:rPr>
        <w:t>промени в действащата уредба</w:t>
      </w:r>
      <w:r w:rsidR="00BD762B">
        <w:rPr>
          <w:rFonts w:ascii="Times New Roman" w:eastAsia="Times New Roman" w:hAnsi="Times New Roman" w:cs="Times New Roman"/>
          <w:b/>
          <w:i/>
          <w:sz w:val="24"/>
          <w:szCs w:val="24"/>
        </w:rPr>
        <w:t>,</w:t>
      </w:r>
      <w:r w:rsidRPr="007B4A99">
        <w:rPr>
          <w:rFonts w:ascii="Times New Roman" w:eastAsia="Times New Roman" w:hAnsi="Times New Roman" w:cs="Times New Roman"/>
          <w:b/>
          <w:i/>
          <w:sz w:val="24"/>
          <w:szCs w:val="24"/>
        </w:rPr>
        <w:t xml:space="preserve"> </w:t>
      </w:r>
      <w:r w:rsidR="00153C65" w:rsidRPr="007B4A99">
        <w:rPr>
          <w:rFonts w:ascii="Times New Roman" w:hAnsi="Times New Roman" w:cs="Times New Roman"/>
          <w:b/>
          <w:i/>
          <w:sz w:val="24"/>
          <w:szCs w:val="24"/>
        </w:rPr>
        <w:t>вече е бил въвеждан</w:t>
      </w:r>
      <w:r w:rsidR="00153C65" w:rsidRPr="007B4A99">
        <w:rPr>
          <w:rFonts w:ascii="Times New Roman" w:hAnsi="Times New Roman" w:cs="Times New Roman"/>
          <w:i/>
          <w:sz w:val="24"/>
          <w:szCs w:val="24"/>
        </w:rPr>
        <w:t xml:space="preserve"> </w:t>
      </w:r>
      <w:r w:rsidR="00153C65" w:rsidRPr="007B4A99">
        <w:rPr>
          <w:rFonts w:ascii="Times New Roman" w:hAnsi="Times New Roman" w:cs="Times New Roman"/>
          <w:sz w:val="24"/>
          <w:szCs w:val="24"/>
        </w:rPr>
        <w:t>в българската правна действителност</w:t>
      </w:r>
      <w:r w:rsidR="005C3AB0" w:rsidRPr="007B4A99">
        <w:rPr>
          <w:rFonts w:ascii="Times New Roman" w:hAnsi="Times New Roman" w:cs="Times New Roman"/>
          <w:sz w:val="24"/>
          <w:szCs w:val="24"/>
        </w:rPr>
        <w:t xml:space="preserve"> и то на два пъти – с първия и втория пакет законови мерки.</w:t>
      </w:r>
      <w:r w:rsidRPr="007B4A99">
        <w:rPr>
          <w:rFonts w:ascii="Times New Roman" w:hAnsi="Times New Roman" w:cs="Times New Roman"/>
          <w:sz w:val="24"/>
          <w:szCs w:val="24"/>
        </w:rPr>
        <w:t xml:space="preserve"> </w:t>
      </w:r>
      <w:r w:rsidR="00EF6F48" w:rsidRPr="007B4A99">
        <w:rPr>
          <w:rFonts w:ascii="Times New Roman" w:hAnsi="Times New Roman" w:cs="Times New Roman"/>
          <w:sz w:val="24"/>
          <w:szCs w:val="24"/>
        </w:rPr>
        <w:t>П</w:t>
      </w:r>
      <w:r w:rsidRPr="007B4A99">
        <w:rPr>
          <w:rFonts w:ascii="Times New Roman" w:hAnsi="Times New Roman" w:cs="Times New Roman"/>
          <w:sz w:val="24"/>
          <w:szCs w:val="24"/>
        </w:rPr>
        <w:t>ърви</w:t>
      </w:r>
      <w:r w:rsidR="00EF6F48" w:rsidRPr="007B4A99">
        <w:rPr>
          <w:rFonts w:ascii="Times New Roman" w:hAnsi="Times New Roman" w:cs="Times New Roman"/>
          <w:sz w:val="24"/>
          <w:szCs w:val="24"/>
        </w:rPr>
        <w:t>ят</w:t>
      </w:r>
      <w:r w:rsidRPr="007B4A99">
        <w:rPr>
          <w:rFonts w:ascii="Times New Roman" w:hAnsi="Times New Roman" w:cs="Times New Roman"/>
          <w:sz w:val="24"/>
          <w:szCs w:val="24"/>
        </w:rPr>
        <w:t xml:space="preserve"> пакет законови мерки донякъде е прилагал интегрирания подход на регулаторна интервенция, при който общата дефиниция за определено антиконкурентно положение и забраната на конкретните нелоялни практики, прилагани в резултат от него са уредени в ЗЗК. Специалните забрани на нелоялни търговски практики по веригата на доставки на храни са </w:t>
      </w:r>
      <w:r w:rsidR="00B966EB">
        <w:rPr>
          <w:rFonts w:ascii="Times New Roman" w:hAnsi="Times New Roman" w:cs="Times New Roman"/>
          <w:sz w:val="24"/>
          <w:szCs w:val="24"/>
        </w:rPr>
        <w:t>регулирани</w:t>
      </w:r>
      <w:r w:rsidRPr="007B4A99">
        <w:rPr>
          <w:rFonts w:ascii="Times New Roman" w:hAnsi="Times New Roman" w:cs="Times New Roman"/>
          <w:sz w:val="24"/>
          <w:szCs w:val="24"/>
        </w:rPr>
        <w:t xml:space="preserve"> в Закона за храните. А за целите на проследяването, наблюдението и анализа на действието и въздействията от тези нормативни промени са създадени нарочни </w:t>
      </w:r>
      <w:r w:rsidR="00EF6F48" w:rsidRPr="007B4A99">
        <w:rPr>
          <w:rFonts w:ascii="Times New Roman" w:hAnsi="Times New Roman" w:cs="Times New Roman"/>
          <w:sz w:val="24"/>
          <w:szCs w:val="24"/>
        </w:rPr>
        <w:t>органи към министъра на земеделието и храните.</w:t>
      </w:r>
      <w:r w:rsidRPr="007B4A99">
        <w:rPr>
          <w:rFonts w:ascii="Times New Roman" w:hAnsi="Times New Roman" w:cs="Times New Roman"/>
          <w:sz w:val="24"/>
          <w:szCs w:val="24"/>
        </w:rPr>
        <w:t xml:space="preserve"> </w:t>
      </w:r>
    </w:p>
    <w:p w14:paraId="3210396B" w14:textId="698D138B" w:rsidR="00EF6F48" w:rsidRPr="007B4A99" w:rsidRDefault="00EF6F48" w:rsidP="00DD69D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lastRenderedPageBreak/>
        <w:t xml:space="preserve">С втория пакет законови мерки, българската държава транспонира Директива (ЕС) 2019/633, която предвижда въвеждането на минимален стандарт на защита срещу нелоялните търговски практики по веригата на доставки на земеделски продукти и храни с цел даването на възможност на държавите членки да включат съответните правила в националния си правен ред по начин, който да осигури създаването на унифицирани и  съгласувани режими съгласно правото на Съюза. Националните законови мерки са следвали изцяло интегрирания подход </w:t>
      </w:r>
      <w:r w:rsidR="00546CB8" w:rsidRPr="007B4A99">
        <w:rPr>
          <w:rFonts w:ascii="Times New Roman" w:hAnsi="Times New Roman" w:cs="Times New Roman"/>
          <w:sz w:val="24"/>
          <w:szCs w:val="24"/>
        </w:rPr>
        <w:t xml:space="preserve">на интервенция, </w:t>
      </w:r>
      <w:r w:rsidRPr="007B4A99">
        <w:rPr>
          <w:rFonts w:ascii="Times New Roman" w:hAnsi="Times New Roman" w:cs="Times New Roman"/>
          <w:sz w:val="24"/>
          <w:szCs w:val="24"/>
        </w:rPr>
        <w:t>възприет от ЕС</w:t>
      </w:r>
      <w:r w:rsidR="00546CB8" w:rsidRPr="007B4A99">
        <w:rPr>
          <w:rFonts w:ascii="Times New Roman" w:hAnsi="Times New Roman" w:cs="Times New Roman"/>
          <w:sz w:val="24"/>
          <w:szCs w:val="24"/>
        </w:rPr>
        <w:t>.</w:t>
      </w:r>
    </w:p>
    <w:p w14:paraId="183C4DC0" w14:textId="7891FA09" w:rsidR="001E088D" w:rsidRPr="007B4A99" w:rsidRDefault="00546CB8" w:rsidP="00DD69D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Изводът е, че българската държава два пъти последователно, в периода 2015 – 2021 г. е избирала и прилага два варианта, които са идентични с оценявания тук </w:t>
      </w:r>
      <w:r w:rsidR="00EF6F48" w:rsidRPr="007B4A99">
        <w:rPr>
          <w:rFonts w:ascii="Times New Roman" w:hAnsi="Times New Roman"/>
          <w:sz w:val="24"/>
          <w:szCs w:val="24"/>
        </w:rPr>
        <w:t>Вариант 2: „Регулаторен - промени в действащата правна уредба“</w:t>
      </w:r>
      <w:r w:rsidRPr="007B4A99">
        <w:rPr>
          <w:rFonts w:ascii="Times New Roman" w:hAnsi="Times New Roman"/>
          <w:sz w:val="24"/>
          <w:szCs w:val="24"/>
        </w:rPr>
        <w:t xml:space="preserve">. </w:t>
      </w:r>
      <w:r w:rsidR="00EF6F48" w:rsidRPr="007B4A99">
        <w:rPr>
          <w:rFonts w:ascii="Times New Roman" w:hAnsi="Times New Roman" w:cs="Times New Roman"/>
          <w:sz w:val="24"/>
          <w:szCs w:val="24"/>
        </w:rPr>
        <w:t>Въпреки това</w:t>
      </w:r>
      <w:r w:rsidR="00567927">
        <w:rPr>
          <w:rFonts w:ascii="Times New Roman" w:hAnsi="Times New Roman" w:cs="Times New Roman"/>
          <w:sz w:val="24"/>
          <w:szCs w:val="24"/>
        </w:rPr>
        <w:t>,</w:t>
      </w:r>
      <w:r w:rsidR="00EF6F48" w:rsidRPr="007B4A99">
        <w:rPr>
          <w:rFonts w:ascii="Times New Roman" w:hAnsi="Times New Roman" w:cs="Times New Roman"/>
          <w:sz w:val="24"/>
          <w:szCs w:val="24"/>
        </w:rPr>
        <w:t xml:space="preserve"> понастоящем липсват </w:t>
      </w:r>
      <w:r w:rsidRPr="007B4A99">
        <w:rPr>
          <w:rFonts w:ascii="Times New Roman" w:hAnsi="Times New Roman" w:cs="Times New Roman"/>
          <w:sz w:val="24"/>
          <w:szCs w:val="24"/>
        </w:rPr>
        <w:t xml:space="preserve">достатъчно </w:t>
      </w:r>
      <w:r w:rsidR="00EF6F48" w:rsidRPr="007B4A99">
        <w:rPr>
          <w:rFonts w:ascii="Times New Roman" w:hAnsi="Times New Roman" w:cs="Times New Roman"/>
          <w:sz w:val="24"/>
          <w:szCs w:val="24"/>
        </w:rPr>
        <w:t>данни</w:t>
      </w:r>
      <w:r w:rsidRPr="007B4A99">
        <w:rPr>
          <w:rFonts w:ascii="Times New Roman" w:hAnsi="Times New Roman" w:cs="Times New Roman"/>
          <w:sz w:val="24"/>
          <w:szCs w:val="24"/>
        </w:rPr>
        <w:t xml:space="preserve"> и доказателства тези варианти </w:t>
      </w:r>
      <w:r w:rsidR="001E088D" w:rsidRPr="007B4A99">
        <w:rPr>
          <w:rFonts w:ascii="Times New Roman" w:hAnsi="Times New Roman" w:cs="Times New Roman"/>
          <w:sz w:val="24"/>
          <w:szCs w:val="24"/>
        </w:rPr>
        <w:t xml:space="preserve">да са постигнали </w:t>
      </w:r>
      <w:r w:rsidRPr="007B4A99">
        <w:rPr>
          <w:rFonts w:ascii="Times New Roman" w:hAnsi="Times New Roman" w:cs="Times New Roman"/>
          <w:sz w:val="24"/>
          <w:szCs w:val="24"/>
        </w:rPr>
        <w:t xml:space="preserve">своите цели и да са довели до </w:t>
      </w:r>
      <w:r w:rsidR="001E088D" w:rsidRPr="007B4A99">
        <w:rPr>
          <w:rFonts w:ascii="Times New Roman" w:hAnsi="Times New Roman" w:cs="Times New Roman"/>
          <w:sz w:val="24"/>
          <w:szCs w:val="24"/>
        </w:rPr>
        <w:t>предотвратяване, преодоляване и</w:t>
      </w:r>
      <w:r w:rsidRPr="007B4A99">
        <w:rPr>
          <w:rFonts w:ascii="Times New Roman" w:hAnsi="Times New Roman" w:cs="Times New Roman"/>
          <w:sz w:val="24"/>
          <w:szCs w:val="24"/>
        </w:rPr>
        <w:t xml:space="preserve">ли ограничаване на </w:t>
      </w:r>
      <w:r w:rsidR="001E088D" w:rsidRPr="007B4A99">
        <w:rPr>
          <w:rFonts w:ascii="Times New Roman" w:hAnsi="Times New Roman" w:cs="Times New Roman"/>
          <w:sz w:val="24"/>
          <w:szCs w:val="24"/>
        </w:rPr>
        <w:t>нелоялни</w:t>
      </w:r>
      <w:r w:rsidRPr="007B4A99">
        <w:rPr>
          <w:rFonts w:ascii="Times New Roman" w:hAnsi="Times New Roman" w:cs="Times New Roman"/>
          <w:sz w:val="24"/>
          <w:szCs w:val="24"/>
        </w:rPr>
        <w:t>те</w:t>
      </w:r>
      <w:r w:rsidR="001E088D" w:rsidRPr="007B4A99">
        <w:rPr>
          <w:rFonts w:ascii="Times New Roman" w:hAnsi="Times New Roman" w:cs="Times New Roman"/>
          <w:sz w:val="24"/>
          <w:szCs w:val="24"/>
        </w:rPr>
        <w:t xml:space="preserve"> търговски практики </w:t>
      </w:r>
      <w:r w:rsidRPr="007B4A99">
        <w:rPr>
          <w:rFonts w:ascii="Times New Roman" w:hAnsi="Times New Roman" w:cs="Times New Roman"/>
          <w:sz w:val="24"/>
          <w:szCs w:val="24"/>
        </w:rPr>
        <w:t xml:space="preserve">по веригата на доставки на земеделски продукти и храни. Нещо повече, в периода между първия и втория законодателен пакет са се появили нови и различни от идентифицираните още през 2011 г. у нас такива практики, които са адресирани от Директива (ЕС) 2019/633. Освен това, при появата на външни за веригата фактори, като рязкото моментно </w:t>
      </w:r>
      <w:r w:rsidR="00B966EB">
        <w:rPr>
          <w:rFonts w:ascii="Times New Roman" w:hAnsi="Times New Roman" w:cs="Times New Roman"/>
          <w:sz w:val="24"/>
          <w:szCs w:val="24"/>
        </w:rPr>
        <w:t>повишаване</w:t>
      </w:r>
      <w:r w:rsidRPr="007B4A99">
        <w:rPr>
          <w:rFonts w:ascii="Times New Roman" w:hAnsi="Times New Roman" w:cs="Times New Roman"/>
          <w:sz w:val="24"/>
          <w:szCs w:val="24"/>
        </w:rPr>
        <w:t xml:space="preserve"> на инфлацията през 2023 г., реакцията на участниците по нея, които могат да наложат своите условия</w:t>
      </w:r>
      <w:r w:rsidR="00567927">
        <w:rPr>
          <w:rFonts w:ascii="Times New Roman" w:hAnsi="Times New Roman" w:cs="Times New Roman"/>
          <w:sz w:val="24"/>
          <w:szCs w:val="24"/>
        </w:rPr>
        <w:t>,</w:t>
      </w:r>
      <w:r w:rsidRPr="007B4A99">
        <w:rPr>
          <w:rFonts w:ascii="Times New Roman" w:hAnsi="Times New Roman" w:cs="Times New Roman"/>
          <w:sz w:val="24"/>
          <w:szCs w:val="24"/>
        </w:rPr>
        <w:t xml:space="preserve"> са показали, че тези варианти не са довели до изкореняване на основополагащите дефицити които имат функцията на двигатели на проблемите като липсата на прозрачност, проследяемост, равнопоставеност и пропорционалност между операторите по нея</w:t>
      </w:r>
      <w:r w:rsidR="001E088D" w:rsidRPr="007B4A99">
        <w:rPr>
          <w:rFonts w:ascii="Times New Roman" w:hAnsi="Times New Roman" w:cs="Times New Roman"/>
          <w:sz w:val="24"/>
          <w:szCs w:val="24"/>
        </w:rPr>
        <w:t>.</w:t>
      </w:r>
    </w:p>
    <w:p w14:paraId="09B26D8C" w14:textId="77777777" w:rsidR="00A51FD0" w:rsidRPr="007B4A99" w:rsidRDefault="00A51FD0" w:rsidP="00DD69D5">
      <w:pPr>
        <w:spacing w:after="0" w:line="240" w:lineRule="auto"/>
        <w:ind w:firstLine="567"/>
        <w:jc w:val="both"/>
        <w:rPr>
          <w:rFonts w:ascii="Times New Roman" w:hAnsi="Times New Roman" w:cs="Times New Roman"/>
          <w:i/>
          <w:sz w:val="24"/>
          <w:szCs w:val="24"/>
          <w:lang w:eastAsia="en-GB"/>
        </w:rPr>
      </w:pPr>
    </w:p>
    <w:p w14:paraId="6EADC6CD" w14:textId="200DDDE2" w:rsidR="00A51FD0" w:rsidRPr="007B4A99" w:rsidRDefault="00A51FD0" w:rsidP="00DD69D5">
      <w:pPr>
        <w:pStyle w:val="Heading2"/>
        <w:spacing w:before="0" w:line="240" w:lineRule="auto"/>
        <w:ind w:firstLine="567"/>
        <w:rPr>
          <w:rFonts w:ascii="Times New Roman" w:hAnsi="Times New Roman"/>
          <w:sz w:val="24"/>
          <w:szCs w:val="24"/>
        </w:rPr>
      </w:pPr>
      <w:bookmarkStart w:id="16" w:name="_Toc198633083"/>
      <w:r w:rsidRPr="007B4A99">
        <w:rPr>
          <w:rFonts w:ascii="Times New Roman" w:hAnsi="Times New Roman"/>
          <w:sz w:val="24"/>
          <w:szCs w:val="24"/>
        </w:rPr>
        <w:t xml:space="preserve">4.3. Вариант 3: „Регулаторен </w:t>
      </w:r>
      <w:r w:rsidR="008205D6" w:rsidRPr="007B4A99">
        <w:rPr>
          <w:rFonts w:ascii="Times New Roman" w:hAnsi="Times New Roman"/>
          <w:sz w:val="24"/>
          <w:szCs w:val="24"/>
        </w:rPr>
        <w:t>–</w:t>
      </w:r>
      <w:r w:rsidRPr="007B4A99">
        <w:rPr>
          <w:rFonts w:ascii="Times New Roman" w:hAnsi="Times New Roman"/>
          <w:sz w:val="24"/>
          <w:szCs w:val="24"/>
        </w:rPr>
        <w:t xml:space="preserve"> </w:t>
      </w:r>
      <w:r w:rsidR="008205D6" w:rsidRPr="007B4A99">
        <w:rPr>
          <w:rFonts w:ascii="Times New Roman" w:hAnsi="Times New Roman"/>
          <w:sz w:val="24"/>
          <w:szCs w:val="24"/>
        </w:rPr>
        <w:t xml:space="preserve">изцяло </w:t>
      </w:r>
      <w:r w:rsidRPr="007B4A99">
        <w:rPr>
          <w:rFonts w:ascii="Times New Roman" w:hAnsi="Times New Roman"/>
          <w:sz w:val="24"/>
          <w:szCs w:val="24"/>
        </w:rPr>
        <w:t>нов специален закон“</w:t>
      </w:r>
      <w:bookmarkEnd w:id="16"/>
    </w:p>
    <w:p w14:paraId="41DF4438" w14:textId="2F03E082" w:rsidR="005C7F2D" w:rsidRPr="007B4A99" w:rsidRDefault="005C7F2D" w:rsidP="00DD69D5">
      <w:pPr>
        <w:spacing w:after="0" w:line="240" w:lineRule="auto"/>
        <w:ind w:firstLine="567"/>
        <w:jc w:val="both"/>
        <w:rPr>
          <w:rFonts w:ascii="Times New Roman" w:hAnsi="Times New Roman" w:cs="Times New Roman"/>
          <w:noProof/>
          <w:sz w:val="24"/>
          <w:szCs w:val="24"/>
          <w:lang w:eastAsia="en-GB"/>
        </w:rPr>
      </w:pPr>
      <w:r w:rsidRPr="007B4A99">
        <w:rPr>
          <w:rFonts w:ascii="Times New Roman" w:hAnsi="Times New Roman" w:cs="Times New Roman"/>
          <w:sz w:val="24"/>
          <w:szCs w:val="24"/>
          <w:lang w:eastAsia="en-GB"/>
        </w:rPr>
        <w:t xml:space="preserve">Вариант </w:t>
      </w:r>
      <w:r w:rsidR="00567927">
        <w:rPr>
          <w:rFonts w:ascii="Times New Roman" w:hAnsi="Times New Roman" w:cs="Times New Roman"/>
          <w:sz w:val="24"/>
          <w:szCs w:val="24"/>
          <w:lang w:eastAsia="en-GB"/>
        </w:rPr>
        <w:t>3</w:t>
      </w:r>
      <w:r w:rsidRPr="007B4A99">
        <w:rPr>
          <w:rFonts w:ascii="Times New Roman" w:hAnsi="Times New Roman" w:cs="Times New Roman"/>
          <w:sz w:val="24"/>
          <w:szCs w:val="24"/>
          <w:lang w:eastAsia="en-GB"/>
        </w:rPr>
        <w:t xml:space="preserve">: „Регулаторна намеса чрез изцяло нов закон“ се поставя на преценка и задълбочен анализ от ОВ като една от възможните алтернативи на действие от страна на българската държава, която може да допринесе </w:t>
      </w:r>
      <w:r w:rsidRPr="007B4A99">
        <w:rPr>
          <w:rFonts w:ascii="Times New Roman" w:hAnsi="Times New Roman" w:cs="Times New Roman"/>
          <w:noProof/>
          <w:sz w:val="24"/>
          <w:szCs w:val="24"/>
          <w:lang w:eastAsia="en-GB"/>
        </w:rPr>
        <w:t xml:space="preserve">за възможно най-пълноценно разрешаване на идентифицираните проблеми при най-високо ниво </w:t>
      </w:r>
      <w:r w:rsidR="00B966EB">
        <w:rPr>
          <w:rFonts w:ascii="Times New Roman" w:hAnsi="Times New Roman" w:cs="Times New Roman"/>
          <w:noProof/>
          <w:sz w:val="24"/>
          <w:szCs w:val="24"/>
          <w:lang w:eastAsia="en-GB"/>
        </w:rPr>
        <w:t xml:space="preserve">на </w:t>
      </w:r>
      <w:r w:rsidRPr="007B4A99">
        <w:rPr>
          <w:rFonts w:ascii="Times New Roman" w:hAnsi="Times New Roman" w:cs="Times New Roman"/>
          <w:noProof/>
          <w:sz w:val="24"/>
          <w:szCs w:val="24"/>
          <w:lang w:eastAsia="en-GB"/>
        </w:rPr>
        <w:t>ефективно и ефикасно постигане на поставените цели, водещо до нетни ползи за всички засегнати и заинтересовани страни. Такива са участниците по веригата на доставки на земеделски продукти и храни, крайните потребители, в т.ч.</w:t>
      </w:r>
      <w:r w:rsidR="00B966EB">
        <w:rPr>
          <w:rFonts w:ascii="Times New Roman" w:hAnsi="Times New Roman" w:cs="Times New Roman"/>
          <w:noProof/>
          <w:sz w:val="24"/>
          <w:szCs w:val="24"/>
          <w:lang w:eastAsia="en-GB"/>
        </w:rPr>
        <w:t xml:space="preserve"> </w:t>
      </w:r>
      <w:r w:rsidRPr="007B4A99">
        <w:rPr>
          <w:rFonts w:ascii="Times New Roman" w:hAnsi="Times New Roman" w:cs="Times New Roman"/>
          <w:noProof/>
          <w:sz w:val="24"/>
          <w:szCs w:val="24"/>
          <w:lang w:eastAsia="en-GB"/>
        </w:rPr>
        <w:t>социално най-уязвимите групи от населението, българската държава и обществото</w:t>
      </w:r>
      <w:r w:rsidR="00EE3B9F">
        <w:rPr>
          <w:rFonts w:ascii="Times New Roman" w:hAnsi="Times New Roman" w:cs="Times New Roman"/>
          <w:noProof/>
          <w:sz w:val="24"/>
          <w:szCs w:val="24"/>
          <w:lang w:eastAsia="en-GB"/>
        </w:rPr>
        <w:t>,</w:t>
      </w:r>
      <w:r w:rsidRPr="007B4A99">
        <w:rPr>
          <w:rFonts w:ascii="Times New Roman" w:hAnsi="Times New Roman" w:cs="Times New Roman"/>
          <w:noProof/>
          <w:sz w:val="24"/>
          <w:szCs w:val="24"/>
          <w:lang w:eastAsia="en-GB"/>
        </w:rPr>
        <w:t xml:space="preserve"> като цяло. </w:t>
      </w:r>
      <w:r w:rsidRPr="007B4A99">
        <w:rPr>
          <w:rFonts w:ascii="Times New Roman" w:hAnsi="Times New Roman" w:cs="Times New Roman"/>
          <w:noProof/>
          <w:sz w:val="24"/>
          <w:szCs w:val="24"/>
          <w:lang w:eastAsia="en-GB"/>
        </w:rPr>
        <w:tab/>
      </w:r>
    </w:p>
    <w:p w14:paraId="3370D257" w14:textId="4C55E36A" w:rsidR="005C7F2D" w:rsidRPr="007B4A99" w:rsidRDefault="005C7F2D" w:rsidP="00DD69D5">
      <w:pPr>
        <w:spacing w:after="0" w:line="240" w:lineRule="auto"/>
        <w:ind w:firstLine="567"/>
        <w:jc w:val="both"/>
        <w:rPr>
          <w:rFonts w:ascii="Times New Roman" w:hAnsi="Times New Roman" w:cs="Times New Roman"/>
          <w:color w:val="000000"/>
          <w:sz w:val="24"/>
          <w:szCs w:val="24"/>
          <w:lang w:eastAsia="en-GB"/>
        </w:rPr>
      </w:pPr>
      <w:r w:rsidRPr="007B4A99">
        <w:rPr>
          <w:rFonts w:ascii="Times New Roman" w:hAnsi="Times New Roman" w:cs="Times New Roman"/>
          <w:color w:val="000000"/>
          <w:sz w:val="24"/>
          <w:szCs w:val="24"/>
          <w:lang w:eastAsia="en-GB"/>
        </w:rPr>
        <w:t xml:space="preserve">Налице е коренно променена социално - икономическа и геополитическа ситуация в страната, региона и света, която най-общо може да се определи като невиждана в последните три и повече десетилетия кумулация на кризи с неизвестни към момента последици. Това води до възникването на качествено нови социални цели и предизвикателства, на които националното законодателство следва да намери най-адекватния отговор. От друга страна, значителна част от основополагащите дефицити в отношенията между участниците </w:t>
      </w:r>
      <w:r w:rsidRPr="007B4A99">
        <w:rPr>
          <w:rFonts w:ascii="Times New Roman" w:hAnsi="Times New Roman" w:cs="Times New Roman"/>
          <w:sz w:val="24"/>
          <w:szCs w:val="24"/>
        </w:rPr>
        <w:t>във веригата на доставки на храни и земеделски продукти</w:t>
      </w:r>
      <w:r w:rsidRPr="007B4A99">
        <w:rPr>
          <w:rFonts w:ascii="Times New Roman" w:hAnsi="Times New Roman" w:cs="Times New Roman"/>
          <w:color w:val="000000"/>
          <w:sz w:val="24"/>
          <w:szCs w:val="24"/>
          <w:lang w:eastAsia="en-GB"/>
        </w:rPr>
        <w:t>, установени още през 2011 г. като</w:t>
      </w:r>
      <w:r w:rsidRPr="007B4A99">
        <w:rPr>
          <w:rFonts w:ascii="Times New Roman" w:hAnsi="Times New Roman" w:cs="Times New Roman"/>
          <w:sz w:val="24"/>
          <w:szCs w:val="24"/>
        </w:rPr>
        <w:t xml:space="preserve"> краткосрочност и едностранност, непредвидимост и неравнопоставеност се оказва</w:t>
      </w:r>
      <w:r w:rsidR="00EE3B9F">
        <w:rPr>
          <w:rFonts w:ascii="Times New Roman" w:hAnsi="Times New Roman" w:cs="Times New Roman"/>
          <w:sz w:val="24"/>
          <w:szCs w:val="24"/>
        </w:rPr>
        <w:t>,</w:t>
      </w:r>
      <w:r w:rsidRPr="007B4A99">
        <w:rPr>
          <w:rFonts w:ascii="Times New Roman" w:hAnsi="Times New Roman" w:cs="Times New Roman"/>
          <w:sz w:val="24"/>
          <w:szCs w:val="24"/>
        </w:rPr>
        <w:t xml:space="preserve"> че продължават да съществуват и днес. Естествените крайни последици от тях са продължаваща неравнопоставеност в </w:t>
      </w:r>
      <w:r w:rsidRPr="007B4A99">
        <w:rPr>
          <w:rFonts w:ascii="Times New Roman" w:hAnsi="Times New Roman" w:cs="Times New Roman"/>
          <w:sz w:val="24"/>
          <w:szCs w:val="24"/>
        </w:rPr>
        <w:lastRenderedPageBreak/>
        <w:t xml:space="preserve">договорните отношения между страните по веригата и свързаната с нея непропорционалност при разпределението на добавената стойност от нея. </w:t>
      </w:r>
    </w:p>
    <w:p w14:paraId="0B420631" w14:textId="26B4F76C" w:rsidR="005C7F2D" w:rsidRPr="007B4A99" w:rsidRDefault="005C7F2D"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При установена недостатъчна прозрачност и яснота на отношенията между производителите и доставчиците, от една страна</w:t>
      </w:r>
      <w:r w:rsidR="00EE3B9F">
        <w:rPr>
          <w:rFonts w:ascii="Times New Roman" w:hAnsi="Times New Roman" w:cs="Times New Roman"/>
          <w:sz w:val="24"/>
          <w:szCs w:val="24"/>
        </w:rPr>
        <w:t>,</w:t>
      </w:r>
      <w:r w:rsidRPr="007B4A99">
        <w:rPr>
          <w:rFonts w:ascii="Times New Roman" w:hAnsi="Times New Roman" w:cs="Times New Roman"/>
          <w:sz w:val="24"/>
          <w:szCs w:val="24"/>
        </w:rPr>
        <w:t xml:space="preserve"> и търговците на дребно</w:t>
      </w:r>
      <w:r w:rsidR="00EE3B9F">
        <w:rPr>
          <w:rFonts w:ascii="Times New Roman" w:hAnsi="Times New Roman" w:cs="Times New Roman"/>
          <w:sz w:val="24"/>
          <w:szCs w:val="24"/>
        </w:rPr>
        <w:t>,</w:t>
      </w:r>
      <w:r w:rsidRPr="007B4A99">
        <w:rPr>
          <w:rFonts w:ascii="Times New Roman" w:hAnsi="Times New Roman" w:cs="Times New Roman"/>
          <w:sz w:val="24"/>
          <w:szCs w:val="24"/>
        </w:rPr>
        <w:t xml:space="preserve"> от друга, интервенцията следва да се насочи към изсветляване и по-добро ре</w:t>
      </w:r>
      <w:r w:rsidR="00BC7D8D">
        <w:rPr>
          <w:rFonts w:ascii="Times New Roman" w:hAnsi="Times New Roman" w:cs="Times New Roman"/>
          <w:sz w:val="24"/>
          <w:szCs w:val="24"/>
        </w:rPr>
        <w:t xml:space="preserve">гламентиране на тези отношения. </w:t>
      </w:r>
      <w:r w:rsidRPr="007B4A99">
        <w:rPr>
          <w:rFonts w:ascii="Times New Roman" w:hAnsi="Times New Roman" w:cs="Times New Roman"/>
          <w:sz w:val="24"/>
          <w:szCs w:val="24"/>
        </w:rPr>
        <w:t>Когато липсва достатъчна възможност за проследяемост на функционирането на веригата на доставки и на включените в нея отношения между участниците, следва</w:t>
      </w:r>
      <w:r w:rsidR="00567927">
        <w:rPr>
          <w:rFonts w:ascii="Times New Roman" w:hAnsi="Times New Roman" w:cs="Times New Roman"/>
          <w:sz w:val="24"/>
          <w:szCs w:val="24"/>
        </w:rPr>
        <w:t>,</w:t>
      </w:r>
      <w:r w:rsidRPr="007B4A99">
        <w:rPr>
          <w:rFonts w:ascii="Times New Roman" w:hAnsi="Times New Roman" w:cs="Times New Roman"/>
          <w:sz w:val="24"/>
          <w:szCs w:val="24"/>
        </w:rPr>
        <w:t xml:space="preserve"> че е необходим инструментариум за тяхното наблюдение, анализиране и отчитане. При наличието на трайни недостатъци, свързани с неравнопоставеност, едностранност, принудителност и </w:t>
      </w:r>
      <w:r w:rsidR="0076785E" w:rsidRPr="007B4A99">
        <w:rPr>
          <w:rFonts w:ascii="Times New Roman" w:hAnsi="Times New Roman" w:cs="Times New Roman"/>
          <w:sz w:val="24"/>
          <w:szCs w:val="24"/>
        </w:rPr>
        <w:t>дебалансираност</w:t>
      </w:r>
      <w:r w:rsidRPr="007B4A99">
        <w:rPr>
          <w:rFonts w:ascii="Times New Roman" w:hAnsi="Times New Roman" w:cs="Times New Roman"/>
          <w:sz w:val="24"/>
          <w:szCs w:val="24"/>
        </w:rPr>
        <w:t xml:space="preserve"> в отношенията между участниците по веригата за доставки</w:t>
      </w:r>
      <w:r w:rsidR="00EE3B9F">
        <w:rPr>
          <w:rFonts w:ascii="Times New Roman" w:hAnsi="Times New Roman" w:cs="Times New Roman"/>
          <w:sz w:val="24"/>
          <w:szCs w:val="24"/>
        </w:rPr>
        <w:t xml:space="preserve">, </w:t>
      </w:r>
      <w:r w:rsidRPr="007B4A99">
        <w:rPr>
          <w:rFonts w:ascii="Times New Roman" w:hAnsi="Times New Roman" w:cs="Times New Roman"/>
          <w:sz w:val="24"/>
          <w:szCs w:val="24"/>
        </w:rPr>
        <w:t>възниква необходимостта от въвеждането на съответните изравняващи правното положение мерки, насърчаващи честните пазарни отношения и лоялната конкуренция.</w:t>
      </w:r>
    </w:p>
    <w:p w14:paraId="477A36E0" w14:textId="77777777" w:rsidR="005C7F2D" w:rsidRPr="007B4A99" w:rsidRDefault="005C7F2D" w:rsidP="00DD69D5">
      <w:pPr>
        <w:spacing w:after="0" w:line="240" w:lineRule="auto"/>
        <w:ind w:firstLine="567"/>
        <w:jc w:val="both"/>
        <w:rPr>
          <w:rFonts w:ascii="Times New Roman" w:hAnsi="Times New Roman" w:cs="Times New Roman"/>
          <w:noProof/>
          <w:color w:val="000000"/>
          <w:sz w:val="24"/>
          <w:szCs w:val="24"/>
          <w:lang w:eastAsia="en-GB"/>
        </w:rPr>
      </w:pPr>
      <w:r w:rsidRPr="007B4A99">
        <w:rPr>
          <w:rFonts w:ascii="Times New Roman" w:hAnsi="Times New Roman" w:cs="Times New Roman"/>
          <w:noProof/>
          <w:color w:val="000000"/>
          <w:sz w:val="24"/>
          <w:szCs w:val="24"/>
          <w:lang w:eastAsia="en-GB"/>
        </w:rPr>
        <w:t xml:space="preserve">Евентуалният избор на този вариант не означава просто приемане на </w:t>
      </w:r>
      <w:r w:rsidRPr="007B4A99">
        <w:rPr>
          <w:rFonts w:ascii="Times New Roman" w:hAnsi="Times New Roman" w:cs="Times New Roman"/>
          <w:color w:val="000000"/>
          <w:sz w:val="24"/>
          <w:szCs w:val="24"/>
          <w:lang w:eastAsia="en-GB"/>
        </w:rPr>
        <w:t xml:space="preserve">специален закон със свои собствени цели, с нова интервенционна логика, въвеждащ нови понятия и установяващ самостоятелна архитектура на уредба, чрез който да се постигне нова организация на проблемните обществени отношения. Този вариант следва да запълни съществуващите дефицити чрез правна уредба на комплекс от мерки, уреждащ трайно и изчерпателно и по отговарящ на съвременните изисквания начин обществените отношения, възникващи по веригата на доставки на земеделски продукти и храни. </w:t>
      </w:r>
    </w:p>
    <w:p w14:paraId="0EB2E86A" w14:textId="2B490445" w:rsidR="005C7F2D" w:rsidRDefault="005C7F2D" w:rsidP="00DD69D5">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Той следва да представлява цялостна рамка от законодателни и други мерки и инструменти, които да бъдат въведени едновременно като компоненти на една обща съвкупна интервенция. В това е смисълът на интегрирания подход, насочен към паралелното отстраняване на различните по своята природа двигатели на идентифицираните проблеми, при който предлаганата рамка заработва като един завършен механизъм, който едновременно спомага за изсветляването, изравняването и проследяването на отношенията по веригата на доставки на земеделски продукти и храни у нас.</w:t>
      </w:r>
    </w:p>
    <w:p w14:paraId="4BEF798A" w14:textId="08F8E990" w:rsidR="005C7F2D" w:rsidRPr="007B4A99" w:rsidRDefault="00153C65" w:rsidP="00EE3B9F">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 xml:space="preserve">През 2019 г., когато най-накрая </w:t>
      </w:r>
      <w:r w:rsidR="00EE3B9F" w:rsidRPr="007B4A99">
        <w:rPr>
          <w:rFonts w:ascii="Times New Roman" w:hAnsi="Times New Roman" w:cs="Times New Roman"/>
          <w:sz w:val="24"/>
          <w:szCs w:val="24"/>
        </w:rPr>
        <w:t>Е</w:t>
      </w:r>
      <w:r w:rsidR="00EE3B9F">
        <w:rPr>
          <w:rFonts w:ascii="Times New Roman" w:hAnsi="Times New Roman" w:cs="Times New Roman"/>
          <w:sz w:val="24"/>
          <w:szCs w:val="24"/>
        </w:rPr>
        <w:t xml:space="preserve">вропейският парламент </w:t>
      </w:r>
      <w:r w:rsidRPr="007B4A99">
        <w:rPr>
          <w:rFonts w:ascii="Times New Roman" w:hAnsi="Times New Roman" w:cs="Times New Roman"/>
          <w:sz w:val="24"/>
          <w:szCs w:val="24"/>
        </w:rPr>
        <w:t xml:space="preserve">и </w:t>
      </w:r>
      <w:r w:rsidR="007B4A99" w:rsidRPr="007B4A99">
        <w:rPr>
          <w:rFonts w:ascii="Times New Roman" w:hAnsi="Times New Roman" w:cs="Times New Roman"/>
          <w:sz w:val="24"/>
          <w:szCs w:val="24"/>
        </w:rPr>
        <w:t>Съветът</w:t>
      </w:r>
      <w:r w:rsidRPr="007B4A99">
        <w:rPr>
          <w:rFonts w:ascii="Times New Roman" w:hAnsi="Times New Roman" w:cs="Times New Roman"/>
          <w:sz w:val="24"/>
          <w:szCs w:val="24"/>
        </w:rPr>
        <w:t xml:space="preserve"> приемат изричен </w:t>
      </w:r>
      <w:r w:rsidR="007B4A99" w:rsidRPr="007B4A99">
        <w:rPr>
          <w:rFonts w:ascii="Times New Roman" w:hAnsi="Times New Roman" w:cs="Times New Roman"/>
          <w:sz w:val="24"/>
          <w:szCs w:val="24"/>
        </w:rPr>
        <w:t>нормативен</w:t>
      </w:r>
      <w:r w:rsidRPr="007B4A99">
        <w:rPr>
          <w:rFonts w:ascii="Times New Roman" w:hAnsi="Times New Roman" w:cs="Times New Roman"/>
          <w:sz w:val="24"/>
          <w:szCs w:val="24"/>
        </w:rPr>
        <w:t xml:space="preserve"> акт</w:t>
      </w:r>
      <w:r w:rsidR="005C7F2D" w:rsidRPr="007B4A99">
        <w:rPr>
          <w:rFonts w:ascii="Times New Roman" w:hAnsi="Times New Roman" w:cs="Times New Roman"/>
          <w:sz w:val="24"/>
          <w:szCs w:val="24"/>
        </w:rPr>
        <w:t xml:space="preserve"> на </w:t>
      </w:r>
      <w:r w:rsidR="0006461F" w:rsidRPr="007B4A99">
        <w:rPr>
          <w:rFonts w:ascii="Times New Roman" w:hAnsi="Times New Roman" w:cs="Times New Roman"/>
          <w:sz w:val="24"/>
          <w:szCs w:val="24"/>
        </w:rPr>
        <w:t>съюзно</w:t>
      </w:r>
      <w:r w:rsidR="005C7F2D" w:rsidRPr="007B4A99">
        <w:rPr>
          <w:rFonts w:ascii="Times New Roman" w:hAnsi="Times New Roman" w:cs="Times New Roman"/>
          <w:sz w:val="24"/>
          <w:szCs w:val="24"/>
        </w:rPr>
        <w:t xml:space="preserve"> ниво</w:t>
      </w:r>
      <w:r w:rsidRPr="007B4A99">
        <w:rPr>
          <w:rFonts w:ascii="Times New Roman" w:hAnsi="Times New Roman" w:cs="Times New Roman"/>
          <w:sz w:val="24"/>
          <w:szCs w:val="24"/>
        </w:rPr>
        <w:t xml:space="preserve">, какъвто е Директива (ЕС) 2019/633 относно нелоялните търговски практики в отношенията между стопанските субекти </w:t>
      </w:r>
      <w:r w:rsidR="00B966EB">
        <w:rPr>
          <w:rFonts w:ascii="Times New Roman" w:hAnsi="Times New Roman" w:cs="Times New Roman"/>
          <w:sz w:val="24"/>
          <w:szCs w:val="24"/>
        </w:rPr>
        <w:t>по</w:t>
      </w:r>
      <w:r w:rsidRPr="007B4A99">
        <w:rPr>
          <w:rFonts w:ascii="Times New Roman" w:hAnsi="Times New Roman" w:cs="Times New Roman"/>
          <w:sz w:val="24"/>
          <w:szCs w:val="24"/>
        </w:rPr>
        <w:t xml:space="preserve"> веригата за доставки на селскостопански и хранителни продукти, формулировките, които се използват </w:t>
      </w:r>
      <w:r w:rsidR="005C7F2D" w:rsidRPr="007B4A99">
        <w:rPr>
          <w:rFonts w:ascii="Times New Roman" w:hAnsi="Times New Roman" w:cs="Times New Roman"/>
          <w:sz w:val="24"/>
          <w:szCs w:val="24"/>
        </w:rPr>
        <w:t xml:space="preserve">в него, в някои части звучат твърде остро и нетипично за традиционния език, използван от институциите на Съюза в такива актове. Във въвеждащата част на </w:t>
      </w:r>
      <w:r w:rsidR="007B4A99" w:rsidRPr="007B4A99">
        <w:rPr>
          <w:rFonts w:ascii="Times New Roman" w:hAnsi="Times New Roman" w:cs="Times New Roman"/>
          <w:sz w:val="24"/>
          <w:szCs w:val="24"/>
        </w:rPr>
        <w:t>директивата</w:t>
      </w:r>
      <w:r w:rsidR="005C7F2D" w:rsidRPr="007B4A99">
        <w:rPr>
          <w:rFonts w:ascii="Times New Roman" w:hAnsi="Times New Roman" w:cs="Times New Roman"/>
          <w:sz w:val="24"/>
          <w:szCs w:val="24"/>
        </w:rPr>
        <w:t xml:space="preserve"> се каз</w:t>
      </w:r>
      <w:r w:rsidR="007B4A99">
        <w:rPr>
          <w:rFonts w:ascii="Times New Roman" w:hAnsi="Times New Roman" w:cs="Times New Roman"/>
          <w:sz w:val="24"/>
          <w:szCs w:val="24"/>
        </w:rPr>
        <w:t>в</w:t>
      </w:r>
      <w:r w:rsidR="005C7F2D" w:rsidRPr="007B4A99">
        <w:rPr>
          <w:rFonts w:ascii="Times New Roman" w:hAnsi="Times New Roman" w:cs="Times New Roman"/>
          <w:sz w:val="24"/>
          <w:szCs w:val="24"/>
        </w:rPr>
        <w:t>а, че</w:t>
      </w:r>
      <w:r w:rsidR="005C7F2D" w:rsidRPr="007B4A99">
        <w:t xml:space="preserve"> </w:t>
      </w:r>
      <w:r w:rsidR="005C7F2D" w:rsidRPr="007B4A99">
        <w:rPr>
          <w:rFonts w:ascii="Times New Roman" w:hAnsi="Times New Roman" w:cs="Times New Roman"/>
          <w:sz w:val="24"/>
          <w:szCs w:val="24"/>
        </w:rPr>
        <w:t xml:space="preserve">в рамките на веригата за доставки на селскостопански и хранителни продукти често срещано явление са </w:t>
      </w:r>
      <w:r w:rsidR="005C7F2D" w:rsidRPr="007B4A99">
        <w:rPr>
          <w:rFonts w:ascii="Times New Roman" w:hAnsi="Times New Roman" w:cs="Times New Roman"/>
          <w:b/>
          <w:i/>
          <w:sz w:val="24"/>
          <w:szCs w:val="24"/>
        </w:rPr>
        <w:t>значителните дисбаланси в преговорната позиция между доставчици и купувачи</w:t>
      </w:r>
      <w:r w:rsidR="005C7F2D" w:rsidRPr="007B4A99">
        <w:rPr>
          <w:rFonts w:ascii="Times New Roman" w:hAnsi="Times New Roman" w:cs="Times New Roman"/>
          <w:sz w:val="24"/>
          <w:szCs w:val="24"/>
        </w:rPr>
        <w:t xml:space="preserve"> на селскостопански и хранителни продукти са. Те могат да доведат до нелоялни търговски практики, които да се отклоняват </w:t>
      </w:r>
      <w:r w:rsidR="005C7F2D" w:rsidRPr="007B4A99">
        <w:rPr>
          <w:rFonts w:ascii="Times New Roman" w:hAnsi="Times New Roman" w:cs="Times New Roman"/>
          <w:b/>
          <w:i/>
          <w:sz w:val="24"/>
          <w:szCs w:val="24"/>
        </w:rPr>
        <w:t>грубо от етичното търговско поведение</w:t>
      </w:r>
      <w:r w:rsidR="005C7F2D" w:rsidRPr="007B4A99">
        <w:rPr>
          <w:rFonts w:ascii="Times New Roman" w:hAnsi="Times New Roman" w:cs="Times New Roman"/>
          <w:sz w:val="24"/>
          <w:szCs w:val="24"/>
        </w:rPr>
        <w:t xml:space="preserve">, да са в </w:t>
      </w:r>
      <w:r w:rsidR="005C7F2D" w:rsidRPr="007B4A99">
        <w:rPr>
          <w:rFonts w:ascii="Times New Roman" w:hAnsi="Times New Roman" w:cs="Times New Roman"/>
          <w:b/>
          <w:i/>
          <w:sz w:val="24"/>
          <w:szCs w:val="24"/>
        </w:rPr>
        <w:t>противоречие с добросъвестността</w:t>
      </w:r>
      <w:r w:rsidR="005C7F2D" w:rsidRPr="007B4A99">
        <w:rPr>
          <w:rFonts w:ascii="Times New Roman" w:hAnsi="Times New Roman" w:cs="Times New Roman"/>
          <w:sz w:val="24"/>
          <w:szCs w:val="24"/>
        </w:rPr>
        <w:t xml:space="preserve"> и </w:t>
      </w:r>
      <w:r w:rsidR="005C7F2D" w:rsidRPr="007B4A99">
        <w:rPr>
          <w:rFonts w:ascii="Times New Roman" w:hAnsi="Times New Roman" w:cs="Times New Roman"/>
          <w:b/>
          <w:i/>
          <w:sz w:val="24"/>
          <w:szCs w:val="24"/>
        </w:rPr>
        <w:t>почтеността в търговските отношения</w:t>
      </w:r>
      <w:r w:rsidR="005C7F2D" w:rsidRPr="007B4A99">
        <w:rPr>
          <w:rFonts w:ascii="Times New Roman" w:hAnsi="Times New Roman" w:cs="Times New Roman"/>
          <w:sz w:val="24"/>
          <w:szCs w:val="24"/>
        </w:rPr>
        <w:t xml:space="preserve">. Те могат да се </w:t>
      </w:r>
      <w:r w:rsidR="007B4A99" w:rsidRPr="007B4A99">
        <w:rPr>
          <w:rFonts w:ascii="Times New Roman" w:hAnsi="Times New Roman" w:cs="Times New Roman"/>
          <w:sz w:val="24"/>
          <w:szCs w:val="24"/>
        </w:rPr>
        <w:t>налагат</w:t>
      </w:r>
      <w:r w:rsidR="005C7F2D" w:rsidRPr="007B4A99">
        <w:rPr>
          <w:rFonts w:ascii="Times New Roman" w:hAnsi="Times New Roman" w:cs="Times New Roman"/>
          <w:sz w:val="24"/>
          <w:szCs w:val="24"/>
        </w:rPr>
        <w:t xml:space="preserve"> </w:t>
      </w:r>
      <w:r w:rsidR="005C7F2D" w:rsidRPr="007B4A99">
        <w:rPr>
          <w:rFonts w:ascii="Times New Roman" w:hAnsi="Times New Roman" w:cs="Times New Roman"/>
          <w:b/>
          <w:i/>
          <w:sz w:val="24"/>
          <w:szCs w:val="24"/>
        </w:rPr>
        <w:t>едностранно</w:t>
      </w:r>
      <w:r w:rsidR="005C7F2D" w:rsidRPr="007B4A99">
        <w:rPr>
          <w:rFonts w:ascii="Times New Roman" w:hAnsi="Times New Roman" w:cs="Times New Roman"/>
          <w:sz w:val="24"/>
          <w:szCs w:val="24"/>
        </w:rPr>
        <w:t xml:space="preserve"> от единия търговски партньор на другия, да водят до </w:t>
      </w:r>
      <w:r w:rsidR="005C7F2D" w:rsidRPr="00411C1D">
        <w:rPr>
          <w:rFonts w:ascii="Times New Roman" w:hAnsi="Times New Roman" w:cs="Times New Roman"/>
          <w:b/>
          <w:i/>
          <w:sz w:val="24"/>
          <w:szCs w:val="24"/>
        </w:rPr>
        <w:t xml:space="preserve">необосновано и непропорционално </w:t>
      </w:r>
      <w:r w:rsidR="005C7F2D" w:rsidRPr="007B4A99">
        <w:rPr>
          <w:rFonts w:ascii="Times New Roman" w:hAnsi="Times New Roman" w:cs="Times New Roman"/>
          <w:sz w:val="24"/>
          <w:szCs w:val="24"/>
        </w:rPr>
        <w:t xml:space="preserve">прехвърляне на икономическия риск от единия търговски партньор върху другия. Някои практики може да бъдат </w:t>
      </w:r>
      <w:r w:rsidR="005C7F2D" w:rsidRPr="007B4A99">
        <w:rPr>
          <w:rFonts w:ascii="Times New Roman" w:hAnsi="Times New Roman" w:cs="Times New Roman"/>
          <w:b/>
          <w:i/>
          <w:sz w:val="24"/>
          <w:szCs w:val="24"/>
        </w:rPr>
        <w:t>явно несправедливи</w:t>
      </w:r>
      <w:r w:rsidR="005C7F2D" w:rsidRPr="007B4A99">
        <w:rPr>
          <w:rFonts w:ascii="Times New Roman" w:hAnsi="Times New Roman" w:cs="Times New Roman"/>
          <w:sz w:val="24"/>
          <w:szCs w:val="24"/>
        </w:rPr>
        <w:t xml:space="preserve"> дори когато и двете страни са съгласни с тях. </w:t>
      </w:r>
    </w:p>
    <w:p w14:paraId="43A0BC2E" w14:textId="79F654FC" w:rsidR="007B4A99" w:rsidRDefault="007B4A99" w:rsidP="00DD69D5">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В директивата се посочва и обстоятелството, че </w:t>
      </w:r>
      <w:r w:rsidRPr="007B4A99">
        <w:rPr>
          <w:rFonts w:ascii="Times New Roman" w:hAnsi="Times New Roman" w:cs="Times New Roman"/>
          <w:sz w:val="24"/>
          <w:szCs w:val="24"/>
        </w:rPr>
        <w:t>веригата на доставки на земеделски продукти</w:t>
      </w:r>
      <w:r>
        <w:rPr>
          <w:rFonts w:ascii="Times New Roman" w:hAnsi="Times New Roman" w:cs="Times New Roman"/>
          <w:sz w:val="24"/>
          <w:szCs w:val="24"/>
        </w:rPr>
        <w:t xml:space="preserve"> и храни е </w:t>
      </w:r>
      <w:r w:rsidRPr="007B4A99">
        <w:rPr>
          <w:rFonts w:ascii="Times New Roman" w:hAnsi="Times New Roman" w:cs="Times New Roman"/>
          <w:sz w:val="24"/>
          <w:szCs w:val="24"/>
        </w:rPr>
        <w:t>несъмнено най-важният път, по който селскостопанските и хранителните продукти стигат от стопанството до трапезата</w:t>
      </w:r>
      <w:r>
        <w:rPr>
          <w:rFonts w:ascii="Times New Roman" w:hAnsi="Times New Roman" w:cs="Times New Roman"/>
          <w:sz w:val="24"/>
          <w:szCs w:val="24"/>
        </w:rPr>
        <w:t xml:space="preserve">. </w:t>
      </w:r>
      <w:r w:rsidRPr="007B4A99">
        <w:rPr>
          <w:rFonts w:ascii="Times New Roman" w:hAnsi="Times New Roman" w:cs="Times New Roman"/>
          <w:sz w:val="24"/>
          <w:szCs w:val="24"/>
        </w:rPr>
        <w:t>В същото време</w:t>
      </w:r>
      <w:r w:rsidR="000272BF">
        <w:rPr>
          <w:rFonts w:ascii="Times New Roman" w:hAnsi="Times New Roman" w:cs="Times New Roman"/>
          <w:sz w:val="24"/>
          <w:szCs w:val="24"/>
        </w:rPr>
        <w:t>,</w:t>
      </w:r>
      <w:r w:rsidRPr="007B4A99">
        <w:rPr>
          <w:rFonts w:ascii="Times New Roman" w:hAnsi="Times New Roman" w:cs="Times New Roman"/>
          <w:sz w:val="24"/>
          <w:szCs w:val="24"/>
        </w:rPr>
        <w:t xml:space="preserve"> селскостопанското производство е </w:t>
      </w:r>
      <w:r w:rsidRPr="007B4A99">
        <w:rPr>
          <w:rFonts w:ascii="Times New Roman" w:hAnsi="Times New Roman" w:cs="Times New Roman"/>
          <w:b/>
          <w:i/>
          <w:sz w:val="24"/>
          <w:szCs w:val="24"/>
        </w:rPr>
        <w:t>особено несигурен отрасъл</w:t>
      </w:r>
      <w:r w:rsidRPr="007B4A99">
        <w:rPr>
          <w:rFonts w:ascii="Times New Roman" w:hAnsi="Times New Roman" w:cs="Times New Roman"/>
          <w:sz w:val="24"/>
          <w:szCs w:val="24"/>
        </w:rPr>
        <w:t xml:space="preserve">, поради зависимостта си от биологичните процеси и външните метеорологични условия. Тази несигурност се увеличава поради факта, че селскостопанските и хранителните продукти в по-голяма или по-малка степен са </w:t>
      </w:r>
      <w:r w:rsidRPr="00411C1D">
        <w:rPr>
          <w:rFonts w:ascii="Times New Roman" w:hAnsi="Times New Roman" w:cs="Times New Roman"/>
          <w:b/>
          <w:i/>
          <w:sz w:val="24"/>
          <w:szCs w:val="24"/>
        </w:rPr>
        <w:t>нетрайни и имат сезонен характер</w:t>
      </w:r>
      <w:r w:rsidRPr="007B4A99">
        <w:rPr>
          <w:rFonts w:ascii="Times New Roman" w:hAnsi="Times New Roman" w:cs="Times New Roman"/>
          <w:sz w:val="24"/>
          <w:szCs w:val="24"/>
        </w:rPr>
        <w:t xml:space="preserve">. </w:t>
      </w:r>
      <w:r>
        <w:rPr>
          <w:rFonts w:ascii="Times New Roman" w:hAnsi="Times New Roman" w:cs="Times New Roman"/>
          <w:sz w:val="24"/>
          <w:szCs w:val="24"/>
        </w:rPr>
        <w:t>Освен това</w:t>
      </w:r>
      <w:r w:rsidR="000272BF">
        <w:rPr>
          <w:rFonts w:ascii="Times New Roman" w:hAnsi="Times New Roman" w:cs="Times New Roman"/>
          <w:sz w:val="24"/>
          <w:szCs w:val="24"/>
        </w:rPr>
        <w:t>,</w:t>
      </w:r>
      <w:r w:rsidRPr="007B4A99">
        <w:rPr>
          <w:rFonts w:ascii="Times New Roman" w:hAnsi="Times New Roman" w:cs="Times New Roman"/>
          <w:sz w:val="24"/>
          <w:szCs w:val="24"/>
        </w:rPr>
        <w:t xml:space="preserve"> съвременната селскостопанска политика е далеч по-силно ориентирана към пазара, отколкото в миналото</w:t>
      </w:r>
      <w:r>
        <w:rPr>
          <w:rFonts w:ascii="Times New Roman" w:hAnsi="Times New Roman" w:cs="Times New Roman"/>
          <w:sz w:val="24"/>
          <w:szCs w:val="24"/>
        </w:rPr>
        <w:t xml:space="preserve">. По този начин ефективната </w:t>
      </w:r>
      <w:r w:rsidRPr="007B4A99">
        <w:rPr>
          <w:rFonts w:ascii="Times New Roman" w:hAnsi="Times New Roman" w:cs="Times New Roman"/>
          <w:sz w:val="24"/>
          <w:szCs w:val="24"/>
        </w:rPr>
        <w:t>защита</w:t>
      </w:r>
      <w:r>
        <w:rPr>
          <w:rFonts w:ascii="Times New Roman" w:hAnsi="Times New Roman" w:cs="Times New Roman"/>
          <w:sz w:val="24"/>
          <w:szCs w:val="24"/>
        </w:rPr>
        <w:t xml:space="preserve"> н</w:t>
      </w:r>
      <w:r w:rsidRPr="007B4A99">
        <w:rPr>
          <w:rFonts w:ascii="Times New Roman" w:hAnsi="Times New Roman" w:cs="Times New Roman"/>
          <w:sz w:val="24"/>
          <w:szCs w:val="24"/>
        </w:rPr>
        <w:t>а операторите във веригата за доставки на селскостопански и хранителни продукти</w:t>
      </w:r>
      <w:r>
        <w:rPr>
          <w:rFonts w:ascii="Times New Roman" w:hAnsi="Times New Roman" w:cs="Times New Roman"/>
          <w:sz w:val="24"/>
          <w:szCs w:val="24"/>
        </w:rPr>
        <w:t xml:space="preserve"> </w:t>
      </w:r>
      <w:r w:rsidRPr="007B4A99">
        <w:rPr>
          <w:rFonts w:ascii="Times New Roman" w:hAnsi="Times New Roman" w:cs="Times New Roman"/>
          <w:sz w:val="24"/>
          <w:szCs w:val="24"/>
        </w:rPr>
        <w:t>п</w:t>
      </w:r>
      <w:r>
        <w:rPr>
          <w:rFonts w:ascii="Times New Roman" w:hAnsi="Times New Roman" w:cs="Times New Roman"/>
          <w:sz w:val="24"/>
          <w:szCs w:val="24"/>
        </w:rPr>
        <w:t>ридобива все по-голямо значение</w:t>
      </w:r>
      <w:r w:rsidRPr="007B4A99">
        <w:rPr>
          <w:rFonts w:ascii="Times New Roman" w:hAnsi="Times New Roman" w:cs="Times New Roman"/>
          <w:sz w:val="24"/>
          <w:szCs w:val="24"/>
        </w:rPr>
        <w:t>.</w:t>
      </w:r>
      <w:r>
        <w:rPr>
          <w:rFonts w:ascii="Times New Roman" w:hAnsi="Times New Roman" w:cs="Times New Roman"/>
          <w:sz w:val="24"/>
          <w:szCs w:val="24"/>
        </w:rPr>
        <w:t xml:space="preserve"> Конкретно</w:t>
      </w:r>
      <w:r w:rsidR="00EE3B9F">
        <w:rPr>
          <w:rFonts w:ascii="Times New Roman" w:hAnsi="Times New Roman" w:cs="Times New Roman"/>
          <w:sz w:val="24"/>
          <w:szCs w:val="24"/>
        </w:rPr>
        <w:t>,</w:t>
      </w:r>
      <w:r>
        <w:rPr>
          <w:rFonts w:ascii="Times New Roman" w:hAnsi="Times New Roman" w:cs="Times New Roman"/>
          <w:sz w:val="24"/>
          <w:szCs w:val="24"/>
        </w:rPr>
        <w:t xml:space="preserve"> </w:t>
      </w:r>
      <w:r w:rsidRPr="007B4A99">
        <w:rPr>
          <w:rFonts w:ascii="Times New Roman" w:hAnsi="Times New Roman" w:cs="Times New Roman"/>
          <w:sz w:val="24"/>
          <w:szCs w:val="24"/>
        </w:rPr>
        <w:t>нелоялни</w:t>
      </w:r>
      <w:r>
        <w:rPr>
          <w:rFonts w:ascii="Times New Roman" w:hAnsi="Times New Roman" w:cs="Times New Roman"/>
          <w:sz w:val="24"/>
          <w:szCs w:val="24"/>
        </w:rPr>
        <w:t>те</w:t>
      </w:r>
      <w:r w:rsidRPr="007B4A99">
        <w:rPr>
          <w:rFonts w:ascii="Times New Roman" w:hAnsi="Times New Roman" w:cs="Times New Roman"/>
          <w:sz w:val="24"/>
          <w:szCs w:val="24"/>
        </w:rPr>
        <w:t xml:space="preserve"> търговски практики</w:t>
      </w:r>
      <w:r>
        <w:rPr>
          <w:rFonts w:ascii="Times New Roman" w:hAnsi="Times New Roman" w:cs="Times New Roman"/>
          <w:sz w:val="24"/>
          <w:szCs w:val="24"/>
        </w:rPr>
        <w:t xml:space="preserve"> по тази верига </w:t>
      </w:r>
      <w:r w:rsidRPr="007B4A99">
        <w:rPr>
          <w:rFonts w:ascii="Times New Roman" w:hAnsi="Times New Roman" w:cs="Times New Roman"/>
          <w:sz w:val="24"/>
          <w:szCs w:val="24"/>
        </w:rPr>
        <w:t xml:space="preserve">има вероятност да </w:t>
      </w:r>
      <w:r>
        <w:rPr>
          <w:rFonts w:ascii="Times New Roman" w:hAnsi="Times New Roman" w:cs="Times New Roman"/>
          <w:sz w:val="24"/>
          <w:szCs w:val="24"/>
        </w:rPr>
        <w:t xml:space="preserve">имат пряко </w:t>
      </w:r>
      <w:r w:rsidRPr="007B4A99">
        <w:rPr>
          <w:rFonts w:ascii="Times New Roman" w:hAnsi="Times New Roman" w:cs="Times New Roman"/>
          <w:sz w:val="24"/>
          <w:szCs w:val="24"/>
        </w:rPr>
        <w:t>отрицателно</w:t>
      </w:r>
      <w:r>
        <w:rPr>
          <w:rFonts w:ascii="Times New Roman" w:hAnsi="Times New Roman" w:cs="Times New Roman"/>
          <w:sz w:val="24"/>
          <w:szCs w:val="24"/>
        </w:rPr>
        <w:t xml:space="preserve"> въздействие</w:t>
      </w:r>
      <w:r w:rsidRPr="007B4A99">
        <w:rPr>
          <w:rFonts w:ascii="Times New Roman" w:hAnsi="Times New Roman" w:cs="Times New Roman"/>
          <w:sz w:val="24"/>
          <w:szCs w:val="24"/>
        </w:rPr>
        <w:t xml:space="preserve"> върху жизнения стандарт на селскостопанската общност. </w:t>
      </w:r>
      <w:r>
        <w:rPr>
          <w:rFonts w:ascii="Times New Roman" w:hAnsi="Times New Roman" w:cs="Times New Roman"/>
          <w:sz w:val="24"/>
          <w:szCs w:val="24"/>
        </w:rPr>
        <w:t>С</w:t>
      </w:r>
      <w:r w:rsidRPr="007B4A99">
        <w:rPr>
          <w:rFonts w:ascii="Times New Roman" w:hAnsi="Times New Roman" w:cs="Times New Roman"/>
          <w:sz w:val="24"/>
          <w:szCs w:val="24"/>
        </w:rPr>
        <w:t xml:space="preserve">елскостопанските производители и техните организации </w:t>
      </w:r>
      <w:r>
        <w:rPr>
          <w:rFonts w:ascii="Times New Roman" w:hAnsi="Times New Roman" w:cs="Times New Roman"/>
          <w:sz w:val="24"/>
          <w:szCs w:val="24"/>
        </w:rPr>
        <w:t xml:space="preserve">могат да бъдат засегнати и </w:t>
      </w:r>
      <w:r w:rsidRPr="007B4A99">
        <w:rPr>
          <w:rFonts w:ascii="Times New Roman" w:hAnsi="Times New Roman" w:cs="Times New Roman"/>
          <w:sz w:val="24"/>
          <w:szCs w:val="24"/>
        </w:rPr>
        <w:t xml:space="preserve">непряко, поради </w:t>
      </w:r>
      <w:r w:rsidRPr="00411C1D">
        <w:rPr>
          <w:rFonts w:ascii="Times New Roman" w:hAnsi="Times New Roman" w:cs="Times New Roman"/>
          <w:b/>
          <w:i/>
          <w:sz w:val="24"/>
          <w:szCs w:val="24"/>
        </w:rPr>
        <w:t>каскадния ефект на последиците от нелоялните търговски практики</w:t>
      </w:r>
      <w:r w:rsidRPr="007B4A99">
        <w:rPr>
          <w:rFonts w:ascii="Times New Roman" w:hAnsi="Times New Roman" w:cs="Times New Roman"/>
          <w:sz w:val="24"/>
          <w:szCs w:val="24"/>
        </w:rPr>
        <w:t>, извършвани във веригата за доставки на селскостопански и хранителни продукти по начин, който ощетява първичните производители в тази верига.</w:t>
      </w:r>
    </w:p>
    <w:p w14:paraId="0D9E4859" w14:textId="36ECEC01" w:rsidR="005C7F2D" w:rsidRPr="007B4A99" w:rsidRDefault="005C7F2D" w:rsidP="00DD69D5">
      <w:pPr>
        <w:spacing w:after="0" w:line="240" w:lineRule="auto"/>
        <w:ind w:firstLine="539"/>
        <w:jc w:val="both"/>
        <w:rPr>
          <w:rFonts w:ascii="Times New Roman" w:hAnsi="Times New Roman" w:cs="Times New Roman"/>
          <w:sz w:val="24"/>
          <w:szCs w:val="24"/>
        </w:rPr>
      </w:pPr>
      <w:r w:rsidRPr="007B4A99">
        <w:rPr>
          <w:rFonts w:ascii="Times New Roman" w:hAnsi="Times New Roman" w:cs="Times New Roman"/>
          <w:sz w:val="24"/>
          <w:szCs w:val="24"/>
        </w:rPr>
        <w:t xml:space="preserve">Всичко това налага въвеждането на </w:t>
      </w:r>
      <w:r w:rsidRPr="007B4A99">
        <w:rPr>
          <w:rFonts w:ascii="Times New Roman" w:hAnsi="Times New Roman" w:cs="Times New Roman"/>
          <w:b/>
          <w:i/>
          <w:sz w:val="24"/>
          <w:szCs w:val="24"/>
        </w:rPr>
        <w:t>минимален стандарт за защита</w:t>
      </w:r>
      <w:r w:rsidRPr="007B4A99">
        <w:rPr>
          <w:rFonts w:ascii="Times New Roman" w:hAnsi="Times New Roman" w:cs="Times New Roman"/>
          <w:i/>
          <w:sz w:val="24"/>
          <w:szCs w:val="24"/>
        </w:rPr>
        <w:t xml:space="preserve"> </w:t>
      </w:r>
      <w:r w:rsidRPr="007B4A99">
        <w:rPr>
          <w:rFonts w:ascii="Times New Roman" w:hAnsi="Times New Roman" w:cs="Times New Roman"/>
          <w:sz w:val="24"/>
          <w:szCs w:val="24"/>
        </w:rPr>
        <w:t>с</w:t>
      </w:r>
      <w:r w:rsidR="007B4A99" w:rsidRPr="007B4A99">
        <w:rPr>
          <w:rFonts w:ascii="Times New Roman" w:hAnsi="Times New Roman" w:cs="Times New Roman"/>
          <w:sz w:val="24"/>
          <w:szCs w:val="24"/>
        </w:rPr>
        <w:t>рещу</w:t>
      </w:r>
      <w:r w:rsidR="007B4A99">
        <w:rPr>
          <w:rFonts w:ascii="Times New Roman" w:hAnsi="Times New Roman" w:cs="Times New Roman"/>
          <w:sz w:val="24"/>
          <w:szCs w:val="24"/>
        </w:rPr>
        <w:t xml:space="preserve"> нелоялни търговски практики на ниво Съюз</w:t>
      </w:r>
      <w:r w:rsidRPr="007B4A99">
        <w:rPr>
          <w:rFonts w:ascii="Times New Roman" w:hAnsi="Times New Roman" w:cs="Times New Roman"/>
          <w:sz w:val="24"/>
          <w:szCs w:val="24"/>
        </w:rPr>
        <w:t xml:space="preserve">, които е вероятно да се отразят отрицателно върху жизнения стандарт на селскостопанската общност, с цел да се намали тяхното разпространение. При него ЕС залага на </w:t>
      </w:r>
      <w:r w:rsidRPr="007B4A99">
        <w:rPr>
          <w:rFonts w:ascii="Times New Roman" w:hAnsi="Times New Roman" w:cs="Times New Roman"/>
          <w:b/>
          <w:i/>
          <w:sz w:val="24"/>
          <w:szCs w:val="24"/>
        </w:rPr>
        <w:t>подхода на минималната хармонизация</w:t>
      </w:r>
      <w:r w:rsidRPr="007B4A99">
        <w:rPr>
          <w:rFonts w:ascii="Times New Roman" w:hAnsi="Times New Roman" w:cs="Times New Roman"/>
          <w:sz w:val="24"/>
          <w:szCs w:val="24"/>
        </w:rPr>
        <w:t xml:space="preserve">, който позволява на държавите членки да приемат или запазят национални правила, които обхващат и други нелоялни търговски практики, освен посочените в настоящата директива.  </w:t>
      </w:r>
      <w:r w:rsidR="0006461F">
        <w:rPr>
          <w:rFonts w:ascii="Times New Roman" w:hAnsi="Times New Roman" w:cs="Times New Roman"/>
          <w:sz w:val="24"/>
          <w:szCs w:val="24"/>
        </w:rPr>
        <w:t>Директивата не</w:t>
      </w:r>
      <w:r w:rsidR="0006461F" w:rsidRPr="0006461F">
        <w:rPr>
          <w:rFonts w:ascii="Times New Roman" w:hAnsi="Times New Roman" w:cs="Times New Roman"/>
          <w:sz w:val="24"/>
          <w:szCs w:val="24"/>
        </w:rPr>
        <w:t xml:space="preserve"> изключва възможността държавите членки да оставят в сила или да въвеждат на територията си </w:t>
      </w:r>
      <w:r w:rsidR="0006461F" w:rsidRPr="00411C1D">
        <w:rPr>
          <w:rFonts w:ascii="Times New Roman" w:hAnsi="Times New Roman" w:cs="Times New Roman"/>
          <w:b/>
          <w:i/>
          <w:sz w:val="24"/>
          <w:szCs w:val="24"/>
        </w:rPr>
        <w:t>по-строги национални правила</w:t>
      </w:r>
      <w:r w:rsidR="0006461F" w:rsidRPr="0006461F">
        <w:rPr>
          <w:rFonts w:ascii="Times New Roman" w:hAnsi="Times New Roman" w:cs="Times New Roman"/>
          <w:sz w:val="24"/>
          <w:szCs w:val="24"/>
        </w:rPr>
        <w:t xml:space="preserve">, предвиждащи </w:t>
      </w:r>
      <w:r w:rsidR="0006461F" w:rsidRPr="00411C1D">
        <w:rPr>
          <w:rFonts w:ascii="Times New Roman" w:hAnsi="Times New Roman" w:cs="Times New Roman"/>
          <w:b/>
          <w:i/>
          <w:sz w:val="24"/>
          <w:szCs w:val="24"/>
        </w:rPr>
        <w:t>по-високи стандарти за защита</w:t>
      </w:r>
      <w:r w:rsidR="0006461F" w:rsidRPr="0006461F">
        <w:rPr>
          <w:rFonts w:ascii="Times New Roman" w:hAnsi="Times New Roman" w:cs="Times New Roman"/>
          <w:sz w:val="24"/>
          <w:szCs w:val="24"/>
        </w:rPr>
        <w:t xml:space="preserve"> срещу нелоялни търговски практики в отношенията между стопанските субекти във веригата за доставки на селскостопански и хранителни продукти при спазване на приложимите ограничения съгласно правото на Съюза във връзка с функционирането на вътрешния пазар, </w:t>
      </w:r>
      <w:r w:rsidR="0006461F">
        <w:rPr>
          <w:rFonts w:ascii="Times New Roman" w:hAnsi="Times New Roman" w:cs="Times New Roman"/>
          <w:sz w:val="24"/>
          <w:szCs w:val="24"/>
        </w:rPr>
        <w:t>когато тези</w:t>
      </w:r>
      <w:r w:rsidR="0006461F" w:rsidRPr="0006461F">
        <w:rPr>
          <w:rFonts w:ascii="Times New Roman" w:hAnsi="Times New Roman" w:cs="Times New Roman"/>
          <w:sz w:val="24"/>
          <w:szCs w:val="24"/>
        </w:rPr>
        <w:t xml:space="preserve"> правила са пропорционални.</w:t>
      </w:r>
      <w:r w:rsidR="0006461F" w:rsidRPr="0006461F">
        <w:t xml:space="preserve"> </w:t>
      </w:r>
      <w:r w:rsidR="0006461F" w:rsidRPr="0006461F">
        <w:rPr>
          <w:rFonts w:ascii="Times New Roman" w:hAnsi="Times New Roman" w:cs="Times New Roman"/>
          <w:sz w:val="24"/>
          <w:szCs w:val="24"/>
        </w:rPr>
        <w:t>Тези национални правила могат да надхвърлят изискванията на директива</w:t>
      </w:r>
      <w:r w:rsidR="00411C1D">
        <w:rPr>
          <w:rFonts w:ascii="Times New Roman" w:hAnsi="Times New Roman" w:cs="Times New Roman"/>
          <w:sz w:val="24"/>
          <w:szCs w:val="24"/>
        </w:rPr>
        <w:t>та</w:t>
      </w:r>
      <w:r w:rsidR="0006461F" w:rsidRPr="0006461F">
        <w:rPr>
          <w:rFonts w:ascii="Times New Roman" w:hAnsi="Times New Roman" w:cs="Times New Roman"/>
          <w:sz w:val="24"/>
          <w:szCs w:val="24"/>
        </w:rPr>
        <w:t>, например</w:t>
      </w:r>
      <w:r w:rsidR="00EE3B9F">
        <w:rPr>
          <w:rFonts w:ascii="Times New Roman" w:hAnsi="Times New Roman" w:cs="Times New Roman"/>
          <w:sz w:val="24"/>
          <w:szCs w:val="24"/>
        </w:rPr>
        <w:t>,</w:t>
      </w:r>
      <w:r w:rsidR="0006461F" w:rsidRPr="0006461F">
        <w:rPr>
          <w:rFonts w:ascii="Times New Roman" w:hAnsi="Times New Roman" w:cs="Times New Roman"/>
          <w:sz w:val="24"/>
          <w:szCs w:val="24"/>
        </w:rPr>
        <w:t xml:space="preserve"> по отношение на размера на купувачите и доставчиците, защитата на купувачите, обхвата на продуктите и на услугите. Те могат също да надхвърлят броя и вида на забранените нелоялни търговски практики, посочени в </w:t>
      </w:r>
      <w:r w:rsidR="00411C1D">
        <w:rPr>
          <w:rFonts w:ascii="Times New Roman" w:hAnsi="Times New Roman" w:cs="Times New Roman"/>
          <w:sz w:val="24"/>
          <w:szCs w:val="24"/>
        </w:rPr>
        <w:t>нея</w:t>
      </w:r>
      <w:r w:rsidR="0006461F">
        <w:rPr>
          <w:rFonts w:ascii="Times New Roman" w:hAnsi="Times New Roman" w:cs="Times New Roman"/>
          <w:sz w:val="24"/>
          <w:szCs w:val="24"/>
        </w:rPr>
        <w:t xml:space="preserve">. </w:t>
      </w:r>
      <w:r w:rsidRPr="007B4A99">
        <w:rPr>
          <w:rFonts w:ascii="Times New Roman" w:hAnsi="Times New Roman" w:cs="Times New Roman"/>
          <w:sz w:val="24"/>
          <w:szCs w:val="24"/>
        </w:rPr>
        <w:t xml:space="preserve">Директива (ЕС) 2019/633 прилага и </w:t>
      </w:r>
      <w:r w:rsidR="007B4A99">
        <w:rPr>
          <w:rFonts w:ascii="Times New Roman" w:hAnsi="Times New Roman" w:cs="Times New Roman"/>
          <w:sz w:val="24"/>
          <w:szCs w:val="24"/>
        </w:rPr>
        <w:t xml:space="preserve">вече споменатият </w:t>
      </w:r>
      <w:r w:rsidR="007B4A99" w:rsidRPr="00411C1D">
        <w:rPr>
          <w:rFonts w:ascii="Times New Roman" w:hAnsi="Times New Roman" w:cs="Times New Roman"/>
          <w:b/>
          <w:i/>
          <w:sz w:val="24"/>
          <w:szCs w:val="24"/>
        </w:rPr>
        <w:t>интегрален подход на регулаторна интервенция</w:t>
      </w:r>
      <w:r w:rsidR="007B4A99">
        <w:rPr>
          <w:rFonts w:ascii="Times New Roman" w:hAnsi="Times New Roman" w:cs="Times New Roman"/>
          <w:sz w:val="24"/>
          <w:szCs w:val="24"/>
        </w:rPr>
        <w:t>, при който нормативният акт е съпроводен от ненормативни обезпечаващи неговата ефективност инструменти</w:t>
      </w:r>
      <w:r w:rsidR="00EE3B9F">
        <w:rPr>
          <w:rFonts w:ascii="Times New Roman" w:hAnsi="Times New Roman" w:cs="Times New Roman"/>
          <w:sz w:val="24"/>
          <w:szCs w:val="24"/>
        </w:rPr>
        <w:t>,</w:t>
      </w:r>
      <w:r w:rsidR="007B4A99">
        <w:rPr>
          <w:rFonts w:ascii="Times New Roman" w:hAnsi="Times New Roman" w:cs="Times New Roman"/>
          <w:sz w:val="24"/>
          <w:szCs w:val="24"/>
        </w:rPr>
        <w:t xml:space="preserve"> каквито са схема за текущо събиране на данни</w:t>
      </w:r>
      <w:r w:rsidR="0006461F">
        <w:rPr>
          <w:rFonts w:ascii="Times New Roman" w:hAnsi="Times New Roman" w:cs="Times New Roman"/>
          <w:sz w:val="24"/>
          <w:szCs w:val="24"/>
        </w:rPr>
        <w:t>,</w:t>
      </w:r>
      <w:r w:rsidR="007B4A99">
        <w:rPr>
          <w:rFonts w:ascii="Times New Roman" w:hAnsi="Times New Roman" w:cs="Times New Roman"/>
          <w:sz w:val="24"/>
          <w:szCs w:val="24"/>
        </w:rPr>
        <w:t xml:space="preserve"> мониторинг, докладване, отчитане и оценяване.</w:t>
      </w:r>
    </w:p>
    <w:p w14:paraId="74338879" w14:textId="024127AA" w:rsidR="00633B97" w:rsidRDefault="0006461F" w:rsidP="00DD69D5">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Потенциалният </w:t>
      </w:r>
      <w:r w:rsidRPr="007B4A99">
        <w:rPr>
          <w:rFonts w:ascii="Times New Roman" w:hAnsi="Times New Roman"/>
          <w:sz w:val="24"/>
          <w:szCs w:val="24"/>
        </w:rPr>
        <w:t>Вариант 3: „Регулаторен – изцяло нов специален закон“</w:t>
      </w:r>
      <w:r>
        <w:rPr>
          <w:rFonts w:ascii="Times New Roman" w:hAnsi="Times New Roman"/>
          <w:sz w:val="24"/>
          <w:szCs w:val="24"/>
        </w:rPr>
        <w:t xml:space="preserve"> следва да прилага същи</w:t>
      </w:r>
      <w:r w:rsidR="009E54EB">
        <w:rPr>
          <w:rFonts w:ascii="Times New Roman" w:hAnsi="Times New Roman"/>
          <w:sz w:val="24"/>
          <w:szCs w:val="24"/>
        </w:rPr>
        <w:t>я</w:t>
      </w:r>
      <w:r>
        <w:rPr>
          <w:rFonts w:ascii="Times New Roman" w:hAnsi="Times New Roman"/>
          <w:sz w:val="24"/>
          <w:szCs w:val="24"/>
        </w:rPr>
        <w:t xml:space="preserve"> интегриран подход като този, използван от ЕС при </w:t>
      </w:r>
      <w:r w:rsidRPr="007B4A99">
        <w:rPr>
          <w:rFonts w:ascii="Times New Roman" w:hAnsi="Times New Roman" w:cs="Times New Roman"/>
          <w:sz w:val="24"/>
          <w:szCs w:val="24"/>
        </w:rPr>
        <w:t>Директива (ЕС) 2019/633</w:t>
      </w:r>
      <w:r>
        <w:rPr>
          <w:rFonts w:ascii="Times New Roman" w:hAnsi="Times New Roman" w:cs="Times New Roman"/>
          <w:sz w:val="24"/>
          <w:szCs w:val="24"/>
        </w:rPr>
        <w:t xml:space="preserve">. </w:t>
      </w:r>
      <w:r w:rsidR="00633B97">
        <w:rPr>
          <w:rFonts w:ascii="Times New Roman" w:hAnsi="Times New Roman" w:cs="Times New Roman"/>
          <w:sz w:val="24"/>
          <w:szCs w:val="24"/>
        </w:rPr>
        <w:t>Той следва да адресира основният идентифицират проблем</w:t>
      </w:r>
      <w:r w:rsidR="00EE3B9F">
        <w:rPr>
          <w:rFonts w:ascii="Times New Roman" w:hAnsi="Times New Roman" w:cs="Times New Roman"/>
          <w:sz w:val="24"/>
          <w:szCs w:val="24"/>
        </w:rPr>
        <w:t>,</w:t>
      </w:r>
      <w:r w:rsidR="00633B97">
        <w:rPr>
          <w:rFonts w:ascii="Times New Roman" w:hAnsi="Times New Roman" w:cs="Times New Roman"/>
          <w:sz w:val="24"/>
          <w:szCs w:val="24"/>
        </w:rPr>
        <w:t xml:space="preserve"> като включва цялостна рамка от мерки, нормативни и алтернативни на тях, целящи обезпечаване ефективността на първите. </w:t>
      </w:r>
      <w:r w:rsidR="00C069E6">
        <w:rPr>
          <w:rFonts w:ascii="Times New Roman" w:hAnsi="Times New Roman" w:cs="Times New Roman"/>
          <w:sz w:val="24"/>
          <w:szCs w:val="24"/>
        </w:rPr>
        <w:t xml:space="preserve">Рамката </w:t>
      </w:r>
      <w:r w:rsidR="00633B97">
        <w:rPr>
          <w:rFonts w:ascii="Times New Roman" w:hAnsi="Times New Roman" w:cs="Times New Roman"/>
          <w:sz w:val="24"/>
          <w:szCs w:val="24"/>
        </w:rPr>
        <w:t xml:space="preserve">следва да </w:t>
      </w:r>
      <w:r w:rsidR="00EE3B9F">
        <w:rPr>
          <w:rFonts w:ascii="Times New Roman" w:hAnsi="Times New Roman" w:cs="Times New Roman"/>
          <w:sz w:val="24"/>
          <w:szCs w:val="24"/>
        </w:rPr>
        <w:t xml:space="preserve">заработи </w:t>
      </w:r>
      <w:r w:rsidR="00633B97">
        <w:rPr>
          <w:rFonts w:ascii="Times New Roman" w:hAnsi="Times New Roman" w:cs="Times New Roman"/>
          <w:sz w:val="24"/>
          <w:szCs w:val="24"/>
        </w:rPr>
        <w:t xml:space="preserve">като един общ механизъм за прозрачност, проследяване, равнопоставеност и пропорционалност в отношенията по </w:t>
      </w:r>
      <w:r w:rsidR="00633B97" w:rsidRPr="00633B97">
        <w:rPr>
          <w:rFonts w:ascii="Times New Roman" w:hAnsi="Times New Roman" w:cs="Times New Roman"/>
          <w:sz w:val="24"/>
          <w:szCs w:val="24"/>
        </w:rPr>
        <w:lastRenderedPageBreak/>
        <w:t>веригата на доставки на земеделски продукти и храни</w:t>
      </w:r>
      <w:r w:rsidR="00633B97">
        <w:rPr>
          <w:rFonts w:ascii="Times New Roman" w:hAnsi="Times New Roman" w:cs="Times New Roman"/>
          <w:sz w:val="24"/>
          <w:szCs w:val="24"/>
        </w:rPr>
        <w:t>.</w:t>
      </w:r>
      <w:r w:rsidR="00633B97" w:rsidRPr="00633B97">
        <w:rPr>
          <w:rFonts w:ascii="Times New Roman" w:hAnsi="Times New Roman" w:cs="Times New Roman"/>
          <w:sz w:val="24"/>
          <w:szCs w:val="24"/>
        </w:rPr>
        <w:tab/>
      </w:r>
      <w:r w:rsidR="00A51A93">
        <w:rPr>
          <w:rFonts w:ascii="Times New Roman" w:hAnsi="Times New Roman" w:cs="Times New Roman"/>
          <w:sz w:val="24"/>
          <w:szCs w:val="24"/>
        </w:rPr>
        <w:t xml:space="preserve">Тя </w:t>
      </w:r>
      <w:r w:rsidR="00C069E6">
        <w:rPr>
          <w:rFonts w:ascii="Times New Roman" w:hAnsi="Times New Roman" w:cs="Times New Roman"/>
          <w:sz w:val="24"/>
          <w:szCs w:val="24"/>
        </w:rPr>
        <w:t>трябва</w:t>
      </w:r>
      <w:r w:rsidR="00633B97">
        <w:rPr>
          <w:rFonts w:ascii="Times New Roman" w:hAnsi="Times New Roman" w:cs="Times New Roman"/>
          <w:sz w:val="24"/>
          <w:szCs w:val="24"/>
        </w:rPr>
        <w:t xml:space="preserve"> да</w:t>
      </w:r>
      <w:r w:rsidR="00C069E6">
        <w:rPr>
          <w:rFonts w:ascii="Times New Roman" w:hAnsi="Times New Roman" w:cs="Times New Roman"/>
          <w:sz w:val="24"/>
          <w:szCs w:val="24"/>
        </w:rPr>
        <w:t xml:space="preserve"> разполага</w:t>
      </w:r>
      <w:r w:rsidR="00633B97">
        <w:rPr>
          <w:rFonts w:ascii="Times New Roman" w:hAnsi="Times New Roman" w:cs="Times New Roman"/>
          <w:sz w:val="24"/>
          <w:szCs w:val="24"/>
        </w:rPr>
        <w:t xml:space="preserve"> </w:t>
      </w:r>
      <w:r w:rsidR="00411C1D">
        <w:rPr>
          <w:rFonts w:ascii="Times New Roman" w:hAnsi="Times New Roman" w:cs="Times New Roman"/>
          <w:sz w:val="24"/>
          <w:szCs w:val="24"/>
        </w:rPr>
        <w:t xml:space="preserve">с </w:t>
      </w:r>
      <w:r w:rsidR="00633B97">
        <w:rPr>
          <w:rFonts w:ascii="Times New Roman" w:hAnsi="Times New Roman" w:cs="Times New Roman"/>
          <w:sz w:val="24"/>
          <w:szCs w:val="24"/>
        </w:rPr>
        <w:t xml:space="preserve">адекватни на проблема обхват и ниво </w:t>
      </w:r>
      <w:r w:rsidR="00633B97" w:rsidRPr="00633B97">
        <w:rPr>
          <w:rFonts w:ascii="Times New Roman" w:hAnsi="Times New Roman" w:cs="Times New Roman"/>
          <w:sz w:val="24"/>
          <w:szCs w:val="24"/>
        </w:rPr>
        <w:t xml:space="preserve">на </w:t>
      </w:r>
      <w:r w:rsidR="00633B97">
        <w:rPr>
          <w:rFonts w:ascii="Times New Roman" w:hAnsi="Times New Roman" w:cs="Times New Roman"/>
          <w:sz w:val="24"/>
          <w:szCs w:val="24"/>
        </w:rPr>
        <w:t xml:space="preserve">интегрираност, които да позволяват наблюдение в реално време, текущ мониторинг, контрол и </w:t>
      </w:r>
      <w:r w:rsidR="00633B97" w:rsidRPr="00633B97">
        <w:rPr>
          <w:rFonts w:ascii="Times New Roman" w:hAnsi="Times New Roman" w:cs="Times New Roman"/>
          <w:sz w:val="24"/>
          <w:szCs w:val="24"/>
        </w:rPr>
        <w:t xml:space="preserve">отчетност </w:t>
      </w:r>
      <w:r w:rsidR="00C069E6">
        <w:rPr>
          <w:rFonts w:ascii="Times New Roman" w:hAnsi="Times New Roman" w:cs="Times New Roman"/>
          <w:sz w:val="24"/>
          <w:szCs w:val="24"/>
        </w:rPr>
        <w:t xml:space="preserve">относно функционирането на  цялата верига. Рамката </w:t>
      </w:r>
      <w:r w:rsidR="00633B97" w:rsidRPr="00C069E6">
        <w:rPr>
          <w:rFonts w:ascii="Times New Roman" w:hAnsi="Times New Roman"/>
          <w:sz w:val="24"/>
          <w:szCs w:val="24"/>
        </w:rPr>
        <w:t>следва да е постоянно действащ</w:t>
      </w:r>
      <w:r w:rsidR="00C069E6">
        <w:rPr>
          <w:rFonts w:ascii="Times New Roman" w:hAnsi="Times New Roman"/>
          <w:sz w:val="24"/>
          <w:szCs w:val="24"/>
        </w:rPr>
        <w:t>а</w:t>
      </w:r>
      <w:r w:rsidR="00633B97" w:rsidRPr="00C069E6">
        <w:rPr>
          <w:rFonts w:ascii="Times New Roman" w:hAnsi="Times New Roman"/>
          <w:sz w:val="24"/>
          <w:szCs w:val="24"/>
        </w:rPr>
        <w:t xml:space="preserve"> и да може да генерира достатъчен обем от количествени и качествени данни, на база на които да бъдат изследвани и оценявани </w:t>
      </w:r>
      <w:r w:rsidR="00C069E6">
        <w:rPr>
          <w:rFonts w:ascii="Times New Roman" w:hAnsi="Times New Roman"/>
          <w:sz w:val="24"/>
          <w:szCs w:val="24"/>
        </w:rPr>
        <w:t>текущо</w:t>
      </w:r>
      <w:r w:rsidR="00633B97" w:rsidRPr="00C069E6">
        <w:rPr>
          <w:rFonts w:ascii="Times New Roman" w:hAnsi="Times New Roman"/>
          <w:sz w:val="24"/>
          <w:szCs w:val="24"/>
        </w:rPr>
        <w:t xml:space="preserve"> силните и слабите страни на веригата, както и нейните ефективност, ефикасност, релевантност, съгласуваност и др. Т</w:t>
      </w:r>
      <w:r w:rsidR="00C069E6">
        <w:rPr>
          <w:rFonts w:ascii="Times New Roman" w:hAnsi="Times New Roman"/>
          <w:sz w:val="24"/>
          <w:szCs w:val="24"/>
        </w:rPr>
        <w:t>я</w:t>
      </w:r>
      <w:r w:rsidR="00633B97" w:rsidRPr="00C069E6">
        <w:rPr>
          <w:rFonts w:ascii="Times New Roman" w:hAnsi="Times New Roman"/>
          <w:sz w:val="24"/>
          <w:szCs w:val="24"/>
        </w:rPr>
        <w:t xml:space="preserve"> трябва да позволява цялостно наблюдение на всички звена от веригата. </w:t>
      </w:r>
    </w:p>
    <w:p w14:paraId="55D3904D" w14:textId="23DFFE18" w:rsidR="00633B97" w:rsidRDefault="00687E37" w:rsidP="00DD69D5">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Ц</w:t>
      </w:r>
      <w:r w:rsidRPr="00687E37">
        <w:rPr>
          <w:rFonts w:ascii="Times New Roman" w:hAnsi="Times New Roman" w:cs="Times New Roman"/>
          <w:sz w:val="24"/>
          <w:szCs w:val="24"/>
        </w:rPr>
        <w:t>ел</w:t>
      </w:r>
      <w:r>
        <w:rPr>
          <w:rFonts w:ascii="Times New Roman" w:hAnsi="Times New Roman" w:cs="Times New Roman"/>
          <w:sz w:val="24"/>
          <w:szCs w:val="24"/>
        </w:rPr>
        <w:t xml:space="preserve">та </w:t>
      </w:r>
      <w:r w:rsidR="00C069E6">
        <w:rPr>
          <w:rFonts w:ascii="Times New Roman" w:hAnsi="Times New Roman" w:cs="Times New Roman"/>
          <w:sz w:val="24"/>
          <w:szCs w:val="24"/>
        </w:rPr>
        <w:t>е</w:t>
      </w:r>
      <w:r>
        <w:rPr>
          <w:rFonts w:ascii="Times New Roman" w:hAnsi="Times New Roman" w:cs="Times New Roman"/>
          <w:sz w:val="24"/>
          <w:szCs w:val="24"/>
        </w:rPr>
        <w:t xml:space="preserve"> да </w:t>
      </w:r>
      <w:r w:rsidR="00C069E6">
        <w:rPr>
          <w:rFonts w:ascii="Times New Roman" w:hAnsi="Times New Roman" w:cs="Times New Roman"/>
          <w:sz w:val="24"/>
          <w:szCs w:val="24"/>
        </w:rPr>
        <w:t>с</w:t>
      </w:r>
      <w:r>
        <w:rPr>
          <w:rFonts w:ascii="Times New Roman" w:hAnsi="Times New Roman" w:cs="Times New Roman"/>
          <w:sz w:val="24"/>
          <w:szCs w:val="24"/>
        </w:rPr>
        <w:t xml:space="preserve">е </w:t>
      </w:r>
      <w:r w:rsidR="00C069E6">
        <w:rPr>
          <w:rFonts w:ascii="Times New Roman" w:hAnsi="Times New Roman" w:cs="Times New Roman"/>
          <w:sz w:val="24"/>
          <w:szCs w:val="24"/>
        </w:rPr>
        <w:t xml:space="preserve">постигне </w:t>
      </w:r>
      <w:r>
        <w:rPr>
          <w:rFonts w:ascii="Times New Roman" w:hAnsi="Times New Roman" w:cs="Times New Roman"/>
          <w:sz w:val="24"/>
          <w:szCs w:val="24"/>
        </w:rPr>
        <w:t xml:space="preserve">цялостно </w:t>
      </w:r>
      <w:r w:rsidRPr="00687E37">
        <w:rPr>
          <w:rFonts w:ascii="Times New Roman" w:hAnsi="Times New Roman" w:cs="Times New Roman"/>
          <w:sz w:val="24"/>
          <w:szCs w:val="24"/>
        </w:rPr>
        <w:t>подобр</w:t>
      </w:r>
      <w:r>
        <w:rPr>
          <w:rFonts w:ascii="Times New Roman" w:hAnsi="Times New Roman" w:cs="Times New Roman"/>
          <w:sz w:val="24"/>
          <w:szCs w:val="24"/>
        </w:rPr>
        <w:t>яване на</w:t>
      </w:r>
      <w:r w:rsidRPr="00687E37">
        <w:rPr>
          <w:rFonts w:ascii="Times New Roman" w:hAnsi="Times New Roman" w:cs="Times New Roman"/>
          <w:sz w:val="24"/>
          <w:szCs w:val="24"/>
        </w:rPr>
        <w:t xml:space="preserve"> функционирането на веригата на доставки по начин, който повишава ефективността и конкурентоспособността на секторите на производство на земеделски продукти и храни и намалява дисбаланса в търговските отношения между различните оператори по веригата за създаване на стойност, в рамките на лоялната конкуренция, която е от полза не само за т</w:t>
      </w:r>
      <w:r>
        <w:rPr>
          <w:rFonts w:ascii="Times New Roman" w:hAnsi="Times New Roman" w:cs="Times New Roman"/>
          <w:sz w:val="24"/>
          <w:szCs w:val="24"/>
        </w:rPr>
        <w:t>о</w:t>
      </w:r>
      <w:r w:rsidRPr="00687E37">
        <w:rPr>
          <w:rFonts w:ascii="Times New Roman" w:hAnsi="Times New Roman" w:cs="Times New Roman"/>
          <w:sz w:val="24"/>
          <w:szCs w:val="24"/>
        </w:rPr>
        <w:t>зи сектор</w:t>
      </w:r>
      <w:r>
        <w:rPr>
          <w:rFonts w:ascii="Times New Roman" w:hAnsi="Times New Roman" w:cs="Times New Roman"/>
          <w:sz w:val="24"/>
          <w:szCs w:val="24"/>
        </w:rPr>
        <w:t xml:space="preserve"> и за крайните потребители</w:t>
      </w:r>
      <w:r w:rsidRPr="00687E37">
        <w:rPr>
          <w:rFonts w:ascii="Times New Roman" w:hAnsi="Times New Roman" w:cs="Times New Roman"/>
          <w:sz w:val="24"/>
          <w:szCs w:val="24"/>
        </w:rPr>
        <w:t>, но и</w:t>
      </w:r>
      <w:r>
        <w:rPr>
          <w:rFonts w:ascii="Times New Roman" w:hAnsi="Times New Roman" w:cs="Times New Roman"/>
          <w:sz w:val="24"/>
          <w:szCs w:val="24"/>
        </w:rPr>
        <w:t xml:space="preserve"> за държавата и </w:t>
      </w:r>
      <w:r w:rsidRPr="00687E37">
        <w:rPr>
          <w:rFonts w:ascii="Times New Roman" w:hAnsi="Times New Roman" w:cs="Times New Roman"/>
          <w:sz w:val="24"/>
          <w:szCs w:val="24"/>
        </w:rPr>
        <w:t>цялото общество.</w:t>
      </w:r>
    </w:p>
    <w:p w14:paraId="468D9823" w14:textId="678F6F9E" w:rsidR="00687E37" w:rsidRDefault="00687E37" w:rsidP="00DD69D5">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Рамката следва да включва </w:t>
      </w:r>
      <w:r w:rsidRPr="006570B7">
        <w:rPr>
          <w:rFonts w:ascii="Times New Roman" w:hAnsi="Times New Roman" w:cs="Times New Roman"/>
          <w:i/>
          <w:sz w:val="24"/>
          <w:szCs w:val="24"/>
        </w:rPr>
        <w:t>мерки за прозрачност</w:t>
      </w:r>
      <w:r>
        <w:rPr>
          <w:rFonts w:ascii="Times New Roman" w:hAnsi="Times New Roman" w:cs="Times New Roman"/>
          <w:sz w:val="24"/>
          <w:szCs w:val="24"/>
        </w:rPr>
        <w:t>, които адресират проблемите</w:t>
      </w:r>
      <w:r w:rsidR="00EE3B9F">
        <w:rPr>
          <w:rFonts w:ascii="Times New Roman" w:hAnsi="Times New Roman" w:cs="Times New Roman"/>
          <w:sz w:val="24"/>
          <w:szCs w:val="24"/>
        </w:rPr>
        <w:t>,</w:t>
      </w:r>
      <w:r>
        <w:rPr>
          <w:rFonts w:ascii="Times New Roman" w:hAnsi="Times New Roman" w:cs="Times New Roman"/>
          <w:sz w:val="24"/>
          <w:szCs w:val="24"/>
        </w:rPr>
        <w:t xml:space="preserve"> свързани с липсата на ясни и недвусмислени условия между участниците във веригата, правната несигурност и непредвидимостта. </w:t>
      </w:r>
      <w:r w:rsidRPr="006570B7">
        <w:rPr>
          <w:rFonts w:ascii="Times New Roman" w:hAnsi="Times New Roman" w:cs="Times New Roman"/>
          <w:i/>
          <w:sz w:val="24"/>
          <w:szCs w:val="24"/>
        </w:rPr>
        <w:t>Изравнителните мерки</w:t>
      </w:r>
      <w:r>
        <w:rPr>
          <w:rFonts w:ascii="Times New Roman" w:hAnsi="Times New Roman" w:cs="Times New Roman"/>
          <w:sz w:val="24"/>
          <w:szCs w:val="24"/>
        </w:rPr>
        <w:t xml:space="preserve"> следва да са насочени към отстраняване на дефицита, свързан с привидната равнопоставеност в отношенията между по-силните и по</w:t>
      </w:r>
      <w:r w:rsidR="00411C1D">
        <w:rPr>
          <w:rFonts w:ascii="Times New Roman" w:hAnsi="Times New Roman" w:cs="Times New Roman"/>
          <w:sz w:val="24"/>
          <w:szCs w:val="24"/>
        </w:rPr>
        <w:t>-</w:t>
      </w:r>
      <w:r>
        <w:rPr>
          <w:rFonts w:ascii="Times New Roman" w:hAnsi="Times New Roman" w:cs="Times New Roman"/>
          <w:sz w:val="24"/>
          <w:szCs w:val="24"/>
        </w:rPr>
        <w:t xml:space="preserve">слабите субекти по веригата, както и към постигане на пропорционалност при разпределянето на добавената стойност между участниците, реализирана по веригата. </w:t>
      </w:r>
      <w:r w:rsidRPr="006570B7">
        <w:rPr>
          <w:rFonts w:ascii="Times New Roman" w:hAnsi="Times New Roman" w:cs="Times New Roman"/>
          <w:i/>
          <w:sz w:val="24"/>
          <w:szCs w:val="24"/>
        </w:rPr>
        <w:t>Мерките за проследяване</w:t>
      </w:r>
      <w:r>
        <w:rPr>
          <w:rFonts w:ascii="Times New Roman" w:hAnsi="Times New Roman" w:cs="Times New Roman"/>
          <w:sz w:val="24"/>
          <w:szCs w:val="24"/>
        </w:rPr>
        <w:t xml:space="preserve"> следва да включват надежден инструментариум, позволяващ събиране на данни в реално време, наблюдение, анализ на данните и отчетност.</w:t>
      </w:r>
    </w:p>
    <w:p w14:paraId="62EB9C14" w14:textId="53223243" w:rsidR="006570B7" w:rsidRDefault="00687E37" w:rsidP="00DD69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Pr="0049543C">
        <w:rPr>
          <w:rFonts w:ascii="Times New Roman" w:eastAsia="Times New Roman" w:hAnsi="Times New Roman" w:cs="Times New Roman"/>
          <w:sz w:val="24"/>
          <w:szCs w:val="24"/>
        </w:rPr>
        <w:t xml:space="preserve">концепцията </w:t>
      </w:r>
      <w:r>
        <w:rPr>
          <w:rFonts w:ascii="Times New Roman" w:eastAsia="Times New Roman" w:hAnsi="Times New Roman" w:cs="Times New Roman"/>
          <w:sz w:val="24"/>
          <w:szCs w:val="24"/>
        </w:rPr>
        <w:t xml:space="preserve">за нова политика на </w:t>
      </w:r>
      <w:r w:rsidR="006570B7">
        <w:rPr>
          <w:rFonts w:ascii="Times New Roman" w:eastAsia="Times New Roman" w:hAnsi="Times New Roman" w:cs="Times New Roman"/>
          <w:sz w:val="24"/>
          <w:szCs w:val="24"/>
        </w:rPr>
        <w:t xml:space="preserve">държавата, свързана с приемането на специален </w:t>
      </w:r>
      <w:r w:rsidRPr="0049543C">
        <w:rPr>
          <w:rFonts w:ascii="Times New Roman" w:eastAsia="Times New Roman" w:hAnsi="Times New Roman" w:cs="Times New Roman"/>
          <w:sz w:val="24"/>
          <w:szCs w:val="24"/>
        </w:rPr>
        <w:t xml:space="preserve"> </w:t>
      </w:r>
      <w:r w:rsidR="006570B7">
        <w:rPr>
          <w:rFonts w:ascii="Times New Roman" w:eastAsia="Times New Roman" w:hAnsi="Times New Roman" w:cs="Times New Roman"/>
          <w:sz w:val="24"/>
          <w:szCs w:val="24"/>
        </w:rPr>
        <w:t>з</w:t>
      </w:r>
      <w:r w:rsidRPr="0049543C">
        <w:rPr>
          <w:rFonts w:ascii="Times New Roman" w:eastAsia="Times New Roman" w:hAnsi="Times New Roman" w:cs="Times New Roman"/>
          <w:sz w:val="24"/>
          <w:szCs w:val="24"/>
        </w:rPr>
        <w:t>акон за</w:t>
      </w:r>
      <w:r w:rsidR="006570B7">
        <w:rPr>
          <w:rFonts w:ascii="Times New Roman" w:eastAsia="Times New Roman" w:hAnsi="Times New Roman" w:cs="Times New Roman"/>
          <w:sz w:val="24"/>
          <w:szCs w:val="24"/>
        </w:rPr>
        <w:t xml:space="preserve"> регулиране по нов начин на отношенията по</w:t>
      </w:r>
      <w:r w:rsidRPr="0049543C">
        <w:rPr>
          <w:rFonts w:ascii="Times New Roman" w:eastAsia="Times New Roman" w:hAnsi="Times New Roman" w:cs="Times New Roman"/>
          <w:sz w:val="24"/>
          <w:szCs w:val="24"/>
        </w:rPr>
        <w:t xml:space="preserve"> веригата на доставки на земеделски продукти и храни</w:t>
      </w:r>
      <w:r w:rsidR="000272BF">
        <w:rPr>
          <w:rFonts w:ascii="Times New Roman" w:eastAsia="Times New Roman" w:hAnsi="Times New Roman" w:cs="Times New Roman"/>
          <w:sz w:val="24"/>
          <w:szCs w:val="24"/>
        </w:rPr>
        <w:t>,</w:t>
      </w:r>
      <w:r w:rsidR="006570B7">
        <w:rPr>
          <w:rFonts w:ascii="Times New Roman" w:eastAsia="Times New Roman" w:hAnsi="Times New Roman" w:cs="Times New Roman"/>
          <w:sz w:val="24"/>
          <w:szCs w:val="24"/>
        </w:rPr>
        <w:t xml:space="preserve"> се п</w:t>
      </w:r>
      <w:r w:rsidR="006570B7" w:rsidRPr="006570B7">
        <w:rPr>
          <w:rFonts w:ascii="Times New Roman" w:eastAsia="Times New Roman" w:hAnsi="Times New Roman" w:cs="Times New Roman"/>
          <w:sz w:val="24"/>
          <w:szCs w:val="24"/>
        </w:rPr>
        <w:t xml:space="preserve">редвижда </w:t>
      </w:r>
      <w:r w:rsidR="00506F92">
        <w:rPr>
          <w:rFonts w:ascii="Times New Roman" w:eastAsia="Times New Roman" w:hAnsi="Times New Roman" w:cs="Times New Roman"/>
          <w:sz w:val="24"/>
          <w:szCs w:val="24"/>
        </w:rPr>
        <w:t>и</w:t>
      </w:r>
      <w:r w:rsidR="006570B7" w:rsidRPr="006570B7">
        <w:rPr>
          <w:rFonts w:ascii="Times New Roman" w:eastAsia="Times New Roman" w:hAnsi="Times New Roman" w:cs="Times New Roman"/>
          <w:sz w:val="24"/>
          <w:szCs w:val="24"/>
        </w:rPr>
        <w:t xml:space="preserve"> създаването на специална правна уредба на договорите за изкупуване на земеделски продукти. </w:t>
      </w:r>
      <w:r w:rsidR="006570B7">
        <w:rPr>
          <w:rFonts w:ascii="Times New Roman" w:eastAsia="Times New Roman" w:hAnsi="Times New Roman" w:cs="Times New Roman"/>
          <w:sz w:val="24"/>
          <w:szCs w:val="24"/>
        </w:rPr>
        <w:t xml:space="preserve">Планира се и въвеждането на </w:t>
      </w:r>
      <w:r w:rsidR="006570B7" w:rsidRPr="00633B97">
        <w:rPr>
          <w:rFonts w:ascii="Times New Roman" w:eastAsia="Times New Roman" w:hAnsi="Times New Roman" w:cs="Times New Roman"/>
          <w:i/>
          <w:sz w:val="24"/>
          <w:szCs w:val="24"/>
        </w:rPr>
        <w:t>задължителна писмена форма на договорите</w:t>
      </w:r>
      <w:r w:rsidR="006570B7" w:rsidRPr="006570B7">
        <w:rPr>
          <w:rFonts w:ascii="Times New Roman" w:eastAsia="Times New Roman" w:hAnsi="Times New Roman" w:cs="Times New Roman"/>
          <w:sz w:val="24"/>
          <w:szCs w:val="24"/>
        </w:rPr>
        <w:t xml:space="preserve"> за изкупуване на първични земеделски продукти</w:t>
      </w:r>
      <w:r w:rsidR="006570B7">
        <w:rPr>
          <w:rFonts w:ascii="Times New Roman" w:eastAsia="Times New Roman" w:hAnsi="Times New Roman" w:cs="Times New Roman"/>
          <w:sz w:val="24"/>
          <w:szCs w:val="24"/>
        </w:rPr>
        <w:t xml:space="preserve">, както и определянето на минималното </w:t>
      </w:r>
      <w:r w:rsidR="006570B7" w:rsidRPr="006570B7">
        <w:rPr>
          <w:rFonts w:ascii="Times New Roman" w:eastAsia="Times New Roman" w:hAnsi="Times New Roman" w:cs="Times New Roman"/>
          <w:sz w:val="24"/>
          <w:szCs w:val="24"/>
        </w:rPr>
        <w:t>задължително съдържание на договорите за изкупуване</w:t>
      </w:r>
      <w:r w:rsidR="006570B7">
        <w:rPr>
          <w:rFonts w:ascii="Times New Roman" w:eastAsia="Times New Roman" w:hAnsi="Times New Roman" w:cs="Times New Roman"/>
          <w:sz w:val="24"/>
          <w:szCs w:val="24"/>
        </w:rPr>
        <w:t xml:space="preserve"> с възможности </w:t>
      </w:r>
      <w:r w:rsidR="006570B7" w:rsidRPr="006570B7">
        <w:rPr>
          <w:rFonts w:ascii="Times New Roman" w:eastAsia="Times New Roman" w:hAnsi="Times New Roman" w:cs="Times New Roman"/>
          <w:sz w:val="24"/>
          <w:szCs w:val="24"/>
        </w:rPr>
        <w:t>за</w:t>
      </w:r>
      <w:r w:rsidR="006570B7">
        <w:rPr>
          <w:rFonts w:ascii="Times New Roman" w:eastAsia="Times New Roman" w:hAnsi="Times New Roman" w:cs="Times New Roman"/>
          <w:sz w:val="24"/>
          <w:szCs w:val="24"/>
        </w:rPr>
        <w:t xml:space="preserve"> тяхното </w:t>
      </w:r>
      <w:r w:rsidR="006570B7" w:rsidRPr="006570B7">
        <w:rPr>
          <w:rFonts w:ascii="Times New Roman" w:eastAsia="Times New Roman" w:hAnsi="Times New Roman" w:cs="Times New Roman"/>
          <w:sz w:val="24"/>
          <w:szCs w:val="24"/>
        </w:rPr>
        <w:t>допълване</w:t>
      </w:r>
      <w:r w:rsidR="006570B7">
        <w:rPr>
          <w:rFonts w:ascii="Times New Roman" w:eastAsia="Times New Roman" w:hAnsi="Times New Roman" w:cs="Times New Roman"/>
          <w:sz w:val="24"/>
          <w:szCs w:val="24"/>
        </w:rPr>
        <w:t xml:space="preserve"> по волята на страните</w:t>
      </w:r>
      <w:r w:rsidR="006570B7" w:rsidRPr="006570B7">
        <w:rPr>
          <w:rFonts w:ascii="Times New Roman" w:eastAsia="Times New Roman" w:hAnsi="Times New Roman" w:cs="Times New Roman"/>
          <w:sz w:val="24"/>
          <w:szCs w:val="24"/>
        </w:rPr>
        <w:t>.</w:t>
      </w:r>
      <w:r w:rsidR="006570B7">
        <w:rPr>
          <w:rFonts w:ascii="Times New Roman" w:eastAsia="Times New Roman" w:hAnsi="Times New Roman" w:cs="Times New Roman"/>
          <w:sz w:val="24"/>
          <w:szCs w:val="24"/>
        </w:rPr>
        <w:t xml:space="preserve"> Това по своята същност са </w:t>
      </w:r>
      <w:r w:rsidR="006570B7" w:rsidRPr="006570B7">
        <w:rPr>
          <w:rFonts w:ascii="Times New Roman" w:eastAsia="Times New Roman" w:hAnsi="Times New Roman" w:cs="Times New Roman"/>
          <w:sz w:val="24"/>
          <w:szCs w:val="24"/>
        </w:rPr>
        <w:t>мерки за прозрачност</w:t>
      </w:r>
      <w:r w:rsidR="00633B97">
        <w:rPr>
          <w:rFonts w:ascii="Times New Roman" w:eastAsia="Times New Roman" w:hAnsi="Times New Roman" w:cs="Times New Roman"/>
          <w:sz w:val="24"/>
          <w:szCs w:val="24"/>
        </w:rPr>
        <w:t>,</w:t>
      </w:r>
      <w:r w:rsidR="006570B7">
        <w:rPr>
          <w:rFonts w:ascii="Times New Roman" w:eastAsia="Times New Roman" w:hAnsi="Times New Roman" w:cs="Times New Roman"/>
          <w:sz w:val="24"/>
          <w:szCs w:val="24"/>
        </w:rPr>
        <w:t xml:space="preserve"> правна сигурност и </w:t>
      </w:r>
      <w:r w:rsidR="00DA6E65">
        <w:rPr>
          <w:rFonts w:ascii="Times New Roman" w:eastAsia="Times New Roman" w:hAnsi="Times New Roman" w:cs="Times New Roman"/>
          <w:sz w:val="24"/>
          <w:szCs w:val="24"/>
        </w:rPr>
        <w:t>равнопоставеност</w:t>
      </w:r>
      <w:r w:rsidR="006570B7">
        <w:rPr>
          <w:rFonts w:ascii="Times New Roman" w:eastAsia="Times New Roman" w:hAnsi="Times New Roman" w:cs="Times New Roman"/>
          <w:sz w:val="24"/>
          <w:szCs w:val="24"/>
        </w:rPr>
        <w:t>.</w:t>
      </w:r>
    </w:p>
    <w:p w14:paraId="00EA4324" w14:textId="77777777" w:rsidR="006570B7" w:rsidRDefault="006570B7" w:rsidP="00DD69D5">
      <w:pPr>
        <w:spacing w:after="0" w:line="240" w:lineRule="auto"/>
        <w:ind w:firstLine="567"/>
        <w:jc w:val="both"/>
        <w:rPr>
          <w:rFonts w:ascii="Times New Roman" w:eastAsia="Times New Roman" w:hAnsi="Times New Roman" w:cs="Times New Roman"/>
          <w:sz w:val="24"/>
          <w:szCs w:val="24"/>
        </w:rPr>
      </w:pPr>
      <w:r w:rsidRPr="00B83A67">
        <w:rPr>
          <w:rFonts w:ascii="Times New Roman" w:eastAsia="Times New Roman" w:hAnsi="Times New Roman" w:cs="Times New Roman"/>
          <w:sz w:val="24"/>
          <w:szCs w:val="24"/>
        </w:rPr>
        <w:t>Според МЗХ, основната част от добавената стойност по веригата за доставки на храни отива при търговците и преработвателите и много малка част остава за земеделските производители. Последните, като звеното с най-слаби преговорни позиции във веригата на доставки</w:t>
      </w:r>
      <w:r w:rsidRPr="006570B7">
        <w:rPr>
          <w:rFonts w:ascii="Times New Roman" w:eastAsia="Times New Roman" w:hAnsi="Times New Roman" w:cs="Times New Roman"/>
          <w:sz w:val="24"/>
          <w:szCs w:val="24"/>
        </w:rPr>
        <w:t xml:space="preserve">, се нуждаят от специална защита при сключването и изпълнението на договорите за изкупуване. За нейното постигане се предвижда въвеждане на минимални срокове на действие на договорите за изкупуване на първични земеделски продукти, които отчитат продължителността на производствения цикъл в земеделието, забрана на определени договорни клаузи в договорите за изкупуване, както и срокове за плащане на цената, които са насочени към осигуряване на по-справедливо разпределение на добавената стойност за първичните производители във веригата на доставки. </w:t>
      </w:r>
    </w:p>
    <w:p w14:paraId="6B2E3F24" w14:textId="77777777" w:rsidR="00411C1D" w:rsidRDefault="006570B7" w:rsidP="00DD69D5">
      <w:pPr>
        <w:spacing w:after="0" w:line="240" w:lineRule="auto"/>
        <w:ind w:firstLine="567"/>
        <w:jc w:val="both"/>
        <w:rPr>
          <w:rFonts w:ascii="Times New Roman" w:eastAsia="Times New Roman" w:hAnsi="Times New Roman" w:cs="Times New Roman"/>
          <w:sz w:val="24"/>
          <w:szCs w:val="24"/>
        </w:rPr>
      </w:pPr>
      <w:r w:rsidRPr="006570B7">
        <w:rPr>
          <w:rFonts w:ascii="Times New Roman" w:eastAsia="Times New Roman" w:hAnsi="Times New Roman" w:cs="Times New Roman"/>
          <w:sz w:val="24"/>
          <w:szCs w:val="24"/>
        </w:rPr>
        <w:lastRenderedPageBreak/>
        <w:t xml:space="preserve">По отношение </w:t>
      </w:r>
      <w:r>
        <w:rPr>
          <w:rFonts w:ascii="Times New Roman" w:eastAsia="Times New Roman" w:hAnsi="Times New Roman" w:cs="Times New Roman"/>
          <w:sz w:val="24"/>
          <w:szCs w:val="24"/>
        </w:rPr>
        <w:t xml:space="preserve">единствено на </w:t>
      </w:r>
      <w:r w:rsidRPr="006570B7">
        <w:rPr>
          <w:rFonts w:ascii="Times New Roman" w:eastAsia="Times New Roman" w:hAnsi="Times New Roman" w:cs="Times New Roman"/>
          <w:sz w:val="24"/>
          <w:szCs w:val="24"/>
        </w:rPr>
        <w:t>покупко-продажба на списък</w:t>
      </w:r>
      <w:r w:rsidR="00DA6E65">
        <w:rPr>
          <w:rFonts w:ascii="Times New Roman" w:eastAsia="Times New Roman" w:hAnsi="Times New Roman" w:cs="Times New Roman"/>
          <w:sz w:val="24"/>
          <w:szCs w:val="24"/>
        </w:rPr>
        <w:t xml:space="preserve"> от</w:t>
      </w:r>
      <w:r w:rsidRPr="006570B7">
        <w:rPr>
          <w:rFonts w:ascii="Times New Roman" w:eastAsia="Times New Roman" w:hAnsi="Times New Roman" w:cs="Times New Roman"/>
          <w:sz w:val="24"/>
          <w:szCs w:val="24"/>
        </w:rPr>
        <w:t xml:space="preserve"> земеделски продукти и храни, определени с решение на Министерския съвет, се </w:t>
      </w:r>
      <w:r w:rsidR="00DA6E65">
        <w:rPr>
          <w:rFonts w:ascii="Times New Roman" w:eastAsia="Times New Roman" w:hAnsi="Times New Roman" w:cs="Times New Roman"/>
          <w:sz w:val="24"/>
          <w:szCs w:val="24"/>
        </w:rPr>
        <w:t xml:space="preserve">планира </w:t>
      </w:r>
      <w:r w:rsidRPr="006570B7">
        <w:rPr>
          <w:rFonts w:ascii="Times New Roman" w:eastAsia="Times New Roman" w:hAnsi="Times New Roman" w:cs="Times New Roman"/>
          <w:sz w:val="24"/>
          <w:szCs w:val="24"/>
        </w:rPr>
        <w:t>въвежда</w:t>
      </w:r>
      <w:r w:rsidR="00DA6E65">
        <w:rPr>
          <w:rFonts w:ascii="Times New Roman" w:eastAsia="Times New Roman" w:hAnsi="Times New Roman" w:cs="Times New Roman"/>
          <w:sz w:val="24"/>
          <w:szCs w:val="24"/>
        </w:rPr>
        <w:t>нето на</w:t>
      </w:r>
      <w:r w:rsidRPr="006570B7">
        <w:rPr>
          <w:rFonts w:ascii="Times New Roman" w:eastAsia="Times New Roman" w:hAnsi="Times New Roman" w:cs="Times New Roman"/>
          <w:sz w:val="24"/>
          <w:szCs w:val="24"/>
        </w:rPr>
        <w:t xml:space="preserve"> </w:t>
      </w:r>
      <w:r w:rsidRPr="00633B97">
        <w:rPr>
          <w:rFonts w:ascii="Times New Roman" w:eastAsia="Times New Roman" w:hAnsi="Times New Roman" w:cs="Times New Roman"/>
          <w:i/>
          <w:sz w:val="24"/>
          <w:szCs w:val="24"/>
        </w:rPr>
        <w:t>максимални търговски надценки</w:t>
      </w:r>
      <w:r w:rsidR="00DA6E65">
        <w:rPr>
          <w:rFonts w:ascii="Times New Roman" w:eastAsia="Times New Roman" w:hAnsi="Times New Roman" w:cs="Times New Roman"/>
          <w:sz w:val="24"/>
          <w:szCs w:val="24"/>
        </w:rPr>
        <w:t xml:space="preserve"> </w:t>
      </w:r>
      <w:r w:rsidRPr="006570B7">
        <w:rPr>
          <w:rFonts w:ascii="Times New Roman" w:eastAsia="Times New Roman" w:hAnsi="Times New Roman" w:cs="Times New Roman"/>
          <w:sz w:val="24"/>
          <w:szCs w:val="24"/>
        </w:rPr>
        <w:t>за</w:t>
      </w:r>
      <w:r w:rsidR="00DA6E65">
        <w:rPr>
          <w:rFonts w:ascii="Times New Roman" w:eastAsia="Times New Roman" w:hAnsi="Times New Roman" w:cs="Times New Roman"/>
          <w:sz w:val="24"/>
          <w:szCs w:val="24"/>
        </w:rPr>
        <w:t xml:space="preserve"> участниците по веригата на доставки като: преработватели, </w:t>
      </w:r>
      <w:r w:rsidRPr="006570B7">
        <w:rPr>
          <w:rFonts w:ascii="Times New Roman" w:eastAsia="Times New Roman" w:hAnsi="Times New Roman" w:cs="Times New Roman"/>
          <w:sz w:val="24"/>
          <w:szCs w:val="24"/>
        </w:rPr>
        <w:t xml:space="preserve">търговци на едро </w:t>
      </w:r>
      <w:r w:rsidR="00DA6E65">
        <w:rPr>
          <w:rFonts w:ascii="Times New Roman" w:eastAsia="Times New Roman" w:hAnsi="Times New Roman" w:cs="Times New Roman"/>
          <w:sz w:val="24"/>
          <w:szCs w:val="24"/>
        </w:rPr>
        <w:t>и</w:t>
      </w:r>
      <w:r w:rsidRPr="006570B7">
        <w:rPr>
          <w:rFonts w:ascii="Times New Roman" w:eastAsia="Times New Roman" w:hAnsi="Times New Roman" w:cs="Times New Roman"/>
          <w:sz w:val="24"/>
          <w:szCs w:val="24"/>
        </w:rPr>
        <w:t xml:space="preserve"> търговци на дребно с </w:t>
      </w:r>
      <w:r w:rsidR="00DA6E65">
        <w:rPr>
          <w:rFonts w:ascii="Times New Roman" w:eastAsia="Times New Roman" w:hAnsi="Times New Roman" w:cs="Times New Roman"/>
          <w:sz w:val="24"/>
          <w:szCs w:val="24"/>
        </w:rPr>
        <w:t xml:space="preserve">определен оборот над 20 млн. лева, които да бъдат посочени като конкретни проценти, изчислени от съответната стойност, отговаряща на звеното от веригата, в рамките на което се реализират дадените отношения. </w:t>
      </w:r>
    </w:p>
    <w:p w14:paraId="1CD5269A" w14:textId="683940C9" w:rsidR="00DA6E65" w:rsidRDefault="007B5A6E" w:rsidP="00DD69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Концепцията предвижда и въвеждането на </w:t>
      </w:r>
      <w:r w:rsidRPr="00633B97">
        <w:rPr>
          <w:rFonts w:ascii="Times New Roman" w:eastAsia="Times New Roman" w:hAnsi="Times New Roman" w:cs="Times New Roman"/>
          <w:i/>
          <w:sz w:val="24"/>
          <w:szCs w:val="24"/>
        </w:rPr>
        <w:t>специфични изисквания за асортимент</w:t>
      </w:r>
      <w:r>
        <w:rPr>
          <w:rFonts w:ascii="Times New Roman" w:eastAsia="Times New Roman" w:hAnsi="Times New Roman" w:cs="Times New Roman"/>
          <w:sz w:val="24"/>
          <w:szCs w:val="24"/>
        </w:rPr>
        <w:t>. В</w:t>
      </w:r>
      <w:r w:rsidRPr="007B5A6E">
        <w:rPr>
          <w:rFonts w:ascii="Times New Roman" w:eastAsia="Times New Roman" w:hAnsi="Times New Roman" w:cs="Times New Roman"/>
          <w:sz w:val="24"/>
          <w:szCs w:val="24"/>
        </w:rPr>
        <w:t>еригите от магазини, представляващи търговски обекти за продажба на дребно на храни, които разполагат с 10 и повече търговски обекта на територията на страната</w:t>
      </w:r>
      <w:r>
        <w:rPr>
          <w:rFonts w:ascii="Times New Roman" w:eastAsia="Times New Roman" w:hAnsi="Times New Roman" w:cs="Times New Roman"/>
          <w:sz w:val="24"/>
          <w:szCs w:val="24"/>
        </w:rPr>
        <w:t xml:space="preserve">, на местата където се предлагат хранителни продукти от основната потребителска кошница, </w:t>
      </w:r>
      <w:r w:rsidRPr="007B5A6E">
        <w:rPr>
          <w:rFonts w:ascii="Times New Roman" w:eastAsia="Times New Roman" w:hAnsi="Times New Roman" w:cs="Times New Roman"/>
          <w:sz w:val="24"/>
          <w:szCs w:val="24"/>
        </w:rPr>
        <w:t xml:space="preserve">задължително </w:t>
      </w:r>
      <w:r>
        <w:rPr>
          <w:rFonts w:ascii="Times New Roman" w:eastAsia="Times New Roman" w:hAnsi="Times New Roman" w:cs="Times New Roman"/>
          <w:sz w:val="24"/>
          <w:szCs w:val="24"/>
        </w:rPr>
        <w:t>да</w:t>
      </w:r>
      <w:r w:rsidRPr="007B5A6E">
        <w:rPr>
          <w:rFonts w:ascii="Times New Roman" w:eastAsia="Times New Roman" w:hAnsi="Times New Roman" w:cs="Times New Roman"/>
          <w:sz w:val="24"/>
          <w:szCs w:val="24"/>
        </w:rPr>
        <w:t xml:space="preserve"> обособява</w:t>
      </w:r>
      <w:r>
        <w:rPr>
          <w:rFonts w:ascii="Times New Roman" w:eastAsia="Times New Roman" w:hAnsi="Times New Roman" w:cs="Times New Roman"/>
          <w:sz w:val="24"/>
          <w:szCs w:val="24"/>
        </w:rPr>
        <w:t>т</w:t>
      </w:r>
      <w:r w:rsidRPr="007B5A6E">
        <w:rPr>
          <w:rFonts w:ascii="Times New Roman" w:eastAsia="Times New Roman" w:hAnsi="Times New Roman" w:cs="Times New Roman"/>
          <w:sz w:val="24"/>
          <w:szCs w:val="24"/>
        </w:rPr>
        <w:t xml:space="preserve"> място, в което се предлагат храни </w:t>
      </w:r>
      <w:r>
        <w:rPr>
          <w:rFonts w:ascii="Times New Roman" w:eastAsia="Times New Roman" w:hAnsi="Times New Roman" w:cs="Times New Roman"/>
          <w:sz w:val="24"/>
          <w:szCs w:val="24"/>
        </w:rPr>
        <w:t>само от</w:t>
      </w:r>
      <w:r w:rsidRPr="007B5A6E">
        <w:rPr>
          <w:rFonts w:ascii="Times New Roman" w:eastAsia="Times New Roman" w:hAnsi="Times New Roman" w:cs="Times New Roman"/>
          <w:sz w:val="24"/>
          <w:szCs w:val="24"/>
        </w:rPr>
        <w:t xml:space="preserve"> български земеделски производители или преработватели.</w:t>
      </w:r>
      <w:r>
        <w:rPr>
          <w:rFonts w:ascii="Times New Roman" w:eastAsia="Times New Roman" w:hAnsi="Times New Roman" w:cs="Times New Roman"/>
          <w:sz w:val="24"/>
          <w:szCs w:val="24"/>
        </w:rPr>
        <w:t xml:space="preserve"> Тези храни не следва </w:t>
      </w:r>
      <w:r w:rsidRPr="007B5A6E">
        <w:rPr>
          <w:rFonts w:ascii="Times New Roman" w:eastAsia="Times New Roman" w:hAnsi="Times New Roman" w:cs="Times New Roman"/>
          <w:sz w:val="24"/>
          <w:szCs w:val="24"/>
        </w:rPr>
        <w:t>да бъдат по-малко от 50 на сто от целия асортимент от същите групи храни, предлагани в обекта.</w:t>
      </w:r>
      <w:r>
        <w:rPr>
          <w:rFonts w:ascii="Times New Roman" w:eastAsia="Times New Roman" w:hAnsi="Times New Roman" w:cs="Times New Roman"/>
          <w:sz w:val="24"/>
          <w:szCs w:val="24"/>
        </w:rPr>
        <w:t xml:space="preserve"> </w:t>
      </w:r>
      <w:r w:rsidR="00DA6E65">
        <w:rPr>
          <w:rFonts w:ascii="Times New Roman" w:eastAsia="Times New Roman" w:hAnsi="Times New Roman" w:cs="Times New Roman"/>
          <w:sz w:val="24"/>
          <w:szCs w:val="24"/>
        </w:rPr>
        <w:t>Това на практика са изравнителни мерки, целящи постигане на равнопоставеност и пропорционалност при разпределянето на добавената стойност по цялата верига на доставки.</w:t>
      </w:r>
    </w:p>
    <w:p w14:paraId="195D1FD4" w14:textId="5CD18F23" w:rsidR="00DA6E65" w:rsidRDefault="006570B7" w:rsidP="00DD69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следващо място, планира се въвеждането на дефиниция за п</w:t>
      </w:r>
      <w:r w:rsidRPr="006570B7">
        <w:rPr>
          <w:rFonts w:ascii="Times New Roman" w:eastAsia="Times New Roman" w:hAnsi="Times New Roman" w:cs="Times New Roman"/>
          <w:sz w:val="24"/>
          <w:szCs w:val="24"/>
        </w:rPr>
        <w:t>ърви изкупвачи</w:t>
      </w:r>
      <w:r>
        <w:rPr>
          <w:rFonts w:ascii="Times New Roman" w:eastAsia="Times New Roman" w:hAnsi="Times New Roman" w:cs="Times New Roman"/>
          <w:sz w:val="24"/>
          <w:szCs w:val="24"/>
        </w:rPr>
        <w:t xml:space="preserve">, които са лицата, които са на страната на купувача при първата продажба на </w:t>
      </w:r>
      <w:r w:rsidRPr="006570B7">
        <w:rPr>
          <w:rFonts w:ascii="Times New Roman" w:eastAsia="Times New Roman" w:hAnsi="Times New Roman" w:cs="Times New Roman"/>
          <w:sz w:val="24"/>
          <w:szCs w:val="24"/>
        </w:rPr>
        <w:t>едро на земеделските продукти от техния производител</w:t>
      </w:r>
      <w:r w:rsidR="00DA6E65">
        <w:rPr>
          <w:rFonts w:ascii="Times New Roman" w:eastAsia="Times New Roman" w:hAnsi="Times New Roman" w:cs="Times New Roman"/>
          <w:sz w:val="24"/>
          <w:szCs w:val="24"/>
        </w:rPr>
        <w:t xml:space="preserve">. Тези лица следва да отговарят на определени изисквания, и да са вписани в нарочен </w:t>
      </w:r>
      <w:r w:rsidR="00DA6E65" w:rsidRPr="00DA6E65">
        <w:rPr>
          <w:rFonts w:ascii="Times New Roman" w:eastAsia="Times New Roman" w:hAnsi="Times New Roman" w:cs="Times New Roman"/>
          <w:sz w:val="24"/>
          <w:szCs w:val="24"/>
        </w:rPr>
        <w:t xml:space="preserve">публичен </w:t>
      </w:r>
      <w:r w:rsidR="00DA6E65" w:rsidRPr="00633B97">
        <w:rPr>
          <w:rFonts w:ascii="Times New Roman" w:eastAsia="Times New Roman" w:hAnsi="Times New Roman" w:cs="Times New Roman"/>
          <w:i/>
          <w:sz w:val="24"/>
          <w:szCs w:val="24"/>
        </w:rPr>
        <w:t>електронен регистър на първите изкупвачи</w:t>
      </w:r>
      <w:r w:rsidR="00DA6E65" w:rsidRPr="00DA6E65">
        <w:rPr>
          <w:rFonts w:ascii="Times New Roman" w:eastAsia="Times New Roman" w:hAnsi="Times New Roman" w:cs="Times New Roman"/>
          <w:sz w:val="24"/>
          <w:szCs w:val="24"/>
        </w:rPr>
        <w:t xml:space="preserve"> на земеделски продукти</w:t>
      </w:r>
      <w:r w:rsidR="00DA6E65">
        <w:rPr>
          <w:rFonts w:ascii="Times New Roman" w:eastAsia="Times New Roman" w:hAnsi="Times New Roman" w:cs="Times New Roman"/>
          <w:sz w:val="24"/>
          <w:szCs w:val="24"/>
        </w:rPr>
        <w:t>, поддържан от МЗХ,</w:t>
      </w:r>
      <w:r w:rsidR="00DA6E65" w:rsidRPr="00DA6E65">
        <w:rPr>
          <w:rFonts w:ascii="Times New Roman" w:eastAsia="Times New Roman" w:hAnsi="Times New Roman" w:cs="Times New Roman"/>
          <w:sz w:val="24"/>
          <w:szCs w:val="24"/>
        </w:rPr>
        <w:t xml:space="preserve"> </w:t>
      </w:r>
      <w:r w:rsidR="00DA6E65">
        <w:rPr>
          <w:rFonts w:ascii="Times New Roman" w:eastAsia="Times New Roman" w:hAnsi="Times New Roman" w:cs="Times New Roman"/>
          <w:sz w:val="24"/>
          <w:szCs w:val="24"/>
        </w:rPr>
        <w:t>който позволява</w:t>
      </w:r>
      <w:r w:rsidR="00DA6E65" w:rsidRPr="00DA6E65">
        <w:rPr>
          <w:rFonts w:ascii="Times New Roman" w:eastAsia="Times New Roman" w:hAnsi="Times New Roman" w:cs="Times New Roman"/>
          <w:sz w:val="24"/>
          <w:szCs w:val="24"/>
        </w:rPr>
        <w:t xml:space="preserve"> ползване на информация </w:t>
      </w:r>
      <w:r w:rsidR="00DA6E65">
        <w:rPr>
          <w:rFonts w:ascii="Times New Roman" w:eastAsia="Times New Roman" w:hAnsi="Times New Roman" w:cs="Times New Roman"/>
          <w:sz w:val="24"/>
          <w:szCs w:val="24"/>
        </w:rPr>
        <w:t xml:space="preserve">и </w:t>
      </w:r>
      <w:r w:rsidR="00DA6E65" w:rsidRPr="00DA6E65">
        <w:rPr>
          <w:rFonts w:ascii="Times New Roman" w:eastAsia="Times New Roman" w:hAnsi="Times New Roman" w:cs="Times New Roman"/>
          <w:sz w:val="24"/>
          <w:szCs w:val="24"/>
        </w:rPr>
        <w:t>от други регистри на</w:t>
      </w:r>
      <w:r w:rsidR="00DA6E65">
        <w:rPr>
          <w:rFonts w:ascii="Times New Roman" w:eastAsia="Times New Roman" w:hAnsi="Times New Roman" w:cs="Times New Roman"/>
          <w:sz w:val="24"/>
          <w:szCs w:val="24"/>
        </w:rPr>
        <w:t xml:space="preserve"> публични органи и институции</w:t>
      </w:r>
      <w:r w:rsidR="00DA6E65" w:rsidRPr="00DA6E65">
        <w:rPr>
          <w:rFonts w:ascii="Times New Roman" w:eastAsia="Times New Roman" w:hAnsi="Times New Roman" w:cs="Times New Roman"/>
          <w:sz w:val="24"/>
          <w:szCs w:val="24"/>
        </w:rPr>
        <w:t>.</w:t>
      </w:r>
    </w:p>
    <w:p w14:paraId="5D55440C" w14:textId="6FA32618" w:rsidR="00DA6E65" w:rsidRDefault="00DA6E65" w:rsidP="00DD69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Предвижда се и с</w:t>
      </w:r>
      <w:r w:rsidRPr="00DA6E65">
        <w:rPr>
          <w:rFonts w:ascii="Times New Roman" w:eastAsia="Times New Roman" w:hAnsi="Times New Roman" w:cs="Times New Roman"/>
          <w:sz w:val="24"/>
          <w:szCs w:val="24"/>
        </w:rPr>
        <w:t>ъздава</w:t>
      </w:r>
      <w:r>
        <w:rPr>
          <w:rFonts w:ascii="Times New Roman" w:eastAsia="Times New Roman" w:hAnsi="Times New Roman" w:cs="Times New Roman"/>
          <w:sz w:val="24"/>
          <w:szCs w:val="24"/>
        </w:rPr>
        <w:t>н</w:t>
      </w:r>
      <w:r w:rsidRPr="00DA6E65">
        <w:rPr>
          <w:rFonts w:ascii="Times New Roman" w:eastAsia="Times New Roman" w:hAnsi="Times New Roman" w:cs="Times New Roman"/>
          <w:sz w:val="24"/>
          <w:szCs w:val="24"/>
        </w:rPr>
        <w:t>е</w:t>
      </w:r>
      <w:r>
        <w:rPr>
          <w:rFonts w:ascii="Times New Roman" w:eastAsia="Times New Roman" w:hAnsi="Times New Roman" w:cs="Times New Roman"/>
          <w:sz w:val="24"/>
          <w:szCs w:val="24"/>
        </w:rPr>
        <w:t>то на</w:t>
      </w:r>
      <w:r w:rsidRPr="00DA6E65">
        <w:rPr>
          <w:rFonts w:ascii="Times New Roman" w:eastAsia="Times New Roman" w:hAnsi="Times New Roman" w:cs="Times New Roman"/>
          <w:sz w:val="24"/>
          <w:szCs w:val="24"/>
        </w:rPr>
        <w:t xml:space="preserve"> </w:t>
      </w:r>
      <w:r w:rsidRPr="00633B97">
        <w:rPr>
          <w:rFonts w:ascii="Times New Roman" w:eastAsia="Times New Roman" w:hAnsi="Times New Roman" w:cs="Times New Roman"/>
          <w:i/>
          <w:sz w:val="24"/>
          <w:szCs w:val="24"/>
        </w:rPr>
        <w:t>електронна система за проследимост</w:t>
      </w:r>
      <w:r w:rsidRPr="00DA6E65">
        <w:rPr>
          <w:rFonts w:ascii="Times New Roman" w:eastAsia="Times New Roman" w:hAnsi="Times New Roman" w:cs="Times New Roman"/>
          <w:sz w:val="24"/>
          <w:szCs w:val="24"/>
        </w:rPr>
        <w:t xml:space="preserve"> на веригата за доставки на земеделски продукти и храни към Министерство на икономиката и индустрията. </w:t>
      </w:r>
      <w:r>
        <w:rPr>
          <w:rFonts w:ascii="Times New Roman" w:eastAsia="Times New Roman" w:hAnsi="Times New Roman" w:cs="Times New Roman"/>
          <w:sz w:val="24"/>
          <w:szCs w:val="24"/>
        </w:rPr>
        <w:t>Плановете са с</w:t>
      </w:r>
      <w:r w:rsidRPr="00DA6E65">
        <w:rPr>
          <w:rFonts w:ascii="Times New Roman" w:eastAsia="Times New Roman" w:hAnsi="Times New Roman" w:cs="Times New Roman"/>
          <w:sz w:val="24"/>
          <w:szCs w:val="24"/>
        </w:rPr>
        <w:t>истемата</w:t>
      </w:r>
      <w:r>
        <w:rPr>
          <w:rFonts w:ascii="Times New Roman" w:eastAsia="Times New Roman" w:hAnsi="Times New Roman" w:cs="Times New Roman"/>
          <w:sz w:val="24"/>
          <w:szCs w:val="24"/>
        </w:rPr>
        <w:t xml:space="preserve"> да</w:t>
      </w:r>
      <w:r w:rsidRPr="00DA6E65">
        <w:rPr>
          <w:rFonts w:ascii="Times New Roman" w:eastAsia="Times New Roman" w:hAnsi="Times New Roman" w:cs="Times New Roman"/>
          <w:sz w:val="24"/>
          <w:szCs w:val="24"/>
        </w:rPr>
        <w:t xml:space="preserve"> се състои от публична и специализирана част. Публичната част съдържа информация относно среднопретеглени цени на земеделските продукти и храни по цялата верига на доставки, които се публикуват до 20–то</w:t>
      </w:r>
      <w:r w:rsidR="00926764">
        <w:rPr>
          <w:rFonts w:ascii="Times New Roman" w:eastAsia="Times New Roman" w:hAnsi="Times New Roman" w:cs="Times New Roman"/>
          <w:sz w:val="24"/>
          <w:szCs w:val="24"/>
        </w:rPr>
        <w:t xml:space="preserve"> число</w:t>
      </w:r>
      <w:r w:rsidRPr="00DA6E65">
        <w:rPr>
          <w:rFonts w:ascii="Times New Roman" w:eastAsia="Times New Roman" w:hAnsi="Times New Roman" w:cs="Times New Roman"/>
          <w:sz w:val="24"/>
          <w:szCs w:val="24"/>
        </w:rPr>
        <w:t xml:space="preserve"> </w:t>
      </w:r>
      <w:r w:rsidR="00411C1D">
        <w:rPr>
          <w:rFonts w:ascii="Times New Roman" w:eastAsia="Times New Roman" w:hAnsi="Times New Roman" w:cs="Times New Roman"/>
          <w:sz w:val="24"/>
          <w:szCs w:val="24"/>
        </w:rPr>
        <w:t>на</w:t>
      </w:r>
      <w:r w:rsidRPr="00DA6E65">
        <w:rPr>
          <w:rFonts w:ascii="Times New Roman" w:eastAsia="Times New Roman" w:hAnsi="Times New Roman" w:cs="Times New Roman"/>
          <w:sz w:val="24"/>
          <w:szCs w:val="24"/>
        </w:rPr>
        <w:t xml:space="preserve"> всеки месец за предходния месец</w:t>
      </w:r>
      <w:r>
        <w:rPr>
          <w:rFonts w:ascii="Times New Roman" w:eastAsia="Times New Roman" w:hAnsi="Times New Roman" w:cs="Times New Roman"/>
          <w:sz w:val="24"/>
          <w:szCs w:val="24"/>
        </w:rPr>
        <w:t xml:space="preserve">. Системата следва да позволява широк списък от институции </w:t>
      </w:r>
      <w:r w:rsidR="00411C1D">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а могат да предоставят и получават </w:t>
      </w:r>
      <w:r w:rsidRPr="00DA6E65">
        <w:rPr>
          <w:rFonts w:ascii="Times New Roman" w:eastAsia="Times New Roman" w:hAnsi="Times New Roman" w:cs="Times New Roman"/>
          <w:sz w:val="24"/>
          <w:szCs w:val="24"/>
        </w:rPr>
        <w:t>информация, имаща отношение към проследимостта на храните, в съответствие с данните, поддържани в администрираните от тях информационни системи</w:t>
      </w:r>
      <w:r>
        <w:rPr>
          <w:rFonts w:ascii="Times New Roman" w:eastAsia="Times New Roman" w:hAnsi="Times New Roman" w:cs="Times New Roman"/>
          <w:sz w:val="24"/>
          <w:szCs w:val="24"/>
        </w:rPr>
        <w:t xml:space="preserve">. </w:t>
      </w:r>
    </w:p>
    <w:p w14:paraId="7CEF6154" w14:textId="24792048" w:rsidR="007B5A6E" w:rsidRPr="00F170E6" w:rsidRDefault="007B5A6E" w:rsidP="00DD69D5">
      <w:pPr>
        <w:spacing w:after="0" w:line="240" w:lineRule="auto"/>
        <w:ind w:firstLine="567"/>
        <w:jc w:val="both"/>
        <w:rPr>
          <w:rFonts w:ascii="Times New Roman" w:hAnsi="Times New Roman"/>
          <w:b/>
          <w:sz w:val="24"/>
        </w:rPr>
      </w:pPr>
      <w:r>
        <w:rPr>
          <w:rFonts w:ascii="Times New Roman" w:eastAsia="Times New Roman" w:hAnsi="Times New Roman" w:cs="Times New Roman"/>
          <w:sz w:val="24"/>
          <w:szCs w:val="24"/>
        </w:rPr>
        <w:t xml:space="preserve">Накрая с концепцията се предвижда създаването и на </w:t>
      </w:r>
      <w:r w:rsidR="00EE3B9F">
        <w:rPr>
          <w:rFonts w:ascii="Times New Roman" w:eastAsia="Times New Roman" w:hAnsi="Times New Roman" w:cs="Times New Roman"/>
          <w:i/>
          <w:sz w:val="24"/>
          <w:szCs w:val="24"/>
        </w:rPr>
        <w:t>О</w:t>
      </w:r>
      <w:r w:rsidR="00EE3B9F" w:rsidRPr="00633B97">
        <w:rPr>
          <w:rFonts w:ascii="Times New Roman" w:eastAsia="Times New Roman" w:hAnsi="Times New Roman" w:cs="Times New Roman"/>
          <w:i/>
          <w:sz w:val="24"/>
          <w:szCs w:val="24"/>
        </w:rPr>
        <w:t xml:space="preserve">бсерватория </w:t>
      </w:r>
      <w:r w:rsidRPr="00633B97">
        <w:rPr>
          <w:rFonts w:ascii="Times New Roman" w:eastAsia="Times New Roman" w:hAnsi="Times New Roman" w:cs="Times New Roman"/>
          <w:i/>
          <w:sz w:val="24"/>
          <w:szCs w:val="24"/>
        </w:rPr>
        <w:t>на веригата на доставки на земеделски продукти и храни</w:t>
      </w:r>
      <w:r>
        <w:rPr>
          <w:rFonts w:ascii="Times New Roman" w:eastAsia="Times New Roman" w:hAnsi="Times New Roman" w:cs="Times New Roman"/>
          <w:sz w:val="24"/>
          <w:szCs w:val="24"/>
        </w:rPr>
        <w:t xml:space="preserve"> към МС, включваща представители от отделните компетентни министерства и ведомства, която да </w:t>
      </w:r>
      <w:r w:rsidRPr="007B5A6E">
        <w:rPr>
          <w:rFonts w:ascii="Times New Roman" w:hAnsi="Times New Roman"/>
          <w:sz w:val="24"/>
        </w:rPr>
        <w:t>събира информация от държавните органи и организации</w:t>
      </w:r>
      <w:r w:rsidR="00633B97">
        <w:rPr>
          <w:rFonts w:ascii="Times New Roman" w:hAnsi="Times New Roman"/>
          <w:sz w:val="24"/>
        </w:rPr>
        <w:t>,</w:t>
      </w:r>
      <w:r>
        <w:rPr>
          <w:rFonts w:ascii="Times New Roman" w:hAnsi="Times New Roman"/>
          <w:sz w:val="24"/>
        </w:rPr>
        <w:t xml:space="preserve"> да изследва развитието на отношенията</w:t>
      </w:r>
      <w:r w:rsidR="00633B97">
        <w:rPr>
          <w:rFonts w:ascii="Times New Roman" w:hAnsi="Times New Roman"/>
          <w:sz w:val="24"/>
        </w:rPr>
        <w:t xml:space="preserve"> по веригата, да анализира структурата на цените</w:t>
      </w:r>
      <w:r w:rsidR="00D22189">
        <w:rPr>
          <w:rFonts w:ascii="Times New Roman" w:hAnsi="Times New Roman"/>
          <w:sz w:val="24"/>
        </w:rPr>
        <w:t>,</w:t>
      </w:r>
      <w:r w:rsidR="00633B97">
        <w:rPr>
          <w:rFonts w:ascii="Times New Roman" w:hAnsi="Times New Roman"/>
          <w:sz w:val="24"/>
        </w:rPr>
        <w:t xml:space="preserve"> да проучва редовно начините на формиране на крайните цени и др. Планира се </w:t>
      </w:r>
      <w:r w:rsidR="00EE3B9F">
        <w:rPr>
          <w:rFonts w:ascii="Times New Roman" w:hAnsi="Times New Roman"/>
          <w:sz w:val="24"/>
        </w:rPr>
        <w:t xml:space="preserve">Обсерваторията </w:t>
      </w:r>
      <w:r w:rsidR="00633B97">
        <w:rPr>
          <w:rFonts w:ascii="Times New Roman" w:hAnsi="Times New Roman"/>
          <w:sz w:val="24"/>
        </w:rPr>
        <w:t xml:space="preserve">да публикува обобщени доклади </w:t>
      </w:r>
      <w:r w:rsidR="00633B97" w:rsidRPr="00633B97">
        <w:rPr>
          <w:rFonts w:ascii="Times New Roman" w:hAnsi="Times New Roman"/>
          <w:sz w:val="24"/>
        </w:rPr>
        <w:t>за изследваните продукти по сектори</w:t>
      </w:r>
      <w:r w:rsidR="00633B97">
        <w:rPr>
          <w:rFonts w:ascii="Times New Roman" w:hAnsi="Times New Roman"/>
          <w:sz w:val="24"/>
        </w:rPr>
        <w:t xml:space="preserve"> на всяко тримесечие, както и да внася </w:t>
      </w:r>
      <w:r w:rsidRPr="00633B97">
        <w:rPr>
          <w:rFonts w:ascii="Times New Roman" w:hAnsi="Times New Roman"/>
          <w:sz w:val="24"/>
        </w:rPr>
        <w:t>в Народното събрание годишен доклад за състоянието на функционирането на веригата на доставки на земеделски продукти и храни.</w:t>
      </w:r>
      <w:r w:rsidR="00633B97">
        <w:rPr>
          <w:rFonts w:ascii="Times New Roman" w:hAnsi="Times New Roman"/>
          <w:sz w:val="24"/>
        </w:rPr>
        <w:t xml:space="preserve"> Последните три посочени планирани интервенции на практика представляват мерки за </w:t>
      </w:r>
      <w:r w:rsidR="00C069E6">
        <w:rPr>
          <w:rFonts w:ascii="Times New Roman" w:hAnsi="Times New Roman"/>
          <w:sz w:val="24"/>
        </w:rPr>
        <w:t>проследимост</w:t>
      </w:r>
      <w:r w:rsidR="00633B97">
        <w:rPr>
          <w:rFonts w:ascii="Times New Roman" w:hAnsi="Times New Roman"/>
          <w:sz w:val="24"/>
        </w:rPr>
        <w:t>.</w:t>
      </w:r>
    </w:p>
    <w:p w14:paraId="0675CE07" w14:textId="77777777" w:rsidR="007B5A6E" w:rsidRPr="00F170E6" w:rsidRDefault="007B5A6E" w:rsidP="007B5A6E">
      <w:pPr>
        <w:pStyle w:val="Bodytext10"/>
        <w:spacing w:line="240" w:lineRule="auto"/>
        <w:ind w:firstLine="720"/>
        <w:jc w:val="both"/>
        <w:rPr>
          <w:rFonts w:ascii="Times New Roman" w:hAnsi="Times New Roman"/>
          <w:b/>
          <w:sz w:val="24"/>
        </w:rPr>
      </w:pPr>
    </w:p>
    <w:bookmarkEnd w:id="15"/>
    <w:p w14:paraId="199DD449" w14:textId="77777777" w:rsidR="00BE22FB" w:rsidRPr="007B4A99" w:rsidRDefault="00BE22FB" w:rsidP="00E913D0">
      <w:pPr>
        <w:spacing w:after="0"/>
        <w:ind w:firstLine="567"/>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431C4" w:rsidRPr="007B4A99" w14:paraId="22CF963B" w14:textId="77777777" w:rsidTr="00DD69D5">
        <w:tc>
          <w:tcPr>
            <w:tcW w:w="9062" w:type="dxa"/>
          </w:tcPr>
          <w:p w14:paraId="5460DB72" w14:textId="3C3D9E3E" w:rsidR="00B431C4" w:rsidRPr="007B4A99" w:rsidRDefault="00E913D0" w:rsidP="00761C95">
            <w:pPr>
              <w:jc w:val="both"/>
              <w:rPr>
                <w:rFonts w:ascii="Times New Roman" w:hAnsi="Times New Roman" w:cs="Times New Roman"/>
              </w:rPr>
            </w:pPr>
            <w:r w:rsidRPr="007B4A99">
              <w:rPr>
                <w:rFonts w:ascii="Times New Roman" w:eastAsia="Times New Roman" w:hAnsi="Times New Roman" w:cs="Times New Roman"/>
                <w:sz w:val="24"/>
                <w:szCs w:val="24"/>
              </w:rPr>
              <w:lastRenderedPageBreak/>
              <w:t xml:space="preserve"> </w:t>
            </w:r>
            <w:r w:rsidR="00B431C4" w:rsidRPr="007B4A99">
              <w:rPr>
                <w:rFonts w:ascii="Century" w:hAnsi="Century" w:cs="Times New Roman"/>
                <w:i/>
              </w:rPr>
              <w:t>Опишете изследваните варианти за постигане на заложените цели за всеки от описаните проблеми, включително алтернативи на предприемането на нормативна промяна. Опишете накратко потенциалните рискове, свързани с вариантите, каква е вероятността те да настъпят и техния ефект, ако настъпят.</w:t>
            </w:r>
          </w:p>
        </w:tc>
      </w:tr>
    </w:tbl>
    <w:p w14:paraId="0B715250" w14:textId="77777777" w:rsidR="0009775E" w:rsidRDefault="0009775E" w:rsidP="00EF52C3">
      <w:pPr>
        <w:spacing w:after="0"/>
        <w:ind w:firstLine="567"/>
        <w:jc w:val="both"/>
        <w:rPr>
          <w:rFonts w:ascii="Times New Roman" w:hAnsi="Times New Roman" w:cs="Times New Roman"/>
          <w:b/>
          <w:sz w:val="24"/>
          <w:szCs w:val="24"/>
        </w:rPr>
      </w:pPr>
    </w:p>
    <w:p w14:paraId="7FA868A8" w14:textId="77777777" w:rsidR="00411C1D" w:rsidRDefault="00411C1D" w:rsidP="00EF52C3">
      <w:pPr>
        <w:spacing w:after="0"/>
        <w:ind w:firstLine="567"/>
        <w:jc w:val="both"/>
        <w:rPr>
          <w:rFonts w:ascii="Times New Roman" w:hAnsi="Times New Roman" w:cs="Times New Roman"/>
          <w:b/>
          <w:sz w:val="24"/>
          <w:szCs w:val="24"/>
        </w:rPr>
      </w:pPr>
    </w:p>
    <w:p w14:paraId="1B9B325D" w14:textId="77777777" w:rsidR="00411C1D" w:rsidRDefault="00411C1D" w:rsidP="00EF52C3">
      <w:pPr>
        <w:spacing w:after="0"/>
        <w:ind w:firstLine="567"/>
        <w:jc w:val="both"/>
        <w:rPr>
          <w:rFonts w:ascii="Times New Roman" w:hAnsi="Times New Roman" w:cs="Times New Roman"/>
          <w:b/>
          <w:sz w:val="24"/>
          <w:szCs w:val="24"/>
        </w:rPr>
      </w:pPr>
    </w:p>
    <w:p w14:paraId="2BE7C7CB" w14:textId="77777777" w:rsidR="00411C1D" w:rsidRDefault="00411C1D" w:rsidP="00EF52C3">
      <w:pPr>
        <w:spacing w:after="0"/>
        <w:ind w:firstLine="567"/>
        <w:jc w:val="both"/>
        <w:rPr>
          <w:rFonts w:ascii="Times New Roman" w:hAnsi="Times New Roman" w:cs="Times New Roman"/>
          <w:b/>
          <w:sz w:val="24"/>
          <w:szCs w:val="24"/>
        </w:rPr>
      </w:pPr>
    </w:p>
    <w:p w14:paraId="75E87E73" w14:textId="77777777" w:rsidR="00411C1D" w:rsidRDefault="00411C1D" w:rsidP="00EF52C3">
      <w:pPr>
        <w:spacing w:after="0"/>
        <w:ind w:firstLine="567"/>
        <w:jc w:val="both"/>
        <w:rPr>
          <w:rFonts w:ascii="Times New Roman" w:hAnsi="Times New Roman" w:cs="Times New Roman"/>
          <w:b/>
          <w:sz w:val="24"/>
          <w:szCs w:val="24"/>
        </w:rPr>
      </w:pPr>
    </w:p>
    <w:p w14:paraId="7347FB75" w14:textId="77777777" w:rsidR="00411C1D" w:rsidRDefault="00411C1D" w:rsidP="00EF52C3">
      <w:pPr>
        <w:spacing w:after="0"/>
        <w:ind w:firstLine="567"/>
        <w:jc w:val="both"/>
        <w:rPr>
          <w:rFonts w:ascii="Times New Roman" w:hAnsi="Times New Roman" w:cs="Times New Roman"/>
          <w:b/>
          <w:sz w:val="24"/>
          <w:szCs w:val="24"/>
        </w:rPr>
      </w:pPr>
    </w:p>
    <w:p w14:paraId="2B86B71C" w14:textId="77777777" w:rsidR="00411C1D" w:rsidRDefault="00411C1D" w:rsidP="00EF52C3">
      <w:pPr>
        <w:spacing w:after="0"/>
        <w:ind w:firstLine="567"/>
        <w:jc w:val="both"/>
        <w:rPr>
          <w:rFonts w:ascii="Times New Roman" w:hAnsi="Times New Roman" w:cs="Times New Roman"/>
          <w:b/>
          <w:sz w:val="24"/>
          <w:szCs w:val="24"/>
        </w:rPr>
      </w:pPr>
    </w:p>
    <w:p w14:paraId="6A2B6D88" w14:textId="77777777" w:rsidR="00411C1D" w:rsidRDefault="00411C1D" w:rsidP="00EF52C3">
      <w:pPr>
        <w:spacing w:after="0"/>
        <w:ind w:firstLine="567"/>
        <w:jc w:val="both"/>
        <w:rPr>
          <w:rFonts w:ascii="Times New Roman" w:hAnsi="Times New Roman" w:cs="Times New Roman"/>
          <w:b/>
          <w:sz w:val="24"/>
          <w:szCs w:val="24"/>
        </w:rPr>
      </w:pPr>
    </w:p>
    <w:p w14:paraId="1F15FBBC" w14:textId="77777777" w:rsidR="00411C1D" w:rsidRDefault="00411C1D" w:rsidP="00EF52C3">
      <w:pPr>
        <w:spacing w:after="0"/>
        <w:ind w:firstLine="567"/>
        <w:jc w:val="both"/>
        <w:rPr>
          <w:rFonts w:ascii="Times New Roman" w:hAnsi="Times New Roman" w:cs="Times New Roman"/>
          <w:b/>
          <w:sz w:val="24"/>
          <w:szCs w:val="24"/>
        </w:rPr>
      </w:pPr>
    </w:p>
    <w:p w14:paraId="29672268" w14:textId="77777777" w:rsidR="00411C1D" w:rsidRDefault="00411C1D" w:rsidP="00EF52C3">
      <w:pPr>
        <w:spacing w:after="0"/>
        <w:ind w:firstLine="567"/>
        <w:jc w:val="both"/>
        <w:rPr>
          <w:rFonts w:ascii="Times New Roman" w:hAnsi="Times New Roman" w:cs="Times New Roman"/>
          <w:b/>
          <w:sz w:val="24"/>
          <w:szCs w:val="24"/>
        </w:rPr>
      </w:pPr>
    </w:p>
    <w:p w14:paraId="749FB1B7" w14:textId="77777777" w:rsidR="00411C1D" w:rsidRDefault="00411C1D" w:rsidP="00EF52C3">
      <w:pPr>
        <w:spacing w:after="0"/>
        <w:ind w:firstLine="567"/>
        <w:jc w:val="both"/>
        <w:rPr>
          <w:rFonts w:ascii="Times New Roman" w:hAnsi="Times New Roman" w:cs="Times New Roman"/>
          <w:b/>
          <w:sz w:val="24"/>
          <w:szCs w:val="24"/>
        </w:rPr>
      </w:pPr>
    </w:p>
    <w:p w14:paraId="2D71B3B1" w14:textId="77777777" w:rsidR="00411C1D" w:rsidRDefault="00411C1D" w:rsidP="00EF52C3">
      <w:pPr>
        <w:spacing w:after="0"/>
        <w:ind w:firstLine="567"/>
        <w:jc w:val="both"/>
        <w:rPr>
          <w:rFonts w:ascii="Times New Roman" w:hAnsi="Times New Roman" w:cs="Times New Roman"/>
          <w:b/>
          <w:sz w:val="24"/>
          <w:szCs w:val="24"/>
        </w:rPr>
      </w:pPr>
    </w:p>
    <w:p w14:paraId="7E074AAA" w14:textId="77777777" w:rsidR="00411C1D" w:rsidRDefault="00411C1D" w:rsidP="00EF52C3">
      <w:pPr>
        <w:spacing w:after="0"/>
        <w:ind w:firstLine="567"/>
        <w:jc w:val="both"/>
        <w:rPr>
          <w:rFonts w:ascii="Times New Roman" w:hAnsi="Times New Roman" w:cs="Times New Roman"/>
          <w:b/>
          <w:sz w:val="24"/>
          <w:szCs w:val="24"/>
        </w:rPr>
      </w:pPr>
    </w:p>
    <w:p w14:paraId="78C852E4" w14:textId="77777777" w:rsidR="00411C1D" w:rsidRDefault="00411C1D" w:rsidP="00EF52C3">
      <w:pPr>
        <w:spacing w:after="0"/>
        <w:ind w:firstLine="567"/>
        <w:jc w:val="both"/>
        <w:rPr>
          <w:rFonts w:ascii="Times New Roman" w:hAnsi="Times New Roman" w:cs="Times New Roman"/>
          <w:b/>
          <w:sz w:val="24"/>
          <w:szCs w:val="24"/>
        </w:rPr>
      </w:pPr>
    </w:p>
    <w:p w14:paraId="3820EDD7" w14:textId="77777777" w:rsidR="00411C1D" w:rsidRDefault="00411C1D" w:rsidP="00EF52C3">
      <w:pPr>
        <w:spacing w:after="0"/>
        <w:ind w:firstLine="567"/>
        <w:jc w:val="both"/>
        <w:rPr>
          <w:rFonts w:ascii="Times New Roman" w:hAnsi="Times New Roman" w:cs="Times New Roman"/>
          <w:b/>
          <w:sz w:val="24"/>
          <w:szCs w:val="24"/>
        </w:rPr>
      </w:pPr>
    </w:p>
    <w:p w14:paraId="62511211" w14:textId="77777777" w:rsidR="00411C1D" w:rsidRDefault="00411C1D" w:rsidP="00EF52C3">
      <w:pPr>
        <w:spacing w:after="0"/>
        <w:ind w:firstLine="567"/>
        <w:jc w:val="both"/>
        <w:rPr>
          <w:rFonts w:ascii="Times New Roman" w:hAnsi="Times New Roman" w:cs="Times New Roman"/>
          <w:b/>
          <w:sz w:val="24"/>
          <w:szCs w:val="24"/>
        </w:rPr>
      </w:pPr>
    </w:p>
    <w:p w14:paraId="5B2F0285" w14:textId="77777777" w:rsidR="00411C1D" w:rsidRPr="007B4A99" w:rsidRDefault="00411C1D" w:rsidP="00EF52C3">
      <w:pPr>
        <w:spacing w:after="0"/>
        <w:ind w:firstLine="567"/>
        <w:jc w:val="both"/>
        <w:rPr>
          <w:rFonts w:ascii="Times New Roman" w:hAnsi="Times New Roman" w:cs="Times New Roman"/>
          <w:b/>
          <w:sz w:val="24"/>
          <w:szCs w:val="24"/>
        </w:rPr>
      </w:pPr>
    </w:p>
    <w:p w14:paraId="2A7807EC" w14:textId="77777777" w:rsidR="00EF52C3" w:rsidRPr="007B4A99" w:rsidRDefault="00EF52C3" w:rsidP="00EF52C3">
      <w:pPr>
        <w:spacing w:after="0"/>
        <w:ind w:firstLine="567"/>
        <w:jc w:val="both"/>
        <w:rPr>
          <w:rFonts w:ascii="Times New Roman" w:hAnsi="Times New Roman" w:cs="Times New Roman"/>
          <w:b/>
          <w:sz w:val="24"/>
          <w:szCs w:val="24"/>
        </w:rPr>
      </w:pPr>
      <w:r w:rsidRPr="007B4A99">
        <w:rPr>
          <w:rFonts w:ascii="Times New Roman" w:hAnsi="Times New Roman" w:cs="Times New Roman"/>
          <w:b/>
          <w:sz w:val="24"/>
          <w:szCs w:val="24"/>
        </w:rPr>
        <w:t>Таблица № 1. Свързване на вариантите с идентифицирания проблем</w:t>
      </w:r>
    </w:p>
    <w:tbl>
      <w:tblPr>
        <w:tblW w:w="9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1985"/>
        <w:gridCol w:w="1984"/>
        <w:gridCol w:w="1977"/>
      </w:tblGrid>
      <w:tr w:rsidR="007B2FB2" w:rsidRPr="007B4A99" w14:paraId="1CC8429C" w14:textId="77777777" w:rsidTr="008021CD">
        <w:tc>
          <w:tcPr>
            <w:tcW w:w="1560" w:type="dxa"/>
            <w:shd w:val="clear" w:color="auto" w:fill="DBDBDB" w:themeFill="accent3" w:themeFillTint="66"/>
          </w:tcPr>
          <w:p w14:paraId="59D4BBC1" w14:textId="77777777" w:rsidR="007054EE" w:rsidRPr="007B4A99" w:rsidRDefault="007054EE" w:rsidP="007054EE">
            <w:pPr>
              <w:spacing w:before="120" w:after="120"/>
              <w:jc w:val="both"/>
              <w:rPr>
                <w:rFonts w:ascii="Times New Roman" w:hAnsi="Times New Roman" w:cs="Times New Roman"/>
                <w:b/>
                <w:i/>
                <w:sz w:val="20"/>
                <w:szCs w:val="20"/>
              </w:rPr>
            </w:pPr>
          </w:p>
        </w:tc>
        <w:tc>
          <w:tcPr>
            <w:tcW w:w="1984" w:type="dxa"/>
            <w:shd w:val="clear" w:color="auto" w:fill="DEEAF6" w:themeFill="accent1" w:themeFillTint="33"/>
            <w:vAlign w:val="center"/>
          </w:tcPr>
          <w:p w14:paraId="5133BED8" w14:textId="77777777" w:rsidR="007054EE" w:rsidRPr="007B4A99" w:rsidRDefault="007054EE" w:rsidP="00FD7307">
            <w:pPr>
              <w:spacing w:before="120" w:after="120"/>
              <w:contextualSpacing/>
              <w:jc w:val="center"/>
              <w:rPr>
                <w:rFonts w:ascii="Times New Roman" w:hAnsi="Times New Roman" w:cs="Times New Roman"/>
                <w:b/>
                <w:i/>
                <w:sz w:val="20"/>
                <w:szCs w:val="20"/>
              </w:rPr>
            </w:pPr>
            <w:r w:rsidRPr="007B4A99">
              <w:rPr>
                <w:rFonts w:ascii="Times New Roman" w:hAnsi="Times New Roman" w:cs="Times New Roman"/>
                <w:b/>
                <w:i/>
                <w:sz w:val="20"/>
                <w:szCs w:val="20"/>
              </w:rPr>
              <w:t>Вариант</w:t>
            </w:r>
            <w:r w:rsidR="00FD7307" w:rsidRPr="007B4A99">
              <w:rPr>
                <w:rFonts w:ascii="Times New Roman" w:hAnsi="Times New Roman" w:cs="Times New Roman"/>
                <w:b/>
                <w:i/>
                <w:sz w:val="20"/>
                <w:szCs w:val="20"/>
              </w:rPr>
              <w:t xml:space="preserve"> 0: „Без действие“</w:t>
            </w:r>
          </w:p>
        </w:tc>
        <w:tc>
          <w:tcPr>
            <w:tcW w:w="1985" w:type="dxa"/>
            <w:shd w:val="clear" w:color="auto" w:fill="BDD6EE" w:themeFill="accent1" w:themeFillTint="66"/>
            <w:vAlign w:val="center"/>
          </w:tcPr>
          <w:p w14:paraId="492D353E" w14:textId="188CF935" w:rsidR="007054EE" w:rsidRPr="007B4A99" w:rsidRDefault="008205D6" w:rsidP="00B817ED">
            <w:pPr>
              <w:spacing w:before="120" w:after="120"/>
              <w:jc w:val="center"/>
              <w:rPr>
                <w:rFonts w:ascii="Times New Roman" w:hAnsi="Times New Roman" w:cs="Times New Roman"/>
                <w:b/>
                <w:i/>
                <w:sz w:val="20"/>
                <w:szCs w:val="20"/>
              </w:rPr>
            </w:pPr>
            <w:r w:rsidRPr="007B4A99">
              <w:rPr>
                <w:rFonts w:ascii="Times New Roman" w:hAnsi="Times New Roman" w:cs="Times New Roman"/>
                <w:b/>
                <w:i/>
                <w:sz w:val="20"/>
                <w:szCs w:val="20"/>
              </w:rPr>
              <w:t xml:space="preserve">Вариант </w:t>
            </w:r>
            <w:r w:rsidR="00B817ED" w:rsidRPr="007B4A99">
              <w:rPr>
                <w:rFonts w:ascii="Times New Roman" w:hAnsi="Times New Roman" w:cs="Times New Roman"/>
                <w:b/>
                <w:i/>
                <w:sz w:val="20"/>
                <w:szCs w:val="20"/>
              </w:rPr>
              <w:t>1</w:t>
            </w:r>
            <w:r w:rsidRPr="007B4A99">
              <w:rPr>
                <w:rFonts w:ascii="Times New Roman" w:hAnsi="Times New Roman" w:cs="Times New Roman"/>
                <w:b/>
                <w:i/>
                <w:sz w:val="20"/>
                <w:szCs w:val="20"/>
              </w:rPr>
              <w:t>:</w:t>
            </w:r>
            <w:r w:rsidRPr="007B4A99">
              <w:rPr>
                <w:sz w:val="20"/>
                <w:szCs w:val="20"/>
              </w:rPr>
              <w:t xml:space="preserve"> </w:t>
            </w:r>
            <w:r w:rsidRPr="007B4A99">
              <w:rPr>
                <w:rFonts w:ascii="Times New Roman" w:hAnsi="Times New Roman" w:cs="Times New Roman"/>
                <w:b/>
                <w:i/>
                <w:sz w:val="20"/>
                <w:szCs w:val="20"/>
              </w:rPr>
              <w:t>„Нерегулаторен“</w:t>
            </w:r>
          </w:p>
        </w:tc>
        <w:tc>
          <w:tcPr>
            <w:tcW w:w="1984" w:type="dxa"/>
            <w:shd w:val="clear" w:color="auto" w:fill="9CC2E5" w:themeFill="accent1" w:themeFillTint="99"/>
            <w:vAlign w:val="center"/>
          </w:tcPr>
          <w:p w14:paraId="66605E04" w14:textId="14CF4D27" w:rsidR="007054EE" w:rsidRPr="007B4A99" w:rsidRDefault="007054EE" w:rsidP="008205D6">
            <w:pPr>
              <w:spacing w:before="120" w:after="120"/>
              <w:jc w:val="center"/>
              <w:rPr>
                <w:rFonts w:ascii="Times New Roman" w:hAnsi="Times New Roman" w:cs="Times New Roman"/>
                <w:b/>
                <w:i/>
                <w:sz w:val="20"/>
                <w:szCs w:val="20"/>
              </w:rPr>
            </w:pPr>
            <w:r w:rsidRPr="007B4A99">
              <w:rPr>
                <w:rFonts w:ascii="Times New Roman" w:hAnsi="Times New Roman" w:cs="Times New Roman"/>
                <w:b/>
                <w:i/>
                <w:sz w:val="20"/>
                <w:szCs w:val="20"/>
              </w:rPr>
              <w:t xml:space="preserve">Вариант </w:t>
            </w:r>
            <w:r w:rsidR="00C52A75" w:rsidRPr="007B4A99">
              <w:rPr>
                <w:rFonts w:ascii="Times New Roman" w:hAnsi="Times New Roman" w:cs="Times New Roman"/>
                <w:b/>
                <w:i/>
                <w:sz w:val="20"/>
                <w:szCs w:val="20"/>
              </w:rPr>
              <w:t>2</w:t>
            </w:r>
            <w:r w:rsidRPr="007B4A99">
              <w:rPr>
                <w:rFonts w:ascii="Times New Roman" w:hAnsi="Times New Roman" w:cs="Times New Roman"/>
                <w:b/>
                <w:i/>
                <w:sz w:val="20"/>
                <w:szCs w:val="20"/>
              </w:rPr>
              <w:t>:</w:t>
            </w:r>
            <w:r w:rsidR="00C52A75" w:rsidRPr="007B4A99">
              <w:rPr>
                <w:sz w:val="20"/>
                <w:szCs w:val="20"/>
              </w:rPr>
              <w:t xml:space="preserve"> </w:t>
            </w:r>
            <w:r w:rsidR="00C52A75" w:rsidRPr="007B4A99">
              <w:rPr>
                <w:rFonts w:ascii="Times New Roman" w:hAnsi="Times New Roman" w:cs="Times New Roman"/>
                <w:b/>
                <w:i/>
                <w:sz w:val="20"/>
                <w:szCs w:val="20"/>
              </w:rPr>
              <w:t>„Регулатор</w:t>
            </w:r>
            <w:r w:rsidR="008205D6" w:rsidRPr="007B4A99">
              <w:rPr>
                <w:rFonts w:ascii="Times New Roman" w:hAnsi="Times New Roman" w:cs="Times New Roman"/>
                <w:b/>
                <w:i/>
                <w:sz w:val="20"/>
                <w:szCs w:val="20"/>
              </w:rPr>
              <w:t>е</w:t>
            </w:r>
            <w:r w:rsidR="00C52A75" w:rsidRPr="007B4A99">
              <w:rPr>
                <w:rFonts w:ascii="Times New Roman" w:hAnsi="Times New Roman" w:cs="Times New Roman"/>
                <w:b/>
                <w:i/>
                <w:sz w:val="20"/>
                <w:szCs w:val="20"/>
              </w:rPr>
              <w:t>н</w:t>
            </w:r>
            <w:r w:rsidR="008205D6" w:rsidRPr="007B4A99">
              <w:rPr>
                <w:rFonts w:ascii="Times New Roman" w:hAnsi="Times New Roman" w:cs="Times New Roman"/>
                <w:b/>
                <w:i/>
                <w:sz w:val="20"/>
                <w:szCs w:val="20"/>
              </w:rPr>
              <w:t xml:space="preserve"> - </w:t>
            </w:r>
            <w:r w:rsidR="00C52A75" w:rsidRPr="007B4A99">
              <w:rPr>
                <w:rFonts w:ascii="Times New Roman" w:hAnsi="Times New Roman" w:cs="Times New Roman"/>
                <w:b/>
                <w:i/>
                <w:sz w:val="20"/>
                <w:szCs w:val="20"/>
              </w:rPr>
              <w:t xml:space="preserve"> промени в действащата </w:t>
            </w:r>
            <w:r w:rsidR="008205D6" w:rsidRPr="007B4A99">
              <w:rPr>
                <w:rFonts w:ascii="Times New Roman" w:hAnsi="Times New Roman" w:cs="Times New Roman"/>
                <w:b/>
                <w:i/>
                <w:sz w:val="20"/>
                <w:szCs w:val="20"/>
              </w:rPr>
              <w:t xml:space="preserve">правна </w:t>
            </w:r>
            <w:r w:rsidR="00C52A75" w:rsidRPr="007B4A99">
              <w:rPr>
                <w:rFonts w:ascii="Times New Roman" w:hAnsi="Times New Roman" w:cs="Times New Roman"/>
                <w:b/>
                <w:i/>
                <w:sz w:val="20"/>
                <w:szCs w:val="20"/>
              </w:rPr>
              <w:t>уредба“</w:t>
            </w:r>
          </w:p>
        </w:tc>
        <w:tc>
          <w:tcPr>
            <w:tcW w:w="1977" w:type="dxa"/>
            <w:shd w:val="clear" w:color="auto" w:fill="2E74B5" w:themeFill="accent1" w:themeFillShade="BF"/>
            <w:vAlign w:val="center"/>
          </w:tcPr>
          <w:p w14:paraId="1A03BF22" w14:textId="418A1EA2" w:rsidR="007054EE" w:rsidRPr="007B4A99" w:rsidRDefault="008205D6" w:rsidP="008205D6">
            <w:pPr>
              <w:spacing w:before="120" w:after="120"/>
              <w:jc w:val="center"/>
              <w:rPr>
                <w:rFonts w:ascii="Times New Roman" w:hAnsi="Times New Roman" w:cs="Times New Roman"/>
                <w:b/>
                <w:i/>
                <w:sz w:val="20"/>
                <w:szCs w:val="20"/>
              </w:rPr>
            </w:pPr>
            <w:r w:rsidRPr="007B4A99">
              <w:rPr>
                <w:rFonts w:ascii="Times New Roman" w:hAnsi="Times New Roman" w:cs="Times New Roman"/>
                <w:b/>
                <w:i/>
                <w:sz w:val="20"/>
                <w:szCs w:val="20"/>
              </w:rPr>
              <w:t>Вариант 3:</w:t>
            </w:r>
            <w:r w:rsidRPr="007B4A99">
              <w:rPr>
                <w:sz w:val="20"/>
                <w:szCs w:val="20"/>
              </w:rPr>
              <w:t xml:space="preserve"> </w:t>
            </w:r>
            <w:r w:rsidRPr="007B4A99">
              <w:rPr>
                <w:rFonts w:ascii="Times New Roman" w:hAnsi="Times New Roman" w:cs="Times New Roman"/>
                <w:b/>
                <w:i/>
                <w:sz w:val="20"/>
                <w:szCs w:val="20"/>
              </w:rPr>
              <w:t>„Регулаторен -  изцяло нов специален закон“</w:t>
            </w:r>
          </w:p>
        </w:tc>
      </w:tr>
      <w:tr w:rsidR="00091E03" w:rsidRPr="007B4A99" w14:paraId="54FC4B2A" w14:textId="77777777" w:rsidTr="008021CD">
        <w:tc>
          <w:tcPr>
            <w:tcW w:w="1560" w:type="dxa"/>
            <w:vMerge w:val="restart"/>
            <w:shd w:val="clear" w:color="auto" w:fill="DBDBDB" w:themeFill="accent3" w:themeFillTint="66"/>
          </w:tcPr>
          <w:p w14:paraId="49B02A8C" w14:textId="37E51F98" w:rsidR="00091E03" w:rsidRPr="007B4A99" w:rsidRDefault="00091E03" w:rsidP="000B63ED">
            <w:pPr>
              <w:spacing w:before="120" w:after="120"/>
              <w:jc w:val="both"/>
              <w:rPr>
                <w:rFonts w:ascii="Times New Roman" w:hAnsi="Times New Roman" w:cs="Times New Roman"/>
                <w:b/>
                <w:i/>
                <w:sz w:val="20"/>
                <w:szCs w:val="20"/>
              </w:rPr>
            </w:pPr>
            <w:r w:rsidRPr="007B4A99">
              <w:rPr>
                <w:rFonts w:ascii="Times New Roman" w:hAnsi="Times New Roman" w:cs="Times New Roman"/>
                <w:b/>
                <w:i/>
                <w:sz w:val="20"/>
                <w:szCs w:val="20"/>
              </w:rPr>
              <w:t>Проблем:</w:t>
            </w:r>
            <w:r w:rsidRPr="007B4A99">
              <w:rPr>
                <w:sz w:val="20"/>
                <w:szCs w:val="20"/>
              </w:rPr>
              <w:t xml:space="preserve"> </w:t>
            </w:r>
            <w:r w:rsidR="0076785E" w:rsidRPr="0076785E">
              <w:rPr>
                <w:rFonts w:ascii="Times New Roman" w:hAnsi="Times New Roman" w:cs="Times New Roman"/>
                <w:b/>
                <w:i/>
                <w:sz w:val="20"/>
                <w:szCs w:val="20"/>
              </w:rPr>
              <w:t xml:space="preserve">Липса на цялостна рамка от мерки на национално ниво, която гарантира прозрачност, проследяемост и равнопоставеност в отношенията между </w:t>
            </w:r>
            <w:r w:rsidR="0076785E" w:rsidRPr="0076785E">
              <w:rPr>
                <w:rFonts w:ascii="Times New Roman" w:hAnsi="Times New Roman" w:cs="Times New Roman"/>
                <w:b/>
                <w:i/>
                <w:sz w:val="20"/>
                <w:szCs w:val="20"/>
              </w:rPr>
              <w:lastRenderedPageBreak/>
              <w:t>участниците във веригата на доставки на земеделски продукти и храни</w:t>
            </w:r>
          </w:p>
        </w:tc>
        <w:tc>
          <w:tcPr>
            <w:tcW w:w="1984" w:type="dxa"/>
            <w:shd w:val="clear" w:color="auto" w:fill="DEEAF6" w:themeFill="accent1" w:themeFillTint="33"/>
          </w:tcPr>
          <w:p w14:paraId="24F7EF31" w14:textId="3BE7AA1B" w:rsidR="00091E03" w:rsidRPr="0076785E" w:rsidRDefault="00091E03" w:rsidP="000B63ED">
            <w:pPr>
              <w:jc w:val="both"/>
              <w:rPr>
                <w:rFonts w:ascii="Times New Roman" w:hAnsi="Times New Roman" w:cs="Times New Roman"/>
                <w:b/>
                <w:sz w:val="16"/>
                <w:szCs w:val="16"/>
              </w:rPr>
            </w:pPr>
            <w:r w:rsidRPr="0076785E">
              <w:rPr>
                <w:rFonts w:ascii="Times New Roman" w:hAnsi="Times New Roman" w:cs="Times New Roman"/>
                <w:i/>
                <w:sz w:val="16"/>
                <w:szCs w:val="16"/>
              </w:rPr>
              <w:lastRenderedPageBreak/>
              <w:t>Описание</w:t>
            </w:r>
            <w:r w:rsidRPr="0076785E">
              <w:rPr>
                <w:rFonts w:ascii="Times New Roman" w:hAnsi="Times New Roman" w:cs="Times New Roman"/>
                <w:b/>
                <w:i/>
                <w:sz w:val="16"/>
                <w:szCs w:val="16"/>
              </w:rPr>
              <w:t xml:space="preserve">: </w:t>
            </w:r>
            <w:r w:rsidRPr="0076785E">
              <w:rPr>
                <w:rFonts w:ascii="Times New Roman" w:hAnsi="Times New Roman" w:cs="Times New Roman"/>
                <w:b/>
                <w:sz w:val="16"/>
                <w:szCs w:val="16"/>
              </w:rPr>
              <w:t>Вариант 0: „Без действие“ не предвижда публична намеса за разрешаване на проблем</w:t>
            </w:r>
            <w:r w:rsidR="0030111B" w:rsidRPr="0076785E">
              <w:rPr>
                <w:rFonts w:ascii="Times New Roman" w:hAnsi="Times New Roman" w:cs="Times New Roman"/>
                <w:b/>
                <w:sz w:val="16"/>
                <w:szCs w:val="16"/>
              </w:rPr>
              <w:t>ите</w:t>
            </w:r>
            <w:r w:rsidRPr="0076785E">
              <w:rPr>
                <w:rFonts w:ascii="Times New Roman" w:hAnsi="Times New Roman" w:cs="Times New Roman"/>
                <w:b/>
                <w:sz w:val="16"/>
                <w:szCs w:val="16"/>
              </w:rPr>
              <w:t xml:space="preserve">, като разчита на това, </w:t>
            </w:r>
            <w:r w:rsidR="0076785E" w:rsidRPr="0076785E">
              <w:rPr>
                <w:rFonts w:ascii="Times New Roman" w:hAnsi="Times New Roman" w:cs="Times New Roman"/>
                <w:b/>
                <w:sz w:val="16"/>
                <w:szCs w:val="16"/>
              </w:rPr>
              <w:t xml:space="preserve">че когато проблемът възниква в среда, в която действат дългогодишно установени пазарни правила, принципи на свободната конкуренция и </w:t>
            </w:r>
            <w:r w:rsidR="008021CD">
              <w:rPr>
                <w:rFonts w:ascii="Times New Roman" w:hAnsi="Times New Roman" w:cs="Times New Roman"/>
                <w:b/>
                <w:sz w:val="16"/>
                <w:szCs w:val="16"/>
              </w:rPr>
              <w:t>утвърдени демократични традиции и</w:t>
            </w:r>
            <w:r w:rsidR="0076785E" w:rsidRPr="0076785E">
              <w:rPr>
                <w:rFonts w:ascii="Times New Roman" w:hAnsi="Times New Roman" w:cs="Times New Roman"/>
                <w:b/>
                <w:sz w:val="16"/>
                <w:szCs w:val="16"/>
              </w:rPr>
              <w:t xml:space="preserve"> от гледна точка на държавата би било по-ефективно и ефикасно засегнатите </w:t>
            </w:r>
            <w:r w:rsidR="0076785E" w:rsidRPr="0076785E">
              <w:rPr>
                <w:rFonts w:ascii="Times New Roman" w:hAnsi="Times New Roman" w:cs="Times New Roman"/>
                <w:b/>
                <w:sz w:val="16"/>
                <w:szCs w:val="16"/>
              </w:rPr>
              <w:lastRenderedPageBreak/>
              <w:t>обществени отношения да се оставят да се регулират сами – от самата среда, от самите принципи и стандарти, като се заложи на обоснованото предположение, че проблемът би се саморазрешил без каквато и да е външна намеса</w:t>
            </w:r>
            <w:r w:rsidR="0076785E">
              <w:rPr>
                <w:rFonts w:ascii="Times New Roman" w:hAnsi="Times New Roman" w:cs="Times New Roman"/>
                <w:b/>
                <w:sz w:val="16"/>
                <w:szCs w:val="16"/>
              </w:rPr>
              <w:t>.</w:t>
            </w:r>
          </w:p>
        </w:tc>
        <w:tc>
          <w:tcPr>
            <w:tcW w:w="1985" w:type="dxa"/>
            <w:shd w:val="clear" w:color="auto" w:fill="BDD6EE" w:themeFill="accent1" w:themeFillTint="66"/>
          </w:tcPr>
          <w:p w14:paraId="02F41262" w14:textId="720365B7" w:rsidR="00091E03" w:rsidRPr="008021CD" w:rsidRDefault="008205D6" w:rsidP="00091E03">
            <w:pPr>
              <w:jc w:val="both"/>
            </w:pPr>
            <w:r w:rsidRPr="007B4A99">
              <w:rPr>
                <w:rFonts w:ascii="Times New Roman" w:hAnsi="Times New Roman" w:cs="Times New Roman"/>
                <w:b/>
                <w:i/>
                <w:sz w:val="16"/>
                <w:szCs w:val="16"/>
              </w:rPr>
              <w:lastRenderedPageBreak/>
              <w:t>Описание:</w:t>
            </w:r>
            <w:r w:rsidRPr="007B4A99">
              <w:t xml:space="preserve"> </w:t>
            </w:r>
            <w:r w:rsidRPr="007B4A99">
              <w:rPr>
                <w:rFonts w:ascii="Times New Roman" w:hAnsi="Times New Roman" w:cs="Times New Roman"/>
                <w:b/>
                <w:sz w:val="16"/>
                <w:szCs w:val="16"/>
              </w:rPr>
              <w:t xml:space="preserve">Като действие за справяне с проблема, Вариантът  предвижда предприемането на т. нар. „меки“ мерки, свързани с </w:t>
            </w:r>
            <w:r w:rsidR="00240046">
              <w:rPr>
                <w:rFonts w:ascii="Times New Roman" w:hAnsi="Times New Roman" w:cs="Times New Roman"/>
                <w:b/>
                <w:sz w:val="16"/>
                <w:szCs w:val="16"/>
              </w:rPr>
              <w:t xml:space="preserve">приемането на доброволен кодекс за добри практики, </w:t>
            </w:r>
            <w:r w:rsidRPr="007B4A99">
              <w:rPr>
                <w:rFonts w:ascii="Times New Roman" w:hAnsi="Times New Roman" w:cs="Times New Roman"/>
                <w:b/>
                <w:sz w:val="16"/>
                <w:szCs w:val="16"/>
              </w:rPr>
              <w:t xml:space="preserve">провеждането национална  </w:t>
            </w:r>
            <w:r w:rsidR="0076785E" w:rsidRPr="0076785E">
              <w:rPr>
                <w:rFonts w:ascii="Times New Roman" w:hAnsi="Times New Roman" w:cs="Times New Roman"/>
                <w:b/>
                <w:sz w:val="16"/>
                <w:szCs w:val="16"/>
              </w:rPr>
              <w:t>разяснителна</w:t>
            </w:r>
            <w:r w:rsidR="00EE3B9F">
              <w:rPr>
                <w:rFonts w:ascii="Times New Roman" w:hAnsi="Times New Roman" w:cs="Times New Roman"/>
                <w:b/>
                <w:sz w:val="16"/>
                <w:szCs w:val="16"/>
              </w:rPr>
              <w:t xml:space="preserve"> </w:t>
            </w:r>
            <w:r w:rsidRPr="007B4A99">
              <w:rPr>
                <w:rFonts w:ascii="Times New Roman" w:hAnsi="Times New Roman" w:cs="Times New Roman"/>
                <w:b/>
                <w:sz w:val="16"/>
                <w:szCs w:val="16"/>
              </w:rPr>
              <w:t xml:space="preserve">кампания, </w:t>
            </w:r>
            <w:r w:rsidR="0076785E" w:rsidRPr="0076785E">
              <w:rPr>
                <w:rFonts w:ascii="Times New Roman" w:hAnsi="Times New Roman" w:cs="Times New Roman"/>
                <w:b/>
                <w:sz w:val="16"/>
                <w:szCs w:val="16"/>
              </w:rPr>
              <w:t xml:space="preserve">изработването на общ документ с практически характер, под формата на наръчник с указания, по който да бъдат проведени обучения за </w:t>
            </w:r>
            <w:r w:rsidR="0076785E" w:rsidRPr="0076785E">
              <w:rPr>
                <w:rFonts w:ascii="Times New Roman" w:hAnsi="Times New Roman" w:cs="Times New Roman"/>
                <w:b/>
                <w:sz w:val="16"/>
                <w:szCs w:val="16"/>
              </w:rPr>
              <w:lastRenderedPageBreak/>
              <w:t>засегнатите страни</w:t>
            </w:r>
            <w:r w:rsidR="0076785E">
              <w:rPr>
                <w:rFonts w:ascii="Times New Roman" w:hAnsi="Times New Roman" w:cs="Times New Roman"/>
                <w:b/>
                <w:sz w:val="16"/>
                <w:szCs w:val="16"/>
              </w:rPr>
              <w:t xml:space="preserve"> и</w:t>
            </w:r>
            <w:r w:rsidR="0076785E" w:rsidRPr="0076785E">
              <w:rPr>
                <w:rFonts w:ascii="Times New Roman" w:hAnsi="Times New Roman" w:cs="Times New Roman"/>
                <w:b/>
                <w:sz w:val="16"/>
                <w:szCs w:val="16"/>
              </w:rPr>
              <w:t xml:space="preserve"> да бъде осигурена публичност</w:t>
            </w:r>
            <w:r w:rsidR="0076785E">
              <w:rPr>
                <w:rFonts w:ascii="Times New Roman" w:hAnsi="Times New Roman" w:cs="Times New Roman"/>
                <w:b/>
                <w:sz w:val="16"/>
                <w:szCs w:val="16"/>
              </w:rPr>
              <w:t xml:space="preserve">, както и създаването на </w:t>
            </w:r>
            <w:r w:rsidRPr="007B4A99">
              <w:rPr>
                <w:rFonts w:ascii="Times New Roman" w:hAnsi="Times New Roman" w:cs="Times New Roman"/>
                <w:b/>
                <w:sz w:val="16"/>
                <w:szCs w:val="16"/>
              </w:rPr>
              <w:t>специализиран интернет портал. Тези мерки по сравнително бърз и много ефикасен начин могат да доведат до справяне с някои от последиците на проблема.</w:t>
            </w:r>
            <w:r w:rsidR="008021CD">
              <w:t xml:space="preserve"> </w:t>
            </w:r>
          </w:p>
        </w:tc>
        <w:tc>
          <w:tcPr>
            <w:tcW w:w="1984" w:type="dxa"/>
            <w:shd w:val="clear" w:color="auto" w:fill="9CC2E5" w:themeFill="accent1" w:themeFillTint="99"/>
          </w:tcPr>
          <w:p w14:paraId="4CDC06C1" w14:textId="79655207" w:rsidR="00091E03" w:rsidRPr="007B4A99" w:rsidRDefault="00091E03" w:rsidP="008021CD">
            <w:pPr>
              <w:jc w:val="both"/>
              <w:rPr>
                <w:rFonts w:ascii="Times New Roman" w:hAnsi="Times New Roman" w:cs="Times New Roman"/>
                <w:b/>
                <w:sz w:val="16"/>
                <w:szCs w:val="16"/>
              </w:rPr>
            </w:pPr>
            <w:r w:rsidRPr="007B4A99">
              <w:rPr>
                <w:rFonts w:ascii="Times New Roman" w:hAnsi="Times New Roman" w:cs="Times New Roman"/>
                <w:b/>
                <w:i/>
                <w:sz w:val="16"/>
                <w:szCs w:val="16"/>
              </w:rPr>
              <w:lastRenderedPageBreak/>
              <w:t>Описание:</w:t>
            </w:r>
            <w:r w:rsidRPr="007B4A99">
              <w:t xml:space="preserve"> </w:t>
            </w:r>
            <w:r w:rsidRPr="007B4A99">
              <w:rPr>
                <w:rFonts w:ascii="Times New Roman" w:hAnsi="Times New Roman" w:cs="Times New Roman"/>
                <w:b/>
                <w:sz w:val="16"/>
                <w:szCs w:val="16"/>
              </w:rPr>
              <w:t xml:space="preserve">Вариант 2 предлага частично разрешаване на идентифицираните проблеми чрез въвеждането на </w:t>
            </w:r>
            <w:r w:rsidR="00BC7D8D">
              <w:rPr>
                <w:rFonts w:ascii="Times New Roman" w:hAnsi="Times New Roman" w:cs="Times New Roman"/>
                <w:b/>
                <w:sz w:val="16"/>
                <w:szCs w:val="16"/>
              </w:rPr>
              <w:t>обща</w:t>
            </w:r>
            <w:r w:rsidR="00BC7D8D" w:rsidRPr="00BC7D8D">
              <w:rPr>
                <w:rFonts w:ascii="Times New Roman" w:hAnsi="Times New Roman" w:cs="Times New Roman"/>
                <w:b/>
                <w:sz w:val="16"/>
                <w:szCs w:val="16"/>
              </w:rPr>
              <w:t xml:space="preserve"> дефиниция за определено антик</w:t>
            </w:r>
            <w:r w:rsidR="008021CD">
              <w:rPr>
                <w:rFonts w:ascii="Times New Roman" w:hAnsi="Times New Roman" w:cs="Times New Roman"/>
                <w:b/>
                <w:sz w:val="16"/>
                <w:szCs w:val="16"/>
              </w:rPr>
              <w:t>онкурентно положение</w:t>
            </w:r>
            <w:r w:rsidR="00BC7D8D">
              <w:rPr>
                <w:rFonts w:ascii="Times New Roman" w:hAnsi="Times New Roman" w:cs="Times New Roman"/>
                <w:b/>
                <w:sz w:val="16"/>
                <w:szCs w:val="16"/>
              </w:rPr>
              <w:t xml:space="preserve"> по ЗЗК, както и специални забран</w:t>
            </w:r>
            <w:r w:rsidR="00240046">
              <w:rPr>
                <w:rFonts w:ascii="Times New Roman" w:hAnsi="Times New Roman" w:cs="Times New Roman"/>
                <w:b/>
                <w:sz w:val="16"/>
                <w:szCs w:val="16"/>
              </w:rPr>
              <w:t>и</w:t>
            </w:r>
            <w:r w:rsidR="00BC7D8D">
              <w:rPr>
                <w:rFonts w:ascii="Times New Roman" w:hAnsi="Times New Roman" w:cs="Times New Roman"/>
                <w:b/>
                <w:sz w:val="16"/>
                <w:szCs w:val="16"/>
              </w:rPr>
              <w:t xml:space="preserve"> на нелоялни търговски практики по веригата на доставки на храни по </w:t>
            </w:r>
            <w:r w:rsidR="008262FE">
              <w:rPr>
                <w:rFonts w:ascii="Times New Roman" w:hAnsi="Times New Roman" w:cs="Times New Roman"/>
                <w:b/>
                <w:sz w:val="16"/>
                <w:szCs w:val="16"/>
              </w:rPr>
              <w:t>Закона за храните</w:t>
            </w:r>
            <w:r w:rsidRPr="007B4A99">
              <w:rPr>
                <w:rFonts w:ascii="Times New Roman" w:hAnsi="Times New Roman" w:cs="Times New Roman"/>
                <w:b/>
                <w:sz w:val="16"/>
                <w:szCs w:val="16"/>
              </w:rPr>
              <w:t xml:space="preserve">, които да отстранят някои от съществуващите дефицити на действащата </w:t>
            </w:r>
            <w:r w:rsidRPr="007B4A99">
              <w:rPr>
                <w:rFonts w:ascii="Times New Roman" w:hAnsi="Times New Roman" w:cs="Times New Roman"/>
                <w:b/>
                <w:sz w:val="16"/>
                <w:szCs w:val="16"/>
              </w:rPr>
              <w:lastRenderedPageBreak/>
              <w:t xml:space="preserve">национална правна уредба. </w:t>
            </w:r>
          </w:p>
        </w:tc>
        <w:tc>
          <w:tcPr>
            <w:tcW w:w="1977" w:type="dxa"/>
            <w:shd w:val="clear" w:color="auto" w:fill="2E74B5" w:themeFill="accent1" w:themeFillShade="BF"/>
          </w:tcPr>
          <w:p w14:paraId="1BAAA4AE" w14:textId="34033098" w:rsidR="00BC7D8D" w:rsidRDefault="008205D6" w:rsidP="008205D6">
            <w:pPr>
              <w:jc w:val="both"/>
              <w:rPr>
                <w:rFonts w:ascii="Times New Roman" w:hAnsi="Times New Roman" w:cs="Times New Roman"/>
                <w:b/>
                <w:sz w:val="16"/>
                <w:szCs w:val="16"/>
              </w:rPr>
            </w:pPr>
            <w:r w:rsidRPr="007B4A99">
              <w:rPr>
                <w:rFonts w:ascii="Times New Roman" w:hAnsi="Times New Roman" w:cs="Times New Roman"/>
                <w:b/>
                <w:i/>
                <w:sz w:val="16"/>
                <w:szCs w:val="16"/>
              </w:rPr>
              <w:lastRenderedPageBreak/>
              <w:t>Описание:</w:t>
            </w:r>
            <w:r w:rsidRPr="007B4A99">
              <w:t xml:space="preserve"> </w:t>
            </w:r>
            <w:r w:rsidRPr="007B4A99">
              <w:rPr>
                <w:rFonts w:ascii="Times New Roman" w:hAnsi="Times New Roman" w:cs="Times New Roman"/>
                <w:b/>
                <w:sz w:val="16"/>
                <w:szCs w:val="16"/>
              </w:rPr>
              <w:t xml:space="preserve">Вариант 3 </w:t>
            </w:r>
            <w:r w:rsidR="00BC7D8D" w:rsidRPr="00BC7D8D">
              <w:rPr>
                <w:rFonts w:ascii="Times New Roman" w:hAnsi="Times New Roman" w:cs="Times New Roman"/>
                <w:b/>
                <w:sz w:val="16"/>
                <w:szCs w:val="16"/>
              </w:rPr>
              <w:t>представлява цялостна рамка от законодателни и други мерки</w:t>
            </w:r>
            <w:r w:rsidRPr="007B4A99">
              <w:rPr>
                <w:rFonts w:ascii="Times New Roman" w:hAnsi="Times New Roman" w:cs="Times New Roman"/>
                <w:b/>
                <w:sz w:val="16"/>
                <w:szCs w:val="16"/>
              </w:rPr>
              <w:t xml:space="preserve">, </w:t>
            </w:r>
            <w:r w:rsidR="00BC7D8D" w:rsidRPr="00BC7D8D">
              <w:rPr>
                <w:rFonts w:ascii="Times New Roman" w:hAnsi="Times New Roman" w:cs="Times New Roman"/>
                <w:b/>
                <w:sz w:val="16"/>
                <w:szCs w:val="16"/>
              </w:rPr>
              <w:t>насочен</w:t>
            </w:r>
            <w:r w:rsidR="00BC7D8D">
              <w:rPr>
                <w:rFonts w:ascii="Times New Roman" w:hAnsi="Times New Roman" w:cs="Times New Roman"/>
                <w:b/>
                <w:sz w:val="16"/>
                <w:szCs w:val="16"/>
              </w:rPr>
              <w:t>а</w:t>
            </w:r>
            <w:r w:rsidR="00BC7D8D" w:rsidRPr="00BC7D8D">
              <w:rPr>
                <w:rFonts w:ascii="Times New Roman" w:hAnsi="Times New Roman" w:cs="Times New Roman"/>
                <w:b/>
                <w:sz w:val="16"/>
                <w:szCs w:val="16"/>
              </w:rPr>
              <w:t xml:space="preserve"> към паралелното отстраняване на различните по своята природа двигатели на идентифицираните проблеми, </w:t>
            </w:r>
            <w:r w:rsidR="00BC7D8D">
              <w:rPr>
                <w:rFonts w:ascii="Times New Roman" w:hAnsi="Times New Roman" w:cs="Times New Roman"/>
                <w:b/>
                <w:sz w:val="16"/>
                <w:szCs w:val="16"/>
              </w:rPr>
              <w:t>чрез</w:t>
            </w:r>
            <w:r w:rsidR="00BC7D8D" w:rsidRPr="00BC7D8D">
              <w:rPr>
                <w:rFonts w:ascii="Times New Roman" w:hAnsi="Times New Roman" w:cs="Times New Roman"/>
                <w:b/>
                <w:sz w:val="16"/>
                <w:szCs w:val="16"/>
              </w:rPr>
              <w:t xml:space="preserve"> завършен механизъм, който едновременно спомага за изсветляването, изравняването и проследяването на отношенията по веригата на доставки на земеделски продукти </w:t>
            </w:r>
            <w:r w:rsidR="00BC7D8D" w:rsidRPr="00BC7D8D">
              <w:rPr>
                <w:rFonts w:ascii="Times New Roman" w:hAnsi="Times New Roman" w:cs="Times New Roman"/>
                <w:b/>
                <w:sz w:val="16"/>
                <w:szCs w:val="16"/>
              </w:rPr>
              <w:lastRenderedPageBreak/>
              <w:t>и храни у нас</w:t>
            </w:r>
            <w:r w:rsidR="00BC7D8D">
              <w:rPr>
                <w:rFonts w:ascii="Times New Roman" w:hAnsi="Times New Roman" w:cs="Times New Roman"/>
                <w:b/>
                <w:sz w:val="16"/>
                <w:szCs w:val="16"/>
              </w:rPr>
              <w:t>.</w:t>
            </w:r>
          </w:p>
          <w:p w14:paraId="7C7C61D7" w14:textId="77777777" w:rsidR="00BC7D8D" w:rsidRDefault="00BC7D8D" w:rsidP="008205D6">
            <w:pPr>
              <w:jc w:val="both"/>
              <w:rPr>
                <w:rFonts w:ascii="Times New Roman" w:hAnsi="Times New Roman" w:cs="Times New Roman"/>
                <w:b/>
                <w:sz w:val="16"/>
                <w:szCs w:val="16"/>
              </w:rPr>
            </w:pPr>
          </w:p>
          <w:p w14:paraId="394CDE63" w14:textId="4B1626D6" w:rsidR="00091E03" w:rsidRPr="007B4A99" w:rsidRDefault="00091E03" w:rsidP="00BC7D8D">
            <w:pPr>
              <w:jc w:val="both"/>
              <w:rPr>
                <w:rFonts w:ascii="Times New Roman" w:hAnsi="Times New Roman" w:cs="Times New Roman"/>
                <w:b/>
                <w:i/>
                <w:sz w:val="16"/>
                <w:szCs w:val="16"/>
              </w:rPr>
            </w:pPr>
          </w:p>
        </w:tc>
      </w:tr>
      <w:tr w:rsidR="00091E03" w:rsidRPr="007B4A99" w14:paraId="68D3290B" w14:textId="77777777" w:rsidTr="008021CD">
        <w:tc>
          <w:tcPr>
            <w:tcW w:w="1560" w:type="dxa"/>
            <w:vMerge/>
            <w:shd w:val="clear" w:color="auto" w:fill="DBDBDB" w:themeFill="accent3" w:themeFillTint="66"/>
          </w:tcPr>
          <w:p w14:paraId="1E55CED3" w14:textId="77777777" w:rsidR="00091E03" w:rsidRPr="007B4A99" w:rsidRDefault="00091E03" w:rsidP="000B63ED">
            <w:pPr>
              <w:spacing w:before="120" w:after="120"/>
              <w:jc w:val="both"/>
              <w:rPr>
                <w:rFonts w:ascii="Times New Roman" w:hAnsi="Times New Roman" w:cs="Times New Roman"/>
                <w:b/>
                <w:i/>
                <w:sz w:val="18"/>
                <w:szCs w:val="18"/>
              </w:rPr>
            </w:pPr>
          </w:p>
        </w:tc>
        <w:tc>
          <w:tcPr>
            <w:tcW w:w="1984" w:type="dxa"/>
            <w:shd w:val="clear" w:color="auto" w:fill="DEEAF6" w:themeFill="accent1" w:themeFillTint="33"/>
          </w:tcPr>
          <w:p w14:paraId="5CEC3743" w14:textId="40F75A72" w:rsidR="00091E03" w:rsidRPr="007B4A99" w:rsidRDefault="00091E03" w:rsidP="00BC7D8D">
            <w:pPr>
              <w:jc w:val="both"/>
              <w:rPr>
                <w:rFonts w:ascii="Century" w:hAnsi="Century" w:cs="Times New Roman"/>
                <w:b/>
                <w:i/>
                <w:sz w:val="16"/>
                <w:szCs w:val="16"/>
              </w:rPr>
            </w:pPr>
            <w:r w:rsidRPr="007B4A99">
              <w:rPr>
                <w:rFonts w:ascii="Times New Roman" w:hAnsi="Times New Roman" w:cs="Times New Roman"/>
                <w:b/>
                <w:i/>
                <w:sz w:val="16"/>
                <w:szCs w:val="16"/>
              </w:rPr>
              <w:t>Рискове:</w:t>
            </w:r>
            <w:r w:rsidRPr="007B4A99">
              <w:rPr>
                <w:rFonts w:ascii="Times New Roman" w:hAnsi="Times New Roman" w:cs="Times New Roman"/>
                <w:b/>
                <w:sz w:val="16"/>
                <w:szCs w:val="16"/>
              </w:rPr>
              <w:t xml:space="preserve"> Неразрешаване на идентифицирания проблем, защото не води до отстраняване на никой от установените </w:t>
            </w:r>
            <w:r w:rsidR="00BC7D8D">
              <w:rPr>
                <w:rFonts w:ascii="Times New Roman" w:hAnsi="Times New Roman" w:cs="Times New Roman"/>
                <w:b/>
                <w:sz w:val="16"/>
                <w:szCs w:val="16"/>
              </w:rPr>
              <w:t xml:space="preserve">основополагащи </w:t>
            </w:r>
            <w:r w:rsidR="00BC7D8D" w:rsidRPr="007B4A99">
              <w:rPr>
                <w:rFonts w:ascii="Times New Roman" w:hAnsi="Times New Roman" w:cs="Times New Roman"/>
                <w:b/>
                <w:sz w:val="16"/>
                <w:szCs w:val="16"/>
              </w:rPr>
              <w:t>дефицити</w:t>
            </w:r>
            <w:r w:rsidR="00BC7D8D">
              <w:rPr>
                <w:rFonts w:ascii="Times New Roman" w:hAnsi="Times New Roman" w:cs="Times New Roman"/>
                <w:b/>
                <w:sz w:val="16"/>
                <w:szCs w:val="16"/>
              </w:rPr>
              <w:t xml:space="preserve"> и двигатели на проблемите</w:t>
            </w:r>
            <w:r w:rsidRPr="007B4A99">
              <w:rPr>
                <w:rFonts w:ascii="Times New Roman" w:hAnsi="Times New Roman" w:cs="Times New Roman"/>
                <w:b/>
                <w:sz w:val="16"/>
                <w:szCs w:val="16"/>
              </w:rPr>
              <w:t>.</w:t>
            </w:r>
          </w:p>
        </w:tc>
        <w:tc>
          <w:tcPr>
            <w:tcW w:w="1985" w:type="dxa"/>
            <w:shd w:val="clear" w:color="auto" w:fill="BDD6EE" w:themeFill="accent1" w:themeFillTint="66"/>
          </w:tcPr>
          <w:p w14:paraId="15EBC361" w14:textId="77777777" w:rsidR="008205D6" w:rsidRPr="007B4A99" w:rsidRDefault="008205D6" w:rsidP="008205D6">
            <w:pPr>
              <w:jc w:val="both"/>
              <w:rPr>
                <w:rFonts w:ascii="Times New Roman" w:hAnsi="Times New Roman" w:cs="Times New Roman"/>
                <w:b/>
                <w:sz w:val="16"/>
                <w:szCs w:val="16"/>
              </w:rPr>
            </w:pPr>
            <w:r w:rsidRPr="007B4A99">
              <w:rPr>
                <w:rFonts w:ascii="Times New Roman" w:hAnsi="Times New Roman" w:cs="Times New Roman"/>
                <w:b/>
                <w:i/>
                <w:sz w:val="16"/>
                <w:szCs w:val="16"/>
              </w:rPr>
              <w:t>Рискове:</w:t>
            </w:r>
            <w:r w:rsidRPr="007B4A99">
              <w:t xml:space="preserve"> </w:t>
            </w:r>
            <w:r w:rsidRPr="007B4A99">
              <w:rPr>
                <w:rFonts w:ascii="Times New Roman" w:hAnsi="Times New Roman" w:cs="Times New Roman"/>
                <w:b/>
                <w:sz w:val="16"/>
                <w:szCs w:val="16"/>
              </w:rPr>
              <w:t>Много ниска ефективност на мерките и несправяне с проблема, поради неотстраняване на  неговите двигатели и непостигане на поставените цели.</w:t>
            </w:r>
          </w:p>
          <w:p w14:paraId="6D10F189" w14:textId="77777777" w:rsidR="00091E03" w:rsidRPr="007B4A99" w:rsidRDefault="00091E03" w:rsidP="008205D6">
            <w:pPr>
              <w:jc w:val="both"/>
              <w:rPr>
                <w:rFonts w:ascii="Times New Roman" w:hAnsi="Times New Roman" w:cs="Times New Roman"/>
                <w:b/>
                <w:i/>
                <w:sz w:val="16"/>
                <w:szCs w:val="16"/>
              </w:rPr>
            </w:pPr>
          </w:p>
        </w:tc>
        <w:tc>
          <w:tcPr>
            <w:tcW w:w="1984" w:type="dxa"/>
            <w:shd w:val="clear" w:color="auto" w:fill="9CC2E5" w:themeFill="accent1" w:themeFillTint="99"/>
          </w:tcPr>
          <w:p w14:paraId="71BD307B" w14:textId="71A99C60" w:rsidR="001E1A94" w:rsidRPr="007B4A99" w:rsidRDefault="00091E03" w:rsidP="001E1A94">
            <w:pPr>
              <w:jc w:val="both"/>
              <w:rPr>
                <w:rFonts w:ascii="Times New Roman" w:hAnsi="Times New Roman" w:cs="Times New Roman"/>
                <w:b/>
                <w:sz w:val="16"/>
                <w:szCs w:val="16"/>
              </w:rPr>
            </w:pPr>
            <w:r w:rsidRPr="007B4A99">
              <w:rPr>
                <w:rFonts w:ascii="Times New Roman" w:hAnsi="Times New Roman" w:cs="Times New Roman"/>
                <w:b/>
                <w:i/>
                <w:sz w:val="16"/>
                <w:szCs w:val="16"/>
              </w:rPr>
              <w:t>Рискове:</w:t>
            </w:r>
            <w:r w:rsidRPr="007B4A99">
              <w:rPr>
                <w:rFonts w:ascii="Times New Roman" w:hAnsi="Times New Roman" w:cs="Times New Roman"/>
                <w:b/>
                <w:sz w:val="16"/>
                <w:szCs w:val="16"/>
              </w:rPr>
              <w:t xml:space="preserve"> </w:t>
            </w:r>
            <w:r w:rsidR="008021CD">
              <w:rPr>
                <w:rFonts w:ascii="Times New Roman" w:hAnsi="Times New Roman" w:cs="Times New Roman"/>
                <w:b/>
                <w:sz w:val="16"/>
                <w:szCs w:val="16"/>
              </w:rPr>
              <w:t>Недостатъчен</w:t>
            </w:r>
            <w:r w:rsidR="001E1A94" w:rsidRPr="007B4A99">
              <w:rPr>
                <w:rFonts w:ascii="Times New Roman" w:hAnsi="Times New Roman" w:cs="Times New Roman"/>
                <w:b/>
                <w:sz w:val="16"/>
                <w:szCs w:val="16"/>
              </w:rPr>
              <w:t xml:space="preserve"> потенциал за цялостно </w:t>
            </w:r>
            <w:r w:rsidR="00BC7D8D" w:rsidRPr="007B4A99">
              <w:rPr>
                <w:rFonts w:ascii="Times New Roman" w:hAnsi="Times New Roman" w:cs="Times New Roman"/>
                <w:b/>
                <w:sz w:val="16"/>
                <w:szCs w:val="16"/>
              </w:rPr>
              <w:t xml:space="preserve">отстраняване на  установените </w:t>
            </w:r>
            <w:r w:rsidR="00BC7D8D">
              <w:rPr>
                <w:rFonts w:ascii="Times New Roman" w:hAnsi="Times New Roman" w:cs="Times New Roman"/>
                <w:b/>
                <w:sz w:val="16"/>
                <w:szCs w:val="16"/>
              </w:rPr>
              <w:t xml:space="preserve">основополагащи </w:t>
            </w:r>
            <w:r w:rsidR="00BC7D8D" w:rsidRPr="007B4A99">
              <w:rPr>
                <w:rFonts w:ascii="Times New Roman" w:hAnsi="Times New Roman" w:cs="Times New Roman"/>
                <w:b/>
                <w:sz w:val="16"/>
                <w:szCs w:val="16"/>
              </w:rPr>
              <w:t>дефицити</w:t>
            </w:r>
            <w:r w:rsidR="00BC7D8D">
              <w:rPr>
                <w:rFonts w:ascii="Times New Roman" w:hAnsi="Times New Roman" w:cs="Times New Roman"/>
                <w:b/>
                <w:sz w:val="16"/>
                <w:szCs w:val="16"/>
              </w:rPr>
              <w:t xml:space="preserve"> и двигатели на проблемите и</w:t>
            </w:r>
            <w:r w:rsidR="00BC7D8D" w:rsidRPr="007B4A99">
              <w:rPr>
                <w:rFonts w:ascii="Times New Roman" w:hAnsi="Times New Roman" w:cs="Times New Roman"/>
                <w:b/>
                <w:sz w:val="16"/>
                <w:szCs w:val="16"/>
              </w:rPr>
              <w:t xml:space="preserve"> </w:t>
            </w:r>
            <w:r w:rsidR="001E1A94" w:rsidRPr="007B4A99">
              <w:rPr>
                <w:rFonts w:ascii="Times New Roman" w:hAnsi="Times New Roman" w:cs="Times New Roman"/>
                <w:b/>
                <w:sz w:val="16"/>
                <w:szCs w:val="16"/>
              </w:rPr>
              <w:t>постигане на поставените цели.</w:t>
            </w:r>
          </w:p>
          <w:p w14:paraId="3E0EF9B3" w14:textId="446EE7D6" w:rsidR="00091E03" w:rsidRPr="007B4A99" w:rsidRDefault="00091E03" w:rsidP="001E1A94">
            <w:pPr>
              <w:jc w:val="both"/>
              <w:rPr>
                <w:rFonts w:ascii="Times New Roman" w:hAnsi="Times New Roman" w:cs="Times New Roman"/>
                <w:b/>
                <w:i/>
                <w:sz w:val="16"/>
                <w:szCs w:val="16"/>
              </w:rPr>
            </w:pPr>
          </w:p>
        </w:tc>
        <w:tc>
          <w:tcPr>
            <w:tcW w:w="1977" w:type="dxa"/>
            <w:shd w:val="clear" w:color="auto" w:fill="2E74B5" w:themeFill="accent1" w:themeFillShade="BF"/>
          </w:tcPr>
          <w:p w14:paraId="22FD6FEF" w14:textId="5B750761" w:rsidR="008205D6" w:rsidRPr="007B4A99" w:rsidRDefault="008205D6" w:rsidP="008205D6">
            <w:pPr>
              <w:jc w:val="both"/>
              <w:rPr>
                <w:rFonts w:ascii="Times New Roman" w:hAnsi="Times New Roman" w:cs="Times New Roman"/>
              </w:rPr>
            </w:pPr>
            <w:r w:rsidRPr="007B4A99">
              <w:rPr>
                <w:rFonts w:ascii="Times New Roman" w:hAnsi="Times New Roman" w:cs="Times New Roman"/>
                <w:b/>
                <w:i/>
                <w:sz w:val="16"/>
                <w:szCs w:val="16"/>
              </w:rPr>
              <w:t>Рискове:</w:t>
            </w:r>
            <w:r w:rsidRPr="007B4A99">
              <w:rPr>
                <w:rFonts w:ascii="Times New Roman" w:hAnsi="Times New Roman" w:cs="Times New Roman"/>
                <w:b/>
                <w:sz w:val="16"/>
                <w:szCs w:val="16"/>
              </w:rPr>
              <w:t xml:space="preserve"> Липсват идентифицирани значителни рискове, които могат да бъдат свързани с въвеждането на Вариант 3.</w:t>
            </w:r>
          </w:p>
          <w:p w14:paraId="5F8E1547" w14:textId="3D20536F" w:rsidR="001E1A94" w:rsidRPr="007B4A99" w:rsidRDefault="001E1A94" w:rsidP="00636E34">
            <w:pPr>
              <w:jc w:val="both"/>
              <w:rPr>
                <w:rFonts w:ascii="Times New Roman" w:hAnsi="Times New Roman" w:cs="Times New Roman"/>
                <w:b/>
                <w:i/>
                <w:sz w:val="16"/>
                <w:szCs w:val="16"/>
              </w:rPr>
            </w:pPr>
          </w:p>
        </w:tc>
      </w:tr>
    </w:tbl>
    <w:p w14:paraId="6A8AC9BF" w14:textId="77777777" w:rsidR="00DB36EF" w:rsidRPr="007B4A99" w:rsidRDefault="00DB36EF" w:rsidP="00FA0751">
      <w:pPr>
        <w:spacing w:after="0"/>
        <w:ind w:firstLine="540"/>
        <w:jc w:val="both"/>
        <w:rPr>
          <w:rFonts w:ascii="Times New Roman" w:hAnsi="Times New Roman" w:cs="Times New Roman"/>
          <w:bCs/>
          <w:sz w:val="24"/>
          <w:szCs w:val="24"/>
        </w:rPr>
      </w:pPr>
    </w:p>
    <w:p w14:paraId="2FFBEB0D" w14:textId="77777777" w:rsidR="00BE22FB" w:rsidRPr="007B4A99" w:rsidRDefault="00BE22FB" w:rsidP="00FA0751">
      <w:pPr>
        <w:spacing w:after="0"/>
        <w:ind w:firstLine="540"/>
        <w:jc w:val="both"/>
        <w:rPr>
          <w:rFonts w:ascii="Times New Roman" w:hAnsi="Times New Roman" w:cs="Times New Roman"/>
          <w:bCs/>
          <w:sz w:val="24"/>
          <w:szCs w:val="24"/>
        </w:rPr>
      </w:pPr>
    </w:p>
    <w:p w14:paraId="0A69A273" w14:textId="77777777" w:rsidR="00BE22FB" w:rsidRPr="007B4A99" w:rsidRDefault="00BE22FB" w:rsidP="00BE22FB">
      <w:pPr>
        <w:pStyle w:val="Heading1"/>
        <w:rPr>
          <w:rFonts w:ascii="Times New Roman" w:hAnsi="Times New Roman"/>
        </w:rPr>
      </w:pPr>
      <w:bookmarkStart w:id="17" w:name="_Toc198633084"/>
      <w:r w:rsidRPr="007B4A99">
        <w:rPr>
          <w:rFonts w:ascii="Times New Roman" w:hAnsi="Times New Roman"/>
        </w:rPr>
        <w:t>Анализ на въздействията</w:t>
      </w:r>
      <w:bookmarkEnd w:id="17"/>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BE22FB" w:rsidRPr="007B4A99" w14:paraId="4AF7598C" w14:textId="77777777" w:rsidTr="00DD69D5">
        <w:tc>
          <w:tcPr>
            <w:tcW w:w="8702" w:type="dxa"/>
          </w:tcPr>
          <w:p w14:paraId="1189C822" w14:textId="77777777" w:rsidR="00BE22FB" w:rsidRPr="007B4A99" w:rsidRDefault="00BE22FB" w:rsidP="00375498">
            <w:pPr>
              <w:pStyle w:val="7878"/>
              <w:ind w:left="0"/>
              <w:rPr>
                <w:rFonts w:ascii="Times New Roman" w:hAnsi="Times New Roman"/>
              </w:rPr>
            </w:pPr>
            <w:r w:rsidRPr="007B4A99">
              <w:rPr>
                <w:rFonts w:ascii="Times New Roman" w:hAnsi="Times New Roman"/>
              </w:rPr>
              <w:t xml:space="preserve">[Анализът на въздействията </w:t>
            </w:r>
            <w:r w:rsidRPr="007B4A99">
              <w:rPr>
                <w:rFonts w:ascii="Times New Roman" w:hAnsi="Times New Roman"/>
                <w:b/>
              </w:rPr>
              <w:t>на всеки един вариант по всеки отделен проблем</w:t>
            </w:r>
            <w:r w:rsidRPr="007B4A99">
              <w:rPr>
                <w:rFonts w:ascii="Times New Roman" w:hAnsi="Times New Roman"/>
              </w:rPr>
              <w:t xml:space="preserve"> е четвъртата ключова аналитична стъпка (четвърта от общо шест).</w:t>
            </w:r>
          </w:p>
          <w:p w14:paraId="6DCF7639" w14:textId="77777777" w:rsidR="00BE22FB" w:rsidRPr="007B4A99" w:rsidRDefault="00BE22FB" w:rsidP="00375498">
            <w:pPr>
              <w:pStyle w:val="7878"/>
              <w:ind w:left="0"/>
              <w:rPr>
                <w:rFonts w:ascii="Times New Roman" w:hAnsi="Times New Roman"/>
              </w:rPr>
            </w:pPr>
            <w:r w:rsidRPr="007B4A99">
              <w:rPr>
                <w:rFonts w:ascii="Times New Roman" w:hAnsi="Times New Roman"/>
              </w:rPr>
              <w:t>Анализира се въздействието на всеки отделен вариант за решаването на всеки отделен проблем. (Ръководство, РМС № 728 от 2019 г., стр. 27 - 28).]</w:t>
            </w:r>
          </w:p>
        </w:tc>
      </w:tr>
    </w:tbl>
    <w:p w14:paraId="3DBD074B" w14:textId="77777777" w:rsidR="00BE22FB" w:rsidRDefault="00BE22FB" w:rsidP="00FA0751">
      <w:pPr>
        <w:spacing w:after="0"/>
        <w:ind w:firstLine="540"/>
        <w:jc w:val="both"/>
        <w:rPr>
          <w:rFonts w:ascii="Times New Roman" w:hAnsi="Times New Roman" w:cs="Times New Roman"/>
          <w:bCs/>
          <w:sz w:val="24"/>
          <w:szCs w:val="24"/>
        </w:rPr>
      </w:pPr>
    </w:p>
    <w:p w14:paraId="77FE83A1" w14:textId="77777777" w:rsidR="00FA0751" w:rsidRPr="007B4A99" w:rsidRDefault="00FA0751" w:rsidP="00DD69D5">
      <w:pPr>
        <w:spacing w:after="0" w:line="240" w:lineRule="auto"/>
        <w:ind w:firstLine="540"/>
        <w:jc w:val="both"/>
        <w:rPr>
          <w:rFonts w:ascii="Times New Roman" w:hAnsi="Times New Roman" w:cs="Times New Roman"/>
          <w:sz w:val="24"/>
          <w:szCs w:val="24"/>
        </w:rPr>
      </w:pPr>
      <w:r w:rsidRPr="007B4A99">
        <w:rPr>
          <w:rFonts w:ascii="Times New Roman" w:hAnsi="Times New Roman" w:cs="Times New Roman"/>
          <w:bCs/>
          <w:sz w:val="24"/>
          <w:szCs w:val="24"/>
        </w:rPr>
        <w:t xml:space="preserve">Стъпка 1 от </w:t>
      </w:r>
      <w:r w:rsidRPr="007B4A99">
        <w:rPr>
          <w:rFonts w:ascii="Times New Roman" w:hAnsi="Times New Roman" w:cs="Times New Roman"/>
          <w:sz w:val="24"/>
          <w:szCs w:val="24"/>
        </w:rPr>
        <w:t xml:space="preserve">процеса по анализ на въздействията на разработените в рамките на ОВ варианти </w:t>
      </w:r>
      <w:r w:rsidRPr="007B4A99">
        <w:rPr>
          <w:rFonts w:ascii="Times New Roman" w:hAnsi="Times New Roman" w:cs="Times New Roman"/>
          <w:bCs/>
          <w:sz w:val="24"/>
          <w:szCs w:val="24"/>
        </w:rPr>
        <w:t>включва идентифициране на потенциалните ефекти</w:t>
      </w:r>
      <w:r w:rsidRPr="007B4A99">
        <w:rPr>
          <w:rFonts w:ascii="Times New Roman" w:hAnsi="Times New Roman" w:cs="Times New Roman"/>
          <w:sz w:val="24"/>
          <w:szCs w:val="24"/>
        </w:rPr>
        <w:t>, които да бъдат обективно изследвани, като едновременно с това се прави и преценка на положителните и отрицателните, преките и непреките, предвидимите и непредвидимите, сигурните и несигурните, краткосрочните и дългосрочните и всякакви други относими въздействия.</w:t>
      </w:r>
    </w:p>
    <w:p w14:paraId="7A0CB597" w14:textId="7FFFF2A8" w:rsidR="00FA0751" w:rsidRPr="007B4A99" w:rsidRDefault="00C8511B" w:rsidP="00DD69D5">
      <w:pPr>
        <w:spacing w:after="0" w:line="240" w:lineRule="auto"/>
        <w:ind w:firstLine="540"/>
        <w:jc w:val="both"/>
        <w:rPr>
          <w:rFonts w:ascii="Times New Roman" w:hAnsi="Times New Roman" w:cs="Times New Roman"/>
          <w:sz w:val="24"/>
          <w:szCs w:val="24"/>
        </w:rPr>
      </w:pPr>
      <w:r w:rsidRPr="007B4A99">
        <w:rPr>
          <w:rFonts w:ascii="Times New Roman" w:hAnsi="Times New Roman" w:cs="Times New Roman"/>
          <w:sz w:val="24"/>
          <w:szCs w:val="24"/>
        </w:rPr>
        <w:t xml:space="preserve">Настоящата </w:t>
      </w:r>
      <w:r w:rsidR="00FA0751" w:rsidRPr="007B4A99">
        <w:rPr>
          <w:rFonts w:ascii="Times New Roman" w:hAnsi="Times New Roman" w:cs="Times New Roman"/>
          <w:sz w:val="24"/>
          <w:szCs w:val="24"/>
        </w:rPr>
        <w:t>ОВ следва добрата практика на пр</w:t>
      </w:r>
      <w:r w:rsidR="007A6532">
        <w:rPr>
          <w:rFonts w:ascii="Times New Roman" w:hAnsi="Times New Roman" w:cs="Times New Roman"/>
          <w:sz w:val="24"/>
          <w:szCs w:val="24"/>
        </w:rPr>
        <w:t>еминава</w:t>
      </w:r>
      <w:r w:rsidR="00FA0751" w:rsidRPr="007B4A99">
        <w:rPr>
          <w:rFonts w:ascii="Times New Roman" w:hAnsi="Times New Roman" w:cs="Times New Roman"/>
          <w:sz w:val="24"/>
          <w:szCs w:val="24"/>
        </w:rPr>
        <w:t xml:space="preserve">не на тази стъпка, като прегледът на потенциалните </w:t>
      </w:r>
      <w:r w:rsidR="00FA0751" w:rsidRPr="007B4A99">
        <w:rPr>
          <w:rFonts w:ascii="Times New Roman" w:hAnsi="Times New Roman" w:cs="Times New Roman"/>
          <w:i/>
          <w:sz w:val="24"/>
          <w:szCs w:val="24"/>
        </w:rPr>
        <w:t>икономически</w:t>
      </w:r>
      <w:r w:rsidRPr="007B4A99">
        <w:rPr>
          <w:rFonts w:ascii="Times New Roman" w:hAnsi="Times New Roman" w:cs="Times New Roman"/>
          <w:sz w:val="24"/>
          <w:szCs w:val="24"/>
        </w:rPr>
        <w:t xml:space="preserve"> въздействия,</w:t>
      </w:r>
      <w:r w:rsidR="00FA0751" w:rsidRPr="007B4A99">
        <w:rPr>
          <w:rFonts w:ascii="Times New Roman" w:hAnsi="Times New Roman" w:cs="Times New Roman"/>
          <w:sz w:val="24"/>
          <w:szCs w:val="24"/>
        </w:rPr>
        <w:t xml:space="preserve"> като минимум</w:t>
      </w:r>
      <w:r w:rsidRPr="007B4A99">
        <w:rPr>
          <w:rFonts w:ascii="Times New Roman" w:hAnsi="Times New Roman" w:cs="Times New Roman"/>
          <w:sz w:val="24"/>
          <w:szCs w:val="24"/>
        </w:rPr>
        <w:t>,</w:t>
      </w:r>
      <w:r w:rsidR="00FA0751" w:rsidRPr="007B4A99">
        <w:rPr>
          <w:rFonts w:ascii="Times New Roman" w:hAnsi="Times New Roman" w:cs="Times New Roman"/>
          <w:sz w:val="24"/>
          <w:szCs w:val="24"/>
        </w:rPr>
        <w:t xml:space="preserve"> задължително е обхванал проверка на влиянието на вариантите върху: разходите за регулиране и регулаторната и административната тежест за гражданите и бизнеса, състоянието на малките и средните предприятия, функционирането на пазара и конкуренция, публичните власти и други.  </w:t>
      </w:r>
    </w:p>
    <w:p w14:paraId="549F56AB" w14:textId="5A1C91A9" w:rsidR="00FA0751" w:rsidRPr="007B4A99" w:rsidRDefault="00FA0751" w:rsidP="00DD69D5">
      <w:pPr>
        <w:spacing w:after="0" w:line="240" w:lineRule="auto"/>
        <w:ind w:firstLine="540"/>
        <w:jc w:val="both"/>
        <w:rPr>
          <w:rFonts w:ascii="Times New Roman" w:hAnsi="Times New Roman" w:cs="Times New Roman"/>
          <w:sz w:val="24"/>
          <w:szCs w:val="24"/>
        </w:rPr>
      </w:pPr>
      <w:r w:rsidRPr="007B4A99">
        <w:rPr>
          <w:rFonts w:ascii="Times New Roman" w:hAnsi="Times New Roman" w:cs="Times New Roman"/>
          <w:sz w:val="24"/>
          <w:szCs w:val="24"/>
        </w:rPr>
        <w:t xml:space="preserve">Направеният скрининг на потенциалните </w:t>
      </w:r>
      <w:r w:rsidRPr="007B4A99">
        <w:rPr>
          <w:rFonts w:ascii="Times New Roman" w:hAnsi="Times New Roman" w:cs="Times New Roman"/>
          <w:i/>
          <w:sz w:val="24"/>
          <w:szCs w:val="24"/>
        </w:rPr>
        <w:t>социални</w:t>
      </w:r>
      <w:r w:rsidRPr="007B4A99">
        <w:rPr>
          <w:rFonts w:ascii="Times New Roman" w:hAnsi="Times New Roman" w:cs="Times New Roman"/>
          <w:sz w:val="24"/>
          <w:szCs w:val="24"/>
        </w:rPr>
        <w:t xml:space="preserve"> въздействия на вариантите включва изследване на тяхното представяне по отношение на заетостта, условията на </w:t>
      </w:r>
      <w:r w:rsidRPr="007B4A99">
        <w:rPr>
          <w:rFonts w:ascii="Times New Roman" w:hAnsi="Times New Roman" w:cs="Times New Roman"/>
          <w:sz w:val="24"/>
          <w:szCs w:val="24"/>
        </w:rPr>
        <w:lastRenderedPageBreak/>
        <w:t>труд, функционирането на пазара на труда, държавното управление и добрата администрация и други.</w:t>
      </w:r>
    </w:p>
    <w:p w14:paraId="3EA07F33" w14:textId="3DE83A33" w:rsidR="00722ED5" w:rsidRPr="007B4A99" w:rsidRDefault="00FA0751" w:rsidP="00DD69D5">
      <w:pPr>
        <w:spacing w:after="0" w:line="240" w:lineRule="auto"/>
        <w:ind w:firstLine="540"/>
        <w:jc w:val="both"/>
        <w:rPr>
          <w:rFonts w:ascii="Times New Roman" w:hAnsi="Times New Roman" w:cs="Times New Roman"/>
          <w:sz w:val="24"/>
          <w:szCs w:val="24"/>
        </w:rPr>
      </w:pPr>
      <w:r w:rsidRPr="007B4A99">
        <w:rPr>
          <w:rFonts w:ascii="Times New Roman" w:hAnsi="Times New Roman" w:cs="Times New Roman"/>
          <w:sz w:val="24"/>
          <w:szCs w:val="24"/>
        </w:rPr>
        <w:t xml:space="preserve">Идентифицирането на потенциалните </w:t>
      </w:r>
      <w:r w:rsidRPr="007B4A99">
        <w:rPr>
          <w:rFonts w:ascii="Times New Roman" w:hAnsi="Times New Roman" w:cs="Times New Roman"/>
          <w:i/>
          <w:sz w:val="24"/>
          <w:szCs w:val="24"/>
        </w:rPr>
        <w:t>екологични</w:t>
      </w:r>
      <w:r w:rsidRPr="007B4A99">
        <w:rPr>
          <w:rFonts w:ascii="Times New Roman" w:hAnsi="Times New Roman" w:cs="Times New Roman"/>
          <w:sz w:val="24"/>
          <w:szCs w:val="24"/>
        </w:rPr>
        <w:t xml:space="preserve"> въздействия на вариантите се изразява в преглед на тяхното влияние </w:t>
      </w:r>
      <w:r w:rsidR="00117E69" w:rsidRPr="007B4A99">
        <w:rPr>
          <w:rFonts w:ascii="Times New Roman" w:hAnsi="Times New Roman" w:cs="Times New Roman"/>
          <w:sz w:val="24"/>
          <w:szCs w:val="24"/>
        </w:rPr>
        <w:t>върху външни</w:t>
      </w:r>
      <w:r w:rsidRPr="007B4A99">
        <w:rPr>
          <w:rFonts w:ascii="Times New Roman" w:hAnsi="Times New Roman" w:cs="Times New Roman"/>
          <w:sz w:val="24"/>
          <w:szCs w:val="24"/>
        </w:rPr>
        <w:t xml:space="preserve"> фактори като климат, качество на въздуха, на водата и водните ресурси, почвите и горите, биоразнообразие, флора, фауна и естествена среда, устойчиво потребление, опаз</w:t>
      </w:r>
      <w:r w:rsidR="00722ED5" w:rsidRPr="007B4A99">
        <w:rPr>
          <w:rFonts w:ascii="Times New Roman" w:hAnsi="Times New Roman" w:cs="Times New Roman"/>
          <w:sz w:val="24"/>
          <w:szCs w:val="24"/>
        </w:rPr>
        <w:t>ване на околната среда и други.</w:t>
      </w:r>
    </w:p>
    <w:p w14:paraId="0139A91E" w14:textId="35B5C606" w:rsidR="00FA0751" w:rsidRPr="007B4A99" w:rsidRDefault="00FA0751" w:rsidP="00DD69D5">
      <w:pPr>
        <w:spacing w:after="0" w:line="240" w:lineRule="auto"/>
        <w:ind w:firstLine="540"/>
        <w:jc w:val="both"/>
        <w:rPr>
          <w:rFonts w:ascii="Times New Roman" w:hAnsi="Times New Roman"/>
          <w:sz w:val="24"/>
          <w:szCs w:val="24"/>
        </w:rPr>
      </w:pPr>
      <w:r w:rsidRPr="007B4A99">
        <w:rPr>
          <w:rFonts w:ascii="Times New Roman" w:hAnsi="Times New Roman"/>
          <w:sz w:val="24"/>
          <w:szCs w:val="24"/>
        </w:rPr>
        <w:t>Стъпка 2 от процеса по анализ на въздействията на вариантите представлява преценка</w:t>
      </w:r>
      <w:r w:rsidR="00C8511B" w:rsidRPr="007B4A99">
        <w:rPr>
          <w:rFonts w:ascii="Times New Roman" w:hAnsi="Times New Roman"/>
          <w:sz w:val="24"/>
          <w:szCs w:val="24"/>
        </w:rPr>
        <w:t>,</w:t>
      </w:r>
      <w:r w:rsidRPr="007B4A99">
        <w:rPr>
          <w:rFonts w:ascii="Times New Roman" w:hAnsi="Times New Roman"/>
          <w:sz w:val="24"/>
          <w:szCs w:val="24"/>
        </w:rPr>
        <w:t xml:space="preserve"> въз основа на доказателствата</w:t>
      </w:r>
      <w:r w:rsidR="00C8511B" w:rsidRPr="007B4A99">
        <w:rPr>
          <w:rFonts w:ascii="Times New Roman" w:hAnsi="Times New Roman"/>
          <w:sz w:val="24"/>
          <w:szCs w:val="24"/>
        </w:rPr>
        <w:t>,</w:t>
      </w:r>
      <w:r w:rsidRPr="007B4A99">
        <w:rPr>
          <w:rFonts w:ascii="Times New Roman" w:hAnsi="Times New Roman"/>
          <w:sz w:val="24"/>
          <w:szCs w:val="24"/>
        </w:rPr>
        <w:t xml:space="preserve"> и подбор </w:t>
      </w:r>
      <w:r w:rsidRPr="007B4A99">
        <w:rPr>
          <w:rFonts w:ascii="Times New Roman" w:hAnsi="Times New Roman"/>
          <w:bCs/>
          <w:sz w:val="24"/>
          <w:szCs w:val="24"/>
        </w:rPr>
        <w:t>на най-относимите за конкретно оценяваната политика въздействия при зачитане на принципа на пропорционалния анализ</w:t>
      </w:r>
      <w:r w:rsidRPr="007B4A99">
        <w:rPr>
          <w:rFonts w:ascii="Times New Roman" w:hAnsi="Times New Roman"/>
          <w:sz w:val="24"/>
          <w:szCs w:val="24"/>
        </w:rPr>
        <w:t xml:space="preserve">, които да бъдат запазени за по-подробно изследване. Преценката е направена както на базата на абсолютната стойност на очакваните въздействия, така и на тяхната относителна стойност, </w:t>
      </w:r>
      <w:r w:rsidR="00C8511B" w:rsidRPr="007B4A99">
        <w:rPr>
          <w:rFonts w:ascii="Times New Roman" w:hAnsi="Times New Roman"/>
          <w:sz w:val="24"/>
          <w:szCs w:val="24"/>
        </w:rPr>
        <w:t>от</w:t>
      </w:r>
      <w:r w:rsidRPr="007B4A99">
        <w:rPr>
          <w:rFonts w:ascii="Times New Roman" w:hAnsi="Times New Roman"/>
          <w:sz w:val="24"/>
          <w:szCs w:val="24"/>
        </w:rPr>
        <w:t xml:space="preserve">разяваща релевантността на ефектите спрямо отделните групи заинтересовани страни и степента на тяхното засягане. </w:t>
      </w:r>
    </w:p>
    <w:p w14:paraId="1C1995E1" w14:textId="77777777" w:rsidR="00FA0751" w:rsidRPr="007B4A99" w:rsidRDefault="00FA0751" w:rsidP="00DD69D5">
      <w:pPr>
        <w:spacing w:after="0" w:line="240" w:lineRule="auto"/>
        <w:ind w:firstLine="540"/>
        <w:jc w:val="both"/>
        <w:rPr>
          <w:rFonts w:ascii="Times New Roman" w:hAnsi="Times New Roman"/>
          <w:bCs/>
          <w:sz w:val="24"/>
          <w:szCs w:val="24"/>
        </w:rPr>
      </w:pPr>
      <w:r w:rsidRPr="007B4A99">
        <w:rPr>
          <w:rFonts w:ascii="Times New Roman" w:hAnsi="Times New Roman"/>
          <w:sz w:val="24"/>
          <w:szCs w:val="24"/>
        </w:rPr>
        <w:t xml:space="preserve">Стъпка 3 от анализа на въздействията включва извършването на окончателен подбор на </w:t>
      </w:r>
      <w:r w:rsidR="00FA0B87" w:rsidRPr="007B4A99">
        <w:rPr>
          <w:rFonts w:ascii="Times New Roman" w:hAnsi="Times New Roman"/>
          <w:bCs/>
          <w:sz w:val="24"/>
          <w:szCs w:val="24"/>
        </w:rPr>
        <w:t>значителните въздействия -</w:t>
      </w:r>
      <w:r w:rsidRPr="007B4A99">
        <w:rPr>
          <w:rFonts w:ascii="Times New Roman" w:hAnsi="Times New Roman"/>
          <w:bCs/>
          <w:sz w:val="24"/>
          <w:szCs w:val="24"/>
        </w:rPr>
        <w:t xml:space="preserve"> онези</w:t>
      </w:r>
      <w:r w:rsidR="00FA0B87" w:rsidRPr="007B4A99">
        <w:rPr>
          <w:rFonts w:ascii="Times New Roman" w:hAnsi="Times New Roman"/>
          <w:bCs/>
          <w:sz w:val="24"/>
          <w:szCs w:val="24"/>
        </w:rPr>
        <w:t>,</w:t>
      </w:r>
      <w:r w:rsidRPr="007B4A99">
        <w:rPr>
          <w:rFonts w:ascii="Times New Roman" w:hAnsi="Times New Roman"/>
          <w:bCs/>
          <w:sz w:val="24"/>
          <w:szCs w:val="24"/>
        </w:rPr>
        <w:t xml:space="preserve"> които да бъдат поставени на задълбочен количествен и качествен анализ с цел да се изгради ясна представа относно тяхната същност - положителни или отрицателни, сигурни или несигурни, желани или нежелани и относно това за кого те биха донесли ползи и за кого загуби. </w:t>
      </w:r>
    </w:p>
    <w:p w14:paraId="1C979223" w14:textId="3E79D2A7" w:rsidR="00FA0751" w:rsidRPr="007B4A99" w:rsidRDefault="00FA0751" w:rsidP="00DD69D5">
      <w:pPr>
        <w:spacing w:after="0" w:line="240" w:lineRule="auto"/>
        <w:ind w:firstLine="540"/>
        <w:jc w:val="both"/>
        <w:rPr>
          <w:rFonts w:ascii="Times New Roman" w:hAnsi="Times New Roman"/>
          <w:sz w:val="24"/>
          <w:szCs w:val="24"/>
        </w:rPr>
      </w:pPr>
      <w:r w:rsidRPr="007B4A99">
        <w:rPr>
          <w:rFonts w:ascii="Times New Roman" w:hAnsi="Times New Roman"/>
          <w:sz w:val="24"/>
          <w:szCs w:val="24"/>
          <w:lang w:eastAsia="en-GB"/>
        </w:rPr>
        <w:t>О</w:t>
      </w:r>
      <w:r w:rsidRPr="007B4A99">
        <w:rPr>
          <w:rFonts w:ascii="Times New Roman" w:hAnsi="Times New Roman"/>
          <w:sz w:val="24"/>
          <w:szCs w:val="24"/>
        </w:rPr>
        <w:t>чакваната значимост на въздействията на вариантите е преценена от гледна точка на промените в поведението на заинтересованите страни или на измененията в средата, които се свързват с всеки от оценяваните варианти в сравнение с базисния сценарий, този</w:t>
      </w:r>
      <w:r w:rsidR="00FA0B87" w:rsidRPr="007B4A99">
        <w:rPr>
          <w:rFonts w:ascii="Times New Roman" w:hAnsi="Times New Roman"/>
          <w:sz w:val="24"/>
          <w:szCs w:val="24"/>
        </w:rPr>
        <w:t>,</w:t>
      </w:r>
      <w:r w:rsidRPr="007B4A99">
        <w:rPr>
          <w:rFonts w:ascii="Times New Roman" w:hAnsi="Times New Roman"/>
          <w:sz w:val="24"/>
          <w:szCs w:val="24"/>
        </w:rPr>
        <w:t xml:space="preserve"> който би се реализирал</w:t>
      </w:r>
      <w:r w:rsidR="00C8511B" w:rsidRPr="007B4A99">
        <w:rPr>
          <w:rFonts w:ascii="Times New Roman" w:hAnsi="Times New Roman"/>
          <w:sz w:val="24"/>
          <w:szCs w:val="24"/>
        </w:rPr>
        <w:t xml:space="preserve"> и развил </w:t>
      </w:r>
      <w:r w:rsidRPr="007B4A99">
        <w:rPr>
          <w:rFonts w:ascii="Times New Roman" w:hAnsi="Times New Roman"/>
          <w:sz w:val="24"/>
          <w:szCs w:val="24"/>
        </w:rPr>
        <w:t xml:space="preserve">при избора на нулевия вариант, наречен в настоящата ОВ Вариант 0: „Без действие“. </w:t>
      </w:r>
    </w:p>
    <w:p w14:paraId="64D32891" w14:textId="77777777" w:rsidR="001A7741" w:rsidRPr="007B4A99" w:rsidRDefault="001A7741" w:rsidP="008D0E15">
      <w:pPr>
        <w:pStyle w:val="Heading2"/>
        <w:numPr>
          <w:ilvl w:val="1"/>
          <w:numId w:val="1"/>
        </w:numPr>
        <w:tabs>
          <w:tab w:val="left" w:pos="900"/>
        </w:tabs>
        <w:ind w:left="360" w:firstLine="0"/>
        <w:rPr>
          <w:rFonts w:ascii="Times New Roman" w:hAnsi="Times New Roman"/>
        </w:rPr>
      </w:pPr>
      <w:bookmarkStart w:id="18" w:name="_Toc198633085"/>
      <w:r w:rsidRPr="007B4A99">
        <w:rPr>
          <w:rFonts w:ascii="Times New Roman" w:hAnsi="Times New Roman"/>
        </w:rPr>
        <w:t>Определяне на икономическите, социални и екологични въздействия</w:t>
      </w:r>
      <w:bookmarkEnd w:id="18"/>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C91091" w:rsidRPr="007B4A99" w14:paraId="6D26259D" w14:textId="77777777" w:rsidTr="00DD69D5">
        <w:tc>
          <w:tcPr>
            <w:tcW w:w="9062" w:type="dxa"/>
          </w:tcPr>
          <w:p w14:paraId="13C82EF3" w14:textId="77777777" w:rsidR="00C91091" w:rsidRPr="007B4A99" w:rsidRDefault="00C91091" w:rsidP="00C91091">
            <w:pPr>
              <w:pStyle w:val="7878"/>
              <w:ind w:left="0"/>
              <w:rPr>
                <w:rFonts w:ascii="Times New Roman" w:hAnsi="Times New Roman"/>
              </w:rPr>
            </w:pPr>
            <w:r w:rsidRPr="007B4A99">
              <w:rPr>
                <w:rFonts w:ascii="Times New Roman" w:hAnsi="Times New Roman"/>
              </w:rPr>
              <w:t>[Първата фаза от анализа на въздействията има за цел да идентифицира икономическите, социални и екологични въздействия, които ще се проявят ако даден вариант за действие бъде възприет. В нейните рамки задължително се изяснява кои лица ще бъдат засегнати от конкретното въздействие и в кой момент.</w:t>
            </w:r>
          </w:p>
          <w:p w14:paraId="01BDE5D1" w14:textId="77777777" w:rsidR="00C91091" w:rsidRPr="007B4A99" w:rsidRDefault="00C91091" w:rsidP="00BE417F">
            <w:pPr>
              <w:pStyle w:val="7878"/>
              <w:ind w:left="0"/>
              <w:rPr>
                <w:rFonts w:ascii="Times New Roman" w:hAnsi="Times New Roman"/>
              </w:rPr>
            </w:pPr>
            <w:r w:rsidRPr="007B4A99">
              <w:rPr>
                <w:rFonts w:ascii="Times New Roman" w:hAnsi="Times New Roman"/>
              </w:rPr>
              <w:t>В рамките на тази фаза се идентифицират и специфичните за всеки отделен вариант аспекти на икономическите, социалните и екологичните въздействия (Ръководство, РМС № 728 от 2019 г., стр. 29 – 35).]</w:t>
            </w:r>
          </w:p>
        </w:tc>
      </w:tr>
    </w:tbl>
    <w:p w14:paraId="46200734" w14:textId="77777777" w:rsidR="00816A19" w:rsidRPr="007B4A99" w:rsidRDefault="00816A19" w:rsidP="0009775E">
      <w:pPr>
        <w:ind w:firstLine="567"/>
        <w:jc w:val="both"/>
        <w:rPr>
          <w:rFonts w:ascii="Times New Roman" w:hAnsi="Times New Roman" w:cs="Times New Roman"/>
        </w:rPr>
      </w:pPr>
    </w:p>
    <w:p w14:paraId="7921E0A2" w14:textId="74618010" w:rsidR="00C836A0" w:rsidRPr="007B4A99" w:rsidRDefault="000874A2" w:rsidP="00DD69D5">
      <w:pPr>
        <w:spacing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Представените по-долу ключови икономически, социални и екологични въздействия на оценя</w:t>
      </w:r>
      <w:r w:rsidR="00D16BE1">
        <w:rPr>
          <w:rFonts w:ascii="Times New Roman" w:hAnsi="Times New Roman" w:cs="Times New Roman"/>
          <w:sz w:val="24"/>
          <w:szCs w:val="24"/>
        </w:rPr>
        <w:t xml:space="preserve">ваните варианти са извлечени </w:t>
      </w:r>
      <w:r w:rsidR="005029C7">
        <w:rPr>
          <w:rFonts w:ascii="Times New Roman" w:hAnsi="Times New Roman" w:cs="Times New Roman"/>
          <w:sz w:val="24"/>
          <w:szCs w:val="24"/>
        </w:rPr>
        <w:t>след анализ</w:t>
      </w:r>
      <w:r w:rsidR="00417139">
        <w:rPr>
          <w:rFonts w:ascii="Times New Roman" w:hAnsi="Times New Roman" w:cs="Times New Roman"/>
          <w:sz w:val="24"/>
          <w:szCs w:val="24"/>
        </w:rPr>
        <w:t>,</w:t>
      </w:r>
      <w:r w:rsidR="005029C7">
        <w:rPr>
          <w:rFonts w:ascii="Times New Roman" w:hAnsi="Times New Roman" w:cs="Times New Roman"/>
          <w:sz w:val="24"/>
          <w:szCs w:val="24"/>
        </w:rPr>
        <w:t xml:space="preserve"> </w:t>
      </w:r>
      <w:r w:rsidR="00417139">
        <w:rPr>
          <w:rFonts w:ascii="Times New Roman" w:hAnsi="Times New Roman" w:cs="Times New Roman"/>
          <w:sz w:val="24"/>
          <w:szCs w:val="24"/>
        </w:rPr>
        <w:t xml:space="preserve">синтез </w:t>
      </w:r>
      <w:r w:rsidR="005029C7">
        <w:rPr>
          <w:rFonts w:ascii="Times New Roman" w:hAnsi="Times New Roman" w:cs="Times New Roman"/>
          <w:sz w:val="24"/>
          <w:szCs w:val="24"/>
        </w:rPr>
        <w:t>и</w:t>
      </w:r>
      <w:r w:rsidR="00D16BE1">
        <w:rPr>
          <w:rFonts w:ascii="Times New Roman" w:hAnsi="Times New Roman" w:cs="Times New Roman"/>
          <w:sz w:val="24"/>
          <w:szCs w:val="24"/>
        </w:rPr>
        <w:t xml:space="preserve"> </w:t>
      </w:r>
      <w:r w:rsidR="005029C7">
        <w:rPr>
          <w:rFonts w:ascii="Times New Roman" w:hAnsi="Times New Roman" w:cs="Times New Roman"/>
          <w:sz w:val="24"/>
          <w:szCs w:val="24"/>
        </w:rPr>
        <w:t>съпоставка на резултатите от извършен</w:t>
      </w:r>
      <w:r w:rsidR="008658B5">
        <w:rPr>
          <w:rFonts w:ascii="Times New Roman" w:hAnsi="Times New Roman" w:cs="Times New Roman"/>
          <w:sz w:val="24"/>
          <w:szCs w:val="24"/>
        </w:rPr>
        <w:t>а</w:t>
      </w:r>
      <w:r w:rsidR="005029C7">
        <w:rPr>
          <w:rFonts w:ascii="Times New Roman" w:hAnsi="Times New Roman" w:cs="Times New Roman"/>
          <w:sz w:val="24"/>
          <w:szCs w:val="24"/>
        </w:rPr>
        <w:t>т</w:t>
      </w:r>
      <w:r w:rsidR="008658B5">
        <w:rPr>
          <w:rFonts w:ascii="Times New Roman" w:hAnsi="Times New Roman" w:cs="Times New Roman"/>
          <w:sz w:val="24"/>
          <w:szCs w:val="24"/>
        </w:rPr>
        <w:t>а</w:t>
      </w:r>
      <w:r w:rsidR="005029C7">
        <w:rPr>
          <w:rFonts w:ascii="Times New Roman" w:hAnsi="Times New Roman" w:cs="Times New Roman"/>
          <w:sz w:val="24"/>
          <w:szCs w:val="24"/>
        </w:rPr>
        <w:t xml:space="preserve"> качествена оценка </w:t>
      </w:r>
      <w:r w:rsidR="00D16BE1">
        <w:rPr>
          <w:rFonts w:ascii="Times New Roman" w:hAnsi="Times New Roman" w:cs="Times New Roman"/>
          <w:sz w:val="24"/>
          <w:szCs w:val="24"/>
        </w:rPr>
        <w:t>на въздействията</w:t>
      </w:r>
      <w:r w:rsidR="005029C7">
        <w:rPr>
          <w:rFonts w:ascii="Times New Roman" w:hAnsi="Times New Roman" w:cs="Times New Roman"/>
          <w:sz w:val="24"/>
          <w:szCs w:val="24"/>
        </w:rPr>
        <w:t xml:space="preserve"> на разглежданите варианти</w:t>
      </w:r>
      <w:r w:rsidR="00950802">
        <w:rPr>
          <w:rFonts w:ascii="Times New Roman" w:hAnsi="Times New Roman" w:cs="Times New Roman"/>
          <w:sz w:val="24"/>
          <w:szCs w:val="24"/>
        </w:rPr>
        <w:t xml:space="preserve">, подробно представени в </w:t>
      </w:r>
      <w:r w:rsidR="00950802" w:rsidRPr="008658B5">
        <w:rPr>
          <w:rFonts w:ascii="Times New Roman" w:hAnsi="Times New Roman" w:cs="Times New Roman"/>
          <w:i/>
          <w:sz w:val="24"/>
          <w:szCs w:val="24"/>
        </w:rPr>
        <w:t xml:space="preserve">Приложение </w:t>
      </w:r>
      <w:r w:rsidR="005F115D" w:rsidRPr="008658B5">
        <w:rPr>
          <w:rFonts w:ascii="Times New Roman" w:hAnsi="Times New Roman" w:cs="Times New Roman"/>
          <w:i/>
          <w:sz w:val="24"/>
          <w:szCs w:val="24"/>
        </w:rPr>
        <w:t>2</w:t>
      </w:r>
      <w:r w:rsidR="00950802" w:rsidRPr="008658B5">
        <w:rPr>
          <w:rFonts w:ascii="Times New Roman" w:hAnsi="Times New Roman" w:cs="Times New Roman"/>
          <w:i/>
          <w:sz w:val="24"/>
          <w:szCs w:val="24"/>
        </w:rPr>
        <w:t xml:space="preserve">. Единна методологическа рамка за анализ на въздействията </w:t>
      </w:r>
      <w:r w:rsidR="00950802" w:rsidRPr="008658B5">
        <w:rPr>
          <w:rFonts w:ascii="Times New Roman" w:hAnsi="Times New Roman" w:cs="Times New Roman"/>
          <w:sz w:val="24"/>
          <w:szCs w:val="24"/>
        </w:rPr>
        <w:t>към</w:t>
      </w:r>
      <w:r w:rsidR="005F115D" w:rsidRPr="008658B5">
        <w:rPr>
          <w:rFonts w:ascii="Times New Roman" w:hAnsi="Times New Roman" w:cs="Times New Roman"/>
          <w:sz w:val="24"/>
          <w:szCs w:val="24"/>
        </w:rPr>
        <w:t xml:space="preserve"> настоящия</w:t>
      </w:r>
      <w:r w:rsidR="00950802" w:rsidRPr="008658B5">
        <w:rPr>
          <w:rFonts w:ascii="Times New Roman" w:hAnsi="Times New Roman" w:cs="Times New Roman"/>
          <w:sz w:val="24"/>
          <w:szCs w:val="24"/>
        </w:rPr>
        <w:t xml:space="preserve"> доклад с ОВ</w:t>
      </w:r>
      <w:r w:rsidR="005029C7" w:rsidRPr="008658B5">
        <w:rPr>
          <w:rFonts w:ascii="Times New Roman" w:hAnsi="Times New Roman" w:cs="Times New Roman"/>
          <w:sz w:val="24"/>
          <w:szCs w:val="24"/>
        </w:rPr>
        <w:t>.</w:t>
      </w:r>
    </w:p>
    <w:p w14:paraId="76960054" w14:textId="77777777" w:rsidR="00BC7D8D" w:rsidRDefault="00BC7D8D" w:rsidP="001940CB">
      <w:pPr>
        <w:spacing w:after="0"/>
        <w:ind w:firstLine="567"/>
        <w:jc w:val="both"/>
        <w:rPr>
          <w:rFonts w:ascii="Times New Roman" w:hAnsi="Times New Roman" w:cs="Times New Roman"/>
          <w:b/>
          <w:sz w:val="24"/>
          <w:szCs w:val="24"/>
        </w:rPr>
      </w:pPr>
    </w:p>
    <w:p w14:paraId="5B3BBE50" w14:textId="77777777" w:rsidR="001940CB" w:rsidRPr="007B4A99" w:rsidRDefault="001940CB" w:rsidP="001940CB">
      <w:pPr>
        <w:spacing w:after="0"/>
        <w:ind w:firstLine="567"/>
        <w:jc w:val="both"/>
        <w:rPr>
          <w:rFonts w:ascii="Times New Roman" w:hAnsi="Times New Roman" w:cs="Times New Roman"/>
          <w:b/>
          <w:sz w:val="24"/>
          <w:szCs w:val="24"/>
        </w:rPr>
      </w:pPr>
      <w:r w:rsidRPr="00BC7D8D">
        <w:rPr>
          <w:rFonts w:ascii="Times New Roman" w:hAnsi="Times New Roman" w:cs="Times New Roman"/>
          <w:b/>
          <w:sz w:val="24"/>
          <w:szCs w:val="24"/>
        </w:rPr>
        <w:t xml:space="preserve">Таблица № 2. Представяне на значимите икономически, социални, </w:t>
      </w:r>
      <w:r w:rsidR="0088645E" w:rsidRPr="00BC7D8D">
        <w:rPr>
          <w:rFonts w:ascii="Times New Roman" w:hAnsi="Times New Roman" w:cs="Times New Roman"/>
          <w:b/>
          <w:sz w:val="24"/>
          <w:szCs w:val="24"/>
        </w:rPr>
        <w:t>и</w:t>
      </w:r>
      <w:r w:rsidR="0088645E" w:rsidRPr="007B4A99">
        <w:rPr>
          <w:rFonts w:ascii="Times New Roman" w:hAnsi="Times New Roman" w:cs="Times New Roman"/>
          <w:b/>
          <w:sz w:val="24"/>
          <w:szCs w:val="24"/>
        </w:rPr>
        <w:t xml:space="preserve"> </w:t>
      </w:r>
      <w:r w:rsidRPr="007B4A99">
        <w:rPr>
          <w:rFonts w:ascii="Times New Roman" w:hAnsi="Times New Roman" w:cs="Times New Roman"/>
          <w:b/>
          <w:sz w:val="24"/>
          <w:szCs w:val="24"/>
        </w:rPr>
        <w:t>екологични въздействия на вариантите</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51"/>
        <w:gridCol w:w="2410"/>
        <w:gridCol w:w="2551"/>
      </w:tblGrid>
      <w:tr w:rsidR="001A7741" w:rsidRPr="007B4A99" w14:paraId="24C7FD54" w14:textId="77777777" w:rsidTr="00DD69D5">
        <w:tc>
          <w:tcPr>
            <w:tcW w:w="9072" w:type="dxa"/>
            <w:gridSpan w:val="4"/>
            <w:shd w:val="clear" w:color="auto" w:fill="DBDBDB" w:themeFill="accent3" w:themeFillTint="66"/>
          </w:tcPr>
          <w:p w14:paraId="1E00EE70" w14:textId="6A582D43" w:rsidR="001A7741" w:rsidRPr="007B4A99" w:rsidRDefault="00747C8B" w:rsidP="00AD2103">
            <w:pPr>
              <w:spacing w:before="120" w:after="120"/>
              <w:jc w:val="center"/>
              <w:rPr>
                <w:rFonts w:ascii="Times New Roman" w:hAnsi="Times New Roman" w:cs="Times New Roman"/>
                <w:b/>
                <w:i/>
                <w:sz w:val="20"/>
                <w:szCs w:val="20"/>
              </w:rPr>
            </w:pPr>
            <w:r w:rsidRPr="007B4A99">
              <w:rPr>
                <w:rFonts w:ascii="Times New Roman" w:hAnsi="Times New Roman" w:cs="Times New Roman"/>
                <w:b/>
                <w:i/>
                <w:sz w:val="20"/>
                <w:szCs w:val="20"/>
              </w:rPr>
              <w:lastRenderedPageBreak/>
              <w:t>Проблем</w:t>
            </w:r>
            <w:r w:rsidR="001A7741" w:rsidRPr="007B4A99">
              <w:rPr>
                <w:rFonts w:ascii="Times New Roman" w:hAnsi="Times New Roman" w:cs="Times New Roman"/>
                <w:b/>
                <w:i/>
                <w:sz w:val="20"/>
                <w:szCs w:val="20"/>
              </w:rPr>
              <w:t xml:space="preserve">: </w:t>
            </w:r>
            <w:r w:rsidR="00D14E83" w:rsidRPr="007B4A99">
              <w:rPr>
                <w:rFonts w:ascii="Times New Roman" w:hAnsi="Times New Roman" w:cs="Times New Roman"/>
                <w:b/>
                <w:i/>
                <w:sz w:val="20"/>
                <w:szCs w:val="20"/>
              </w:rPr>
              <w:t>Липса на цялостна рамка от мерки на национално ниво, която гарантира прозрачност, проследяемост и равнопоставеност в отношенията между участниците във веригата на доставки на земеделски продукти и храни</w:t>
            </w:r>
          </w:p>
        </w:tc>
      </w:tr>
      <w:tr w:rsidR="0088645E" w:rsidRPr="007B4A99" w14:paraId="26741DA9" w14:textId="77777777" w:rsidTr="00DD69D5">
        <w:tc>
          <w:tcPr>
            <w:tcW w:w="1560" w:type="dxa"/>
            <w:shd w:val="clear" w:color="auto" w:fill="DBDBDB" w:themeFill="accent3" w:themeFillTint="66"/>
          </w:tcPr>
          <w:p w14:paraId="274E53A9" w14:textId="77777777" w:rsidR="0088645E" w:rsidRPr="007B4A99" w:rsidRDefault="0088645E" w:rsidP="001A7741">
            <w:pPr>
              <w:spacing w:before="120" w:after="120"/>
              <w:jc w:val="both"/>
              <w:rPr>
                <w:rFonts w:ascii="Times New Roman" w:hAnsi="Times New Roman" w:cs="Times New Roman"/>
                <w:b/>
                <w:i/>
              </w:rPr>
            </w:pPr>
          </w:p>
        </w:tc>
        <w:tc>
          <w:tcPr>
            <w:tcW w:w="2551" w:type="dxa"/>
            <w:shd w:val="clear" w:color="auto" w:fill="DEEAF6" w:themeFill="accent1" w:themeFillTint="33"/>
            <w:vAlign w:val="center"/>
          </w:tcPr>
          <w:p w14:paraId="02EC5390" w14:textId="77777777" w:rsidR="0088645E" w:rsidRPr="009E54EB" w:rsidRDefault="0088645E" w:rsidP="001A7741">
            <w:pPr>
              <w:spacing w:before="120" w:after="120"/>
              <w:contextualSpacing/>
              <w:jc w:val="center"/>
              <w:rPr>
                <w:rFonts w:ascii="Times New Roman" w:hAnsi="Times New Roman" w:cs="Times New Roman"/>
                <w:b/>
                <w:i/>
                <w:sz w:val="20"/>
                <w:szCs w:val="20"/>
              </w:rPr>
            </w:pPr>
            <w:r w:rsidRPr="009E54EB">
              <w:rPr>
                <w:rFonts w:ascii="Times New Roman" w:hAnsi="Times New Roman" w:cs="Times New Roman"/>
                <w:b/>
                <w:i/>
                <w:sz w:val="20"/>
                <w:szCs w:val="20"/>
              </w:rPr>
              <w:t>Икономически въздействия</w:t>
            </w:r>
          </w:p>
        </w:tc>
        <w:tc>
          <w:tcPr>
            <w:tcW w:w="2410" w:type="dxa"/>
            <w:shd w:val="clear" w:color="auto" w:fill="BDD6EE" w:themeFill="accent1" w:themeFillTint="66"/>
            <w:vAlign w:val="center"/>
          </w:tcPr>
          <w:p w14:paraId="3F4E74A2" w14:textId="77777777" w:rsidR="0088645E" w:rsidRPr="009E54EB" w:rsidRDefault="0088645E" w:rsidP="001A7741">
            <w:pPr>
              <w:spacing w:before="120" w:after="120"/>
              <w:contextualSpacing/>
              <w:jc w:val="center"/>
              <w:rPr>
                <w:rFonts w:ascii="Times New Roman" w:hAnsi="Times New Roman" w:cs="Times New Roman"/>
                <w:b/>
                <w:i/>
                <w:sz w:val="20"/>
                <w:szCs w:val="20"/>
              </w:rPr>
            </w:pPr>
            <w:r w:rsidRPr="009E54EB">
              <w:rPr>
                <w:rFonts w:ascii="Times New Roman" w:hAnsi="Times New Roman" w:cs="Times New Roman"/>
                <w:b/>
                <w:i/>
                <w:sz w:val="20"/>
                <w:szCs w:val="20"/>
              </w:rPr>
              <w:t>Социални въздействия</w:t>
            </w:r>
          </w:p>
        </w:tc>
        <w:tc>
          <w:tcPr>
            <w:tcW w:w="2551" w:type="dxa"/>
            <w:shd w:val="clear" w:color="auto" w:fill="9CC2E5" w:themeFill="accent1" w:themeFillTint="99"/>
            <w:vAlign w:val="center"/>
          </w:tcPr>
          <w:p w14:paraId="3FDD42F8" w14:textId="77777777" w:rsidR="0088645E" w:rsidRPr="007B4A99" w:rsidRDefault="0088645E" w:rsidP="001A7741">
            <w:pPr>
              <w:spacing w:before="120" w:after="120"/>
              <w:contextualSpacing/>
              <w:jc w:val="center"/>
              <w:rPr>
                <w:rFonts w:ascii="Times New Roman" w:hAnsi="Times New Roman" w:cs="Times New Roman"/>
                <w:b/>
                <w:i/>
                <w:sz w:val="20"/>
                <w:szCs w:val="20"/>
              </w:rPr>
            </w:pPr>
            <w:r w:rsidRPr="009E54EB">
              <w:rPr>
                <w:rFonts w:ascii="Times New Roman" w:hAnsi="Times New Roman" w:cs="Times New Roman"/>
                <w:b/>
                <w:i/>
                <w:sz w:val="20"/>
                <w:szCs w:val="20"/>
              </w:rPr>
              <w:t>Екологични въздействия</w:t>
            </w:r>
          </w:p>
          <w:p w14:paraId="265F05F4" w14:textId="77777777" w:rsidR="0088645E" w:rsidRPr="007B4A99" w:rsidRDefault="0088645E" w:rsidP="001A7741">
            <w:pPr>
              <w:spacing w:before="120" w:after="120"/>
              <w:contextualSpacing/>
              <w:jc w:val="center"/>
              <w:rPr>
                <w:rFonts w:ascii="Times New Roman" w:hAnsi="Times New Roman" w:cs="Times New Roman"/>
                <w:b/>
                <w:i/>
                <w:sz w:val="20"/>
                <w:szCs w:val="20"/>
              </w:rPr>
            </w:pPr>
            <w:r w:rsidRPr="007B4A99">
              <w:rPr>
                <w:rFonts w:ascii="Times New Roman" w:hAnsi="Times New Roman" w:cs="Times New Roman"/>
                <w:b/>
                <w:i/>
                <w:sz w:val="20"/>
                <w:szCs w:val="20"/>
              </w:rPr>
              <w:t xml:space="preserve"> </w:t>
            </w:r>
          </w:p>
        </w:tc>
      </w:tr>
      <w:tr w:rsidR="0088645E" w:rsidRPr="007B4A99" w14:paraId="62B6F320" w14:textId="77777777" w:rsidTr="008658B5">
        <w:trPr>
          <w:trHeight w:val="1692"/>
        </w:trPr>
        <w:tc>
          <w:tcPr>
            <w:tcW w:w="1560" w:type="dxa"/>
            <w:shd w:val="clear" w:color="auto" w:fill="DBDBDB" w:themeFill="accent3" w:themeFillTint="66"/>
            <w:vAlign w:val="center"/>
          </w:tcPr>
          <w:p w14:paraId="4FA2A2D4" w14:textId="77777777" w:rsidR="0088645E" w:rsidRPr="007B4A99" w:rsidRDefault="0088645E" w:rsidP="0088645E">
            <w:pPr>
              <w:spacing w:before="120" w:after="120"/>
              <w:contextualSpacing/>
              <w:jc w:val="center"/>
              <w:rPr>
                <w:rFonts w:ascii="Times New Roman" w:hAnsi="Times New Roman" w:cs="Times New Roman"/>
                <w:b/>
                <w:i/>
                <w:sz w:val="20"/>
                <w:szCs w:val="20"/>
              </w:rPr>
            </w:pPr>
            <w:r w:rsidRPr="007B4A99">
              <w:rPr>
                <w:rFonts w:ascii="Times New Roman" w:hAnsi="Times New Roman" w:cs="Times New Roman"/>
                <w:b/>
                <w:i/>
                <w:sz w:val="20"/>
                <w:szCs w:val="20"/>
              </w:rPr>
              <w:t>Вариант 0: „Без действие“</w:t>
            </w:r>
          </w:p>
        </w:tc>
        <w:tc>
          <w:tcPr>
            <w:tcW w:w="2551" w:type="dxa"/>
            <w:shd w:val="clear" w:color="auto" w:fill="DEEAF6" w:themeFill="accent1" w:themeFillTint="33"/>
          </w:tcPr>
          <w:p w14:paraId="0EA6CC4E" w14:textId="654C405C" w:rsidR="0088645E" w:rsidRPr="007B4A99" w:rsidRDefault="0088645E" w:rsidP="00231027">
            <w:pPr>
              <w:jc w:val="both"/>
              <w:rPr>
                <w:rFonts w:ascii="Times New Roman" w:hAnsi="Times New Roman" w:cs="Times New Roman"/>
                <w:sz w:val="18"/>
                <w:szCs w:val="18"/>
              </w:rPr>
            </w:pPr>
            <w:r w:rsidRPr="007B4A99">
              <w:rPr>
                <w:rFonts w:ascii="Times New Roman" w:hAnsi="Times New Roman" w:cs="Times New Roman"/>
                <w:b/>
                <w:sz w:val="18"/>
                <w:szCs w:val="18"/>
              </w:rPr>
              <w:t xml:space="preserve">1. </w:t>
            </w:r>
            <w:r w:rsidR="00231027">
              <w:rPr>
                <w:rFonts w:ascii="Times New Roman" w:hAnsi="Times New Roman" w:cs="Times New Roman"/>
                <w:b/>
                <w:sz w:val="18"/>
                <w:szCs w:val="18"/>
              </w:rPr>
              <w:t xml:space="preserve">Няма </w:t>
            </w:r>
            <w:r w:rsidR="00231027" w:rsidRPr="007B4A99">
              <w:rPr>
                <w:rFonts w:ascii="Times New Roman" w:hAnsi="Times New Roman" w:cs="Times New Roman"/>
                <w:b/>
                <w:sz w:val="18"/>
                <w:szCs w:val="18"/>
              </w:rPr>
              <w:t xml:space="preserve">положително влияние върху </w:t>
            </w:r>
            <w:r w:rsidR="00231027">
              <w:rPr>
                <w:rFonts w:ascii="Times New Roman" w:hAnsi="Times New Roman" w:cs="Times New Roman"/>
                <w:b/>
                <w:sz w:val="18"/>
                <w:szCs w:val="18"/>
              </w:rPr>
              <w:t xml:space="preserve">конкуренцията, </w:t>
            </w:r>
            <w:r w:rsidR="00231027" w:rsidRPr="00A44935">
              <w:rPr>
                <w:rFonts w:ascii="Times New Roman" w:hAnsi="Times New Roman" w:cs="Times New Roman"/>
                <w:b/>
                <w:sz w:val="18"/>
                <w:szCs w:val="18"/>
              </w:rPr>
              <w:t>увеличаване</w:t>
            </w:r>
            <w:r w:rsidR="00231027">
              <w:rPr>
                <w:rFonts w:ascii="Times New Roman" w:hAnsi="Times New Roman" w:cs="Times New Roman"/>
                <w:b/>
                <w:sz w:val="18"/>
                <w:szCs w:val="18"/>
              </w:rPr>
              <w:t>то</w:t>
            </w:r>
            <w:r w:rsidR="00231027" w:rsidRPr="00A44935">
              <w:rPr>
                <w:rFonts w:ascii="Times New Roman" w:hAnsi="Times New Roman" w:cs="Times New Roman"/>
                <w:b/>
                <w:sz w:val="18"/>
                <w:szCs w:val="18"/>
              </w:rPr>
              <w:t xml:space="preserve"> на  избора на потребителите</w:t>
            </w:r>
            <w:r w:rsidR="00231027">
              <w:rPr>
                <w:rFonts w:ascii="Times New Roman" w:hAnsi="Times New Roman" w:cs="Times New Roman"/>
                <w:b/>
                <w:sz w:val="18"/>
                <w:szCs w:val="18"/>
              </w:rPr>
              <w:t xml:space="preserve"> и</w:t>
            </w:r>
            <w:r w:rsidR="00231027" w:rsidRPr="00A44935">
              <w:rPr>
                <w:rFonts w:ascii="Times New Roman" w:hAnsi="Times New Roman" w:cs="Times New Roman"/>
                <w:b/>
                <w:sz w:val="18"/>
                <w:szCs w:val="18"/>
              </w:rPr>
              <w:t xml:space="preserve"> </w:t>
            </w:r>
            <w:r w:rsidR="00231027">
              <w:rPr>
                <w:rFonts w:ascii="Times New Roman" w:hAnsi="Times New Roman" w:cs="Times New Roman"/>
                <w:b/>
                <w:sz w:val="18"/>
                <w:szCs w:val="18"/>
              </w:rPr>
              <w:t xml:space="preserve">постигане на </w:t>
            </w:r>
            <w:r w:rsidR="00231027" w:rsidRPr="00A44935">
              <w:rPr>
                <w:rFonts w:ascii="Times New Roman" w:hAnsi="Times New Roman" w:cs="Times New Roman"/>
                <w:b/>
                <w:sz w:val="18"/>
                <w:szCs w:val="18"/>
              </w:rPr>
              <w:t xml:space="preserve">по-ниски цени </w:t>
            </w:r>
            <w:r w:rsidR="00231027">
              <w:rPr>
                <w:rFonts w:ascii="Times New Roman" w:hAnsi="Times New Roman" w:cs="Times New Roman"/>
                <w:b/>
                <w:sz w:val="18"/>
                <w:szCs w:val="18"/>
              </w:rPr>
              <w:t xml:space="preserve">на основните </w:t>
            </w:r>
            <w:r w:rsidR="00231027" w:rsidRPr="00A44935">
              <w:rPr>
                <w:rFonts w:ascii="Times New Roman" w:hAnsi="Times New Roman" w:cs="Times New Roman"/>
                <w:b/>
                <w:sz w:val="18"/>
                <w:szCs w:val="18"/>
              </w:rPr>
              <w:t>земеделски продукти и храни</w:t>
            </w:r>
            <w:r w:rsidR="00231027">
              <w:rPr>
                <w:rFonts w:ascii="Times New Roman" w:hAnsi="Times New Roman" w:cs="Times New Roman"/>
                <w:b/>
                <w:sz w:val="18"/>
                <w:szCs w:val="18"/>
              </w:rPr>
              <w:t>;</w:t>
            </w:r>
          </w:p>
          <w:p w14:paraId="57571C5A" w14:textId="45B41CEA" w:rsidR="00231027" w:rsidRPr="00B83A67" w:rsidRDefault="000874A2" w:rsidP="00231027">
            <w:pPr>
              <w:jc w:val="both"/>
              <w:rPr>
                <w:rFonts w:ascii="Times New Roman" w:hAnsi="Times New Roman" w:cs="Times New Roman"/>
                <w:b/>
                <w:sz w:val="18"/>
                <w:szCs w:val="18"/>
              </w:rPr>
            </w:pPr>
            <w:r w:rsidRPr="007B4A99">
              <w:rPr>
                <w:rFonts w:ascii="Times New Roman" w:hAnsi="Times New Roman" w:cs="Times New Roman"/>
                <w:b/>
                <w:sz w:val="18"/>
                <w:szCs w:val="18"/>
              </w:rPr>
              <w:t>2</w:t>
            </w:r>
            <w:r w:rsidRPr="00B83A67">
              <w:rPr>
                <w:rFonts w:ascii="Times New Roman" w:hAnsi="Times New Roman" w:cs="Times New Roman"/>
                <w:b/>
                <w:sz w:val="18"/>
                <w:szCs w:val="18"/>
              </w:rPr>
              <w:t xml:space="preserve">. </w:t>
            </w:r>
            <w:r w:rsidR="00C8511B" w:rsidRPr="00B83A67">
              <w:rPr>
                <w:rFonts w:ascii="Times New Roman" w:hAnsi="Times New Roman" w:cs="Times New Roman"/>
                <w:b/>
                <w:sz w:val="18"/>
                <w:szCs w:val="18"/>
              </w:rPr>
              <w:t>Не допринася</w:t>
            </w:r>
            <w:r w:rsidRPr="00B83A67">
              <w:rPr>
                <w:rFonts w:ascii="Times New Roman" w:hAnsi="Times New Roman" w:cs="Times New Roman"/>
                <w:b/>
                <w:sz w:val="18"/>
                <w:szCs w:val="18"/>
              </w:rPr>
              <w:t xml:space="preserve"> </w:t>
            </w:r>
            <w:r w:rsidR="00231027" w:rsidRPr="00B83A67">
              <w:rPr>
                <w:rFonts w:ascii="Times New Roman" w:hAnsi="Times New Roman" w:cs="Times New Roman"/>
                <w:b/>
                <w:sz w:val="18"/>
                <w:szCs w:val="18"/>
              </w:rPr>
              <w:t xml:space="preserve">за постигане на </w:t>
            </w:r>
            <w:r w:rsidR="001C549F" w:rsidRPr="00B83A67">
              <w:rPr>
                <w:rFonts w:ascii="Times New Roman" w:hAnsi="Times New Roman" w:cs="Times New Roman"/>
                <w:b/>
                <w:sz w:val="18"/>
                <w:szCs w:val="18"/>
              </w:rPr>
              <w:t xml:space="preserve">продоволствена </w:t>
            </w:r>
            <w:r w:rsidR="00231027" w:rsidRPr="00B83A67">
              <w:rPr>
                <w:rFonts w:ascii="Times New Roman" w:hAnsi="Times New Roman" w:cs="Times New Roman"/>
                <w:b/>
                <w:sz w:val="18"/>
                <w:szCs w:val="18"/>
              </w:rPr>
              <w:t>сигурност и на устойчиво селско стопанство;</w:t>
            </w:r>
          </w:p>
          <w:p w14:paraId="6C43551C" w14:textId="1CFF0ED3" w:rsidR="0088645E" w:rsidRPr="007B4A99" w:rsidRDefault="0088645E" w:rsidP="0088645E">
            <w:pPr>
              <w:jc w:val="both"/>
              <w:rPr>
                <w:rFonts w:ascii="Times New Roman" w:hAnsi="Times New Roman" w:cs="Times New Roman"/>
                <w:b/>
                <w:i/>
                <w:color w:val="FF0000"/>
                <w:sz w:val="16"/>
                <w:szCs w:val="16"/>
              </w:rPr>
            </w:pPr>
            <w:r w:rsidRPr="00B83A67">
              <w:rPr>
                <w:rFonts w:ascii="Times New Roman" w:hAnsi="Times New Roman" w:cs="Times New Roman"/>
                <w:b/>
                <w:sz w:val="18"/>
                <w:szCs w:val="18"/>
              </w:rPr>
              <w:t>3.</w:t>
            </w:r>
            <w:r w:rsidRPr="00B83A67">
              <w:rPr>
                <w:rFonts w:ascii="Times New Roman" w:hAnsi="Times New Roman" w:cs="Times New Roman"/>
                <w:sz w:val="18"/>
                <w:szCs w:val="18"/>
              </w:rPr>
              <w:t xml:space="preserve"> </w:t>
            </w:r>
            <w:r w:rsidR="00C8511B" w:rsidRPr="00B83A67">
              <w:rPr>
                <w:rFonts w:ascii="Times New Roman" w:hAnsi="Times New Roman" w:cs="Times New Roman"/>
                <w:b/>
                <w:sz w:val="18"/>
                <w:szCs w:val="18"/>
              </w:rPr>
              <w:t>Не спомага</w:t>
            </w:r>
            <w:r w:rsidR="00C8511B" w:rsidRPr="007B4A99">
              <w:rPr>
                <w:rFonts w:ascii="Times New Roman" w:hAnsi="Times New Roman" w:cs="Times New Roman"/>
                <w:b/>
                <w:sz w:val="18"/>
                <w:szCs w:val="18"/>
              </w:rPr>
              <w:t xml:space="preserve"> </w:t>
            </w:r>
            <w:r w:rsidR="00231027">
              <w:rPr>
                <w:rFonts w:ascii="Times New Roman" w:hAnsi="Times New Roman" w:cs="Times New Roman"/>
                <w:b/>
                <w:sz w:val="18"/>
                <w:szCs w:val="18"/>
              </w:rPr>
              <w:t xml:space="preserve">за </w:t>
            </w:r>
            <w:r w:rsidR="00231027" w:rsidRPr="007B4A99">
              <w:rPr>
                <w:rFonts w:ascii="Times New Roman" w:hAnsi="Times New Roman" w:cs="Times New Roman"/>
                <w:b/>
                <w:sz w:val="18"/>
                <w:szCs w:val="18"/>
              </w:rPr>
              <w:t xml:space="preserve">насърчаване на </w:t>
            </w:r>
            <w:r w:rsidR="00231027">
              <w:rPr>
                <w:rFonts w:ascii="Times New Roman" w:hAnsi="Times New Roman" w:cs="Times New Roman"/>
                <w:b/>
                <w:sz w:val="18"/>
                <w:szCs w:val="18"/>
              </w:rPr>
              <w:t>реална</w:t>
            </w:r>
            <w:r w:rsidR="00231027" w:rsidRPr="00A44935">
              <w:rPr>
                <w:rFonts w:ascii="Times New Roman" w:hAnsi="Times New Roman" w:cs="Times New Roman"/>
                <w:b/>
                <w:sz w:val="18"/>
                <w:szCs w:val="18"/>
              </w:rPr>
              <w:t xml:space="preserve"> конкурентна среда, правна сигурност, равнопоставеност в отношенията по веригата и пропорционалност при разпределениет</w:t>
            </w:r>
            <w:r w:rsidR="00231027">
              <w:rPr>
                <w:rFonts w:ascii="Times New Roman" w:hAnsi="Times New Roman" w:cs="Times New Roman"/>
                <w:b/>
                <w:sz w:val="18"/>
                <w:szCs w:val="18"/>
              </w:rPr>
              <w:t>о на добавената стойност по нея.</w:t>
            </w:r>
            <w:r w:rsidR="00231027" w:rsidRPr="007B4A99">
              <w:rPr>
                <w:rFonts w:ascii="Times New Roman" w:hAnsi="Times New Roman" w:cs="Times New Roman"/>
                <w:b/>
                <w:sz w:val="18"/>
                <w:szCs w:val="18"/>
              </w:rPr>
              <w:t xml:space="preserve"> </w:t>
            </w:r>
          </w:p>
        </w:tc>
        <w:tc>
          <w:tcPr>
            <w:tcW w:w="2410" w:type="dxa"/>
            <w:shd w:val="clear" w:color="auto" w:fill="BDD6EE" w:themeFill="accent1" w:themeFillTint="66"/>
            <w:vAlign w:val="center"/>
          </w:tcPr>
          <w:p w14:paraId="6E2509C8" w14:textId="65DCD723" w:rsidR="00B2616A" w:rsidRPr="007B4A99" w:rsidRDefault="00B2616A" w:rsidP="00960A76">
            <w:pPr>
              <w:spacing w:line="276" w:lineRule="auto"/>
              <w:jc w:val="both"/>
              <w:rPr>
                <w:rFonts w:ascii="Times New Roman" w:hAnsi="Times New Roman" w:cs="Times New Roman"/>
                <w:b/>
                <w:sz w:val="18"/>
                <w:szCs w:val="18"/>
              </w:rPr>
            </w:pPr>
            <w:r w:rsidRPr="007B4A99">
              <w:rPr>
                <w:rFonts w:ascii="Times New Roman" w:hAnsi="Times New Roman" w:cs="Times New Roman"/>
                <w:b/>
                <w:sz w:val="18"/>
                <w:szCs w:val="18"/>
              </w:rPr>
              <w:t>1.</w:t>
            </w:r>
            <w:r w:rsidR="000874A2" w:rsidRPr="007B4A99">
              <w:rPr>
                <w:rFonts w:ascii="Times New Roman" w:hAnsi="Times New Roman" w:cs="Times New Roman"/>
                <w:b/>
                <w:sz w:val="18"/>
                <w:szCs w:val="18"/>
              </w:rPr>
              <w:t xml:space="preserve"> </w:t>
            </w:r>
            <w:r w:rsidR="00314CB8" w:rsidRPr="007B4A99">
              <w:rPr>
                <w:rFonts w:ascii="Times New Roman" w:hAnsi="Times New Roman" w:cs="Times New Roman"/>
                <w:b/>
                <w:sz w:val="18"/>
                <w:szCs w:val="18"/>
              </w:rPr>
              <w:t xml:space="preserve">Не </w:t>
            </w:r>
            <w:r w:rsidR="00231027">
              <w:rPr>
                <w:rFonts w:ascii="Times New Roman" w:hAnsi="Times New Roman" w:cs="Times New Roman"/>
                <w:b/>
                <w:sz w:val="18"/>
                <w:szCs w:val="18"/>
              </w:rPr>
              <w:t xml:space="preserve">гарантира общественото </w:t>
            </w:r>
            <w:r w:rsidR="00231027" w:rsidRPr="00097843">
              <w:rPr>
                <w:rFonts w:ascii="Times New Roman" w:hAnsi="Times New Roman" w:cs="Times New Roman"/>
                <w:b/>
                <w:sz w:val="18"/>
                <w:szCs w:val="18"/>
              </w:rPr>
              <w:t>здраве,</w:t>
            </w:r>
            <w:r w:rsidR="00231027">
              <w:rPr>
                <w:rFonts w:ascii="Times New Roman" w:hAnsi="Times New Roman" w:cs="Times New Roman"/>
                <w:b/>
                <w:sz w:val="18"/>
                <w:szCs w:val="18"/>
              </w:rPr>
              <w:t xml:space="preserve"> като</w:t>
            </w:r>
            <w:r w:rsidR="008262FE">
              <w:rPr>
                <w:rFonts w:ascii="Times New Roman" w:hAnsi="Times New Roman" w:cs="Times New Roman"/>
                <w:b/>
                <w:sz w:val="18"/>
                <w:szCs w:val="18"/>
              </w:rPr>
              <w:t xml:space="preserve"> не</w:t>
            </w:r>
            <w:r w:rsidR="00231027">
              <w:rPr>
                <w:rFonts w:ascii="Times New Roman" w:hAnsi="Times New Roman" w:cs="Times New Roman"/>
                <w:b/>
                <w:sz w:val="18"/>
                <w:szCs w:val="18"/>
              </w:rPr>
              <w:t xml:space="preserve"> </w:t>
            </w:r>
            <w:r w:rsidR="008658B5">
              <w:rPr>
                <w:rFonts w:ascii="Times New Roman" w:hAnsi="Times New Roman" w:cs="Times New Roman"/>
                <w:b/>
                <w:sz w:val="18"/>
                <w:szCs w:val="18"/>
              </w:rPr>
              <w:t>осигурява</w:t>
            </w:r>
            <w:r w:rsidR="00231027">
              <w:rPr>
                <w:rFonts w:ascii="Times New Roman" w:hAnsi="Times New Roman" w:cs="Times New Roman"/>
                <w:b/>
                <w:sz w:val="18"/>
                <w:szCs w:val="18"/>
              </w:rPr>
              <w:t xml:space="preserve"> най-пълно</w:t>
            </w:r>
            <w:r w:rsidR="00231027" w:rsidRPr="00097843">
              <w:rPr>
                <w:rFonts w:ascii="Times New Roman" w:hAnsi="Times New Roman" w:cs="Times New Roman"/>
                <w:b/>
                <w:sz w:val="18"/>
                <w:szCs w:val="18"/>
              </w:rPr>
              <w:t xml:space="preserve"> </w:t>
            </w:r>
            <w:r w:rsidR="00231027">
              <w:rPr>
                <w:rFonts w:ascii="Times New Roman" w:hAnsi="Times New Roman" w:cs="Times New Roman"/>
                <w:b/>
                <w:sz w:val="18"/>
                <w:szCs w:val="18"/>
              </w:rPr>
              <w:t xml:space="preserve">доставката на </w:t>
            </w:r>
            <w:r w:rsidR="00231027" w:rsidRPr="00097843">
              <w:rPr>
                <w:rFonts w:ascii="Times New Roman" w:hAnsi="Times New Roman" w:cs="Times New Roman"/>
                <w:b/>
                <w:sz w:val="18"/>
                <w:szCs w:val="18"/>
              </w:rPr>
              <w:t>достатъчно висококачествени и безопасни храни</w:t>
            </w:r>
            <w:r w:rsidR="00231027" w:rsidRPr="007B4A99">
              <w:rPr>
                <w:rFonts w:ascii="Times New Roman" w:hAnsi="Times New Roman" w:cs="Times New Roman"/>
                <w:b/>
                <w:sz w:val="18"/>
                <w:szCs w:val="18"/>
              </w:rPr>
              <w:t xml:space="preserve">;  </w:t>
            </w:r>
          </w:p>
          <w:p w14:paraId="1DF52C2E" w14:textId="46F273CF" w:rsidR="00B2616A" w:rsidRPr="007B4A99" w:rsidRDefault="00B2616A" w:rsidP="00960A76">
            <w:pPr>
              <w:spacing w:line="276" w:lineRule="auto"/>
              <w:jc w:val="both"/>
              <w:rPr>
                <w:rFonts w:ascii="Times New Roman" w:hAnsi="Times New Roman" w:cs="Times New Roman"/>
                <w:b/>
                <w:sz w:val="18"/>
                <w:szCs w:val="18"/>
              </w:rPr>
            </w:pPr>
            <w:r w:rsidRPr="007B4A99">
              <w:rPr>
                <w:rFonts w:ascii="Times New Roman" w:hAnsi="Times New Roman" w:cs="Times New Roman"/>
                <w:b/>
                <w:sz w:val="18"/>
                <w:szCs w:val="18"/>
              </w:rPr>
              <w:t xml:space="preserve">2. </w:t>
            </w:r>
            <w:r w:rsidR="000874A2" w:rsidRPr="007B4A99">
              <w:rPr>
                <w:rFonts w:ascii="Times New Roman" w:hAnsi="Times New Roman" w:cs="Times New Roman"/>
                <w:b/>
                <w:sz w:val="18"/>
                <w:szCs w:val="18"/>
              </w:rPr>
              <w:t xml:space="preserve">Не води </w:t>
            </w:r>
            <w:r w:rsidRPr="007B4A99">
              <w:rPr>
                <w:rFonts w:ascii="Times New Roman" w:hAnsi="Times New Roman" w:cs="Times New Roman"/>
                <w:b/>
                <w:sz w:val="18"/>
                <w:szCs w:val="18"/>
              </w:rPr>
              <w:t xml:space="preserve">до </w:t>
            </w:r>
            <w:r w:rsidR="007E3C03">
              <w:rPr>
                <w:rFonts w:ascii="Times New Roman" w:hAnsi="Times New Roman" w:cs="Times New Roman"/>
                <w:b/>
                <w:sz w:val="18"/>
                <w:szCs w:val="18"/>
              </w:rPr>
              <w:t>подобряване</w:t>
            </w:r>
            <w:r w:rsidR="00231027">
              <w:rPr>
                <w:rFonts w:ascii="Times New Roman" w:hAnsi="Times New Roman" w:cs="Times New Roman"/>
                <w:b/>
                <w:sz w:val="18"/>
                <w:szCs w:val="18"/>
              </w:rPr>
              <w:t xml:space="preserve"> благосъстоянието н</w:t>
            </w:r>
            <w:r w:rsidR="00231027" w:rsidRPr="007B4A99">
              <w:rPr>
                <w:rFonts w:ascii="Times New Roman" w:hAnsi="Times New Roman" w:cs="Times New Roman"/>
                <w:b/>
                <w:sz w:val="18"/>
                <w:szCs w:val="18"/>
              </w:rPr>
              <w:t>а възраст</w:t>
            </w:r>
            <w:r w:rsidR="00231027">
              <w:rPr>
                <w:rFonts w:ascii="Times New Roman" w:hAnsi="Times New Roman" w:cs="Times New Roman"/>
                <w:b/>
                <w:sz w:val="18"/>
                <w:szCs w:val="18"/>
              </w:rPr>
              <w:t xml:space="preserve">ните хора и другите социално уязвимите групи от обществото, поради </w:t>
            </w:r>
            <w:r w:rsidR="008658B5">
              <w:rPr>
                <w:rFonts w:ascii="Times New Roman" w:hAnsi="Times New Roman" w:cs="Times New Roman"/>
                <w:b/>
                <w:sz w:val="18"/>
                <w:szCs w:val="18"/>
              </w:rPr>
              <w:t xml:space="preserve">липса на </w:t>
            </w:r>
            <w:r w:rsidR="00231027">
              <w:rPr>
                <w:rFonts w:ascii="Times New Roman" w:hAnsi="Times New Roman" w:cs="Times New Roman"/>
                <w:b/>
                <w:sz w:val="18"/>
                <w:szCs w:val="18"/>
              </w:rPr>
              <w:t>потенциал за постигане на по-ниски цени на основните земеделски и хранителни продукти</w:t>
            </w:r>
            <w:r w:rsidR="00231027" w:rsidRPr="007B4A99">
              <w:rPr>
                <w:rFonts w:ascii="Times New Roman" w:hAnsi="Times New Roman" w:cs="Times New Roman"/>
                <w:b/>
                <w:sz w:val="18"/>
                <w:szCs w:val="18"/>
              </w:rPr>
              <w:t>;</w:t>
            </w:r>
          </w:p>
          <w:p w14:paraId="61AC9130" w14:textId="68FA27FF" w:rsidR="00314CB8" w:rsidRPr="007B4A99" w:rsidRDefault="00B2616A" w:rsidP="00231027">
            <w:pPr>
              <w:spacing w:line="276" w:lineRule="auto"/>
              <w:jc w:val="both"/>
              <w:rPr>
                <w:rFonts w:ascii="Times New Roman" w:hAnsi="Times New Roman" w:cs="Times New Roman"/>
              </w:rPr>
            </w:pPr>
            <w:r w:rsidRPr="007B4A99">
              <w:rPr>
                <w:rFonts w:ascii="Times New Roman" w:hAnsi="Times New Roman" w:cs="Times New Roman"/>
                <w:b/>
                <w:sz w:val="18"/>
                <w:szCs w:val="18"/>
              </w:rPr>
              <w:t xml:space="preserve">3. </w:t>
            </w:r>
            <w:r w:rsidR="00314CB8" w:rsidRPr="007B4A99">
              <w:rPr>
                <w:rFonts w:ascii="Times New Roman" w:hAnsi="Times New Roman" w:cs="Times New Roman"/>
                <w:b/>
                <w:sz w:val="18"/>
                <w:szCs w:val="18"/>
              </w:rPr>
              <w:t xml:space="preserve">Не допринася </w:t>
            </w:r>
            <w:r w:rsidR="00231027">
              <w:rPr>
                <w:rFonts w:ascii="Times New Roman" w:hAnsi="Times New Roman" w:cs="Times New Roman"/>
                <w:b/>
                <w:sz w:val="18"/>
                <w:szCs w:val="18"/>
              </w:rPr>
              <w:t xml:space="preserve">за гарантиране </w:t>
            </w:r>
            <w:r w:rsidR="00231027" w:rsidRPr="00A44935">
              <w:rPr>
                <w:rFonts w:ascii="Times New Roman" w:hAnsi="Times New Roman" w:cs="Times New Roman"/>
                <w:b/>
                <w:sz w:val="18"/>
                <w:szCs w:val="18"/>
              </w:rPr>
              <w:t xml:space="preserve">продоволствената сигурност, т.к. </w:t>
            </w:r>
            <w:r w:rsidR="00231027">
              <w:rPr>
                <w:rFonts w:ascii="Times New Roman" w:hAnsi="Times New Roman" w:cs="Times New Roman"/>
                <w:b/>
                <w:sz w:val="18"/>
                <w:szCs w:val="18"/>
              </w:rPr>
              <w:t>не води</w:t>
            </w:r>
            <w:r w:rsidR="00231027" w:rsidRPr="00A44935">
              <w:rPr>
                <w:rFonts w:ascii="Times New Roman" w:hAnsi="Times New Roman" w:cs="Times New Roman"/>
                <w:b/>
                <w:sz w:val="18"/>
                <w:szCs w:val="18"/>
              </w:rPr>
              <w:t xml:space="preserve"> до пълноценно</w:t>
            </w:r>
            <w:r w:rsidR="00231027">
              <w:rPr>
                <w:rFonts w:ascii="Times New Roman" w:hAnsi="Times New Roman" w:cs="Times New Roman"/>
                <w:b/>
                <w:sz w:val="18"/>
                <w:szCs w:val="18"/>
              </w:rPr>
              <w:t xml:space="preserve"> </w:t>
            </w:r>
            <w:r w:rsidR="00231027" w:rsidRPr="00A44935">
              <w:rPr>
                <w:rFonts w:ascii="Times New Roman" w:hAnsi="Times New Roman" w:cs="Times New Roman"/>
                <w:b/>
                <w:sz w:val="18"/>
                <w:szCs w:val="18"/>
              </w:rPr>
              <w:t>функциониране на веригата на доставка на храни и земеделска продукция</w:t>
            </w:r>
            <w:r w:rsidR="00231027" w:rsidRPr="007B4A99">
              <w:rPr>
                <w:rFonts w:ascii="Times New Roman" w:hAnsi="Times New Roman" w:cs="Times New Roman"/>
                <w:b/>
                <w:sz w:val="18"/>
                <w:szCs w:val="18"/>
              </w:rPr>
              <w:t xml:space="preserve">. </w:t>
            </w:r>
          </w:p>
        </w:tc>
        <w:tc>
          <w:tcPr>
            <w:tcW w:w="2551" w:type="dxa"/>
            <w:shd w:val="clear" w:color="auto" w:fill="9CC2E5" w:themeFill="accent1" w:themeFillTint="99"/>
          </w:tcPr>
          <w:p w14:paraId="344ACC49" w14:textId="0BA9171B" w:rsidR="0088645E" w:rsidRPr="007B4A99" w:rsidRDefault="0088645E" w:rsidP="0088645E">
            <w:pPr>
              <w:jc w:val="both"/>
              <w:rPr>
                <w:rFonts w:ascii="Times New Roman" w:hAnsi="Times New Roman" w:cs="Times New Roman"/>
                <w:b/>
                <w:sz w:val="18"/>
                <w:szCs w:val="18"/>
              </w:rPr>
            </w:pPr>
            <w:r w:rsidRPr="007B4A99">
              <w:rPr>
                <w:rFonts w:ascii="Times New Roman" w:hAnsi="Times New Roman" w:cs="Times New Roman"/>
                <w:b/>
                <w:sz w:val="18"/>
                <w:szCs w:val="18"/>
              </w:rPr>
              <w:t>1.</w:t>
            </w:r>
            <w:r w:rsidRPr="007B4A99">
              <w:rPr>
                <w:rFonts w:ascii="Times New Roman" w:hAnsi="Times New Roman" w:cs="Times New Roman"/>
                <w:b/>
                <w:i/>
                <w:sz w:val="18"/>
                <w:szCs w:val="18"/>
              </w:rPr>
              <w:t xml:space="preserve"> </w:t>
            </w:r>
            <w:r w:rsidR="00C8511B" w:rsidRPr="007B4A99">
              <w:rPr>
                <w:rFonts w:ascii="Times New Roman" w:hAnsi="Times New Roman" w:cs="Times New Roman"/>
                <w:b/>
                <w:sz w:val="18"/>
                <w:szCs w:val="18"/>
              </w:rPr>
              <w:t xml:space="preserve">Не </w:t>
            </w:r>
            <w:r w:rsidR="00231027">
              <w:rPr>
                <w:rFonts w:ascii="Times New Roman" w:hAnsi="Times New Roman" w:cs="Times New Roman"/>
                <w:b/>
                <w:sz w:val="18"/>
                <w:szCs w:val="18"/>
              </w:rPr>
              <w:t>с</w:t>
            </w:r>
            <w:r w:rsidR="00C8511B" w:rsidRPr="007B4A99">
              <w:rPr>
                <w:rFonts w:ascii="Times New Roman" w:hAnsi="Times New Roman" w:cs="Times New Roman"/>
                <w:b/>
                <w:sz w:val="18"/>
                <w:szCs w:val="18"/>
              </w:rPr>
              <w:t>помага</w:t>
            </w:r>
            <w:r w:rsidRPr="007B4A99">
              <w:rPr>
                <w:rFonts w:ascii="Times New Roman" w:hAnsi="Times New Roman" w:cs="Times New Roman"/>
                <w:b/>
                <w:sz w:val="18"/>
                <w:szCs w:val="18"/>
              </w:rPr>
              <w:t xml:space="preserve"> </w:t>
            </w:r>
            <w:r w:rsidR="00231027" w:rsidRPr="007B4A99">
              <w:rPr>
                <w:rFonts w:ascii="Times New Roman" w:hAnsi="Times New Roman" w:cs="Times New Roman"/>
                <w:b/>
                <w:sz w:val="18"/>
                <w:szCs w:val="18"/>
              </w:rPr>
              <w:t>за</w:t>
            </w:r>
            <w:r w:rsidR="00231027">
              <w:rPr>
                <w:rFonts w:ascii="Times New Roman" w:hAnsi="Times New Roman" w:cs="Times New Roman"/>
                <w:b/>
                <w:sz w:val="18"/>
                <w:szCs w:val="18"/>
              </w:rPr>
              <w:t xml:space="preserve"> повишаване</w:t>
            </w:r>
            <w:r w:rsidR="00231027" w:rsidRPr="007B4A99">
              <w:rPr>
                <w:rFonts w:ascii="Times New Roman" w:hAnsi="Times New Roman" w:cs="Times New Roman"/>
                <w:b/>
                <w:sz w:val="18"/>
                <w:szCs w:val="18"/>
              </w:rPr>
              <w:t xml:space="preserve"> </w:t>
            </w:r>
            <w:r w:rsidR="00231027">
              <w:rPr>
                <w:rFonts w:ascii="Times New Roman" w:hAnsi="Times New Roman" w:cs="Times New Roman"/>
                <w:b/>
                <w:sz w:val="18"/>
                <w:szCs w:val="18"/>
              </w:rPr>
              <w:t xml:space="preserve">нивото на подготвеност </w:t>
            </w:r>
            <w:r w:rsidR="00231027" w:rsidRPr="00B81457">
              <w:rPr>
                <w:rFonts w:ascii="Times New Roman" w:hAnsi="Times New Roman" w:cs="Times New Roman"/>
                <w:b/>
                <w:sz w:val="18"/>
                <w:szCs w:val="18"/>
              </w:rPr>
              <w:t>за посрещане на евентуални негативни ефекти</w:t>
            </w:r>
            <w:r w:rsidR="00231027">
              <w:rPr>
                <w:rFonts w:ascii="Times New Roman" w:hAnsi="Times New Roman" w:cs="Times New Roman"/>
                <w:b/>
                <w:sz w:val="18"/>
                <w:szCs w:val="18"/>
              </w:rPr>
              <w:t xml:space="preserve"> от настъпването на</w:t>
            </w:r>
            <w:r w:rsidR="00231027" w:rsidRPr="007B4A99">
              <w:rPr>
                <w:rFonts w:ascii="Times New Roman" w:hAnsi="Times New Roman" w:cs="Times New Roman"/>
                <w:b/>
                <w:sz w:val="18"/>
                <w:szCs w:val="18"/>
              </w:rPr>
              <w:t xml:space="preserve"> климатични промени;</w:t>
            </w:r>
          </w:p>
          <w:p w14:paraId="3F63CD09" w14:textId="77777777" w:rsidR="00231027" w:rsidRDefault="0088645E" w:rsidP="00231027">
            <w:pPr>
              <w:jc w:val="both"/>
              <w:rPr>
                <w:rFonts w:ascii="Times New Roman" w:hAnsi="Times New Roman" w:cs="Times New Roman"/>
                <w:b/>
                <w:sz w:val="18"/>
                <w:szCs w:val="18"/>
              </w:rPr>
            </w:pPr>
            <w:r w:rsidRPr="007B4A99">
              <w:rPr>
                <w:rFonts w:ascii="Times New Roman" w:hAnsi="Times New Roman" w:cs="Times New Roman"/>
                <w:b/>
                <w:sz w:val="18"/>
                <w:szCs w:val="18"/>
              </w:rPr>
              <w:t xml:space="preserve">2. Не </w:t>
            </w:r>
            <w:r w:rsidR="00314CB8" w:rsidRPr="007B4A99">
              <w:rPr>
                <w:rFonts w:ascii="Times New Roman" w:hAnsi="Times New Roman" w:cs="Times New Roman"/>
                <w:b/>
                <w:sz w:val="18"/>
                <w:szCs w:val="18"/>
              </w:rPr>
              <w:t xml:space="preserve">води до </w:t>
            </w:r>
            <w:r w:rsidR="00231027">
              <w:rPr>
                <w:rFonts w:ascii="Times New Roman" w:hAnsi="Times New Roman" w:cs="Times New Roman"/>
                <w:b/>
                <w:sz w:val="18"/>
                <w:szCs w:val="18"/>
              </w:rPr>
              <w:t xml:space="preserve">намаляване на текущото </w:t>
            </w:r>
            <w:r w:rsidR="00231027" w:rsidRPr="00B81457">
              <w:rPr>
                <w:rFonts w:ascii="Times New Roman" w:hAnsi="Times New Roman" w:cs="Times New Roman"/>
                <w:b/>
                <w:sz w:val="18"/>
                <w:szCs w:val="18"/>
              </w:rPr>
              <w:t>ниво на образуване на отпадъци</w:t>
            </w:r>
            <w:r w:rsidR="00231027">
              <w:rPr>
                <w:rFonts w:ascii="Times New Roman" w:hAnsi="Times New Roman" w:cs="Times New Roman"/>
                <w:b/>
                <w:sz w:val="18"/>
                <w:szCs w:val="18"/>
              </w:rPr>
              <w:t xml:space="preserve">, поради несигурното </w:t>
            </w:r>
            <w:r w:rsidR="00231027" w:rsidRPr="00B81457">
              <w:rPr>
                <w:rFonts w:ascii="Times New Roman" w:hAnsi="Times New Roman" w:cs="Times New Roman"/>
                <w:b/>
                <w:sz w:val="18"/>
                <w:szCs w:val="18"/>
              </w:rPr>
              <w:t>увеличаване обемите на реализация на произведени храни и друга земеделска продукция</w:t>
            </w:r>
            <w:r w:rsidR="00231027">
              <w:rPr>
                <w:rFonts w:ascii="Times New Roman" w:hAnsi="Times New Roman" w:cs="Times New Roman"/>
                <w:b/>
                <w:sz w:val="18"/>
                <w:szCs w:val="18"/>
              </w:rPr>
              <w:t>;</w:t>
            </w:r>
          </w:p>
          <w:p w14:paraId="71F5186D" w14:textId="4FF19A9E" w:rsidR="0088645E" w:rsidRPr="007B4A99" w:rsidRDefault="0088645E" w:rsidP="00231027">
            <w:pPr>
              <w:jc w:val="both"/>
              <w:rPr>
                <w:rFonts w:ascii="Times New Roman" w:hAnsi="Times New Roman" w:cs="Times New Roman"/>
                <w:b/>
                <w:i/>
                <w:sz w:val="18"/>
                <w:szCs w:val="18"/>
              </w:rPr>
            </w:pPr>
            <w:r w:rsidRPr="007B4A99">
              <w:rPr>
                <w:rFonts w:ascii="Times New Roman" w:hAnsi="Times New Roman" w:cs="Times New Roman"/>
                <w:b/>
                <w:sz w:val="18"/>
                <w:szCs w:val="18"/>
              </w:rPr>
              <w:t xml:space="preserve">3. Не </w:t>
            </w:r>
            <w:r w:rsidR="00231027">
              <w:rPr>
                <w:rFonts w:ascii="Times New Roman" w:hAnsi="Times New Roman" w:cs="Times New Roman"/>
                <w:b/>
                <w:sz w:val="18"/>
                <w:szCs w:val="18"/>
              </w:rPr>
              <w:t xml:space="preserve">предвижда </w:t>
            </w:r>
            <w:r w:rsidR="00231027" w:rsidRPr="007B4A99">
              <w:rPr>
                <w:rFonts w:ascii="Times New Roman" w:hAnsi="Times New Roman" w:cs="Times New Roman"/>
                <w:b/>
                <w:sz w:val="18"/>
                <w:szCs w:val="18"/>
              </w:rPr>
              <w:t>възможности за въвеждането на устойчиви модели на потребление и производство за преминаване към по-щадящи околната среда работни процеси.</w:t>
            </w:r>
          </w:p>
        </w:tc>
      </w:tr>
      <w:tr w:rsidR="008205D6" w:rsidRPr="007B4A99" w14:paraId="5A5DA435" w14:textId="77777777" w:rsidTr="00DD69D5">
        <w:tc>
          <w:tcPr>
            <w:tcW w:w="1560" w:type="dxa"/>
            <w:shd w:val="clear" w:color="auto" w:fill="DBDBDB" w:themeFill="accent3" w:themeFillTint="66"/>
            <w:vAlign w:val="center"/>
          </w:tcPr>
          <w:p w14:paraId="4369BD4E" w14:textId="60DD4F30" w:rsidR="008205D6" w:rsidRPr="007B4A99" w:rsidRDefault="008205D6" w:rsidP="008205D6">
            <w:pPr>
              <w:spacing w:before="120" w:after="120"/>
              <w:ind w:right="-108"/>
              <w:contextualSpacing/>
              <w:jc w:val="center"/>
              <w:rPr>
                <w:rFonts w:ascii="Times New Roman" w:hAnsi="Times New Roman" w:cs="Times New Roman"/>
                <w:b/>
                <w:i/>
                <w:sz w:val="18"/>
                <w:szCs w:val="18"/>
              </w:rPr>
            </w:pPr>
            <w:r w:rsidRPr="007B4A99">
              <w:rPr>
                <w:rFonts w:ascii="Times New Roman" w:hAnsi="Times New Roman" w:cs="Times New Roman"/>
                <w:b/>
                <w:i/>
                <w:sz w:val="18"/>
                <w:szCs w:val="18"/>
              </w:rPr>
              <w:t>Вариант 1:</w:t>
            </w:r>
            <w:r w:rsidRPr="007B4A99">
              <w:rPr>
                <w:sz w:val="18"/>
                <w:szCs w:val="18"/>
              </w:rPr>
              <w:t xml:space="preserve"> </w:t>
            </w:r>
            <w:r w:rsidRPr="007B4A99">
              <w:rPr>
                <w:rFonts w:ascii="Times New Roman" w:hAnsi="Times New Roman" w:cs="Times New Roman"/>
                <w:b/>
                <w:i/>
                <w:sz w:val="18"/>
                <w:szCs w:val="18"/>
              </w:rPr>
              <w:t>„Нерегулаторен“</w:t>
            </w:r>
          </w:p>
        </w:tc>
        <w:tc>
          <w:tcPr>
            <w:tcW w:w="2551" w:type="dxa"/>
            <w:shd w:val="clear" w:color="auto" w:fill="DEEAF6" w:themeFill="accent1" w:themeFillTint="33"/>
          </w:tcPr>
          <w:p w14:paraId="4A903A85" w14:textId="2FBA2814" w:rsidR="008205D6" w:rsidRPr="007B4A99" w:rsidRDefault="008205D6" w:rsidP="009B365E">
            <w:pPr>
              <w:jc w:val="both"/>
              <w:rPr>
                <w:rFonts w:ascii="Times New Roman" w:hAnsi="Times New Roman" w:cs="Times New Roman"/>
                <w:b/>
                <w:sz w:val="18"/>
                <w:szCs w:val="18"/>
              </w:rPr>
            </w:pPr>
            <w:r w:rsidRPr="007B4A99">
              <w:rPr>
                <w:rFonts w:ascii="Times New Roman" w:hAnsi="Times New Roman" w:cs="Times New Roman"/>
                <w:b/>
                <w:sz w:val="18"/>
                <w:szCs w:val="18"/>
              </w:rPr>
              <w:t xml:space="preserve">1. Малко вероятно </w:t>
            </w:r>
            <w:r w:rsidR="00950802" w:rsidRPr="007B4A99">
              <w:rPr>
                <w:rFonts w:ascii="Times New Roman" w:hAnsi="Times New Roman" w:cs="Times New Roman"/>
                <w:b/>
                <w:sz w:val="18"/>
                <w:szCs w:val="18"/>
              </w:rPr>
              <w:t xml:space="preserve">положително влияние върху </w:t>
            </w:r>
            <w:r w:rsidR="00950802">
              <w:rPr>
                <w:rFonts w:ascii="Times New Roman" w:hAnsi="Times New Roman" w:cs="Times New Roman"/>
                <w:b/>
                <w:sz w:val="18"/>
                <w:szCs w:val="18"/>
              </w:rPr>
              <w:t xml:space="preserve">конкуренцията, </w:t>
            </w:r>
            <w:r w:rsidR="00950802" w:rsidRPr="00A44935">
              <w:rPr>
                <w:rFonts w:ascii="Times New Roman" w:hAnsi="Times New Roman" w:cs="Times New Roman"/>
                <w:b/>
                <w:sz w:val="18"/>
                <w:szCs w:val="18"/>
              </w:rPr>
              <w:t>увеличаване</w:t>
            </w:r>
            <w:r w:rsidR="00950802">
              <w:rPr>
                <w:rFonts w:ascii="Times New Roman" w:hAnsi="Times New Roman" w:cs="Times New Roman"/>
                <w:b/>
                <w:sz w:val="18"/>
                <w:szCs w:val="18"/>
              </w:rPr>
              <w:t>то</w:t>
            </w:r>
            <w:r w:rsidR="00950802" w:rsidRPr="00A44935">
              <w:rPr>
                <w:rFonts w:ascii="Times New Roman" w:hAnsi="Times New Roman" w:cs="Times New Roman"/>
                <w:b/>
                <w:sz w:val="18"/>
                <w:szCs w:val="18"/>
              </w:rPr>
              <w:t xml:space="preserve"> на  избора на потребителите</w:t>
            </w:r>
            <w:r w:rsidR="00950802">
              <w:rPr>
                <w:rFonts w:ascii="Times New Roman" w:hAnsi="Times New Roman" w:cs="Times New Roman"/>
                <w:b/>
                <w:sz w:val="18"/>
                <w:szCs w:val="18"/>
              </w:rPr>
              <w:t xml:space="preserve"> и</w:t>
            </w:r>
            <w:r w:rsidR="00950802" w:rsidRPr="00A44935">
              <w:rPr>
                <w:rFonts w:ascii="Times New Roman" w:hAnsi="Times New Roman" w:cs="Times New Roman"/>
                <w:b/>
                <w:sz w:val="18"/>
                <w:szCs w:val="18"/>
              </w:rPr>
              <w:t xml:space="preserve"> </w:t>
            </w:r>
            <w:r w:rsidR="00950802">
              <w:rPr>
                <w:rFonts w:ascii="Times New Roman" w:hAnsi="Times New Roman" w:cs="Times New Roman"/>
                <w:b/>
                <w:sz w:val="18"/>
                <w:szCs w:val="18"/>
              </w:rPr>
              <w:t xml:space="preserve">постигане на </w:t>
            </w:r>
            <w:r w:rsidR="00950802" w:rsidRPr="00A44935">
              <w:rPr>
                <w:rFonts w:ascii="Times New Roman" w:hAnsi="Times New Roman" w:cs="Times New Roman"/>
                <w:b/>
                <w:sz w:val="18"/>
                <w:szCs w:val="18"/>
              </w:rPr>
              <w:t xml:space="preserve">по-ниски цени </w:t>
            </w:r>
            <w:r w:rsidR="00950802">
              <w:rPr>
                <w:rFonts w:ascii="Times New Roman" w:hAnsi="Times New Roman" w:cs="Times New Roman"/>
                <w:b/>
                <w:sz w:val="18"/>
                <w:szCs w:val="18"/>
              </w:rPr>
              <w:t xml:space="preserve">на основните </w:t>
            </w:r>
            <w:r w:rsidR="00950802" w:rsidRPr="00A44935">
              <w:rPr>
                <w:rFonts w:ascii="Times New Roman" w:hAnsi="Times New Roman" w:cs="Times New Roman"/>
                <w:b/>
                <w:sz w:val="18"/>
                <w:szCs w:val="18"/>
              </w:rPr>
              <w:t>земеделски продукти и храни</w:t>
            </w:r>
            <w:r w:rsidR="00950802">
              <w:rPr>
                <w:rFonts w:ascii="Times New Roman" w:hAnsi="Times New Roman" w:cs="Times New Roman"/>
                <w:b/>
                <w:sz w:val="18"/>
                <w:szCs w:val="18"/>
              </w:rPr>
              <w:t>;</w:t>
            </w:r>
          </w:p>
          <w:p w14:paraId="1A21CA59" w14:textId="49C71658" w:rsidR="008205D6" w:rsidRPr="007B4A99" w:rsidRDefault="008205D6" w:rsidP="009B365E">
            <w:pPr>
              <w:jc w:val="both"/>
              <w:rPr>
                <w:rFonts w:ascii="Times New Roman" w:hAnsi="Times New Roman" w:cs="Times New Roman"/>
                <w:b/>
                <w:sz w:val="18"/>
                <w:szCs w:val="18"/>
              </w:rPr>
            </w:pPr>
            <w:r w:rsidRPr="007B4A99">
              <w:rPr>
                <w:rFonts w:ascii="Times New Roman" w:hAnsi="Times New Roman" w:cs="Times New Roman"/>
                <w:b/>
                <w:sz w:val="18"/>
                <w:szCs w:val="18"/>
              </w:rPr>
              <w:t xml:space="preserve">2. </w:t>
            </w:r>
            <w:r w:rsidRPr="00B83A67">
              <w:rPr>
                <w:rFonts w:ascii="Times New Roman" w:hAnsi="Times New Roman" w:cs="Times New Roman"/>
                <w:b/>
                <w:sz w:val="18"/>
                <w:szCs w:val="18"/>
              </w:rPr>
              <w:t>Малко вероя</w:t>
            </w:r>
            <w:r w:rsidR="00950802" w:rsidRPr="00B83A67">
              <w:rPr>
                <w:rFonts w:ascii="Times New Roman" w:hAnsi="Times New Roman" w:cs="Times New Roman"/>
                <w:b/>
                <w:sz w:val="18"/>
                <w:szCs w:val="18"/>
              </w:rPr>
              <w:t>тен</w:t>
            </w:r>
            <w:r w:rsidRPr="00B83A67">
              <w:rPr>
                <w:rFonts w:ascii="Times New Roman" w:hAnsi="Times New Roman" w:cs="Times New Roman"/>
                <w:b/>
                <w:sz w:val="18"/>
                <w:szCs w:val="18"/>
              </w:rPr>
              <w:t xml:space="preserve"> </w:t>
            </w:r>
            <w:r w:rsidR="00950802" w:rsidRPr="00B83A67">
              <w:rPr>
                <w:rFonts w:ascii="Times New Roman" w:hAnsi="Times New Roman" w:cs="Times New Roman"/>
                <w:b/>
                <w:sz w:val="18"/>
                <w:szCs w:val="18"/>
              </w:rPr>
              <w:t>потенциал за постигане на</w:t>
            </w:r>
            <w:r w:rsidR="001C549F" w:rsidRPr="00B83A67">
              <w:rPr>
                <w:rFonts w:ascii="Times New Roman" w:hAnsi="Times New Roman" w:cs="Times New Roman"/>
                <w:b/>
                <w:sz w:val="18"/>
                <w:szCs w:val="18"/>
              </w:rPr>
              <w:t xml:space="preserve"> продоволствена</w:t>
            </w:r>
            <w:r w:rsidR="00950802" w:rsidRPr="00B83A67">
              <w:rPr>
                <w:rFonts w:ascii="Times New Roman" w:hAnsi="Times New Roman" w:cs="Times New Roman"/>
                <w:b/>
                <w:sz w:val="18"/>
                <w:szCs w:val="18"/>
              </w:rPr>
              <w:t xml:space="preserve"> сигурност и на устойчиво селско стопанство;</w:t>
            </w:r>
          </w:p>
          <w:p w14:paraId="0047175B" w14:textId="5F82D445" w:rsidR="008205D6" w:rsidRPr="007B4A99" w:rsidRDefault="008205D6" w:rsidP="00950802">
            <w:pPr>
              <w:jc w:val="both"/>
              <w:rPr>
                <w:rFonts w:ascii="Times New Roman" w:hAnsi="Times New Roman" w:cs="Times New Roman"/>
                <w:b/>
                <w:i/>
                <w:color w:val="FF0000"/>
                <w:sz w:val="16"/>
                <w:szCs w:val="16"/>
              </w:rPr>
            </w:pPr>
            <w:r w:rsidRPr="007B4A99">
              <w:rPr>
                <w:rFonts w:ascii="Times New Roman" w:hAnsi="Times New Roman" w:cs="Times New Roman"/>
                <w:b/>
                <w:sz w:val="18"/>
                <w:szCs w:val="18"/>
              </w:rPr>
              <w:t>3. Малко вероят</w:t>
            </w:r>
            <w:r w:rsidR="00950802">
              <w:rPr>
                <w:rFonts w:ascii="Times New Roman" w:hAnsi="Times New Roman" w:cs="Times New Roman"/>
                <w:b/>
                <w:sz w:val="18"/>
                <w:szCs w:val="18"/>
              </w:rPr>
              <w:t>е</w:t>
            </w:r>
            <w:r w:rsidRPr="007B4A99">
              <w:rPr>
                <w:rFonts w:ascii="Times New Roman" w:hAnsi="Times New Roman" w:cs="Times New Roman"/>
                <w:b/>
                <w:sz w:val="18"/>
                <w:szCs w:val="18"/>
              </w:rPr>
              <w:t>н</w:t>
            </w:r>
            <w:r w:rsidR="00950802">
              <w:rPr>
                <w:rFonts w:ascii="Times New Roman" w:hAnsi="Times New Roman" w:cs="Times New Roman"/>
                <w:b/>
                <w:sz w:val="18"/>
                <w:szCs w:val="18"/>
              </w:rPr>
              <w:t xml:space="preserve"> потенциал за </w:t>
            </w:r>
            <w:r w:rsidR="00950802" w:rsidRPr="007B4A99">
              <w:rPr>
                <w:rFonts w:ascii="Times New Roman" w:hAnsi="Times New Roman" w:cs="Times New Roman"/>
                <w:b/>
                <w:sz w:val="18"/>
                <w:szCs w:val="18"/>
              </w:rPr>
              <w:t xml:space="preserve">насърчаване на </w:t>
            </w:r>
            <w:r w:rsidR="00950802">
              <w:rPr>
                <w:rFonts w:ascii="Times New Roman" w:hAnsi="Times New Roman" w:cs="Times New Roman"/>
                <w:b/>
                <w:sz w:val="18"/>
                <w:szCs w:val="18"/>
              </w:rPr>
              <w:t>реална</w:t>
            </w:r>
            <w:r w:rsidR="00950802" w:rsidRPr="00A44935">
              <w:rPr>
                <w:rFonts w:ascii="Times New Roman" w:hAnsi="Times New Roman" w:cs="Times New Roman"/>
                <w:b/>
                <w:sz w:val="18"/>
                <w:szCs w:val="18"/>
              </w:rPr>
              <w:t xml:space="preserve"> конкурентна среда, правна сигурност, </w:t>
            </w:r>
            <w:r w:rsidR="00950802" w:rsidRPr="00A44935">
              <w:rPr>
                <w:rFonts w:ascii="Times New Roman" w:hAnsi="Times New Roman" w:cs="Times New Roman"/>
                <w:b/>
                <w:sz w:val="18"/>
                <w:szCs w:val="18"/>
              </w:rPr>
              <w:lastRenderedPageBreak/>
              <w:t>равнопоставеност в отношенията по веригата и пропорционалност при разпределениет</w:t>
            </w:r>
            <w:r w:rsidR="00950802">
              <w:rPr>
                <w:rFonts w:ascii="Times New Roman" w:hAnsi="Times New Roman" w:cs="Times New Roman"/>
                <w:b/>
                <w:sz w:val="18"/>
                <w:szCs w:val="18"/>
              </w:rPr>
              <w:t>о на добавената стойност по нея.</w:t>
            </w:r>
            <w:r w:rsidRPr="007B4A99">
              <w:rPr>
                <w:rFonts w:ascii="Times New Roman" w:hAnsi="Times New Roman" w:cs="Times New Roman"/>
                <w:b/>
                <w:sz w:val="18"/>
                <w:szCs w:val="18"/>
              </w:rPr>
              <w:t xml:space="preserve"> </w:t>
            </w:r>
          </w:p>
        </w:tc>
        <w:tc>
          <w:tcPr>
            <w:tcW w:w="2410" w:type="dxa"/>
            <w:shd w:val="clear" w:color="auto" w:fill="BDD6EE" w:themeFill="accent1" w:themeFillTint="66"/>
          </w:tcPr>
          <w:p w14:paraId="4257A399" w14:textId="1FB44E4D" w:rsidR="008205D6" w:rsidRPr="007B4A99" w:rsidRDefault="008205D6" w:rsidP="009B365E">
            <w:pPr>
              <w:spacing w:line="276" w:lineRule="auto"/>
              <w:jc w:val="both"/>
              <w:rPr>
                <w:rFonts w:ascii="Times New Roman" w:hAnsi="Times New Roman" w:cs="Times New Roman"/>
                <w:b/>
                <w:sz w:val="18"/>
                <w:szCs w:val="18"/>
              </w:rPr>
            </w:pPr>
            <w:r w:rsidRPr="007B4A99">
              <w:rPr>
                <w:rFonts w:ascii="Times New Roman" w:hAnsi="Times New Roman" w:cs="Times New Roman"/>
                <w:b/>
                <w:sz w:val="18"/>
                <w:szCs w:val="18"/>
              </w:rPr>
              <w:lastRenderedPageBreak/>
              <w:t xml:space="preserve">1. </w:t>
            </w:r>
            <w:r w:rsidR="00231027">
              <w:rPr>
                <w:rFonts w:ascii="Times New Roman" w:hAnsi="Times New Roman" w:cs="Times New Roman"/>
                <w:b/>
                <w:sz w:val="18"/>
                <w:szCs w:val="18"/>
              </w:rPr>
              <w:t>Малко вероятен</w:t>
            </w:r>
            <w:r w:rsidRPr="007B4A99">
              <w:rPr>
                <w:rFonts w:ascii="Times New Roman" w:hAnsi="Times New Roman" w:cs="Times New Roman"/>
                <w:b/>
                <w:sz w:val="18"/>
                <w:szCs w:val="18"/>
              </w:rPr>
              <w:t xml:space="preserve"> </w:t>
            </w:r>
            <w:r w:rsidR="00950802">
              <w:rPr>
                <w:rFonts w:ascii="Times New Roman" w:hAnsi="Times New Roman" w:cs="Times New Roman"/>
                <w:b/>
                <w:sz w:val="18"/>
                <w:szCs w:val="18"/>
              </w:rPr>
              <w:t>прино</w:t>
            </w:r>
            <w:r w:rsidRPr="007B4A99">
              <w:rPr>
                <w:rFonts w:ascii="Times New Roman" w:hAnsi="Times New Roman" w:cs="Times New Roman"/>
                <w:b/>
                <w:sz w:val="18"/>
                <w:szCs w:val="18"/>
              </w:rPr>
              <w:t xml:space="preserve">с за </w:t>
            </w:r>
            <w:r w:rsidR="00950802" w:rsidRPr="007B4A99">
              <w:rPr>
                <w:rFonts w:ascii="Times New Roman" w:hAnsi="Times New Roman" w:cs="Times New Roman"/>
                <w:b/>
                <w:sz w:val="18"/>
                <w:szCs w:val="18"/>
              </w:rPr>
              <w:t>осигуряване на</w:t>
            </w:r>
            <w:r w:rsidR="00950802">
              <w:rPr>
                <w:rFonts w:ascii="Times New Roman" w:hAnsi="Times New Roman" w:cs="Times New Roman"/>
                <w:b/>
                <w:sz w:val="18"/>
                <w:szCs w:val="18"/>
              </w:rPr>
              <w:t xml:space="preserve"> общественото </w:t>
            </w:r>
            <w:r w:rsidR="00950802" w:rsidRPr="00097843">
              <w:rPr>
                <w:rFonts w:ascii="Times New Roman" w:hAnsi="Times New Roman" w:cs="Times New Roman"/>
                <w:b/>
                <w:sz w:val="18"/>
                <w:szCs w:val="18"/>
              </w:rPr>
              <w:t>здраве,</w:t>
            </w:r>
            <w:r w:rsidR="00950802">
              <w:rPr>
                <w:rFonts w:ascii="Times New Roman" w:hAnsi="Times New Roman" w:cs="Times New Roman"/>
                <w:b/>
                <w:sz w:val="18"/>
                <w:szCs w:val="18"/>
              </w:rPr>
              <w:t xml:space="preserve"> като</w:t>
            </w:r>
            <w:r w:rsidR="008262FE">
              <w:rPr>
                <w:rFonts w:ascii="Times New Roman" w:hAnsi="Times New Roman" w:cs="Times New Roman"/>
                <w:b/>
                <w:sz w:val="18"/>
                <w:szCs w:val="18"/>
              </w:rPr>
              <w:t xml:space="preserve"> </w:t>
            </w:r>
            <w:r w:rsidR="008658B5">
              <w:rPr>
                <w:rFonts w:ascii="Times New Roman" w:hAnsi="Times New Roman" w:cs="Times New Roman"/>
                <w:b/>
                <w:sz w:val="18"/>
                <w:szCs w:val="18"/>
              </w:rPr>
              <w:t>не осигурява</w:t>
            </w:r>
            <w:r w:rsidR="00950802">
              <w:rPr>
                <w:rFonts w:ascii="Times New Roman" w:hAnsi="Times New Roman" w:cs="Times New Roman"/>
                <w:b/>
                <w:sz w:val="18"/>
                <w:szCs w:val="18"/>
              </w:rPr>
              <w:t xml:space="preserve"> най-пълно</w:t>
            </w:r>
            <w:r w:rsidR="00950802" w:rsidRPr="00097843">
              <w:rPr>
                <w:rFonts w:ascii="Times New Roman" w:hAnsi="Times New Roman" w:cs="Times New Roman"/>
                <w:b/>
                <w:sz w:val="18"/>
                <w:szCs w:val="18"/>
              </w:rPr>
              <w:t xml:space="preserve"> </w:t>
            </w:r>
            <w:r w:rsidR="00950802">
              <w:rPr>
                <w:rFonts w:ascii="Times New Roman" w:hAnsi="Times New Roman" w:cs="Times New Roman"/>
                <w:b/>
                <w:sz w:val="18"/>
                <w:szCs w:val="18"/>
              </w:rPr>
              <w:t xml:space="preserve">доставката на </w:t>
            </w:r>
            <w:r w:rsidR="00950802" w:rsidRPr="00097843">
              <w:rPr>
                <w:rFonts w:ascii="Times New Roman" w:hAnsi="Times New Roman" w:cs="Times New Roman"/>
                <w:b/>
                <w:sz w:val="18"/>
                <w:szCs w:val="18"/>
              </w:rPr>
              <w:t>достатъчно висококачествени и безопасни храни</w:t>
            </w:r>
            <w:r w:rsidR="00950802" w:rsidRPr="007B4A99">
              <w:rPr>
                <w:rFonts w:ascii="Times New Roman" w:hAnsi="Times New Roman" w:cs="Times New Roman"/>
                <w:b/>
                <w:sz w:val="18"/>
                <w:szCs w:val="18"/>
              </w:rPr>
              <w:t>;</w:t>
            </w:r>
            <w:r w:rsidRPr="007B4A99">
              <w:rPr>
                <w:rFonts w:ascii="Times New Roman" w:hAnsi="Times New Roman" w:cs="Times New Roman"/>
                <w:b/>
                <w:sz w:val="18"/>
                <w:szCs w:val="18"/>
              </w:rPr>
              <w:t xml:space="preserve">  </w:t>
            </w:r>
          </w:p>
          <w:p w14:paraId="013A960E" w14:textId="7FBD03E2" w:rsidR="00950802" w:rsidRDefault="008205D6" w:rsidP="00950802">
            <w:pPr>
              <w:spacing w:line="276" w:lineRule="auto"/>
              <w:jc w:val="both"/>
              <w:rPr>
                <w:rFonts w:ascii="Times New Roman" w:hAnsi="Times New Roman" w:cs="Times New Roman"/>
                <w:b/>
                <w:sz w:val="18"/>
                <w:szCs w:val="18"/>
              </w:rPr>
            </w:pPr>
            <w:r w:rsidRPr="007B4A99">
              <w:rPr>
                <w:rFonts w:ascii="Times New Roman" w:hAnsi="Times New Roman" w:cs="Times New Roman"/>
                <w:b/>
                <w:sz w:val="18"/>
                <w:szCs w:val="18"/>
              </w:rPr>
              <w:t xml:space="preserve">2. </w:t>
            </w:r>
            <w:r w:rsidR="008658B5">
              <w:rPr>
                <w:rFonts w:ascii="Times New Roman" w:hAnsi="Times New Roman" w:cs="Times New Roman"/>
                <w:b/>
                <w:sz w:val="18"/>
                <w:szCs w:val="18"/>
              </w:rPr>
              <w:t>Малко вероят</w:t>
            </w:r>
            <w:r w:rsidR="00231027">
              <w:rPr>
                <w:rFonts w:ascii="Times New Roman" w:hAnsi="Times New Roman" w:cs="Times New Roman"/>
                <w:b/>
                <w:sz w:val="18"/>
                <w:szCs w:val="18"/>
              </w:rPr>
              <w:t>н</w:t>
            </w:r>
            <w:r w:rsidR="008658B5">
              <w:rPr>
                <w:rFonts w:ascii="Times New Roman" w:hAnsi="Times New Roman" w:cs="Times New Roman"/>
                <w:b/>
                <w:sz w:val="18"/>
                <w:szCs w:val="18"/>
              </w:rPr>
              <w:t>о</w:t>
            </w:r>
            <w:r w:rsidR="00950802">
              <w:rPr>
                <w:rFonts w:ascii="Times New Roman" w:hAnsi="Times New Roman" w:cs="Times New Roman"/>
                <w:b/>
                <w:sz w:val="18"/>
                <w:szCs w:val="18"/>
              </w:rPr>
              <w:t xml:space="preserve"> </w:t>
            </w:r>
            <w:r w:rsidR="008658B5">
              <w:rPr>
                <w:rFonts w:ascii="Times New Roman" w:hAnsi="Times New Roman" w:cs="Times New Roman"/>
                <w:b/>
                <w:sz w:val="18"/>
                <w:szCs w:val="18"/>
              </w:rPr>
              <w:t>подобряване</w:t>
            </w:r>
            <w:r w:rsidR="00950802">
              <w:rPr>
                <w:rFonts w:ascii="Times New Roman" w:hAnsi="Times New Roman" w:cs="Times New Roman"/>
                <w:b/>
                <w:sz w:val="18"/>
                <w:szCs w:val="18"/>
              </w:rPr>
              <w:t xml:space="preserve"> благосъстоянието н</w:t>
            </w:r>
            <w:r w:rsidR="00950802" w:rsidRPr="007B4A99">
              <w:rPr>
                <w:rFonts w:ascii="Times New Roman" w:hAnsi="Times New Roman" w:cs="Times New Roman"/>
                <w:b/>
                <w:sz w:val="18"/>
                <w:szCs w:val="18"/>
              </w:rPr>
              <w:t>а възраст</w:t>
            </w:r>
            <w:r w:rsidR="00950802">
              <w:rPr>
                <w:rFonts w:ascii="Times New Roman" w:hAnsi="Times New Roman" w:cs="Times New Roman"/>
                <w:b/>
                <w:sz w:val="18"/>
                <w:szCs w:val="18"/>
              </w:rPr>
              <w:t>ните хора и другите социално уязвимите групи от обществото, поради</w:t>
            </w:r>
            <w:r w:rsidR="007E3C03">
              <w:rPr>
                <w:rFonts w:ascii="Times New Roman" w:hAnsi="Times New Roman" w:cs="Times New Roman"/>
                <w:b/>
                <w:sz w:val="18"/>
                <w:szCs w:val="18"/>
              </w:rPr>
              <w:t xml:space="preserve"> минимален</w:t>
            </w:r>
            <w:r w:rsidR="00950802">
              <w:rPr>
                <w:rFonts w:ascii="Times New Roman" w:hAnsi="Times New Roman" w:cs="Times New Roman"/>
                <w:b/>
                <w:sz w:val="18"/>
                <w:szCs w:val="18"/>
              </w:rPr>
              <w:t xml:space="preserve"> потенциал за постигане на по-ниски цени на основните </w:t>
            </w:r>
            <w:r w:rsidR="00950802">
              <w:rPr>
                <w:rFonts w:ascii="Times New Roman" w:hAnsi="Times New Roman" w:cs="Times New Roman"/>
                <w:b/>
                <w:sz w:val="18"/>
                <w:szCs w:val="18"/>
              </w:rPr>
              <w:lastRenderedPageBreak/>
              <w:t>земеделски и хранителни продукти</w:t>
            </w:r>
            <w:r w:rsidR="00950802" w:rsidRPr="007B4A99">
              <w:rPr>
                <w:rFonts w:ascii="Times New Roman" w:hAnsi="Times New Roman" w:cs="Times New Roman"/>
                <w:b/>
                <w:sz w:val="18"/>
                <w:szCs w:val="18"/>
              </w:rPr>
              <w:t xml:space="preserve">; </w:t>
            </w:r>
          </w:p>
          <w:p w14:paraId="2DCF352A" w14:textId="23F004B7" w:rsidR="008205D6" w:rsidRPr="007B4A99" w:rsidRDefault="008205D6" w:rsidP="00231027">
            <w:pPr>
              <w:spacing w:line="276" w:lineRule="auto"/>
              <w:jc w:val="both"/>
              <w:rPr>
                <w:rFonts w:ascii="Times New Roman" w:hAnsi="Times New Roman" w:cs="Times New Roman"/>
                <w:b/>
                <w:i/>
                <w:sz w:val="16"/>
                <w:szCs w:val="16"/>
              </w:rPr>
            </w:pPr>
            <w:r w:rsidRPr="007B4A99">
              <w:rPr>
                <w:rFonts w:ascii="Times New Roman" w:hAnsi="Times New Roman" w:cs="Times New Roman"/>
                <w:b/>
                <w:sz w:val="18"/>
                <w:szCs w:val="18"/>
              </w:rPr>
              <w:t xml:space="preserve">3. </w:t>
            </w:r>
            <w:r w:rsidR="00231027">
              <w:rPr>
                <w:rFonts w:ascii="Times New Roman" w:hAnsi="Times New Roman" w:cs="Times New Roman"/>
                <w:b/>
                <w:sz w:val="18"/>
                <w:szCs w:val="18"/>
              </w:rPr>
              <w:t xml:space="preserve">Малко вероятен потенциал за гарантиране </w:t>
            </w:r>
            <w:r w:rsidR="00231027" w:rsidRPr="00A44935">
              <w:rPr>
                <w:rFonts w:ascii="Times New Roman" w:hAnsi="Times New Roman" w:cs="Times New Roman"/>
                <w:b/>
                <w:sz w:val="18"/>
                <w:szCs w:val="18"/>
              </w:rPr>
              <w:t xml:space="preserve">продоволствената сигурност, т.к. </w:t>
            </w:r>
            <w:r w:rsidR="00231027">
              <w:rPr>
                <w:rFonts w:ascii="Times New Roman" w:hAnsi="Times New Roman" w:cs="Times New Roman"/>
                <w:b/>
                <w:sz w:val="18"/>
                <w:szCs w:val="18"/>
              </w:rPr>
              <w:t>не води</w:t>
            </w:r>
            <w:r w:rsidR="00231027" w:rsidRPr="00A44935">
              <w:rPr>
                <w:rFonts w:ascii="Times New Roman" w:hAnsi="Times New Roman" w:cs="Times New Roman"/>
                <w:b/>
                <w:sz w:val="18"/>
                <w:szCs w:val="18"/>
              </w:rPr>
              <w:t xml:space="preserve"> до пълноценно</w:t>
            </w:r>
            <w:r w:rsidR="00231027">
              <w:rPr>
                <w:rFonts w:ascii="Times New Roman" w:hAnsi="Times New Roman" w:cs="Times New Roman"/>
                <w:b/>
                <w:sz w:val="18"/>
                <w:szCs w:val="18"/>
              </w:rPr>
              <w:t xml:space="preserve"> </w:t>
            </w:r>
            <w:r w:rsidR="00231027" w:rsidRPr="00A44935">
              <w:rPr>
                <w:rFonts w:ascii="Times New Roman" w:hAnsi="Times New Roman" w:cs="Times New Roman"/>
                <w:b/>
                <w:sz w:val="18"/>
                <w:szCs w:val="18"/>
              </w:rPr>
              <w:t>функциониране на веригата на доставка на храни и земеделска продукция</w:t>
            </w:r>
            <w:r w:rsidR="00231027" w:rsidRPr="007B4A99">
              <w:rPr>
                <w:rFonts w:ascii="Times New Roman" w:hAnsi="Times New Roman" w:cs="Times New Roman"/>
                <w:b/>
                <w:sz w:val="18"/>
                <w:szCs w:val="18"/>
              </w:rPr>
              <w:t>.</w:t>
            </w:r>
            <w:r w:rsidRPr="007B4A99">
              <w:rPr>
                <w:rFonts w:ascii="Times New Roman" w:hAnsi="Times New Roman" w:cs="Times New Roman"/>
                <w:b/>
                <w:sz w:val="18"/>
                <w:szCs w:val="18"/>
              </w:rPr>
              <w:t xml:space="preserve"> </w:t>
            </w:r>
          </w:p>
        </w:tc>
        <w:tc>
          <w:tcPr>
            <w:tcW w:w="2551" w:type="dxa"/>
            <w:shd w:val="clear" w:color="auto" w:fill="9CC2E5" w:themeFill="accent1" w:themeFillTint="99"/>
          </w:tcPr>
          <w:p w14:paraId="01375CBC" w14:textId="1F7954B8" w:rsidR="008205D6" w:rsidRPr="007B4A99" w:rsidRDefault="008205D6" w:rsidP="009B365E">
            <w:pPr>
              <w:jc w:val="both"/>
              <w:rPr>
                <w:rFonts w:ascii="Times New Roman" w:hAnsi="Times New Roman" w:cs="Times New Roman"/>
                <w:b/>
                <w:sz w:val="18"/>
                <w:szCs w:val="18"/>
              </w:rPr>
            </w:pPr>
            <w:r w:rsidRPr="007B4A99">
              <w:rPr>
                <w:rFonts w:ascii="Times New Roman" w:hAnsi="Times New Roman" w:cs="Times New Roman"/>
                <w:b/>
                <w:sz w:val="18"/>
                <w:szCs w:val="18"/>
              </w:rPr>
              <w:lastRenderedPageBreak/>
              <w:t>1.</w:t>
            </w:r>
            <w:r w:rsidRPr="007B4A99">
              <w:rPr>
                <w:rFonts w:ascii="Times New Roman" w:hAnsi="Times New Roman" w:cs="Times New Roman"/>
                <w:b/>
                <w:i/>
                <w:sz w:val="18"/>
                <w:szCs w:val="18"/>
              </w:rPr>
              <w:t xml:space="preserve"> </w:t>
            </w:r>
            <w:r w:rsidR="00231027">
              <w:rPr>
                <w:rFonts w:ascii="Times New Roman" w:hAnsi="Times New Roman" w:cs="Times New Roman"/>
                <w:b/>
                <w:sz w:val="18"/>
                <w:szCs w:val="18"/>
              </w:rPr>
              <w:t xml:space="preserve">Малко вероятен </w:t>
            </w:r>
            <w:r w:rsidRPr="007B4A99">
              <w:rPr>
                <w:rFonts w:ascii="Times New Roman" w:hAnsi="Times New Roman" w:cs="Times New Roman"/>
                <w:b/>
                <w:sz w:val="18"/>
                <w:szCs w:val="18"/>
              </w:rPr>
              <w:t>принос</w:t>
            </w:r>
            <w:r w:rsidR="00231027">
              <w:rPr>
                <w:rFonts w:ascii="Times New Roman" w:hAnsi="Times New Roman" w:cs="Times New Roman"/>
                <w:b/>
                <w:sz w:val="18"/>
                <w:szCs w:val="18"/>
              </w:rPr>
              <w:t xml:space="preserve"> </w:t>
            </w:r>
            <w:r w:rsidR="00231027" w:rsidRPr="007B4A99">
              <w:rPr>
                <w:rFonts w:ascii="Times New Roman" w:hAnsi="Times New Roman" w:cs="Times New Roman"/>
                <w:b/>
                <w:sz w:val="18"/>
                <w:szCs w:val="18"/>
              </w:rPr>
              <w:t>за</w:t>
            </w:r>
            <w:r w:rsidR="00231027">
              <w:rPr>
                <w:rFonts w:ascii="Times New Roman" w:hAnsi="Times New Roman" w:cs="Times New Roman"/>
                <w:b/>
                <w:sz w:val="18"/>
                <w:szCs w:val="18"/>
              </w:rPr>
              <w:t xml:space="preserve"> повишаване</w:t>
            </w:r>
            <w:r w:rsidR="00231027" w:rsidRPr="007B4A99">
              <w:rPr>
                <w:rFonts w:ascii="Times New Roman" w:hAnsi="Times New Roman" w:cs="Times New Roman"/>
                <w:b/>
                <w:sz w:val="18"/>
                <w:szCs w:val="18"/>
              </w:rPr>
              <w:t xml:space="preserve"> </w:t>
            </w:r>
            <w:r w:rsidR="00231027">
              <w:rPr>
                <w:rFonts w:ascii="Times New Roman" w:hAnsi="Times New Roman" w:cs="Times New Roman"/>
                <w:b/>
                <w:sz w:val="18"/>
                <w:szCs w:val="18"/>
              </w:rPr>
              <w:t xml:space="preserve">нивото на подготвеност </w:t>
            </w:r>
            <w:r w:rsidR="00231027" w:rsidRPr="00B81457">
              <w:rPr>
                <w:rFonts w:ascii="Times New Roman" w:hAnsi="Times New Roman" w:cs="Times New Roman"/>
                <w:b/>
                <w:sz w:val="18"/>
                <w:szCs w:val="18"/>
              </w:rPr>
              <w:t>за посрещане на евентуални негативни ефекти</w:t>
            </w:r>
            <w:r w:rsidR="00231027">
              <w:rPr>
                <w:rFonts w:ascii="Times New Roman" w:hAnsi="Times New Roman" w:cs="Times New Roman"/>
                <w:b/>
                <w:sz w:val="18"/>
                <w:szCs w:val="18"/>
              </w:rPr>
              <w:t xml:space="preserve"> от настъпването на</w:t>
            </w:r>
            <w:r w:rsidR="00231027" w:rsidRPr="007B4A99">
              <w:rPr>
                <w:rFonts w:ascii="Times New Roman" w:hAnsi="Times New Roman" w:cs="Times New Roman"/>
                <w:b/>
                <w:sz w:val="18"/>
                <w:szCs w:val="18"/>
              </w:rPr>
              <w:t xml:space="preserve"> климатични промени</w:t>
            </w:r>
            <w:r w:rsidRPr="007B4A99">
              <w:rPr>
                <w:rFonts w:ascii="Times New Roman" w:hAnsi="Times New Roman" w:cs="Times New Roman"/>
                <w:b/>
                <w:sz w:val="18"/>
                <w:szCs w:val="18"/>
              </w:rPr>
              <w:t>;</w:t>
            </w:r>
          </w:p>
          <w:p w14:paraId="407E4DAB" w14:textId="00C0D497" w:rsidR="00231027" w:rsidRDefault="008205D6" w:rsidP="009B365E">
            <w:pPr>
              <w:jc w:val="both"/>
              <w:rPr>
                <w:rFonts w:ascii="Times New Roman" w:hAnsi="Times New Roman" w:cs="Times New Roman"/>
                <w:b/>
                <w:sz w:val="18"/>
                <w:szCs w:val="18"/>
              </w:rPr>
            </w:pPr>
            <w:r w:rsidRPr="007B4A99">
              <w:rPr>
                <w:rFonts w:ascii="Times New Roman" w:hAnsi="Times New Roman" w:cs="Times New Roman"/>
                <w:b/>
                <w:sz w:val="18"/>
                <w:szCs w:val="18"/>
              </w:rPr>
              <w:t xml:space="preserve">2. </w:t>
            </w:r>
            <w:r w:rsidR="00231027">
              <w:rPr>
                <w:rFonts w:ascii="Times New Roman" w:hAnsi="Times New Roman" w:cs="Times New Roman"/>
                <w:b/>
                <w:sz w:val="18"/>
                <w:szCs w:val="18"/>
              </w:rPr>
              <w:t xml:space="preserve">Малко вероятен </w:t>
            </w:r>
            <w:r w:rsidR="00231027" w:rsidRPr="00B81457">
              <w:rPr>
                <w:rFonts w:ascii="Times New Roman" w:hAnsi="Times New Roman" w:cs="Times New Roman"/>
                <w:b/>
                <w:sz w:val="18"/>
                <w:szCs w:val="18"/>
              </w:rPr>
              <w:t xml:space="preserve">потенциал за </w:t>
            </w:r>
            <w:r w:rsidR="00231027">
              <w:rPr>
                <w:rFonts w:ascii="Times New Roman" w:hAnsi="Times New Roman" w:cs="Times New Roman"/>
                <w:b/>
                <w:sz w:val="18"/>
                <w:szCs w:val="18"/>
              </w:rPr>
              <w:t xml:space="preserve">намаляване на текущото </w:t>
            </w:r>
            <w:r w:rsidR="00231027" w:rsidRPr="00B81457">
              <w:rPr>
                <w:rFonts w:ascii="Times New Roman" w:hAnsi="Times New Roman" w:cs="Times New Roman"/>
                <w:b/>
                <w:sz w:val="18"/>
                <w:szCs w:val="18"/>
              </w:rPr>
              <w:t>ниво на образуване на отпадъци</w:t>
            </w:r>
            <w:r w:rsidR="00231027">
              <w:rPr>
                <w:rFonts w:ascii="Times New Roman" w:hAnsi="Times New Roman" w:cs="Times New Roman"/>
                <w:b/>
                <w:sz w:val="18"/>
                <w:szCs w:val="18"/>
              </w:rPr>
              <w:t xml:space="preserve">, поради несигурното </w:t>
            </w:r>
            <w:r w:rsidR="00231027" w:rsidRPr="00B81457">
              <w:rPr>
                <w:rFonts w:ascii="Times New Roman" w:hAnsi="Times New Roman" w:cs="Times New Roman"/>
                <w:b/>
                <w:sz w:val="18"/>
                <w:szCs w:val="18"/>
              </w:rPr>
              <w:t>увеличаване обемите на реализация на произведени храни и друга земеделска продукция</w:t>
            </w:r>
            <w:r w:rsidR="00231027">
              <w:rPr>
                <w:rFonts w:ascii="Times New Roman" w:hAnsi="Times New Roman" w:cs="Times New Roman"/>
                <w:b/>
                <w:sz w:val="18"/>
                <w:szCs w:val="18"/>
              </w:rPr>
              <w:t>;</w:t>
            </w:r>
          </w:p>
          <w:p w14:paraId="01F9772D" w14:textId="7726A925" w:rsidR="008205D6" w:rsidRPr="007B4A99" w:rsidRDefault="008205D6" w:rsidP="00231027">
            <w:pPr>
              <w:jc w:val="both"/>
              <w:rPr>
                <w:rFonts w:ascii="Times New Roman" w:hAnsi="Times New Roman" w:cs="Times New Roman"/>
                <w:b/>
                <w:i/>
                <w:sz w:val="18"/>
                <w:szCs w:val="18"/>
              </w:rPr>
            </w:pPr>
            <w:r w:rsidRPr="007B4A99">
              <w:rPr>
                <w:rFonts w:ascii="Times New Roman" w:hAnsi="Times New Roman" w:cs="Times New Roman"/>
                <w:b/>
                <w:sz w:val="18"/>
                <w:szCs w:val="18"/>
              </w:rPr>
              <w:t xml:space="preserve"> 3. </w:t>
            </w:r>
            <w:r w:rsidR="00231027">
              <w:rPr>
                <w:rFonts w:ascii="Times New Roman" w:hAnsi="Times New Roman" w:cs="Times New Roman"/>
                <w:b/>
                <w:sz w:val="18"/>
                <w:szCs w:val="18"/>
              </w:rPr>
              <w:t xml:space="preserve">Малко вероятни </w:t>
            </w:r>
            <w:r w:rsidR="00231027" w:rsidRPr="007B4A99">
              <w:rPr>
                <w:rFonts w:ascii="Times New Roman" w:hAnsi="Times New Roman" w:cs="Times New Roman"/>
                <w:b/>
                <w:sz w:val="18"/>
                <w:szCs w:val="18"/>
              </w:rPr>
              <w:t xml:space="preserve">възможности за </w:t>
            </w:r>
            <w:r w:rsidR="00231027" w:rsidRPr="007B4A99">
              <w:rPr>
                <w:rFonts w:ascii="Times New Roman" w:hAnsi="Times New Roman" w:cs="Times New Roman"/>
                <w:b/>
                <w:sz w:val="18"/>
                <w:szCs w:val="18"/>
              </w:rPr>
              <w:lastRenderedPageBreak/>
              <w:t>въвеждането на устойчиви модели на потребление и производство за преминаване към по-щадящи околната среда работни процеси.</w:t>
            </w:r>
          </w:p>
        </w:tc>
      </w:tr>
      <w:tr w:rsidR="00B2616A" w:rsidRPr="007B4A99" w14:paraId="233BDC42" w14:textId="77777777" w:rsidTr="00DD69D5">
        <w:tc>
          <w:tcPr>
            <w:tcW w:w="1560" w:type="dxa"/>
            <w:shd w:val="clear" w:color="auto" w:fill="DBDBDB" w:themeFill="accent3" w:themeFillTint="66"/>
            <w:vAlign w:val="center"/>
          </w:tcPr>
          <w:p w14:paraId="120EB9DA" w14:textId="48766300" w:rsidR="00B2616A" w:rsidRPr="007B4A99" w:rsidRDefault="00B2616A" w:rsidP="008205D6">
            <w:pPr>
              <w:spacing w:before="120" w:after="120"/>
              <w:contextualSpacing/>
              <w:jc w:val="center"/>
              <w:rPr>
                <w:rFonts w:ascii="Times New Roman" w:hAnsi="Times New Roman" w:cs="Times New Roman"/>
                <w:b/>
                <w:i/>
                <w:sz w:val="20"/>
                <w:szCs w:val="20"/>
              </w:rPr>
            </w:pPr>
            <w:r w:rsidRPr="007B4A99">
              <w:rPr>
                <w:rFonts w:ascii="Times New Roman" w:hAnsi="Times New Roman" w:cs="Times New Roman"/>
                <w:b/>
                <w:i/>
                <w:sz w:val="20"/>
                <w:szCs w:val="20"/>
              </w:rPr>
              <w:lastRenderedPageBreak/>
              <w:t>Вариант 2:</w:t>
            </w:r>
            <w:r w:rsidRPr="007B4A99">
              <w:rPr>
                <w:sz w:val="20"/>
                <w:szCs w:val="20"/>
              </w:rPr>
              <w:t xml:space="preserve"> </w:t>
            </w:r>
            <w:r w:rsidRPr="007B4A99">
              <w:rPr>
                <w:rFonts w:ascii="Times New Roman" w:hAnsi="Times New Roman" w:cs="Times New Roman"/>
                <w:b/>
                <w:i/>
                <w:sz w:val="20"/>
                <w:szCs w:val="20"/>
              </w:rPr>
              <w:t>„Регулатор</w:t>
            </w:r>
            <w:r w:rsidR="008205D6" w:rsidRPr="007B4A99">
              <w:rPr>
                <w:rFonts w:ascii="Times New Roman" w:hAnsi="Times New Roman" w:cs="Times New Roman"/>
                <w:b/>
                <w:i/>
                <w:sz w:val="20"/>
                <w:szCs w:val="20"/>
              </w:rPr>
              <w:t>е</w:t>
            </w:r>
            <w:r w:rsidRPr="007B4A99">
              <w:rPr>
                <w:rFonts w:ascii="Times New Roman" w:hAnsi="Times New Roman" w:cs="Times New Roman"/>
                <w:b/>
                <w:i/>
                <w:sz w:val="20"/>
                <w:szCs w:val="20"/>
              </w:rPr>
              <w:t xml:space="preserve">н </w:t>
            </w:r>
            <w:r w:rsidR="008205D6" w:rsidRPr="007B4A99">
              <w:rPr>
                <w:rFonts w:ascii="Times New Roman" w:hAnsi="Times New Roman" w:cs="Times New Roman"/>
                <w:b/>
                <w:i/>
                <w:sz w:val="20"/>
                <w:szCs w:val="20"/>
              </w:rPr>
              <w:t xml:space="preserve">- </w:t>
            </w:r>
            <w:r w:rsidRPr="007B4A99">
              <w:rPr>
                <w:rFonts w:ascii="Times New Roman" w:hAnsi="Times New Roman" w:cs="Times New Roman"/>
                <w:b/>
                <w:i/>
                <w:sz w:val="20"/>
                <w:szCs w:val="20"/>
              </w:rPr>
              <w:t xml:space="preserve">промени в действащата </w:t>
            </w:r>
            <w:r w:rsidR="008205D6" w:rsidRPr="007B4A99">
              <w:rPr>
                <w:rFonts w:ascii="Times New Roman" w:hAnsi="Times New Roman" w:cs="Times New Roman"/>
                <w:b/>
                <w:i/>
                <w:sz w:val="20"/>
                <w:szCs w:val="20"/>
              </w:rPr>
              <w:t xml:space="preserve">правна </w:t>
            </w:r>
            <w:r w:rsidRPr="007B4A99">
              <w:rPr>
                <w:rFonts w:ascii="Times New Roman" w:hAnsi="Times New Roman" w:cs="Times New Roman"/>
                <w:b/>
                <w:i/>
                <w:sz w:val="20"/>
                <w:szCs w:val="20"/>
              </w:rPr>
              <w:t>уредба“</w:t>
            </w:r>
          </w:p>
        </w:tc>
        <w:tc>
          <w:tcPr>
            <w:tcW w:w="2551" w:type="dxa"/>
            <w:shd w:val="clear" w:color="auto" w:fill="DEEAF6" w:themeFill="accent1" w:themeFillTint="33"/>
          </w:tcPr>
          <w:p w14:paraId="6B383272" w14:textId="77777777" w:rsidR="00950802" w:rsidRDefault="00D0365A" w:rsidP="00960A76">
            <w:pPr>
              <w:jc w:val="both"/>
              <w:rPr>
                <w:rFonts w:ascii="Times New Roman" w:hAnsi="Times New Roman" w:cs="Times New Roman"/>
                <w:b/>
                <w:sz w:val="18"/>
                <w:szCs w:val="18"/>
              </w:rPr>
            </w:pPr>
            <w:r w:rsidRPr="007B4A99">
              <w:rPr>
                <w:rFonts w:ascii="Times New Roman" w:hAnsi="Times New Roman" w:cs="Times New Roman"/>
                <w:b/>
                <w:sz w:val="18"/>
                <w:szCs w:val="18"/>
              </w:rPr>
              <w:t xml:space="preserve">1. </w:t>
            </w:r>
            <w:r w:rsidR="00B2616A" w:rsidRPr="007B4A99">
              <w:rPr>
                <w:rFonts w:ascii="Times New Roman" w:hAnsi="Times New Roman" w:cs="Times New Roman"/>
                <w:b/>
                <w:sz w:val="18"/>
                <w:szCs w:val="18"/>
              </w:rPr>
              <w:t xml:space="preserve">Частично положително влияние </w:t>
            </w:r>
            <w:r w:rsidR="00950802" w:rsidRPr="007B4A99">
              <w:rPr>
                <w:rFonts w:ascii="Times New Roman" w:hAnsi="Times New Roman" w:cs="Times New Roman"/>
                <w:b/>
                <w:sz w:val="18"/>
                <w:szCs w:val="18"/>
              </w:rPr>
              <w:t xml:space="preserve">върху </w:t>
            </w:r>
            <w:r w:rsidR="00950802">
              <w:rPr>
                <w:rFonts w:ascii="Times New Roman" w:hAnsi="Times New Roman" w:cs="Times New Roman"/>
                <w:b/>
                <w:sz w:val="18"/>
                <w:szCs w:val="18"/>
              </w:rPr>
              <w:t xml:space="preserve">конкуренцията, </w:t>
            </w:r>
            <w:r w:rsidR="00950802" w:rsidRPr="00A44935">
              <w:rPr>
                <w:rFonts w:ascii="Times New Roman" w:hAnsi="Times New Roman" w:cs="Times New Roman"/>
                <w:b/>
                <w:sz w:val="18"/>
                <w:szCs w:val="18"/>
              </w:rPr>
              <w:t>увеличаване</w:t>
            </w:r>
            <w:r w:rsidR="00950802">
              <w:rPr>
                <w:rFonts w:ascii="Times New Roman" w:hAnsi="Times New Roman" w:cs="Times New Roman"/>
                <w:b/>
                <w:sz w:val="18"/>
                <w:szCs w:val="18"/>
              </w:rPr>
              <w:t>то</w:t>
            </w:r>
            <w:r w:rsidR="00950802" w:rsidRPr="00A44935">
              <w:rPr>
                <w:rFonts w:ascii="Times New Roman" w:hAnsi="Times New Roman" w:cs="Times New Roman"/>
                <w:b/>
                <w:sz w:val="18"/>
                <w:szCs w:val="18"/>
              </w:rPr>
              <w:t xml:space="preserve"> на  избора на потребителите</w:t>
            </w:r>
            <w:r w:rsidR="00950802">
              <w:rPr>
                <w:rFonts w:ascii="Times New Roman" w:hAnsi="Times New Roman" w:cs="Times New Roman"/>
                <w:b/>
                <w:sz w:val="18"/>
                <w:szCs w:val="18"/>
              </w:rPr>
              <w:t xml:space="preserve"> и</w:t>
            </w:r>
            <w:r w:rsidR="00950802" w:rsidRPr="00A44935">
              <w:rPr>
                <w:rFonts w:ascii="Times New Roman" w:hAnsi="Times New Roman" w:cs="Times New Roman"/>
                <w:b/>
                <w:sz w:val="18"/>
                <w:szCs w:val="18"/>
              </w:rPr>
              <w:t xml:space="preserve"> </w:t>
            </w:r>
            <w:r w:rsidR="00950802">
              <w:rPr>
                <w:rFonts w:ascii="Times New Roman" w:hAnsi="Times New Roman" w:cs="Times New Roman"/>
                <w:b/>
                <w:sz w:val="18"/>
                <w:szCs w:val="18"/>
              </w:rPr>
              <w:t xml:space="preserve">постигане на </w:t>
            </w:r>
            <w:r w:rsidR="00950802" w:rsidRPr="00A44935">
              <w:rPr>
                <w:rFonts w:ascii="Times New Roman" w:hAnsi="Times New Roman" w:cs="Times New Roman"/>
                <w:b/>
                <w:sz w:val="18"/>
                <w:szCs w:val="18"/>
              </w:rPr>
              <w:t xml:space="preserve">по-ниски цени </w:t>
            </w:r>
            <w:r w:rsidR="00950802">
              <w:rPr>
                <w:rFonts w:ascii="Times New Roman" w:hAnsi="Times New Roman" w:cs="Times New Roman"/>
                <w:b/>
                <w:sz w:val="18"/>
                <w:szCs w:val="18"/>
              </w:rPr>
              <w:t xml:space="preserve">на основните </w:t>
            </w:r>
            <w:r w:rsidR="00950802" w:rsidRPr="00A44935">
              <w:rPr>
                <w:rFonts w:ascii="Times New Roman" w:hAnsi="Times New Roman" w:cs="Times New Roman"/>
                <w:b/>
                <w:sz w:val="18"/>
                <w:szCs w:val="18"/>
              </w:rPr>
              <w:t>земеделски продукти и храни</w:t>
            </w:r>
            <w:r w:rsidR="00950802">
              <w:rPr>
                <w:rFonts w:ascii="Times New Roman" w:hAnsi="Times New Roman" w:cs="Times New Roman"/>
                <w:b/>
                <w:sz w:val="18"/>
                <w:szCs w:val="18"/>
              </w:rPr>
              <w:t xml:space="preserve">; </w:t>
            </w:r>
          </w:p>
          <w:p w14:paraId="4365363C" w14:textId="357520E6" w:rsidR="00950802" w:rsidRDefault="00B2616A" w:rsidP="00960A76">
            <w:pPr>
              <w:jc w:val="both"/>
              <w:rPr>
                <w:rFonts w:ascii="Times New Roman" w:hAnsi="Times New Roman" w:cs="Times New Roman"/>
                <w:b/>
                <w:sz w:val="18"/>
                <w:szCs w:val="18"/>
              </w:rPr>
            </w:pPr>
            <w:r w:rsidRPr="007B4A99">
              <w:rPr>
                <w:rFonts w:ascii="Times New Roman" w:hAnsi="Times New Roman" w:cs="Times New Roman"/>
                <w:b/>
                <w:sz w:val="18"/>
                <w:szCs w:val="18"/>
              </w:rPr>
              <w:t xml:space="preserve">2. </w:t>
            </w:r>
            <w:r w:rsidRPr="00B83A67">
              <w:rPr>
                <w:rFonts w:ascii="Times New Roman" w:hAnsi="Times New Roman" w:cs="Times New Roman"/>
                <w:b/>
                <w:sz w:val="18"/>
                <w:szCs w:val="18"/>
              </w:rPr>
              <w:t>Непъл</w:t>
            </w:r>
            <w:r w:rsidR="00950802" w:rsidRPr="00B83A67">
              <w:rPr>
                <w:rFonts w:ascii="Times New Roman" w:hAnsi="Times New Roman" w:cs="Times New Roman"/>
                <w:b/>
                <w:sz w:val="18"/>
                <w:szCs w:val="18"/>
              </w:rPr>
              <w:t>е</w:t>
            </w:r>
            <w:r w:rsidRPr="00B83A67">
              <w:rPr>
                <w:rFonts w:ascii="Times New Roman" w:hAnsi="Times New Roman" w:cs="Times New Roman"/>
                <w:b/>
                <w:sz w:val="18"/>
                <w:szCs w:val="18"/>
              </w:rPr>
              <w:t xml:space="preserve">н </w:t>
            </w:r>
            <w:r w:rsidR="00950802" w:rsidRPr="00B83A67">
              <w:rPr>
                <w:rFonts w:ascii="Times New Roman" w:hAnsi="Times New Roman" w:cs="Times New Roman"/>
                <w:b/>
                <w:sz w:val="18"/>
                <w:szCs w:val="18"/>
              </w:rPr>
              <w:t xml:space="preserve">потенциал за постигане на </w:t>
            </w:r>
            <w:r w:rsidR="001C549F" w:rsidRPr="00B83A67">
              <w:rPr>
                <w:rFonts w:ascii="Times New Roman" w:hAnsi="Times New Roman" w:cs="Times New Roman"/>
                <w:b/>
                <w:sz w:val="18"/>
                <w:szCs w:val="18"/>
              </w:rPr>
              <w:t xml:space="preserve">продоволствена </w:t>
            </w:r>
            <w:r w:rsidR="00950802" w:rsidRPr="00B83A67">
              <w:rPr>
                <w:rFonts w:ascii="Times New Roman" w:hAnsi="Times New Roman" w:cs="Times New Roman"/>
                <w:b/>
                <w:sz w:val="18"/>
                <w:szCs w:val="18"/>
              </w:rPr>
              <w:t>сигурност и на устойчиво селско стопанство;</w:t>
            </w:r>
          </w:p>
          <w:p w14:paraId="349424EE" w14:textId="01BB5B85" w:rsidR="00B2616A" w:rsidRPr="007B4A99" w:rsidRDefault="000874A2" w:rsidP="00950802">
            <w:pPr>
              <w:jc w:val="both"/>
              <w:rPr>
                <w:rFonts w:ascii="Times New Roman" w:hAnsi="Times New Roman" w:cs="Times New Roman"/>
                <w:b/>
                <w:i/>
                <w:color w:val="FF0000"/>
                <w:sz w:val="16"/>
                <w:szCs w:val="16"/>
              </w:rPr>
            </w:pPr>
            <w:r w:rsidRPr="007B4A99">
              <w:rPr>
                <w:rFonts w:ascii="Times New Roman" w:hAnsi="Times New Roman" w:cs="Times New Roman"/>
                <w:b/>
                <w:sz w:val="18"/>
                <w:szCs w:val="18"/>
              </w:rPr>
              <w:t>3. Частично</w:t>
            </w:r>
            <w:r w:rsidR="00B2616A" w:rsidRPr="007B4A99">
              <w:rPr>
                <w:rFonts w:ascii="Times New Roman" w:hAnsi="Times New Roman" w:cs="Times New Roman"/>
                <w:b/>
                <w:sz w:val="18"/>
                <w:szCs w:val="18"/>
              </w:rPr>
              <w:t xml:space="preserve"> </w:t>
            </w:r>
            <w:r w:rsidRPr="007B4A99">
              <w:rPr>
                <w:rFonts w:ascii="Times New Roman" w:hAnsi="Times New Roman" w:cs="Times New Roman"/>
                <w:b/>
                <w:sz w:val="18"/>
                <w:szCs w:val="18"/>
              </w:rPr>
              <w:t xml:space="preserve">насърчаване на </w:t>
            </w:r>
            <w:r w:rsidR="00950802">
              <w:rPr>
                <w:rFonts w:ascii="Times New Roman" w:hAnsi="Times New Roman" w:cs="Times New Roman"/>
                <w:b/>
                <w:sz w:val="18"/>
                <w:szCs w:val="18"/>
              </w:rPr>
              <w:t>реална</w:t>
            </w:r>
            <w:r w:rsidR="00950802" w:rsidRPr="00A44935">
              <w:rPr>
                <w:rFonts w:ascii="Times New Roman" w:hAnsi="Times New Roman" w:cs="Times New Roman"/>
                <w:b/>
                <w:sz w:val="18"/>
                <w:szCs w:val="18"/>
              </w:rPr>
              <w:t xml:space="preserve"> конкурентна среда, правна сигурност, равнопоставеност в отношенията по веригата и пропорционалност при разпределениет</w:t>
            </w:r>
            <w:r w:rsidR="00950802">
              <w:rPr>
                <w:rFonts w:ascii="Times New Roman" w:hAnsi="Times New Roman" w:cs="Times New Roman"/>
                <w:b/>
                <w:sz w:val="18"/>
                <w:szCs w:val="18"/>
              </w:rPr>
              <w:t>о на добавената стойност по нея.</w:t>
            </w:r>
          </w:p>
        </w:tc>
        <w:tc>
          <w:tcPr>
            <w:tcW w:w="2410" w:type="dxa"/>
            <w:shd w:val="clear" w:color="auto" w:fill="BDD6EE" w:themeFill="accent1" w:themeFillTint="66"/>
            <w:vAlign w:val="center"/>
          </w:tcPr>
          <w:p w14:paraId="31B8E992" w14:textId="060C3715" w:rsidR="00950802" w:rsidRPr="007B4A99" w:rsidRDefault="00B2616A" w:rsidP="00950802">
            <w:pPr>
              <w:spacing w:line="276" w:lineRule="auto"/>
              <w:jc w:val="both"/>
              <w:rPr>
                <w:rFonts w:ascii="Times New Roman" w:hAnsi="Times New Roman" w:cs="Times New Roman"/>
                <w:b/>
                <w:sz w:val="18"/>
                <w:szCs w:val="18"/>
              </w:rPr>
            </w:pPr>
            <w:r w:rsidRPr="007B4A99">
              <w:rPr>
                <w:rFonts w:ascii="Times New Roman" w:hAnsi="Times New Roman" w:cs="Times New Roman"/>
                <w:b/>
                <w:sz w:val="18"/>
                <w:szCs w:val="18"/>
              </w:rPr>
              <w:t xml:space="preserve">1. Частично </w:t>
            </w:r>
            <w:r w:rsidR="000B7AA5" w:rsidRPr="007B4A99">
              <w:rPr>
                <w:rFonts w:ascii="Times New Roman" w:hAnsi="Times New Roman" w:cs="Times New Roman"/>
                <w:b/>
                <w:sz w:val="18"/>
                <w:szCs w:val="18"/>
              </w:rPr>
              <w:t xml:space="preserve">може да допринася </w:t>
            </w:r>
            <w:r w:rsidR="00950802">
              <w:rPr>
                <w:rFonts w:ascii="Times New Roman" w:hAnsi="Times New Roman" w:cs="Times New Roman"/>
                <w:b/>
                <w:sz w:val="18"/>
                <w:szCs w:val="18"/>
              </w:rPr>
              <w:t xml:space="preserve">за </w:t>
            </w:r>
            <w:r w:rsidR="00950802" w:rsidRPr="007B4A99">
              <w:rPr>
                <w:rFonts w:ascii="Times New Roman" w:hAnsi="Times New Roman" w:cs="Times New Roman"/>
                <w:b/>
                <w:sz w:val="18"/>
                <w:szCs w:val="18"/>
              </w:rPr>
              <w:t>осигуряване на</w:t>
            </w:r>
            <w:r w:rsidR="00950802">
              <w:rPr>
                <w:rFonts w:ascii="Times New Roman" w:hAnsi="Times New Roman" w:cs="Times New Roman"/>
                <w:b/>
                <w:sz w:val="18"/>
                <w:szCs w:val="18"/>
              </w:rPr>
              <w:t xml:space="preserve"> общественото </w:t>
            </w:r>
            <w:r w:rsidR="00950802" w:rsidRPr="00097843">
              <w:rPr>
                <w:rFonts w:ascii="Times New Roman" w:hAnsi="Times New Roman" w:cs="Times New Roman"/>
                <w:b/>
                <w:sz w:val="18"/>
                <w:szCs w:val="18"/>
              </w:rPr>
              <w:t>здраве,</w:t>
            </w:r>
            <w:r w:rsidR="00950802">
              <w:rPr>
                <w:rFonts w:ascii="Times New Roman" w:hAnsi="Times New Roman" w:cs="Times New Roman"/>
                <w:b/>
                <w:sz w:val="18"/>
                <w:szCs w:val="18"/>
              </w:rPr>
              <w:t xml:space="preserve"> като</w:t>
            </w:r>
            <w:r w:rsidR="008262FE">
              <w:rPr>
                <w:rFonts w:ascii="Times New Roman" w:hAnsi="Times New Roman" w:cs="Times New Roman"/>
                <w:b/>
                <w:sz w:val="18"/>
                <w:szCs w:val="18"/>
              </w:rPr>
              <w:t xml:space="preserve"> обаче не</w:t>
            </w:r>
            <w:r w:rsidR="00950802">
              <w:rPr>
                <w:rFonts w:ascii="Times New Roman" w:hAnsi="Times New Roman" w:cs="Times New Roman"/>
                <w:b/>
                <w:sz w:val="18"/>
                <w:szCs w:val="18"/>
              </w:rPr>
              <w:t xml:space="preserve"> гарантира най-пълно</w:t>
            </w:r>
            <w:r w:rsidR="00950802" w:rsidRPr="00097843">
              <w:rPr>
                <w:rFonts w:ascii="Times New Roman" w:hAnsi="Times New Roman" w:cs="Times New Roman"/>
                <w:b/>
                <w:sz w:val="18"/>
                <w:szCs w:val="18"/>
              </w:rPr>
              <w:t xml:space="preserve"> </w:t>
            </w:r>
            <w:r w:rsidR="00950802">
              <w:rPr>
                <w:rFonts w:ascii="Times New Roman" w:hAnsi="Times New Roman" w:cs="Times New Roman"/>
                <w:b/>
                <w:sz w:val="18"/>
                <w:szCs w:val="18"/>
              </w:rPr>
              <w:t xml:space="preserve">доставката на </w:t>
            </w:r>
            <w:r w:rsidR="00950802" w:rsidRPr="00097843">
              <w:rPr>
                <w:rFonts w:ascii="Times New Roman" w:hAnsi="Times New Roman" w:cs="Times New Roman"/>
                <w:b/>
                <w:sz w:val="18"/>
                <w:szCs w:val="18"/>
              </w:rPr>
              <w:t>достатъчно висококачествени и безопасни храни</w:t>
            </w:r>
            <w:r w:rsidR="00950802" w:rsidRPr="007B4A99">
              <w:rPr>
                <w:rFonts w:ascii="Times New Roman" w:hAnsi="Times New Roman" w:cs="Times New Roman"/>
                <w:b/>
                <w:sz w:val="18"/>
                <w:szCs w:val="18"/>
              </w:rPr>
              <w:t>;</w:t>
            </w:r>
          </w:p>
          <w:p w14:paraId="190B06B6" w14:textId="6461D02B" w:rsidR="00950802" w:rsidRDefault="00B2616A" w:rsidP="000B7AA5">
            <w:pPr>
              <w:spacing w:line="276" w:lineRule="auto"/>
              <w:jc w:val="both"/>
              <w:rPr>
                <w:rFonts w:ascii="Times New Roman" w:hAnsi="Times New Roman" w:cs="Times New Roman"/>
                <w:b/>
                <w:sz w:val="18"/>
                <w:szCs w:val="18"/>
              </w:rPr>
            </w:pPr>
            <w:r w:rsidRPr="007B4A99">
              <w:rPr>
                <w:rFonts w:ascii="Times New Roman" w:hAnsi="Times New Roman" w:cs="Times New Roman"/>
                <w:b/>
                <w:sz w:val="18"/>
                <w:szCs w:val="18"/>
              </w:rPr>
              <w:t xml:space="preserve">2. Частично </w:t>
            </w:r>
            <w:r w:rsidR="000B7AA5" w:rsidRPr="007B4A99">
              <w:rPr>
                <w:rFonts w:ascii="Times New Roman" w:hAnsi="Times New Roman" w:cs="Times New Roman"/>
                <w:b/>
                <w:sz w:val="18"/>
                <w:szCs w:val="18"/>
              </w:rPr>
              <w:t xml:space="preserve">може до </w:t>
            </w:r>
            <w:r w:rsidR="00950802" w:rsidRPr="007B4A99">
              <w:rPr>
                <w:rFonts w:ascii="Times New Roman" w:hAnsi="Times New Roman" w:cs="Times New Roman"/>
                <w:b/>
                <w:sz w:val="18"/>
                <w:szCs w:val="18"/>
              </w:rPr>
              <w:t xml:space="preserve">води до </w:t>
            </w:r>
            <w:r w:rsidR="007E3C03">
              <w:rPr>
                <w:rFonts w:ascii="Times New Roman" w:hAnsi="Times New Roman" w:cs="Times New Roman"/>
                <w:b/>
                <w:sz w:val="18"/>
                <w:szCs w:val="18"/>
              </w:rPr>
              <w:t>подобряване</w:t>
            </w:r>
            <w:r w:rsidR="00950802">
              <w:rPr>
                <w:rFonts w:ascii="Times New Roman" w:hAnsi="Times New Roman" w:cs="Times New Roman"/>
                <w:b/>
                <w:sz w:val="18"/>
                <w:szCs w:val="18"/>
              </w:rPr>
              <w:t xml:space="preserve"> благосъстоянието н</w:t>
            </w:r>
            <w:r w:rsidR="00950802" w:rsidRPr="007B4A99">
              <w:rPr>
                <w:rFonts w:ascii="Times New Roman" w:hAnsi="Times New Roman" w:cs="Times New Roman"/>
                <w:b/>
                <w:sz w:val="18"/>
                <w:szCs w:val="18"/>
              </w:rPr>
              <w:t>а възраст</w:t>
            </w:r>
            <w:r w:rsidR="00950802">
              <w:rPr>
                <w:rFonts w:ascii="Times New Roman" w:hAnsi="Times New Roman" w:cs="Times New Roman"/>
                <w:b/>
                <w:sz w:val="18"/>
                <w:szCs w:val="18"/>
              </w:rPr>
              <w:t>ните хора и другите социално уязвимите групи от обществото, поради</w:t>
            </w:r>
            <w:r w:rsidR="007E3C03">
              <w:rPr>
                <w:rFonts w:ascii="Times New Roman" w:hAnsi="Times New Roman" w:cs="Times New Roman"/>
                <w:b/>
                <w:sz w:val="18"/>
                <w:szCs w:val="18"/>
              </w:rPr>
              <w:t xml:space="preserve"> непълен потенциал</w:t>
            </w:r>
            <w:r w:rsidR="00950802">
              <w:rPr>
                <w:rFonts w:ascii="Times New Roman" w:hAnsi="Times New Roman" w:cs="Times New Roman"/>
                <w:b/>
                <w:sz w:val="18"/>
                <w:szCs w:val="18"/>
              </w:rPr>
              <w:t xml:space="preserve"> за постигане на по-ниски цени на основните земеделски и хранителни продукти</w:t>
            </w:r>
            <w:r w:rsidR="00950802" w:rsidRPr="007B4A99">
              <w:rPr>
                <w:rFonts w:ascii="Times New Roman" w:hAnsi="Times New Roman" w:cs="Times New Roman"/>
                <w:b/>
                <w:sz w:val="18"/>
                <w:szCs w:val="18"/>
              </w:rPr>
              <w:t>;</w:t>
            </w:r>
          </w:p>
          <w:p w14:paraId="3C33EA1A" w14:textId="726EBC2D" w:rsidR="00B2616A" w:rsidRPr="007B4A99" w:rsidRDefault="00B2616A" w:rsidP="00950802">
            <w:pPr>
              <w:spacing w:line="276" w:lineRule="auto"/>
              <w:jc w:val="both"/>
              <w:rPr>
                <w:rFonts w:ascii="Times New Roman" w:hAnsi="Times New Roman" w:cs="Times New Roman"/>
                <w:b/>
                <w:sz w:val="18"/>
                <w:szCs w:val="18"/>
              </w:rPr>
            </w:pPr>
            <w:r w:rsidRPr="007B4A99">
              <w:rPr>
                <w:rFonts w:ascii="Times New Roman" w:hAnsi="Times New Roman" w:cs="Times New Roman"/>
                <w:b/>
                <w:sz w:val="18"/>
                <w:szCs w:val="18"/>
              </w:rPr>
              <w:t xml:space="preserve">3. </w:t>
            </w:r>
            <w:r w:rsidR="000B7AA5" w:rsidRPr="007B4A99">
              <w:rPr>
                <w:rFonts w:ascii="Times New Roman" w:hAnsi="Times New Roman" w:cs="Times New Roman"/>
                <w:b/>
                <w:sz w:val="18"/>
                <w:szCs w:val="18"/>
              </w:rPr>
              <w:t>Частично</w:t>
            </w:r>
            <w:r w:rsidR="0039136B" w:rsidRPr="007B4A99">
              <w:rPr>
                <w:rFonts w:ascii="Times New Roman" w:hAnsi="Times New Roman" w:cs="Times New Roman"/>
                <w:b/>
                <w:sz w:val="18"/>
                <w:szCs w:val="18"/>
              </w:rPr>
              <w:t xml:space="preserve"> </w:t>
            </w:r>
            <w:r w:rsidR="000B7AA5" w:rsidRPr="007B4A99">
              <w:rPr>
                <w:rFonts w:ascii="Times New Roman" w:hAnsi="Times New Roman" w:cs="Times New Roman"/>
                <w:b/>
                <w:sz w:val="18"/>
                <w:szCs w:val="18"/>
              </w:rPr>
              <w:t xml:space="preserve">може да </w:t>
            </w:r>
            <w:r w:rsidR="00950802">
              <w:rPr>
                <w:rFonts w:ascii="Times New Roman" w:hAnsi="Times New Roman" w:cs="Times New Roman"/>
                <w:b/>
                <w:sz w:val="18"/>
                <w:szCs w:val="18"/>
              </w:rPr>
              <w:t xml:space="preserve">гарантира </w:t>
            </w:r>
            <w:r w:rsidR="00950802" w:rsidRPr="00A44935">
              <w:rPr>
                <w:rFonts w:ascii="Times New Roman" w:hAnsi="Times New Roman" w:cs="Times New Roman"/>
                <w:b/>
                <w:sz w:val="18"/>
                <w:szCs w:val="18"/>
              </w:rPr>
              <w:t xml:space="preserve">продоволствената сигурност, т.к. </w:t>
            </w:r>
            <w:r w:rsidR="00950802">
              <w:rPr>
                <w:rFonts w:ascii="Times New Roman" w:hAnsi="Times New Roman" w:cs="Times New Roman"/>
                <w:b/>
                <w:sz w:val="18"/>
                <w:szCs w:val="18"/>
              </w:rPr>
              <w:t>не води</w:t>
            </w:r>
            <w:r w:rsidR="00950802" w:rsidRPr="00A44935">
              <w:rPr>
                <w:rFonts w:ascii="Times New Roman" w:hAnsi="Times New Roman" w:cs="Times New Roman"/>
                <w:b/>
                <w:sz w:val="18"/>
                <w:szCs w:val="18"/>
              </w:rPr>
              <w:t xml:space="preserve"> до </w:t>
            </w:r>
            <w:r w:rsidR="00950802">
              <w:rPr>
                <w:rFonts w:ascii="Times New Roman" w:hAnsi="Times New Roman" w:cs="Times New Roman"/>
                <w:b/>
                <w:sz w:val="18"/>
                <w:szCs w:val="18"/>
              </w:rPr>
              <w:t>най-</w:t>
            </w:r>
            <w:r w:rsidR="00950802" w:rsidRPr="00A44935">
              <w:rPr>
                <w:rFonts w:ascii="Times New Roman" w:hAnsi="Times New Roman" w:cs="Times New Roman"/>
                <w:b/>
                <w:sz w:val="18"/>
                <w:szCs w:val="18"/>
              </w:rPr>
              <w:t>пълноценно</w:t>
            </w:r>
            <w:r w:rsidR="00950802">
              <w:rPr>
                <w:rFonts w:ascii="Times New Roman" w:hAnsi="Times New Roman" w:cs="Times New Roman"/>
                <w:b/>
                <w:sz w:val="18"/>
                <w:szCs w:val="18"/>
              </w:rPr>
              <w:t xml:space="preserve"> </w:t>
            </w:r>
            <w:r w:rsidR="00950802" w:rsidRPr="00A44935">
              <w:rPr>
                <w:rFonts w:ascii="Times New Roman" w:hAnsi="Times New Roman" w:cs="Times New Roman"/>
                <w:b/>
                <w:sz w:val="18"/>
                <w:szCs w:val="18"/>
              </w:rPr>
              <w:t>функциониране на веригата на доставка на храни и земеделска продукция</w:t>
            </w:r>
            <w:r w:rsidR="00950802" w:rsidRPr="007B4A99">
              <w:rPr>
                <w:rFonts w:ascii="Times New Roman" w:hAnsi="Times New Roman" w:cs="Times New Roman"/>
                <w:b/>
                <w:sz w:val="18"/>
                <w:szCs w:val="18"/>
              </w:rPr>
              <w:t>.</w:t>
            </w:r>
          </w:p>
        </w:tc>
        <w:tc>
          <w:tcPr>
            <w:tcW w:w="2551" w:type="dxa"/>
            <w:shd w:val="clear" w:color="auto" w:fill="9CC2E5" w:themeFill="accent1" w:themeFillTint="99"/>
          </w:tcPr>
          <w:p w14:paraId="526CEBFB" w14:textId="590CF2E4" w:rsidR="000B7AA5" w:rsidRPr="007B4A99" w:rsidRDefault="00B2616A" w:rsidP="00B2616A">
            <w:pPr>
              <w:jc w:val="both"/>
              <w:rPr>
                <w:rFonts w:ascii="Times New Roman" w:hAnsi="Times New Roman" w:cs="Times New Roman"/>
                <w:b/>
                <w:sz w:val="18"/>
                <w:szCs w:val="18"/>
              </w:rPr>
            </w:pPr>
            <w:r w:rsidRPr="007B4A99">
              <w:rPr>
                <w:rFonts w:ascii="Times New Roman" w:hAnsi="Times New Roman" w:cs="Times New Roman"/>
                <w:b/>
                <w:sz w:val="18"/>
                <w:szCs w:val="18"/>
              </w:rPr>
              <w:t>1.</w:t>
            </w:r>
            <w:r w:rsidRPr="007B4A99">
              <w:rPr>
                <w:rFonts w:ascii="Times New Roman" w:hAnsi="Times New Roman" w:cs="Times New Roman"/>
                <w:b/>
                <w:i/>
                <w:sz w:val="18"/>
                <w:szCs w:val="18"/>
              </w:rPr>
              <w:t xml:space="preserve"> </w:t>
            </w:r>
            <w:r w:rsidR="0039136B" w:rsidRPr="007B4A99">
              <w:rPr>
                <w:rFonts w:ascii="Times New Roman" w:hAnsi="Times New Roman" w:cs="Times New Roman"/>
                <w:b/>
                <w:sz w:val="18"/>
                <w:szCs w:val="18"/>
              </w:rPr>
              <w:t xml:space="preserve">Непълен </w:t>
            </w:r>
            <w:r w:rsidR="002809CA" w:rsidRPr="007B4A99">
              <w:rPr>
                <w:rFonts w:ascii="Times New Roman" w:hAnsi="Times New Roman" w:cs="Times New Roman"/>
                <w:b/>
                <w:sz w:val="18"/>
                <w:szCs w:val="18"/>
              </w:rPr>
              <w:t xml:space="preserve">и </w:t>
            </w:r>
            <w:r w:rsidR="0039136B" w:rsidRPr="007B4A99">
              <w:rPr>
                <w:rFonts w:ascii="Times New Roman" w:hAnsi="Times New Roman" w:cs="Times New Roman"/>
                <w:b/>
                <w:sz w:val="18"/>
                <w:szCs w:val="18"/>
              </w:rPr>
              <w:t>несигурен</w:t>
            </w:r>
            <w:r w:rsidR="000B7AA5" w:rsidRPr="007B4A99">
              <w:rPr>
                <w:rFonts w:ascii="Times New Roman" w:hAnsi="Times New Roman" w:cs="Times New Roman"/>
                <w:b/>
                <w:sz w:val="18"/>
                <w:szCs w:val="18"/>
              </w:rPr>
              <w:t xml:space="preserve"> </w:t>
            </w:r>
            <w:r w:rsidR="00231027">
              <w:rPr>
                <w:rFonts w:ascii="Times New Roman" w:hAnsi="Times New Roman" w:cs="Times New Roman"/>
                <w:b/>
                <w:sz w:val="18"/>
                <w:szCs w:val="18"/>
              </w:rPr>
              <w:t>принос</w:t>
            </w:r>
            <w:r w:rsidR="00950802" w:rsidRPr="007B4A99">
              <w:rPr>
                <w:rFonts w:ascii="Times New Roman" w:hAnsi="Times New Roman" w:cs="Times New Roman"/>
                <w:b/>
                <w:sz w:val="18"/>
                <w:szCs w:val="18"/>
              </w:rPr>
              <w:t xml:space="preserve"> за</w:t>
            </w:r>
            <w:r w:rsidR="00950802">
              <w:rPr>
                <w:rFonts w:ascii="Times New Roman" w:hAnsi="Times New Roman" w:cs="Times New Roman"/>
                <w:b/>
                <w:sz w:val="18"/>
                <w:szCs w:val="18"/>
              </w:rPr>
              <w:t xml:space="preserve"> повишаване</w:t>
            </w:r>
            <w:r w:rsidR="00950802" w:rsidRPr="007B4A99">
              <w:rPr>
                <w:rFonts w:ascii="Times New Roman" w:hAnsi="Times New Roman" w:cs="Times New Roman"/>
                <w:b/>
                <w:sz w:val="18"/>
                <w:szCs w:val="18"/>
              </w:rPr>
              <w:t xml:space="preserve"> </w:t>
            </w:r>
            <w:r w:rsidR="00950802">
              <w:rPr>
                <w:rFonts w:ascii="Times New Roman" w:hAnsi="Times New Roman" w:cs="Times New Roman"/>
                <w:b/>
                <w:sz w:val="18"/>
                <w:szCs w:val="18"/>
              </w:rPr>
              <w:t xml:space="preserve">нивото на подготвеност </w:t>
            </w:r>
            <w:r w:rsidR="00950802" w:rsidRPr="00B81457">
              <w:rPr>
                <w:rFonts w:ascii="Times New Roman" w:hAnsi="Times New Roman" w:cs="Times New Roman"/>
                <w:b/>
                <w:sz w:val="18"/>
                <w:szCs w:val="18"/>
              </w:rPr>
              <w:t>за посрещане на евентуални негативни ефекти</w:t>
            </w:r>
            <w:r w:rsidR="00950802">
              <w:rPr>
                <w:rFonts w:ascii="Times New Roman" w:hAnsi="Times New Roman" w:cs="Times New Roman"/>
                <w:b/>
                <w:sz w:val="18"/>
                <w:szCs w:val="18"/>
              </w:rPr>
              <w:t xml:space="preserve"> от настъпването на</w:t>
            </w:r>
            <w:r w:rsidR="00950802" w:rsidRPr="007B4A99">
              <w:rPr>
                <w:rFonts w:ascii="Times New Roman" w:hAnsi="Times New Roman" w:cs="Times New Roman"/>
                <w:b/>
                <w:sz w:val="18"/>
                <w:szCs w:val="18"/>
              </w:rPr>
              <w:t xml:space="preserve"> климатични промени</w:t>
            </w:r>
            <w:r w:rsidRPr="007B4A99">
              <w:rPr>
                <w:rFonts w:ascii="Times New Roman" w:hAnsi="Times New Roman" w:cs="Times New Roman"/>
                <w:b/>
                <w:sz w:val="18"/>
                <w:szCs w:val="18"/>
              </w:rPr>
              <w:t>;</w:t>
            </w:r>
          </w:p>
          <w:p w14:paraId="16B7748C" w14:textId="36407D9F" w:rsidR="00950802" w:rsidRDefault="00B2616A" w:rsidP="00950802">
            <w:pPr>
              <w:jc w:val="both"/>
              <w:rPr>
                <w:rFonts w:ascii="Times New Roman" w:hAnsi="Times New Roman" w:cs="Times New Roman"/>
                <w:b/>
                <w:sz w:val="18"/>
                <w:szCs w:val="18"/>
              </w:rPr>
            </w:pPr>
            <w:r w:rsidRPr="007B4A99">
              <w:rPr>
                <w:rFonts w:ascii="Times New Roman" w:hAnsi="Times New Roman" w:cs="Times New Roman"/>
                <w:b/>
                <w:sz w:val="18"/>
                <w:szCs w:val="18"/>
              </w:rPr>
              <w:t xml:space="preserve">2. </w:t>
            </w:r>
            <w:r w:rsidR="000B7AA5" w:rsidRPr="007B4A99">
              <w:rPr>
                <w:rFonts w:ascii="Times New Roman" w:hAnsi="Times New Roman" w:cs="Times New Roman"/>
                <w:b/>
                <w:sz w:val="18"/>
                <w:szCs w:val="18"/>
              </w:rPr>
              <w:t xml:space="preserve">Частичен и </w:t>
            </w:r>
            <w:r w:rsidR="0039136B" w:rsidRPr="007B4A99">
              <w:rPr>
                <w:rFonts w:ascii="Times New Roman" w:hAnsi="Times New Roman" w:cs="Times New Roman"/>
                <w:b/>
                <w:sz w:val="18"/>
                <w:szCs w:val="18"/>
              </w:rPr>
              <w:t>несигурен</w:t>
            </w:r>
            <w:r w:rsidR="000B7AA5" w:rsidRPr="007B4A99">
              <w:rPr>
                <w:rFonts w:ascii="Times New Roman" w:hAnsi="Times New Roman" w:cs="Times New Roman"/>
                <w:b/>
                <w:sz w:val="18"/>
                <w:szCs w:val="18"/>
              </w:rPr>
              <w:t xml:space="preserve"> </w:t>
            </w:r>
            <w:r w:rsidR="00950802" w:rsidRPr="00B81457">
              <w:rPr>
                <w:rFonts w:ascii="Times New Roman" w:hAnsi="Times New Roman" w:cs="Times New Roman"/>
                <w:b/>
                <w:sz w:val="18"/>
                <w:szCs w:val="18"/>
              </w:rPr>
              <w:t xml:space="preserve">потенциал за </w:t>
            </w:r>
            <w:r w:rsidR="00950802">
              <w:rPr>
                <w:rFonts w:ascii="Times New Roman" w:hAnsi="Times New Roman" w:cs="Times New Roman"/>
                <w:b/>
                <w:sz w:val="18"/>
                <w:szCs w:val="18"/>
              </w:rPr>
              <w:t xml:space="preserve">намаляване на текущото </w:t>
            </w:r>
            <w:r w:rsidR="00950802" w:rsidRPr="00B81457">
              <w:rPr>
                <w:rFonts w:ascii="Times New Roman" w:hAnsi="Times New Roman" w:cs="Times New Roman"/>
                <w:b/>
                <w:sz w:val="18"/>
                <w:szCs w:val="18"/>
              </w:rPr>
              <w:t>ниво на образуване на отпадъци</w:t>
            </w:r>
            <w:r w:rsidR="00950802">
              <w:rPr>
                <w:rFonts w:ascii="Times New Roman" w:hAnsi="Times New Roman" w:cs="Times New Roman"/>
                <w:b/>
                <w:sz w:val="18"/>
                <w:szCs w:val="18"/>
              </w:rPr>
              <w:t xml:space="preserve">, поради несигурното </w:t>
            </w:r>
            <w:r w:rsidR="00950802" w:rsidRPr="00B81457">
              <w:rPr>
                <w:rFonts w:ascii="Times New Roman" w:hAnsi="Times New Roman" w:cs="Times New Roman"/>
                <w:b/>
                <w:sz w:val="18"/>
                <w:szCs w:val="18"/>
              </w:rPr>
              <w:t>увеличаване обемите на реализация на произведени храни и друга земеделска продукция</w:t>
            </w:r>
            <w:r w:rsidR="00950802">
              <w:rPr>
                <w:rFonts w:ascii="Times New Roman" w:hAnsi="Times New Roman" w:cs="Times New Roman"/>
                <w:b/>
                <w:sz w:val="18"/>
                <w:szCs w:val="18"/>
              </w:rPr>
              <w:t>;</w:t>
            </w:r>
          </w:p>
          <w:p w14:paraId="3FBBD089" w14:textId="1E029C0A" w:rsidR="00B2616A" w:rsidRPr="007B4A99" w:rsidRDefault="00B2616A" w:rsidP="00B2616A">
            <w:pPr>
              <w:jc w:val="both"/>
              <w:rPr>
                <w:rFonts w:ascii="Times New Roman" w:hAnsi="Times New Roman" w:cs="Times New Roman"/>
                <w:b/>
                <w:i/>
                <w:sz w:val="18"/>
                <w:szCs w:val="18"/>
              </w:rPr>
            </w:pPr>
            <w:r w:rsidRPr="007B4A99">
              <w:rPr>
                <w:rFonts w:ascii="Times New Roman" w:hAnsi="Times New Roman" w:cs="Times New Roman"/>
                <w:b/>
                <w:sz w:val="18"/>
                <w:szCs w:val="18"/>
              </w:rPr>
              <w:t xml:space="preserve">3. </w:t>
            </w:r>
            <w:r w:rsidR="000B7AA5" w:rsidRPr="007B4A99">
              <w:rPr>
                <w:rFonts w:ascii="Times New Roman" w:hAnsi="Times New Roman" w:cs="Times New Roman"/>
                <w:b/>
                <w:sz w:val="18"/>
                <w:szCs w:val="18"/>
              </w:rPr>
              <w:t>Вероятни</w:t>
            </w:r>
            <w:r w:rsidR="00941AD9" w:rsidRPr="007B4A99">
              <w:rPr>
                <w:rFonts w:ascii="Times New Roman" w:hAnsi="Times New Roman" w:cs="Times New Roman"/>
                <w:b/>
                <w:sz w:val="18"/>
                <w:szCs w:val="18"/>
              </w:rPr>
              <w:t xml:space="preserve"> частични</w:t>
            </w:r>
            <w:r w:rsidRPr="007B4A99">
              <w:rPr>
                <w:rFonts w:ascii="Times New Roman" w:hAnsi="Times New Roman" w:cs="Times New Roman"/>
                <w:b/>
                <w:sz w:val="18"/>
                <w:szCs w:val="18"/>
              </w:rPr>
              <w:t xml:space="preserve"> възможности </w:t>
            </w:r>
            <w:r w:rsidR="000B7AA5" w:rsidRPr="007B4A99">
              <w:rPr>
                <w:rFonts w:ascii="Times New Roman" w:hAnsi="Times New Roman" w:cs="Times New Roman"/>
                <w:b/>
                <w:sz w:val="18"/>
                <w:szCs w:val="18"/>
              </w:rPr>
              <w:t xml:space="preserve">за </w:t>
            </w:r>
            <w:r w:rsidR="00950802" w:rsidRPr="007B4A99">
              <w:rPr>
                <w:rFonts w:ascii="Times New Roman" w:hAnsi="Times New Roman" w:cs="Times New Roman"/>
                <w:b/>
                <w:sz w:val="18"/>
                <w:szCs w:val="18"/>
              </w:rPr>
              <w:t>въвеждането на устойчиви модели на потребление и производство за преминаване към по-щадящи околната среда работни процеси.</w:t>
            </w:r>
          </w:p>
        </w:tc>
      </w:tr>
      <w:tr w:rsidR="008205D6" w:rsidRPr="007B4A99" w14:paraId="4C11348D" w14:textId="77777777" w:rsidTr="00DD69D5">
        <w:tc>
          <w:tcPr>
            <w:tcW w:w="1560" w:type="dxa"/>
            <w:shd w:val="clear" w:color="auto" w:fill="DBDBDB" w:themeFill="accent3" w:themeFillTint="66"/>
            <w:vAlign w:val="center"/>
          </w:tcPr>
          <w:p w14:paraId="4ADCB582" w14:textId="1CDE750A" w:rsidR="008205D6" w:rsidRPr="007B4A99" w:rsidRDefault="008205D6" w:rsidP="008205D6">
            <w:pPr>
              <w:spacing w:before="120" w:after="120"/>
              <w:contextualSpacing/>
              <w:jc w:val="center"/>
              <w:rPr>
                <w:rFonts w:ascii="Times New Roman" w:hAnsi="Times New Roman" w:cs="Times New Roman"/>
                <w:b/>
                <w:i/>
                <w:sz w:val="20"/>
                <w:szCs w:val="20"/>
              </w:rPr>
            </w:pPr>
            <w:r w:rsidRPr="007B4A99">
              <w:rPr>
                <w:rFonts w:ascii="Times New Roman" w:hAnsi="Times New Roman" w:cs="Times New Roman"/>
                <w:b/>
                <w:i/>
                <w:sz w:val="20"/>
                <w:szCs w:val="20"/>
              </w:rPr>
              <w:t>Вариант 3:</w:t>
            </w:r>
            <w:r w:rsidRPr="007B4A99">
              <w:rPr>
                <w:sz w:val="20"/>
                <w:szCs w:val="20"/>
              </w:rPr>
              <w:t xml:space="preserve"> </w:t>
            </w:r>
            <w:r w:rsidRPr="007B4A99">
              <w:rPr>
                <w:rFonts w:ascii="Times New Roman" w:hAnsi="Times New Roman" w:cs="Times New Roman"/>
                <w:b/>
                <w:i/>
                <w:sz w:val="20"/>
                <w:szCs w:val="20"/>
              </w:rPr>
              <w:t>„Регулаторен - изцяло нов специален закон“</w:t>
            </w:r>
          </w:p>
        </w:tc>
        <w:tc>
          <w:tcPr>
            <w:tcW w:w="2551" w:type="dxa"/>
            <w:shd w:val="clear" w:color="auto" w:fill="DEEAF6" w:themeFill="accent1" w:themeFillTint="33"/>
          </w:tcPr>
          <w:p w14:paraId="102C1A1D" w14:textId="0C67D7B8" w:rsidR="008205D6" w:rsidRPr="007B4A99" w:rsidRDefault="008205D6" w:rsidP="009B365E">
            <w:pPr>
              <w:jc w:val="both"/>
              <w:rPr>
                <w:rFonts w:ascii="Times New Roman" w:hAnsi="Times New Roman" w:cs="Times New Roman"/>
                <w:b/>
                <w:sz w:val="18"/>
                <w:szCs w:val="18"/>
              </w:rPr>
            </w:pPr>
            <w:r w:rsidRPr="007B4A99">
              <w:rPr>
                <w:rFonts w:ascii="Times New Roman" w:hAnsi="Times New Roman" w:cs="Times New Roman"/>
                <w:b/>
                <w:sz w:val="18"/>
                <w:szCs w:val="18"/>
              </w:rPr>
              <w:t xml:space="preserve">1. </w:t>
            </w:r>
            <w:r w:rsidR="00AB2332">
              <w:rPr>
                <w:rFonts w:ascii="Times New Roman" w:hAnsi="Times New Roman" w:cs="Times New Roman"/>
                <w:b/>
                <w:sz w:val="18"/>
                <w:szCs w:val="18"/>
              </w:rPr>
              <w:t>Има ц</w:t>
            </w:r>
            <w:r w:rsidRPr="007B4A99">
              <w:rPr>
                <w:rFonts w:ascii="Times New Roman" w:hAnsi="Times New Roman" w:cs="Times New Roman"/>
                <w:b/>
                <w:sz w:val="18"/>
                <w:szCs w:val="18"/>
              </w:rPr>
              <w:t xml:space="preserve">ялостно положително влияние върху </w:t>
            </w:r>
            <w:r w:rsidR="00A44935">
              <w:rPr>
                <w:rFonts w:ascii="Times New Roman" w:hAnsi="Times New Roman" w:cs="Times New Roman"/>
                <w:b/>
                <w:sz w:val="18"/>
                <w:szCs w:val="18"/>
              </w:rPr>
              <w:t xml:space="preserve">конкуренцията, </w:t>
            </w:r>
            <w:r w:rsidR="00A44935" w:rsidRPr="00A44935">
              <w:rPr>
                <w:rFonts w:ascii="Times New Roman" w:hAnsi="Times New Roman" w:cs="Times New Roman"/>
                <w:b/>
                <w:sz w:val="18"/>
                <w:szCs w:val="18"/>
              </w:rPr>
              <w:t>увеличаване</w:t>
            </w:r>
            <w:r w:rsidR="00A44935">
              <w:rPr>
                <w:rFonts w:ascii="Times New Roman" w:hAnsi="Times New Roman" w:cs="Times New Roman"/>
                <w:b/>
                <w:sz w:val="18"/>
                <w:szCs w:val="18"/>
              </w:rPr>
              <w:t>то</w:t>
            </w:r>
            <w:r w:rsidR="00A44935" w:rsidRPr="00A44935">
              <w:rPr>
                <w:rFonts w:ascii="Times New Roman" w:hAnsi="Times New Roman" w:cs="Times New Roman"/>
                <w:b/>
                <w:sz w:val="18"/>
                <w:szCs w:val="18"/>
              </w:rPr>
              <w:t xml:space="preserve"> на  избора на потребителите</w:t>
            </w:r>
            <w:r w:rsidR="00A44935">
              <w:rPr>
                <w:rFonts w:ascii="Times New Roman" w:hAnsi="Times New Roman" w:cs="Times New Roman"/>
                <w:b/>
                <w:sz w:val="18"/>
                <w:szCs w:val="18"/>
              </w:rPr>
              <w:t xml:space="preserve"> и</w:t>
            </w:r>
            <w:r w:rsidR="00A44935" w:rsidRPr="00A44935">
              <w:rPr>
                <w:rFonts w:ascii="Times New Roman" w:hAnsi="Times New Roman" w:cs="Times New Roman"/>
                <w:b/>
                <w:sz w:val="18"/>
                <w:szCs w:val="18"/>
              </w:rPr>
              <w:t xml:space="preserve"> </w:t>
            </w:r>
            <w:r w:rsidR="00A44935">
              <w:rPr>
                <w:rFonts w:ascii="Times New Roman" w:hAnsi="Times New Roman" w:cs="Times New Roman"/>
                <w:b/>
                <w:sz w:val="18"/>
                <w:szCs w:val="18"/>
              </w:rPr>
              <w:t xml:space="preserve">постигане на </w:t>
            </w:r>
            <w:r w:rsidR="00A44935" w:rsidRPr="00A44935">
              <w:rPr>
                <w:rFonts w:ascii="Times New Roman" w:hAnsi="Times New Roman" w:cs="Times New Roman"/>
                <w:b/>
                <w:sz w:val="18"/>
                <w:szCs w:val="18"/>
              </w:rPr>
              <w:t xml:space="preserve">по-ниски цени </w:t>
            </w:r>
            <w:r w:rsidR="00A44935">
              <w:rPr>
                <w:rFonts w:ascii="Times New Roman" w:hAnsi="Times New Roman" w:cs="Times New Roman"/>
                <w:b/>
                <w:sz w:val="18"/>
                <w:szCs w:val="18"/>
              </w:rPr>
              <w:t xml:space="preserve">на основните </w:t>
            </w:r>
            <w:r w:rsidR="00A44935" w:rsidRPr="00A44935">
              <w:rPr>
                <w:rFonts w:ascii="Times New Roman" w:hAnsi="Times New Roman" w:cs="Times New Roman"/>
                <w:b/>
                <w:sz w:val="18"/>
                <w:szCs w:val="18"/>
              </w:rPr>
              <w:t xml:space="preserve">земеделски </w:t>
            </w:r>
            <w:r w:rsidR="00A44935" w:rsidRPr="00A44935">
              <w:rPr>
                <w:rFonts w:ascii="Times New Roman" w:hAnsi="Times New Roman" w:cs="Times New Roman"/>
                <w:b/>
                <w:sz w:val="18"/>
                <w:szCs w:val="18"/>
              </w:rPr>
              <w:lastRenderedPageBreak/>
              <w:t>продукти и храни</w:t>
            </w:r>
            <w:r w:rsidRPr="007B4A99">
              <w:rPr>
                <w:rFonts w:ascii="Times New Roman" w:hAnsi="Times New Roman" w:cs="Times New Roman"/>
                <w:b/>
                <w:sz w:val="18"/>
                <w:szCs w:val="18"/>
              </w:rPr>
              <w:t>;</w:t>
            </w:r>
          </w:p>
          <w:p w14:paraId="7C6E128B" w14:textId="07C91E10" w:rsidR="00A44935" w:rsidRPr="007B4A99" w:rsidRDefault="00A44935" w:rsidP="00A44935">
            <w:pPr>
              <w:jc w:val="both"/>
              <w:rPr>
                <w:b/>
              </w:rPr>
            </w:pPr>
            <w:r>
              <w:rPr>
                <w:rFonts w:ascii="Times New Roman" w:hAnsi="Times New Roman" w:cs="Times New Roman"/>
                <w:b/>
                <w:sz w:val="18"/>
                <w:szCs w:val="18"/>
              </w:rPr>
              <w:t>2</w:t>
            </w:r>
            <w:r w:rsidRPr="007B4A99">
              <w:rPr>
                <w:rFonts w:ascii="Times New Roman" w:hAnsi="Times New Roman" w:cs="Times New Roman"/>
                <w:b/>
                <w:sz w:val="18"/>
                <w:szCs w:val="18"/>
              </w:rPr>
              <w:t xml:space="preserve">. </w:t>
            </w:r>
            <w:r w:rsidRPr="00B83A67">
              <w:rPr>
                <w:rFonts w:ascii="Times New Roman" w:hAnsi="Times New Roman" w:cs="Times New Roman"/>
                <w:b/>
                <w:sz w:val="18"/>
                <w:szCs w:val="18"/>
              </w:rPr>
              <w:t xml:space="preserve">Допринася най-пълноценно за постигането на </w:t>
            </w:r>
            <w:r w:rsidR="001C549F" w:rsidRPr="00B83A67">
              <w:rPr>
                <w:rFonts w:ascii="Times New Roman" w:hAnsi="Times New Roman" w:cs="Times New Roman"/>
                <w:b/>
                <w:sz w:val="18"/>
                <w:szCs w:val="18"/>
              </w:rPr>
              <w:t xml:space="preserve">продоволствена </w:t>
            </w:r>
            <w:r w:rsidRPr="00B83A67">
              <w:rPr>
                <w:rFonts w:ascii="Times New Roman" w:hAnsi="Times New Roman" w:cs="Times New Roman"/>
                <w:b/>
                <w:sz w:val="18"/>
                <w:szCs w:val="18"/>
              </w:rPr>
              <w:t>сигурност и</w:t>
            </w:r>
            <w:r w:rsidR="00950802" w:rsidRPr="00B83A67">
              <w:rPr>
                <w:rFonts w:ascii="Times New Roman" w:hAnsi="Times New Roman" w:cs="Times New Roman"/>
                <w:b/>
                <w:sz w:val="18"/>
                <w:szCs w:val="18"/>
              </w:rPr>
              <w:t xml:space="preserve"> на устойчиво селско стопанство;</w:t>
            </w:r>
            <w:r w:rsidRPr="007B4A99">
              <w:t xml:space="preserve"> </w:t>
            </w:r>
          </w:p>
          <w:p w14:paraId="4662DCE2" w14:textId="27BF4886" w:rsidR="008205D6" w:rsidRPr="007B4A99" w:rsidRDefault="00A44935" w:rsidP="00A44935">
            <w:pPr>
              <w:jc w:val="both"/>
              <w:rPr>
                <w:rFonts w:ascii="Times New Roman" w:hAnsi="Times New Roman" w:cs="Times New Roman"/>
                <w:b/>
                <w:i/>
                <w:color w:val="FF0000"/>
                <w:sz w:val="16"/>
                <w:szCs w:val="16"/>
              </w:rPr>
            </w:pPr>
            <w:r>
              <w:rPr>
                <w:rFonts w:ascii="Times New Roman" w:hAnsi="Times New Roman" w:cs="Times New Roman"/>
                <w:b/>
                <w:sz w:val="18"/>
                <w:szCs w:val="18"/>
              </w:rPr>
              <w:t>3</w:t>
            </w:r>
            <w:r w:rsidR="008205D6" w:rsidRPr="007B4A99">
              <w:rPr>
                <w:rFonts w:ascii="Times New Roman" w:hAnsi="Times New Roman" w:cs="Times New Roman"/>
                <w:b/>
                <w:sz w:val="18"/>
                <w:szCs w:val="18"/>
              </w:rPr>
              <w:t xml:space="preserve">. Насърчава </w:t>
            </w:r>
            <w:r>
              <w:rPr>
                <w:rFonts w:ascii="Times New Roman" w:hAnsi="Times New Roman" w:cs="Times New Roman"/>
                <w:b/>
                <w:sz w:val="18"/>
                <w:szCs w:val="18"/>
              </w:rPr>
              <w:t>реална</w:t>
            </w:r>
            <w:r w:rsidRPr="00A44935">
              <w:rPr>
                <w:rFonts w:ascii="Times New Roman" w:hAnsi="Times New Roman" w:cs="Times New Roman"/>
                <w:b/>
                <w:sz w:val="18"/>
                <w:szCs w:val="18"/>
              </w:rPr>
              <w:t xml:space="preserve"> конкурентна среда, правна сигурност, равнопоставеност в отношенията по веригата и пропорционалност при разпределениет</w:t>
            </w:r>
            <w:r>
              <w:rPr>
                <w:rFonts w:ascii="Times New Roman" w:hAnsi="Times New Roman" w:cs="Times New Roman"/>
                <w:b/>
                <w:sz w:val="18"/>
                <w:szCs w:val="18"/>
              </w:rPr>
              <w:t>о на добавената стойност по нея.</w:t>
            </w:r>
          </w:p>
        </w:tc>
        <w:tc>
          <w:tcPr>
            <w:tcW w:w="2410" w:type="dxa"/>
            <w:shd w:val="clear" w:color="auto" w:fill="BDD6EE" w:themeFill="accent1" w:themeFillTint="66"/>
            <w:vAlign w:val="center"/>
          </w:tcPr>
          <w:p w14:paraId="59C09780" w14:textId="0850F081" w:rsidR="008205D6" w:rsidRPr="007B4A99" w:rsidRDefault="008205D6" w:rsidP="009B365E">
            <w:pPr>
              <w:spacing w:line="276" w:lineRule="auto"/>
              <w:jc w:val="both"/>
              <w:rPr>
                <w:rFonts w:ascii="Times New Roman" w:hAnsi="Times New Roman" w:cs="Times New Roman"/>
                <w:b/>
                <w:sz w:val="18"/>
                <w:szCs w:val="18"/>
              </w:rPr>
            </w:pPr>
            <w:r w:rsidRPr="007B4A99">
              <w:rPr>
                <w:rFonts w:ascii="Times New Roman" w:hAnsi="Times New Roman" w:cs="Times New Roman"/>
                <w:b/>
                <w:sz w:val="18"/>
                <w:szCs w:val="18"/>
              </w:rPr>
              <w:lastRenderedPageBreak/>
              <w:t>1. Оптимално допринася за осигуряване на</w:t>
            </w:r>
            <w:r w:rsidR="00097843">
              <w:rPr>
                <w:rFonts w:ascii="Times New Roman" w:hAnsi="Times New Roman" w:cs="Times New Roman"/>
                <w:b/>
                <w:sz w:val="18"/>
                <w:szCs w:val="18"/>
              </w:rPr>
              <w:t xml:space="preserve"> общественото </w:t>
            </w:r>
            <w:r w:rsidR="00097843" w:rsidRPr="00097843">
              <w:rPr>
                <w:rFonts w:ascii="Times New Roman" w:hAnsi="Times New Roman" w:cs="Times New Roman"/>
                <w:b/>
                <w:sz w:val="18"/>
                <w:szCs w:val="18"/>
              </w:rPr>
              <w:t>здраве,</w:t>
            </w:r>
            <w:r w:rsidR="00097843">
              <w:rPr>
                <w:rFonts w:ascii="Times New Roman" w:hAnsi="Times New Roman" w:cs="Times New Roman"/>
                <w:b/>
                <w:sz w:val="18"/>
                <w:szCs w:val="18"/>
              </w:rPr>
              <w:t xml:space="preserve"> като гарантира</w:t>
            </w:r>
            <w:r w:rsidR="007E3C03">
              <w:rPr>
                <w:rFonts w:ascii="Times New Roman" w:hAnsi="Times New Roman" w:cs="Times New Roman"/>
                <w:b/>
                <w:sz w:val="18"/>
                <w:szCs w:val="18"/>
              </w:rPr>
              <w:t xml:space="preserve"> </w:t>
            </w:r>
            <w:r w:rsidR="00097843">
              <w:rPr>
                <w:rFonts w:ascii="Times New Roman" w:hAnsi="Times New Roman" w:cs="Times New Roman"/>
                <w:b/>
                <w:sz w:val="18"/>
                <w:szCs w:val="18"/>
              </w:rPr>
              <w:t>най-пълно</w:t>
            </w:r>
            <w:r w:rsidR="00097843" w:rsidRPr="00097843">
              <w:rPr>
                <w:rFonts w:ascii="Times New Roman" w:hAnsi="Times New Roman" w:cs="Times New Roman"/>
                <w:b/>
                <w:sz w:val="18"/>
                <w:szCs w:val="18"/>
              </w:rPr>
              <w:t xml:space="preserve"> </w:t>
            </w:r>
            <w:r w:rsidR="00097843">
              <w:rPr>
                <w:rFonts w:ascii="Times New Roman" w:hAnsi="Times New Roman" w:cs="Times New Roman"/>
                <w:b/>
                <w:sz w:val="18"/>
                <w:szCs w:val="18"/>
              </w:rPr>
              <w:t xml:space="preserve">доставката на </w:t>
            </w:r>
            <w:r w:rsidR="00097843" w:rsidRPr="00097843">
              <w:rPr>
                <w:rFonts w:ascii="Times New Roman" w:hAnsi="Times New Roman" w:cs="Times New Roman"/>
                <w:b/>
                <w:sz w:val="18"/>
                <w:szCs w:val="18"/>
              </w:rPr>
              <w:t>достатъчно висококачествени и безопасни храни</w:t>
            </w:r>
            <w:r w:rsidRPr="007B4A99">
              <w:rPr>
                <w:rFonts w:ascii="Times New Roman" w:hAnsi="Times New Roman" w:cs="Times New Roman"/>
                <w:b/>
                <w:sz w:val="18"/>
                <w:szCs w:val="18"/>
              </w:rPr>
              <w:t>;</w:t>
            </w:r>
          </w:p>
          <w:p w14:paraId="4C80FBB1" w14:textId="1A883F78" w:rsidR="008205D6" w:rsidRPr="007B4A99" w:rsidRDefault="008205D6" w:rsidP="009B365E">
            <w:pPr>
              <w:spacing w:line="276" w:lineRule="auto"/>
              <w:jc w:val="both"/>
              <w:rPr>
                <w:rFonts w:ascii="Times New Roman" w:hAnsi="Times New Roman" w:cs="Times New Roman"/>
                <w:b/>
                <w:sz w:val="18"/>
                <w:szCs w:val="18"/>
              </w:rPr>
            </w:pPr>
            <w:r w:rsidRPr="007B4A99">
              <w:rPr>
                <w:rFonts w:ascii="Times New Roman" w:hAnsi="Times New Roman" w:cs="Times New Roman"/>
                <w:b/>
                <w:sz w:val="18"/>
                <w:szCs w:val="18"/>
              </w:rPr>
              <w:lastRenderedPageBreak/>
              <w:t xml:space="preserve">2. Води до </w:t>
            </w:r>
            <w:r w:rsidR="007E3C03">
              <w:rPr>
                <w:rFonts w:ascii="Times New Roman" w:hAnsi="Times New Roman" w:cs="Times New Roman"/>
                <w:b/>
                <w:sz w:val="18"/>
                <w:szCs w:val="18"/>
              </w:rPr>
              <w:t>подобряване</w:t>
            </w:r>
            <w:r w:rsidR="00AB2332">
              <w:rPr>
                <w:rFonts w:ascii="Times New Roman" w:hAnsi="Times New Roman" w:cs="Times New Roman"/>
                <w:b/>
                <w:sz w:val="18"/>
                <w:szCs w:val="18"/>
              </w:rPr>
              <w:t xml:space="preserve"> благосъстоянието н</w:t>
            </w:r>
            <w:r w:rsidRPr="007B4A99">
              <w:rPr>
                <w:rFonts w:ascii="Times New Roman" w:hAnsi="Times New Roman" w:cs="Times New Roman"/>
                <w:b/>
                <w:sz w:val="18"/>
                <w:szCs w:val="18"/>
              </w:rPr>
              <w:t>а възраст</w:t>
            </w:r>
            <w:r w:rsidR="00AB2332">
              <w:rPr>
                <w:rFonts w:ascii="Times New Roman" w:hAnsi="Times New Roman" w:cs="Times New Roman"/>
                <w:b/>
                <w:sz w:val="18"/>
                <w:szCs w:val="18"/>
              </w:rPr>
              <w:t>ните хора</w:t>
            </w:r>
            <w:r w:rsidR="00950802">
              <w:rPr>
                <w:rFonts w:ascii="Times New Roman" w:hAnsi="Times New Roman" w:cs="Times New Roman"/>
                <w:b/>
                <w:sz w:val="18"/>
                <w:szCs w:val="18"/>
              </w:rPr>
              <w:t xml:space="preserve"> и другите</w:t>
            </w:r>
            <w:r w:rsidR="00AB2332">
              <w:rPr>
                <w:rFonts w:ascii="Times New Roman" w:hAnsi="Times New Roman" w:cs="Times New Roman"/>
                <w:b/>
                <w:sz w:val="18"/>
                <w:szCs w:val="18"/>
              </w:rPr>
              <w:t xml:space="preserve"> социално уязвимите групи от обществото, поради </w:t>
            </w:r>
            <w:r w:rsidR="007E3C03">
              <w:rPr>
                <w:rFonts w:ascii="Times New Roman" w:hAnsi="Times New Roman" w:cs="Times New Roman"/>
                <w:b/>
                <w:sz w:val="18"/>
                <w:szCs w:val="18"/>
              </w:rPr>
              <w:t xml:space="preserve">реален </w:t>
            </w:r>
            <w:r w:rsidR="00AB2332">
              <w:rPr>
                <w:rFonts w:ascii="Times New Roman" w:hAnsi="Times New Roman" w:cs="Times New Roman"/>
                <w:b/>
                <w:sz w:val="18"/>
                <w:szCs w:val="18"/>
              </w:rPr>
              <w:t>потенциал за постигане на по-ниски цени на основните земеделски и хранителни продукти</w:t>
            </w:r>
            <w:r w:rsidRPr="007B4A99">
              <w:rPr>
                <w:rFonts w:ascii="Times New Roman" w:hAnsi="Times New Roman" w:cs="Times New Roman"/>
                <w:b/>
                <w:sz w:val="18"/>
                <w:szCs w:val="18"/>
              </w:rPr>
              <w:t>;</w:t>
            </w:r>
          </w:p>
          <w:p w14:paraId="0B448840" w14:textId="5B7AD2C2" w:rsidR="008205D6" w:rsidRPr="007B4A99" w:rsidRDefault="008205D6" w:rsidP="007E3C03">
            <w:pPr>
              <w:spacing w:line="276" w:lineRule="auto"/>
              <w:jc w:val="both"/>
              <w:rPr>
                <w:rFonts w:ascii="Times New Roman" w:hAnsi="Times New Roman" w:cs="Times New Roman"/>
                <w:b/>
                <w:sz w:val="18"/>
                <w:szCs w:val="18"/>
              </w:rPr>
            </w:pPr>
            <w:r w:rsidRPr="007B4A99">
              <w:rPr>
                <w:rFonts w:ascii="Times New Roman" w:hAnsi="Times New Roman" w:cs="Times New Roman"/>
                <w:b/>
                <w:sz w:val="18"/>
                <w:szCs w:val="18"/>
              </w:rPr>
              <w:t xml:space="preserve">3. </w:t>
            </w:r>
            <w:r w:rsidR="00097843">
              <w:rPr>
                <w:rFonts w:ascii="Times New Roman" w:hAnsi="Times New Roman" w:cs="Times New Roman"/>
                <w:b/>
                <w:sz w:val="18"/>
                <w:szCs w:val="18"/>
              </w:rPr>
              <w:t xml:space="preserve">Гарантира най-ефективно </w:t>
            </w:r>
            <w:r w:rsidR="00A44935" w:rsidRPr="00A44935">
              <w:rPr>
                <w:rFonts w:ascii="Times New Roman" w:hAnsi="Times New Roman" w:cs="Times New Roman"/>
                <w:b/>
                <w:sz w:val="18"/>
                <w:szCs w:val="18"/>
              </w:rPr>
              <w:t xml:space="preserve">продоволствената сигурност, т.к. </w:t>
            </w:r>
            <w:r w:rsidR="00097843">
              <w:rPr>
                <w:rFonts w:ascii="Times New Roman" w:hAnsi="Times New Roman" w:cs="Times New Roman"/>
                <w:b/>
                <w:sz w:val="18"/>
                <w:szCs w:val="18"/>
              </w:rPr>
              <w:t>води</w:t>
            </w:r>
            <w:r w:rsidR="00A44935" w:rsidRPr="00A44935">
              <w:rPr>
                <w:rFonts w:ascii="Times New Roman" w:hAnsi="Times New Roman" w:cs="Times New Roman"/>
                <w:b/>
                <w:sz w:val="18"/>
                <w:szCs w:val="18"/>
              </w:rPr>
              <w:t xml:space="preserve"> до </w:t>
            </w:r>
            <w:r w:rsidR="00097843">
              <w:rPr>
                <w:rFonts w:ascii="Times New Roman" w:hAnsi="Times New Roman" w:cs="Times New Roman"/>
                <w:b/>
                <w:sz w:val="18"/>
                <w:szCs w:val="18"/>
              </w:rPr>
              <w:t>най-</w:t>
            </w:r>
            <w:r w:rsidR="00A44935" w:rsidRPr="00A44935">
              <w:rPr>
                <w:rFonts w:ascii="Times New Roman" w:hAnsi="Times New Roman" w:cs="Times New Roman"/>
                <w:b/>
                <w:sz w:val="18"/>
                <w:szCs w:val="18"/>
              </w:rPr>
              <w:t>пълноценно</w:t>
            </w:r>
            <w:r w:rsidR="00417139">
              <w:rPr>
                <w:rFonts w:ascii="Times New Roman" w:hAnsi="Times New Roman" w:cs="Times New Roman"/>
                <w:b/>
                <w:sz w:val="18"/>
                <w:szCs w:val="18"/>
              </w:rPr>
              <w:t xml:space="preserve"> </w:t>
            </w:r>
            <w:r w:rsidR="00A44935" w:rsidRPr="00A44935">
              <w:rPr>
                <w:rFonts w:ascii="Times New Roman" w:hAnsi="Times New Roman" w:cs="Times New Roman"/>
                <w:b/>
                <w:sz w:val="18"/>
                <w:szCs w:val="18"/>
              </w:rPr>
              <w:t>функциониране на веригата на доставка на храни и земеделска продукция</w:t>
            </w:r>
            <w:r w:rsidRPr="007B4A99">
              <w:rPr>
                <w:rFonts w:ascii="Times New Roman" w:hAnsi="Times New Roman" w:cs="Times New Roman"/>
                <w:b/>
                <w:sz w:val="18"/>
                <w:szCs w:val="18"/>
              </w:rPr>
              <w:t xml:space="preserve">. </w:t>
            </w:r>
          </w:p>
        </w:tc>
        <w:tc>
          <w:tcPr>
            <w:tcW w:w="2551" w:type="dxa"/>
            <w:shd w:val="clear" w:color="auto" w:fill="9CC2E5" w:themeFill="accent1" w:themeFillTint="99"/>
          </w:tcPr>
          <w:p w14:paraId="5F2BB5A5" w14:textId="642C32C6" w:rsidR="008205D6" w:rsidRPr="007B4A99" w:rsidRDefault="008205D6" w:rsidP="00B81457">
            <w:pPr>
              <w:jc w:val="both"/>
              <w:rPr>
                <w:rFonts w:ascii="Times New Roman" w:hAnsi="Times New Roman" w:cs="Times New Roman"/>
                <w:b/>
                <w:sz w:val="18"/>
                <w:szCs w:val="18"/>
              </w:rPr>
            </w:pPr>
            <w:r w:rsidRPr="007B4A99">
              <w:rPr>
                <w:rFonts w:ascii="Times New Roman" w:hAnsi="Times New Roman" w:cs="Times New Roman"/>
                <w:b/>
                <w:sz w:val="18"/>
                <w:szCs w:val="18"/>
              </w:rPr>
              <w:lastRenderedPageBreak/>
              <w:t xml:space="preserve">1. Спомага оптимално за </w:t>
            </w:r>
            <w:r w:rsidR="00B81457">
              <w:rPr>
                <w:rFonts w:ascii="Times New Roman" w:hAnsi="Times New Roman" w:cs="Times New Roman"/>
                <w:b/>
                <w:sz w:val="18"/>
                <w:szCs w:val="18"/>
              </w:rPr>
              <w:t xml:space="preserve">нивото на подготвеност </w:t>
            </w:r>
            <w:r w:rsidR="00B81457" w:rsidRPr="00B81457">
              <w:rPr>
                <w:rFonts w:ascii="Times New Roman" w:hAnsi="Times New Roman" w:cs="Times New Roman"/>
                <w:b/>
                <w:sz w:val="18"/>
                <w:szCs w:val="18"/>
              </w:rPr>
              <w:t>за посрещане на евентуални негативни ефекти</w:t>
            </w:r>
            <w:r w:rsidR="00B81457">
              <w:rPr>
                <w:rFonts w:ascii="Times New Roman" w:hAnsi="Times New Roman" w:cs="Times New Roman"/>
                <w:b/>
                <w:sz w:val="18"/>
                <w:szCs w:val="18"/>
              </w:rPr>
              <w:t xml:space="preserve"> от настъпването на</w:t>
            </w:r>
            <w:r w:rsidRPr="007B4A99">
              <w:rPr>
                <w:rFonts w:ascii="Times New Roman" w:hAnsi="Times New Roman" w:cs="Times New Roman"/>
                <w:b/>
                <w:sz w:val="18"/>
                <w:szCs w:val="18"/>
              </w:rPr>
              <w:t xml:space="preserve"> климатични промени</w:t>
            </w:r>
            <w:r w:rsidR="00B81457">
              <w:rPr>
                <w:rFonts w:ascii="Times New Roman" w:hAnsi="Times New Roman" w:cs="Times New Roman"/>
                <w:b/>
                <w:sz w:val="18"/>
                <w:szCs w:val="18"/>
              </w:rPr>
              <w:t>.</w:t>
            </w:r>
            <w:r w:rsidRPr="007B4A99">
              <w:rPr>
                <w:rFonts w:ascii="Times New Roman" w:hAnsi="Times New Roman" w:cs="Times New Roman"/>
                <w:b/>
                <w:sz w:val="18"/>
                <w:szCs w:val="18"/>
              </w:rPr>
              <w:t xml:space="preserve"> </w:t>
            </w:r>
          </w:p>
          <w:p w14:paraId="2AE47633" w14:textId="77777777" w:rsidR="008205D6" w:rsidRDefault="008205D6" w:rsidP="009B365E">
            <w:pPr>
              <w:jc w:val="both"/>
              <w:rPr>
                <w:rFonts w:ascii="Times New Roman" w:hAnsi="Times New Roman" w:cs="Times New Roman"/>
                <w:b/>
                <w:sz w:val="18"/>
                <w:szCs w:val="18"/>
              </w:rPr>
            </w:pPr>
          </w:p>
          <w:p w14:paraId="757CDC0F" w14:textId="7A6A08D0" w:rsidR="00B81457" w:rsidRDefault="008205D6" w:rsidP="009B365E">
            <w:pPr>
              <w:jc w:val="both"/>
              <w:rPr>
                <w:rFonts w:ascii="Times New Roman" w:hAnsi="Times New Roman" w:cs="Times New Roman"/>
                <w:b/>
                <w:sz w:val="18"/>
                <w:szCs w:val="18"/>
              </w:rPr>
            </w:pPr>
            <w:r w:rsidRPr="007B4A99">
              <w:rPr>
                <w:rFonts w:ascii="Times New Roman" w:hAnsi="Times New Roman" w:cs="Times New Roman"/>
                <w:b/>
                <w:sz w:val="18"/>
                <w:szCs w:val="18"/>
              </w:rPr>
              <w:lastRenderedPageBreak/>
              <w:t xml:space="preserve">2. </w:t>
            </w:r>
            <w:r w:rsidR="00950802">
              <w:rPr>
                <w:rFonts w:ascii="Times New Roman" w:hAnsi="Times New Roman" w:cs="Times New Roman"/>
                <w:b/>
                <w:sz w:val="18"/>
                <w:szCs w:val="18"/>
              </w:rPr>
              <w:t>И</w:t>
            </w:r>
            <w:r w:rsidR="00B81457" w:rsidRPr="00B81457">
              <w:rPr>
                <w:rFonts w:ascii="Times New Roman" w:hAnsi="Times New Roman" w:cs="Times New Roman"/>
                <w:b/>
                <w:sz w:val="18"/>
                <w:szCs w:val="18"/>
              </w:rPr>
              <w:t xml:space="preserve">ма най-голям потенциал за </w:t>
            </w:r>
            <w:r w:rsidR="00B81457">
              <w:rPr>
                <w:rFonts w:ascii="Times New Roman" w:hAnsi="Times New Roman" w:cs="Times New Roman"/>
                <w:b/>
                <w:sz w:val="18"/>
                <w:szCs w:val="18"/>
              </w:rPr>
              <w:t xml:space="preserve">намаляване на текущото </w:t>
            </w:r>
            <w:r w:rsidR="00B81457" w:rsidRPr="00B81457">
              <w:rPr>
                <w:rFonts w:ascii="Times New Roman" w:hAnsi="Times New Roman" w:cs="Times New Roman"/>
                <w:b/>
                <w:sz w:val="18"/>
                <w:szCs w:val="18"/>
              </w:rPr>
              <w:t>ниво на образуване на отпадъци</w:t>
            </w:r>
            <w:r w:rsidR="00B81457">
              <w:rPr>
                <w:rFonts w:ascii="Times New Roman" w:hAnsi="Times New Roman" w:cs="Times New Roman"/>
                <w:b/>
                <w:sz w:val="18"/>
                <w:szCs w:val="18"/>
              </w:rPr>
              <w:t xml:space="preserve">, поради възможностите за </w:t>
            </w:r>
            <w:r w:rsidR="00B81457" w:rsidRPr="00B81457">
              <w:rPr>
                <w:rFonts w:ascii="Times New Roman" w:hAnsi="Times New Roman" w:cs="Times New Roman"/>
                <w:b/>
                <w:sz w:val="18"/>
                <w:szCs w:val="18"/>
              </w:rPr>
              <w:t>увеличаване обемите на реализация на произведени храни и друга земеделска продукция</w:t>
            </w:r>
            <w:r w:rsidR="00B81457">
              <w:rPr>
                <w:rFonts w:ascii="Times New Roman" w:hAnsi="Times New Roman" w:cs="Times New Roman"/>
                <w:b/>
                <w:sz w:val="18"/>
                <w:szCs w:val="18"/>
              </w:rPr>
              <w:t>;</w:t>
            </w:r>
          </w:p>
          <w:p w14:paraId="5D974124" w14:textId="77777777" w:rsidR="008205D6" w:rsidRPr="007B4A99" w:rsidRDefault="008205D6" w:rsidP="009B365E">
            <w:pPr>
              <w:jc w:val="both"/>
              <w:rPr>
                <w:rFonts w:ascii="Times New Roman" w:hAnsi="Times New Roman" w:cs="Times New Roman"/>
                <w:b/>
                <w:i/>
                <w:sz w:val="18"/>
                <w:szCs w:val="18"/>
              </w:rPr>
            </w:pPr>
            <w:r w:rsidRPr="007B4A99">
              <w:rPr>
                <w:rFonts w:ascii="Times New Roman" w:hAnsi="Times New Roman" w:cs="Times New Roman"/>
                <w:b/>
                <w:sz w:val="18"/>
                <w:szCs w:val="18"/>
              </w:rPr>
              <w:t>3. Предлага най-голям потенциал за въвеждането на устойчиви модели на потребление и производство за преминаване към по-щадящи околната среда работни процеси.</w:t>
            </w:r>
          </w:p>
          <w:p w14:paraId="0EAADDF2" w14:textId="77777777" w:rsidR="008205D6" w:rsidRPr="007B4A99" w:rsidRDefault="008205D6" w:rsidP="009B365E">
            <w:pPr>
              <w:jc w:val="both"/>
              <w:rPr>
                <w:rFonts w:ascii="Times New Roman" w:hAnsi="Times New Roman" w:cs="Times New Roman"/>
                <w:b/>
                <w:i/>
                <w:sz w:val="16"/>
                <w:szCs w:val="16"/>
              </w:rPr>
            </w:pPr>
          </w:p>
        </w:tc>
      </w:tr>
    </w:tbl>
    <w:p w14:paraId="455E5742" w14:textId="77777777" w:rsidR="00747C8B" w:rsidRDefault="00747C8B" w:rsidP="00C77099">
      <w:pPr>
        <w:pStyle w:val="7878"/>
      </w:pPr>
    </w:p>
    <w:p w14:paraId="4F4645A2" w14:textId="77777777" w:rsidR="00CC651D" w:rsidRPr="007B4A99" w:rsidRDefault="00CC651D" w:rsidP="008D0E15">
      <w:pPr>
        <w:pStyle w:val="Heading2"/>
        <w:numPr>
          <w:ilvl w:val="1"/>
          <w:numId w:val="1"/>
        </w:numPr>
        <w:tabs>
          <w:tab w:val="left" w:pos="900"/>
        </w:tabs>
        <w:ind w:left="360" w:firstLine="0"/>
        <w:rPr>
          <w:rFonts w:ascii="Times New Roman" w:hAnsi="Times New Roman"/>
        </w:rPr>
      </w:pPr>
      <w:bookmarkStart w:id="19" w:name="_Toc198633086"/>
      <w:r w:rsidRPr="007B4A99">
        <w:rPr>
          <w:rFonts w:ascii="Times New Roman" w:hAnsi="Times New Roman"/>
        </w:rPr>
        <w:t>Качествена оценка на по-значимите въздействия и специфичните им аспекти</w:t>
      </w:r>
      <w:bookmarkEnd w:id="19"/>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376BFB" w:rsidRPr="007B4A99" w14:paraId="2DB05D1E" w14:textId="77777777" w:rsidTr="00DD69D5">
        <w:tc>
          <w:tcPr>
            <w:tcW w:w="9062" w:type="dxa"/>
          </w:tcPr>
          <w:p w14:paraId="55EA3CB4" w14:textId="77777777" w:rsidR="00376BFB" w:rsidRPr="007B4A99" w:rsidRDefault="00376BFB" w:rsidP="00376BFB">
            <w:pPr>
              <w:pStyle w:val="7878"/>
              <w:ind w:left="0"/>
              <w:rPr>
                <w:rFonts w:ascii="Times New Roman" w:hAnsi="Times New Roman"/>
              </w:rPr>
            </w:pPr>
            <w:r w:rsidRPr="007B4A99">
              <w:rPr>
                <w:rFonts w:ascii="Times New Roman" w:hAnsi="Times New Roman"/>
              </w:rPr>
              <w:t xml:space="preserve">[Втората фаза от анализа на въздействията включва определяне на по-значимите въздействия и </w:t>
            </w:r>
            <w:r w:rsidRPr="007B4A99">
              <w:rPr>
                <w:rFonts w:ascii="Times New Roman" w:hAnsi="Times New Roman"/>
                <w:b/>
              </w:rPr>
              <w:t>е предимно качествена</w:t>
            </w:r>
            <w:r w:rsidRPr="007B4A99">
              <w:rPr>
                <w:rFonts w:ascii="Times New Roman" w:hAnsi="Times New Roman"/>
              </w:rPr>
              <w:t>. При нея следва да се определят и кои специфични аспекти на въздействията ще се проявят. В рамките на тази стъпка е необходимо:</w:t>
            </w:r>
          </w:p>
          <w:p w14:paraId="1627B1F7" w14:textId="77777777" w:rsidR="00376BFB" w:rsidRPr="007B4A99" w:rsidRDefault="00376BFB" w:rsidP="00376BFB">
            <w:pPr>
              <w:pStyle w:val="7878"/>
              <w:ind w:left="0"/>
              <w:rPr>
                <w:rFonts w:ascii="Times New Roman" w:hAnsi="Times New Roman"/>
              </w:rPr>
            </w:pPr>
            <w:r w:rsidRPr="007B4A99">
              <w:rPr>
                <w:rFonts w:ascii="Times New Roman" w:hAnsi="Times New Roman"/>
              </w:rPr>
              <w:t>1. да се идентифицират областите, в които предлаганото действие трябва да доведе до ползи, както и областите, където то може да доведе до преки разходи или непредвидени отрицателни въздействия</w:t>
            </w:r>
          </w:p>
          <w:p w14:paraId="0BE30BC7" w14:textId="77777777" w:rsidR="00376BFB" w:rsidRPr="007B4A99" w:rsidRDefault="00376BFB" w:rsidP="00376BFB">
            <w:pPr>
              <w:pStyle w:val="7878"/>
              <w:ind w:left="0"/>
              <w:rPr>
                <w:rFonts w:ascii="Times New Roman" w:hAnsi="Times New Roman"/>
              </w:rPr>
            </w:pPr>
            <w:r w:rsidRPr="007B4A99">
              <w:rPr>
                <w:rFonts w:ascii="Times New Roman" w:hAnsi="Times New Roman"/>
              </w:rPr>
              <w:t>2. да се установи скалата с ниска, средна или висока вероятност въздействието да се прояви, включително чрез извеждането на предположения относно факторите, които са извън контрола на лицата управляващи интервенцията , които могат да повлияят на тези вероятности</w:t>
            </w:r>
          </w:p>
          <w:p w14:paraId="204789DE" w14:textId="77777777" w:rsidR="00376BFB" w:rsidRPr="007B4A99" w:rsidRDefault="00376BFB" w:rsidP="00376BFB">
            <w:pPr>
              <w:pStyle w:val="7878"/>
              <w:ind w:left="0"/>
              <w:rPr>
                <w:rFonts w:ascii="Times New Roman" w:hAnsi="Times New Roman"/>
              </w:rPr>
            </w:pPr>
            <w:r w:rsidRPr="007B4A99">
              <w:rPr>
                <w:rFonts w:ascii="Times New Roman" w:hAnsi="Times New Roman"/>
              </w:rPr>
              <w:t>3. да се оценят и прогнозират величините на всяко въздействие чрез представяне на конкретни стойности или диапазони като се вземе предвид влиянието на интервенцията върху поведението на адресатите в социално-икономически и екологичен контекст</w:t>
            </w:r>
          </w:p>
          <w:p w14:paraId="7380C271" w14:textId="77777777" w:rsidR="00376BFB" w:rsidRPr="007B4A99" w:rsidRDefault="00376BFB" w:rsidP="00376BFB">
            <w:pPr>
              <w:pStyle w:val="7878"/>
              <w:ind w:left="0"/>
              <w:rPr>
                <w:rFonts w:ascii="Times New Roman" w:hAnsi="Times New Roman"/>
              </w:rPr>
            </w:pPr>
            <w:r w:rsidRPr="007B4A99">
              <w:rPr>
                <w:rFonts w:ascii="Times New Roman" w:hAnsi="Times New Roman"/>
              </w:rPr>
              <w:t>4. да се оцени значението на въздействията въз основа на двата предходни елемента (Ръководство, РМС № 728 от 2019 г., стр. 36).]</w:t>
            </w:r>
          </w:p>
        </w:tc>
      </w:tr>
    </w:tbl>
    <w:p w14:paraId="78A53A31" w14:textId="41D799CA" w:rsidR="008205D6" w:rsidRPr="007B4A99" w:rsidRDefault="00BE417F" w:rsidP="00231027">
      <w:pPr>
        <w:spacing w:after="0" w:line="240" w:lineRule="auto"/>
        <w:jc w:val="center"/>
        <w:rPr>
          <w:rFonts w:ascii="Times New Roman" w:hAnsi="Times New Roman" w:cs="Times New Roman"/>
          <w:b/>
          <w:color w:val="000000" w:themeColor="text1"/>
          <w:sz w:val="24"/>
          <w:szCs w:val="24"/>
        </w:rPr>
      </w:pPr>
      <w:r w:rsidRPr="007B4A99">
        <w:rPr>
          <w:rFonts w:ascii="Times New Roman" w:hAnsi="Times New Roman"/>
        </w:rPr>
        <w:cr/>
      </w:r>
    </w:p>
    <w:p w14:paraId="22D3F028" w14:textId="79E5DD4D" w:rsidR="00D2457F" w:rsidRPr="007B4A99" w:rsidRDefault="00BE22FB" w:rsidP="00375498">
      <w:pPr>
        <w:spacing w:after="0"/>
        <w:jc w:val="both"/>
        <w:rPr>
          <w:b/>
          <w:color w:val="1F4E79" w:themeColor="accent1" w:themeShade="80"/>
        </w:rPr>
      </w:pPr>
      <w:r w:rsidRPr="007B4A99">
        <w:rPr>
          <w:rFonts w:ascii="Times New Roman" w:hAnsi="Times New Roman"/>
          <w:b/>
          <w:color w:val="1F4E79" w:themeColor="accent1" w:themeShade="80"/>
          <w:sz w:val="24"/>
          <w:szCs w:val="24"/>
        </w:rPr>
        <w:t xml:space="preserve">Качествена </w:t>
      </w:r>
      <w:r w:rsidR="00D2457F" w:rsidRPr="007B4A99">
        <w:rPr>
          <w:rFonts w:ascii="Times New Roman" w:hAnsi="Times New Roman"/>
          <w:b/>
          <w:color w:val="1F4E79" w:themeColor="accent1" w:themeShade="80"/>
          <w:sz w:val="24"/>
          <w:szCs w:val="24"/>
        </w:rPr>
        <w:t>оценка на по-значимите въздействия и специфичните им асп</w:t>
      </w:r>
      <w:r w:rsidRPr="007B4A99">
        <w:rPr>
          <w:rFonts w:ascii="Times New Roman" w:hAnsi="Times New Roman"/>
          <w:b/>
          <w:color w:val="1F4E79" w:themeColor="accent1" w:themeShade="80"/>
          <w:sz w:val="24"/>
          <w:szCs w:val="24"/>
        </w:rPr>
        <w:t>екти при решаването на проблема</w:t>
      </w:r>
      <w:r w:rsidR="00375498" w:rsidRPr="007B4A99">
        <w:rPr>
          <w:rFonts w:ascii="Times New Roman" w:hAnsi="Times New Roman"/>
          <w:b/>
          <w:color w:val="1F4E79" w:themeColor="accent1" w:themeShade="80"/>
          <w:sz w:val="24"/>
          <w:szCs w:val="24"/>
        </w:rPr>
        <w:t>:</w:t>
      </w:r>
    </w:p>
    <w:p w14:paraId="289BA5CD" w14:textId="77777777" w:rsidR="005205DA" w:rsidRPr="007B4A99" w:rsidRDefault="005205DA" w:rsidP="00FC5BA2">
      <w:pPr>
        <w:spacing w:after="0"/>
        <w:ind w:firstLine="567"/>
        <w:jc w:val="both"/>
        <w:rPr>
          <w:b/>
          <w:color w:val="003BB0"/>
        </w:rPr>
      </w:pPr>
    </w:p>
    <w:p w14:paraId="3A96C129" w14:textId="13523B66" w:rsidR="00FC5BA2" w:rsidRPr="007B4A99" w:rsidRDefault="00FC5BA2" w:rsidP="00FC5BA2">
      <w:pPr>
        <w:spacing w:after="0"/>
        <w:ind w:firstLine="567"/>
        <w:jc w:val="both"/>
        <w:rPr>
          <w:rFonts w:ascii="Times New Roman" w:hAnsi="Times New Roman"/>
          <w:b/>
          <w:sz w:val="24"/>
          <w:szCs w:val="24"/>
        </w:rPr>
      </w:pPr>
      <w:r w:rsidRPr="007B4A99">
        <w:rPr>
          <w:rFonts w:ascii="Times New Roman" w:hAnsi="Times New Roman"/>
          <w:b/>
          <w:sz w:val="24"/>
          <w:szCs w:val="24"/>
        </w:rPr>
        <w:lastRenderedPageBreak/>
        <w:t xml:space="preserve">Таблица </w:t>
      </w:r>
      <w:r w:rsidRPr="007B4A99">
        <w:rPr>
          <w:rFonts w:ascii="Times New Roman" w:hAnsi="Times New Roman" w:cs="Times New Roman"/>
          <w:b/>
          <w:sz w:val="24"/>
          <w:szCs w:val="24"/>
        </w:rPr>
        <w:t xml:space="preserve">№ </w:t>
      </w:r>
      <w:r w:rsidR="00A50666">
        <w:rPr>
          <w:rFonts w:ascii="Times New Roman" w:hAnsi="Times New Roman"/>
          <w:b/>
          <w:sz w:val="24"/>
          <w:szCs w:val="24"/>
        </w:rPr>
        <w:t>3</w:t>
      </w:r>
      <w:r w:rsidR="00960A76" w:rsidRPr="007B4A99">
        <w:rPr>
          <w:rFonts w:ascii="Times New Roman" w:hAnsi="Times New Roman"/>
          <w:b/>
          <w:sz w:val="24"/>
          <w:szCs w:val="24"/>
        </w:rPr>
        <w:t>.</w:t>
      </w:r>
      <w:r w:rsidRPr="007B4A99">
        <w:rPr>
          <w:rFonts w:ascii="Times New Roman" w:hAnsi="Times New Roman"/>
          <w:b/>
          <w:sz w:val="24"/>
          <w:szCs w:val="24"/>
        </w:rPr>
        <w:t xml:space="preserve"> Матрица на въздействията на Вариант 0: „Без действие“</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2268"/>
        <w:gridCol w:w="2126"/>
        <w:gridCol w:w="2661"/>
      </w:tblGrid>
      <w:tr w:rsidR="00380E68" w:rsidRPr="00DD69D5" w14:paraId="625594F9" w14:textId="77777777" w:rsidTr="00FC5BA2">
        <w:tc>
          <w:tcPr>
            <w:tcW w:w="1843" w:type="dxa"/>
            <w:shd w:val="clear" w:color="auto" w:fill="5B9BD5" w:themeFill="accent1"/>
            <w:vAlign w:val="center"/>
          </w:tcPr>
          <w:p w14:paraId="447D270C" w14:textId="77777777" w:rsidR="00380E68" w:rsidRPr="00DD69D5" w:rsidRDefault="00FC5BA2" w:rsidP="00380E68">
            <w:pPr>
              <w:spacing w:before="120" w:after="120"/>
              <w:jc w:val="center"/>
              <w:rPr>
                <w:rFonts w:ascii="Times New Roman" w:hAnsi="Times New Roman"/>
                <w:b/>
                <w:i/>
              </w:rPr>
            </w:pPr>
            <w:r w:rsidRPr="00DD69D5">
              <w:rPr>
                <w:rFonts w:ascii="Times New Roman" w:hAnsi="Times New Roman"/>
                <w:b/>
              </w:rPr>
              <w:t>Вариант 0: „Без действие“</w:t>
            </w:r>
          </w:p>
        </w:tc>
        <w:tc>
          <w:tcPr>
            <w:tcW w:w="7055" w:type="dxa"/>
            <w:gridSpan w:val="3"/>
            <w:shd w:val="clear" w:color="auto" w:fill="BFBFBF" w:themeFill="background1" w:themeFillShade="BF"/>
            <w:vAlign w:val="center"/>
          </w:tcPr>
          <w:p w14:paraId="104FD972" w14:textId="77777777" w:rsidR="00380E68" w:rsidRPr="00DD69D5" w:rsidRDefault="00FC5BA2" w:rsidP="00CC651D">
            <w:pPr>
              <w:tabs>
                <w:tab w:val="left" w:pos="567"/>
              </w:tabs>
              <w:spacing w:after="120" w:line="276" w:lineRule="auto"/>
              <w:ind w:right="232"/>
              <w:jc w:val="center"/>
              <w:rPr>
                <w:rFonts w:ascii="Times New Roman" w:hAnsi="Times New Roman"/>
                <w:b/>
              </w:rPr>
            </w:pPr>
            <w:r w:rsidRPr="00DD69D5">
              <w:rPr>
                <w:rFonts w:ascii="Times New Roman" w:hAnsi="Times New Roman"/>
                <w:b/>
                <w:i/>
              </w:rPr>
              <w:t>ИКОНОМИЧЕСКИ ВЪЗДЕЙСТВИЯ</w:t>
            </w:r>
          </w:p>
        </w:tc>
      </w:tr>
      <w:tr w:rsidR="00380E68" w:rsidRPr="00DD69D5" w14:paraId="68661B42" w14:textId="77777777" w:rsidTr="004E7F56">
        <w:tc>
          <w:tcPr>
            <w:tcW w:w="1843" w:type="dxa"/>
            <w:shd w:val="clear" w:color="auto" w:fill="D9D9D9" w:themeFill="background1" w:themeFillShade="D9"/>
            <w:vAlign w:val="center"/>
          </w:tcPr>
          <w:p w14:paraId="0840F4E5" w14:textId="77777777" w:rsidR="00380E68" w:rsidRPr="00DD69D5" w:rsidRDefault="00380E68" w:rsidP="00380E68">
            <w:pPr>
              <w:tabs>
                <w:tab w:val="left" w:pos="567"/>
              </w:tabs>
              <w:spacing w:after="120"/>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Вероятност въздействието да се прояви</w:t>
            </w:r>
          </w:p>
        </w:tc>
        <w:tc>
          <w:tcPr>
            <w:tcW w:w="2268" w:type="dxa"/>
            <w:shd w:val="clear" w:color="auto" w:fill="DEEAF6" w:themeFill="accent1" w:themeFillTint="33"/>
          </w:tcPr>
          <w:p w14:paraId="3EFF9FE7" w14:textId="2B38E4B4" w:rsidR="00CA4186" w:rsidRPr="00DD69D5" w:rsidRDefault="00380E68" w:rsidP="00CA4186">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Въздействие 1</w:t>
            </w:r>
            <w:r w:rsidR="00FC5BA2" w:rsidRPr="00DD69D5">
              <w:rPr>
                <w:rFonts w:ascii="Times New Roman" w:hAnsi="Times New Roman"/>
                <w:b/>
                <w:color w:val="000000" w:themeColor="text1"/>
                <w:sz w:val="16"/>
                <w:szCs w:val="16"/>
              </w:rPr>
              <w:t>.</w:t>
            </w:r>
            <w:r w:rsidR="002A29BE" w:rsidRPr="00DD69D5">
              <w:rPr>
                <w:rFonts w:ascii="Times New Roman" w:hAnsi="Times New Roman"/>
                <w:b/>
                <w:color w:val="000000" w:themeColor="text1"/>
                <w:sz w:val="16"/>
                <w:szCs w:val="16"/>
              </w:rPr>
              <w:t xml:space="preserve"> </w:t>
            </w:r>
            <w:r w:rsidR="00CA4186" w:rsidRPr="00DD69D5">
              <w:rPr>
                <w:rFonts w:ascii="Times New Roman" w:hAnsi="Times New Roman"/>
                <w:b/>
                <w:color w:val="000000" w:themeColor="text1"/>
                <w:sz w:val="16"/>
                <w:szCs w:val="16"/>
              </w:rPr>
              <w:t xml:space="preserve">Негативно влияние върху </w:t>
            </w:r>
            <w:r w:rsidR="00231027" w:rsidRPr="00DD69D5">
              <w:rPr>
                <w:rFonts w:ascii="Times New Roman" w:hAnsi="Times New Roman"/>
                <w:b/>
                <w:color w:val="000000" w:themeColor="text1"/>
                <w:sz w:val="16"/>
                <w:szCs w:val="16"/>
              </w:rPr>
              <w:t>конкуренцията, увеличаването на  избора на потребителите и постигане на по-ниски цени</w:t>
            </w:r>
            <w:r w:rsidR="00231027" w:rsidRPr="00DD69D5">
              <w:t xml:space="preserve"> </w:t>
            </w:r>
            <w:r w:rsidR="00231027" w:rsidRPr="00DD69D5">
              <w:rPr>
                <w:rFonts w:ascii="Times New Roman" w:hAnsi="Times New Roman"/>
                <w:b/>
                <w:color w:val="000000" w:themeColor="text1"/>
                <w:sz w:val="16"/>
                <w:szCs w:val="16"/>
              </w:rPr>
              <w:t>основните земеделски продукти и храни</w:t>
            </w:r>
          </w:p>
          <w:p w14:paraId="6FA628EC" w14:textId="77777777" w:rsidR="00FC5BA2" w:rsidRPr="00DD69D5" w:rsidRDefault="00FC5BA2" w:rsidP="00CA4186">
            <w:pPr>
              <w:tabs>
                <w:tab w:val="left" w:pos="567"/>
              </w:tabs>
              <w:spacing w:after="120" w:line="276" w:lineRule="auto"/>
              <w:ind w:right="232"/>
              <w:rPr>
                <w:rFonts w:ascii="Times New Roman" w:hAnsi="Times New Roman"/>
                <w:b/>
                <w:color w:val="000000" w:themeColor="text1"/>
                <w:sz w:val="16"/>
                <w:szCs w:val="16"/>
              </w:rPr>
            </w:pPr>
          </w:p>
        </w:tc>
        <w:tc>
          <w:tcPr>
            <w:tcW w:w="2126" w:type="dxa"/>
            <w:shd w:val="clear" w:color="auto" w:fill="DEEAF6" w:themeFill="accent1" w:themeFillTint="33"/>
          </w:tcPr>
          <w:p w14:paraId="64BC3473" w14:textId="77777777" w:rsidR="004A4476" w:rsidRPr="00DD69D5" w:rsidRDefault="00380E68" w:rsidP="00CA4186">
            <w:pPr>
              <w:tabs>
                <w:tab w:val="left" w:pos="567"/>
              </w:tabs>
              <w:spacing w:after="120" w:line="276" w:lineRule="auto"/>
              <w:ind w:right="-108"/>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 xml:space="preserve">Въздействие </w:t>
            </w:r>
            <w:r w:rsidR="00BE417F" w:rsidRPr="00DD69D5">
              <w:rPr>
                <w:rFonts w:ascii="Times New Roman" w:hAnsi="Times New Roman"/>
                <w:b/>
                <w:color w:val="000000" w:themeColor="text1"/>
                <w:sz w:val="16"/>
                <w:szCs w:val="16"/>
              </w:rPr>
              <w:t>2</w:t>
            </w:r>
            <w:r w:rsidR="00FC5BA2" w:rsidRPr="00DD69D5">
              <w:rPr>
                <w:rFonts w:ascii="Times New Roman" w:hAnsi="Times New Roman"/>
                <w:b/>
                <w:color w:val="000000" w:themeColor="text1"/>
                <w:sz w:val="16"/>
                <w:szCs w:val="16"/>
              </w:rPr>
              <w:t>.</w:t>
            </w:r>
            <w:r w:rsidR="002A29BE" w:rsidRPr="00DD69D5">
              <w:rPr>
                <w:rFonts w:ascii="Times New Roman" w:hAnsi="Times New Roman"/>
                <w:b/>
                <w:color w:val="000000" w:themeColor="text1"/>
                <w:sz w:val="16"/>
                <w:szCs w:val="16"/>
              </w:rPr>
              <w:t xml:space="preserve"> </w:t>
            </w:r>
          </w:p>
          <w:p w14:paraId="547CD4ED" w14:textId="574B6A64" w:rsidR="00380E68" w:rsidRPr="00DD69D5" w:rsidRDefault="004A4476" w:rsidP="001C549F">
            <w:pPr>
              <w:tabs>
                <w:tab w:val="left" w:pos="567"/>
              </w:tabs>
              <w:spacing w:after="120" w:line="276" w:lineRule="auto"/>
              <w:ind w:right="-108"/>
              <w:jc w:val="center"/>
              <w:rPr>
                <w:rFonts w:ascii="Times New Roman" w:hAnsi="Times New Roman"/>
                <w:b/>
                <w:color w:val="000000" w:themeColor="text1"/>
                <w:sz w:val="16"/>
                <w:szCs w:val="16"/>
              </w:rPr>
            </w:pPr>
            <w:r w:rsidRPr="00B83A67">
              <w:rPr>
                <w:rFonts w:ascii="Times New Roman" w:hAnsi="Times New Roman"/>
                <w:b/>
                <w:sz w:val="16"/>
                <w:szCs w:val="16"/>
              </w:rPr>
              <w:t xml:space="preserve">Липса на принос </w:t>
            </w:r>
            <w:r w:rsidR="00231027" w:rsidRPr="00B83A67">
              <w:rPr>
                <w:rFonts w:ascii="Times New Roman" w:hAnsi="Times New Roman"/>
                <w:b/>
                <w:sz w:val="16"/>
                <w:szCs w:val="16"/>
              </w:rPr>
              <w:t xml:space="preserve">за постигане на </w:t>
            </w:r>
            <w:r w:rsidR="001C549F" w:rsidRPr="00B83A67">
              <w:rPr>
                <w:rFonts w:ascii="Times New Roman" w:hAnsi="Times New Roman"/>
                <w:b/>
                <w:sz w:val="16"/>
                <w:szCs w:val="16"/>
              </w:rPr>
              <w:t xml:space="preserve">продоволствена </w:t>
            </w:r>
            <w:r w:rsidR="00231027" w:rsidRPr="00B83A67">
              <w:rPr>
                <w:rFonts w:ascii="Times New Roman" w:hAnsi="Times New Roman"/>
                <w:b/>
                <w:sz w:val="16"/>
                <w:szCs w:val="16"/>
              </w:rPr>
              <w:t>сигурност и на устойчиво селско стопанство</w:t>
            </w:r>
          </w:p>
        </w:tc>
        <w:tc>
          <w:tcPr>
            <w:tcW w:w="2661" w:type="dxa"/>
            <w:shd w:val="clear" w:color="auto" w:fill="DEEAF6" w:themeFill="accent1" w:themeFillTint="33"/>
          </w:tcPr>
          <w:p w14:paraId="54017737" w14:textId="77777777" w:rsidR="00CA4186" w:rsidRPr="00DD69D5" w:rsidRDefault="00380E68" w:rsidP="00CA4186">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w:t>
            </w:r>
            <w:r w:rsidR="00BE417F" w:rsidRPr="00DD69D5">
              <w:rPr>
                <w:rFonts w:ascii="Times New Roman" w:hAnsi="Times New Roman"/>
                <w:b/>
                <w:color w:val="000000" w:themeColor="text1"/>
                <w:sz w:val="16"/>
                <w:szCs w:val="16"/>
              </w:rPr>
              <w:t>ъздействие 3</w:t>
            </w:r>
            <w:r w:rsidR="00B52FBE" w:rsidRPr="00DD69D5">
              <w:rPr>
                <w:rFonts w:ascii="Times New Roman" w:hAnsi="Times New Roman"/>
                <w:b/>
                <w:color w:val="000000" w:themeColor="text1"/>
                <w:sz w:val="16"/>
                <w:szCs w:val="16"/>
              </w:rPr>
              <w:t>.</w:t>
            </w:r>
            <w:r w:rsidR="002A29BE" w:rsidRPr="00DD69D5">
              <w:rPr>
                <w:rFonts w:ascii="Times New Roman" w:hAnsi="Times New Roman"/>
                <w:b/>
                <w:color w:val="000000" w:themeColor="text1"/>
                <w:sz w:val="16"/>
                <w:szCs w:val="16"/>
              </w:rPr>
              <w:t xml:space="preserve"> </w:t>
            </w:r>
          </w:p>
          <w:p w14:paraId="57476121" w14:textId="28C193F8" w:rsidR="00B52FBE" w:rsidRPr="00DD69D5" w:rsidRDefault="004A4476" w:rsidP="00231027">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sz w:val="16"/>
                <w:szCs w:val="16"/>
              </w:rPr>
              <w:t xml:space="preserve">Липса на принос </w:t>
            </w:r>
            <w:r w:rsidR="00231027" w:rsidRPr="00DD69D5">
              <w:rPr>
                <w:rFonts w:ascii="Times New Roman" w:hAnsi="Times New Roman"/>
                <w:b/>
                <w:sz w:val="16"/>
                <w:szCs w:val="16"/>
              </w:rPr>
              <w:t>за насърчаване на реална конкурентна среда, правна сигурност, равнопоставеност и пропорционалност в отношенията по веригата на доставки на земеделски продукти и храни</w:t>
            </w:r>
            <w:r w:rsidR="00231027" w:rsidRPr="00DD69D5">
              <w:rPr>
                <w:rFonts w:ascii="Times New Roman" w:hAnsi="Times New Roman"/>
                <w:b/>
                <w:sz w:val="16"/>
                <w:szCs w:val="16"/>
              </w:rPr>
              <w:tab/>
            </w:r>
          </w:p>
        </w:tc>
      </w:tr>
      <w:tr w:rsidR="00CC651D" w:rsidRPr="00DD69D5" w14:paraId="58AA1C54" w14:textId="77777777" w:rsidTr="00380E68">
        <w:tc>
          <w:tcPr>
            <w:tcW w:w="1843" w:type="dxa"/>
            <w:shd w:val="clear" w:color="auto" w:fill="D9D9D9" w:themeFill="background1" w:themeFillShade="D9"/>
          </w:tcPr>
          <w:p w14:paraId="30309EE0" w14:textId="77777777" w:rsidR="00CC651D" w:rsidRPr="00DD69D5" w:rsidRDefault="00CC651D" w:rsidP="00CC651D">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Ниска</w:t>
            </w:r>
          </w:p>
        </w:tc>
        <w:tc>
          <w:tcPr>
            <w:tcW w:w="2268" w:type="dxa"/>
            <w:vAlign w:val="center"/>
          </w:tcPr>
          <w:p w14:paraId="544BC06E" w14:textId="77777777" w:rsidR="00CC651D" w:rsidRPr="00DD69D5" w:rsidRDefault="00CC651D" w:rsidP="00CC651D">
            <w:pPr>
              <w:tabs>
                <w:tab w:val="left" w:pos="567"/>
              </w:tabs>
              <w:spacing w:line="276" w:lineRule="auto"/>
              <w:ind w:right="232"/>
              <w:jc w:val="center"/>
              <w:rPr>
                <w:rFonts w:ascii="Times New Roman" w:hAnsi="Times New Roman"/>
                <w:b/>
                <w:i/>
                <w:color w:val="000000" w:themeColor="text1"/>
                <w:sz w:val="16"/>
                <w:szCs w:val="16"/>
              </w:rPr>
            </w:pPr>
          </w:p>
        </w:tc>
        <w:tc>
          <w:tcPr>
            <w:tcW w:w="2126" w:type="dxa"/>
            <w:vAlign w:val="center"/>
          </w:tcPr>
          <w:p w14:paraId="7922199E" w14:textId="77777777" w:rsidR="00CC651D" w:rsidRPr="00DD69D5" w:rsidRDefault="00CC651D" w:rsidP="00CC651D">
            <w:pPr>
              <w:tabs>
                <w:tab w:val="left" w:pos="567"/>
              </w:tabs>
              <w:spacing w:line="276" w:lineRule="auto"/>
              <w:ind w:right="-46"/>
              <w:jc w:val="center"/>
              <w:rPr>
                <w:rFonts w:ascii="Times New Roman" w:hAnsi="Times New Roman"/>
                <w:b/>
                <w:i/>
                <w:color w:val="000000" w:themeColor="text1"/>
                <w:sz w:val="16"/>
                <w:szCs w:val="16"/>
              </w:rPr>
            </w:pPr>
          </w:p>
        </w:tc>
        <w:tc>
          <w:tcPr>
            <w:tcW w:w="2661" w:type="dxa"/>
            <w:vAlign w:val="center"/>
          </w:tcPr>
          <w:p w14:paraId="2C3DC48D" w14:textId="77777777" w:rsidR="00CC651D" w:rsidRPr="00DD69D5" w:rsidRDefault="00CC651D" w:rsidP="00CC651D">
            <w:pPr>
              <w:tabs>
                <w:tab w:val="left" w:pos="567"/>
              </w:tabs>
              <w:spacing w:line="276" w:lineRule="auto"/>
              <w:ind w:right="232"/>
              <w:jc w:val="center"/>
              <w:rPr>
                <w:rFonts w:ascii="Times New Roman" w:hAnsi="Times New Roman"/>
                <w:b/>
                <w:i/>
                <w:color w:val="000000" w:themeColor="text1"/>
                <w:sz w:val="16"/>
                <w:szCs w:val="16"/>
              </w:rPr>
            </w:pPr>
          </w:p>
        </w:tc>
      </w:tr>
      <w:tr w:rsidR="00CC651D" w:rsidRPr="00DD69D5" w14:paraId="467BF035" w14:textId="77777777" w:rsidTr="00380E68">
        <w:tc>
          <w:tcPr>
            <w:tcW w:w="1843" w:type="dxa"/>
            <w:shd w:val="clear" w:color="auto" w:fill="D9D9D9" w:themeFill="background1" w:themeFillShade="D9"/>
          </w:tcPr>
          <w:p w14:paraId="110DAAD2" w14:textId="77777777" w:rsidR="00CC651D" w:rsidRPr="00DD69D5" w:rsidRDefault="00CC651D" w:rsidP="00CC651D">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Средна</w:t>
            </w:r>
          </w:p>
        </w:tc>
        <w:tc>
          <w:tcPr>
            <w:tcW w:w="2268" w:type="dxa"/>
            <w:vAlign w:val="center"/>
          </w:tcPr>
          <w:p w14:paraId="545EE7C5" w14:textId="77777777" w:rsidR="00CC651D" w:rsidRPr="00DD69D5" w:rsidRDefault="00CC651D" w:rsidP="00CC651D">
            <w:pPr>
              <w:tabs>
                <w:tab w:val="left" w:pos="567"/>
              </w:tabs>
              <w:spacing w:line="276" w:lineRule="auto"/>
              <w:ind w:right="232"/>
              <w:jc w:val="center"/>
              <w:rPr>
                <w:rFonts w:ascii="Times New Roman" w:hAnsi="Times New Roman"/>
                <w:b/>
                <w:i/>
                <w:color w:val="000000" w:themeColor="text1"/>
                <w:sz w:val="16"/>
                <w:szCs w:val="16"/>
              </w:rPr>
            </w:pPr>
          </w:p>
        </w:tc>
        <w:tc>
          <w:tcPr>
            <w:tcW w:w="2126" w:type="dxa"/>
            <w:vAlign w:val="center"/>
          </w:tcPr>
          <w:p w14:paraId="57EE5438" w14:textId="77777777" w:rsidR="00CC651D" w:rsidRPr="00DD69D5" w:rsidRDefault="00CC651D" w:rsidP="00CC651D">
            <w:pPr>
              <w:tabs>
                <w:tab w:val="left" w:pos="567"/>
              </w:tabs>
              <w:spacing w:line="276" w:lineRule="auto"/>
              <w:ind w:right="232"/>
              <w:jc w:val="center"/>
              <w:rPr>
                <w:rFonts w:ascii="Times New Roman" w:hAnsi="Times New Roman"/>
                <w:b/>
                <w:i/>
                <w:color w:val="000000" w:themeColor="text1"/>
                <w:sz w:val="16"/>
                <w:szCs w:val="16"/>
              </w:rPr>
            </w:pPr>
          </w:p>
        </w:tc>
        <w:tc>
          <w:tcPr>
            <w:tcW w:w="2661" w:type="dxa"/>
            <w:vAlign w:val="center"/>
          </w:tcPr>
          <w:p w14:paraId="6D21D882" w14:textId="77777777" w:rsidR="00CC651D" w:rsidRPr="00DD69D5" w:rsidRDefault="00CC651D" w:rsidP="00CC651D">
            <w:pPr>
              <w:tabs>
                <w:tab w:val="left" w:pos="567"/>
              </w:tabs>
              <w:spacing w:line="276" w:lineRule="auto"/>
              <w:ind w:right="232"/>
              <w:jc w:val="center"/>
              <w:rPr>
                <w:rFonts w:ascii="Times New Roman" w:hAnsi="Times New Roman"/>
                <w:b/>
                <w:i/>
                <w:color w:val="000000" w:themeColor="text1"/>
                <w:sz w:val="16"/>
                <w:szCs w:val="16"/>
              </w:rPr>
            </w:pPr>
          </w:p>
        </w:tc>
      </w:tr>
      <w:tr w:rsidR="00A642C4" w:rsidRPr="00DD69D5" w14:paraId="5E7ABCBC" w14:textId="77777777" w:rsidTr="00380E68">
        <w:tc>
          <w:tcPr>
            <w:tcW w:w="1843" w:type="dxa"/>
            <w:shd w:val="clear" w:color="auto" w:fill="D9D9D9" w:themeFill="background1" w:themeFillShade="D9"/>
          </w:tcPr>
          <w:p w14:paraId="1BBAFA32" w14:textId="77777777" w:rsidR="00A642C4" w:rsidRPr="00DD69D5" w:rsidRDefault="00A642C4" w:rsidP="00A642C4">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Висока</w:t>
            </w:r>
          </w:p>
        </w:tc>
        <w:tc>
          <w:tcPr>
            <w:tcW w:w="2268" w:type="dxa"/>
            <w:vAlign w:val="center"/>
          </w:tcPr>
          <w:p w14:paraId="6F1D1AF1" w14:textId="77777777" w:rsidR="00A642C4" w:rsidRPr="00DD69D5" w:rsidRDefault="00A642C4" w:rsidP="00A642C4">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c>
          <w:tcPr>
            <w:tcW w:w="2126" w:type="dxa"/>
            <w:vAlign w:val="center"/>
          </w:tcPr>
          <w:p w14:paraId="4A9F7408" w14:textId="77777777" w:rsidR="00A642C4" w:rsidRPr="00DD69D5" w:rsidRDefault="00A642C4" w:rsidP="00A642C4">
            <w:pPr>
              <w:tabs>
                <w:tab w:val="left" w:pos="567"/>
              </w:tabs>
              <w:spacing w:line="276" w:lineRule="auto"/>
              <w:ind w:right="-46"/>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c>
          <w:tcPr>
            <w:tcW w:w="2661" w:type="dxa"/>
            <w:vAlign w:val="center"/>
          </w:tcPr>
          <w:p w14:paraId="623320B5" w14:textId="77777777" w:rsidR="00A642C4" w:rsidRPr="00DD69D5" w:rsidRDefault="00A642C4" w:rsidP="00A642C4">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r>
      <w:tr w:rsidR="00FC5BA2" w:rsidRPr="00DD69D5" w14:paraId="39A7EAAB" w14:textId="77777777" w:rsidTr="00FC5BA2">
        <w:tc>
          <w:tcPr>
            <w:tcW w:w="1843" w:type="dxa"/>
            <w:shd w:val="clear" w:color="auto" w:fill="5B9BD5" w:themeFill="accent1"/>
            <w:vAlign w:val="center"/>
          </w:tcPr>
          <w:p w14:paraId="25A7513D" w14:textId="77777777" w:rsidR="00FC5BA2" w:rsidRPr="00DD69D5" w:rsidRDefault="00FC5BA2" w:rsidP="00816AC5">
            <w:pPr>
              <w:spacing w:before="120" w:after="120"/>
              <w:jc w:val="center"/>
              <w:rPr>
                <w:rFonts w:ascii="Times New Roman" w:hAnsi="Times New Roman"/>
                <w:b/>
                <w:i/>
              </w:rPr>
            </w:pPr>
            <w:r w:rsidRPr="00DD69D5">
              <w:rPr>
                <w:rFonts w:ascii="Times New Roman" w:hAnsi="Times New Roman"/>
                <w:b/>
              </w:rPr>
              <w:t>Вариант 0: „Без действие“</w:t>
            </w:r>
          </w:p>
        </w:tc>
        <w:tc>
          <w:tcPr>
            <w:tcW w:w="7055" w:type="dxa"/>
            <w:gridSpan w:val="3"/>
            <w:shd w:val="clear" w:color="auto" w:fill="BFBFBF" w:themeFill="background1" w:themeFillShade="BF"/>
            <w:vAlign w:val="center"/>
          </w:tcPr>
          <w:p w14:paraId="1EE45BF1" w14:textId="77777777" w:rsidR="00FC5BA2" w:rsidRPr="00DD69D5" w:rsidRDefault="00FC5BA2" w:rsidP="00816AC5">
            <w:pPr>
              <w:tabs>
                <w:tab w:val="left" w:pos="567"/>
              </w:tabs>
              <w:spacing w:after="120" w:line="276" w:lineRule="auto"/>
              <w:ind w:right="232"/>
              <w:jc w:val="center"/>
              <w:rPr>
                <w:rFonts w:ascii="Times New Roman" w:hAnsi="Times New Roman"/>
                <w:b/>
              </w:rPr>
            </w:pPr>
            <w:r w:rsidRPr="00DD69D5">
              <w:rPr>
                <w:rFonts w:ascii="Times New Roman" w:hAnsi="Times New Roman"/>
                <w:b/>
                <w:i/>
              </w:rPr>
              <w:t>СОЦИАЛНИ ВЪЗДЕЙСТВИЯ</w:t>
            </w:r>
          </w:p>
        </w:tc>
      </w:tr>
      <w:tr w:rsidR="00FC5BA2" w:rsidRPr="00DD69D5" w14:paraId="64AF2608" w14:textId="77777777" w:rsidTr="00816AC5">
        <w:tc>
          <w:tcPr>
            <w:tcW w:w="1843" w:type="dxa"/>
            <w:shd w:val="clear" w:color="auto" w:fill="D9D9D9" w:themeFill="background1" w:themeFillShade="D9"/>
            <w:vAlign w:val="center"/>
          </w:tcPr>
          <w:p w14:paraId="79E26BD9" w14:textId="77777777" w:rsidR="00FC5BA2" w:rsidRPr="00DD69D5" w:rsidRDefault="00FC5BA2" w:rsidP="00816AC5">
            <w:pPr>
              <w:tabs>
                <w:tab w:val="left" w:pos="567"/>
              </w:tabs>
              <w:spacing w:after="120"/>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Вероятност въздействието да се прояви</w:t>
            </w:r>
          </w:p>
        </w:tc>
        <w:tc>
          <w:tcPr>
            <w:tcW w:w="2268" w:type="dxa"/>
            <w:shd w:val="clear" w:color="auto" w:fill="DEEAF6" w:themeFill="accent1" w:themeFillTint="33"/>
            <w:vAlign w:val="center"/>
          </w:tcPr>
          <w:p w14:paraId="7E5059D7" w14:textId="77777777" w:rsidR="00CA4186" w:rsidRPr="00DD69D5" w:rsidRDefault="00FC5BA2" w:rsidP="00CA4186">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Въздействие 1</w:t>
            </w:r>
            <w:r w:rsidR="00CA4186" w:rsidRPr="00DD69D5">
              <w:rPr>
                <w:rFonts w:ascii="Times New Roman" w:hAnsi="Times New Roman"/>
                <w:b/>
                <w:color w:val="000000" w:themeColor="text1"/>
                <w:sz w:val="16"/>
                <w:szCs w:val="16"/>
              </w:rPr>
              <w:t>.</w:t>
            </w:r>
          </w:p>
          <w:p w14:paraId="171F5BC2" w14:textId="0D26618E" w:rsidR="00CA4186" w:rsidRPr="00DD69D5" w:rsidRDefault="004A4476" w:rsidP="00CA4186">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 xml:space="preserve">Не </w:t>
            </w:r>
            <w:r w:rsidR="00231027" w:rsidRPr="00DD69D5">
              <w:rPr>
                <w:rFonts w:ascii="Times New Roman" w:hAnsi="Times New Roman"/>
                <w:b/>
                <w:color w:val="000000" w:themeColor="text1"/>
                <w:sz w:val="16"/>
                <w:szCs w:val="16"/>
              </w:rPr>
              <w:t>осигурява общественото здраве, като не гарантира доставката на достатъчно висококачествени и безопасни храни</w:t>
            </w:r>
          </w:p>
        </w:tc>
        <w:tc>
          <w:tcPr>
            <w:tcW w:w="2126" w:type="dxa"/>
            <w:shd w:val="clear" w:color="auto" w:fill="DEEAF6" w:themeFill="accent1" w:themeFillTint="33"/>
            <w:vAlign w:val="center"/>
          </w:tcPr>
          <w:p w14:paraId="290FE60A" w14:textId="77777777" w:rsidR="00CA4186" w:rsidRPr="00DD69D5" w:rsidRDefault="00CA4186" w:rsidP="00231027">
            <w:pPr>
              <w:tabs>
                <w:tab w:val="left" w:pos="567"/>
              </w:tabs>
              <w:spacing w:after="120" w:line="276" w:lineRule="auto"/>
              <w:ind w:right="33"/>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 xml:space="preserve">Въздействие 2. </w:t>
            </w:r>
          </w:p>
          <w:p w14:paraId="61F8C8D3" w14:textId="4617C395" w:rsidR="00FC5BA2" w:rsidRPr="00DD69D5" w:rsidRDefault="004A4476" w:rsidP="007E3C03">
            <w:pPr>
              <w:tabs>
                <w:tab w:val="left" w:pos="567"/>
              </w:tabs>
              <w:spacing w:after="120" w:line="276" w:lineRule="auto"/>
              <w:ind w:right="33"/>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 xml:space="preserve">Не води до </w:t>
            </w:r>
            <w:r w:rsidR="007E3C03">
              <w:rPr>
                <w:rFonts w:ascii="Times New Roman" w:hAnsi="Times New Roman"/>
                <w:b/>
                <w:color w:val="000000" w:themeColor="text1"/>
                <w:sz w:val="16"/>
                <w:szCs w:val="16"/>
              </w:rPr>
              <w:t>подобряване</w:t>
            </w:r>
            <w:r w:rsidR="00231027" w:rsidRPr="00DD69D5">
              <w:rPr>
                <w:rFonts w:ascii="Times New Roman" w:hAnsi="Times New Roman"/>
                <w:b/>
                <w:color w:val="000000" w:themeColor="text1"/>
                <w:sz w:val="16"/>
                <w:szCs w:val="16"/>
              </w:rPr>
              <w:t xml:space="preserve"> благосъстоянието на възрастните хора и другите социално уязвими групи от обществото</w:t>
            </w:r>
          </w:p>
        </w:tc>
        <w:tc>
          <w:tcPr>
            <w:tcW w:w="2661" w:type="dxa"/>
            <w:shd w:val="clear" w:color="auto" w:fill="DEEAF6" w:themeFill="accent1" w:themeFillTint="33"/>
            <w:vAlign w:val="center"/>
          </w:tcPr>
          <w:p w14:paraId="203D3387" w14:textId="77777777" w:rsidR="00CA4186" w:rsidRPr="00DD69D5" w:rsidRDefault="00FC5BA2" w:rsidP="00816AC5">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Въздействие 3</w:t>
            </w:r>
            <w:r w:rsidR="00CA4186" w:rsidRPr="00DD69D5">
              <w:rPr>
                <w:rFonts w:ascii="Times New Roman" w:hAnsi="Times New Roman"/>
                <w:b/>
                <w:color w:val="000000" w:themeColor="text1"/>
                <w:sz w:val="16"/>
                <w:szCs w:val="16"/>
              </w:rPr>
              <w:t xml:space="preserve">. </w:t>
            </w:r>
          </w:p>
          <w:p w14:paraId="66EE7298" w14:textId="4E6B2673" w:rsidR="00FC5BA2" w:rsidRPr="00DD69D5" w:rsidRDefault="004A4476" w:rsidP="00816AC5">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Не допринася за</w:t>
            </w:r>
            <w:r w:rsidR="00231027" w:rsidRPr="00DD69D5">
              <w:rPr>
                <w:rFonts w:ascii="Times New Roman" w:hAnsi="Times New Roman"/>
                <w:b/>
                <w:color w:val="000000" w:themeColor="text1"/>
                <w:sz w:val="16"/>
                <w:szCs w:val="16"/>
              </w:rPr>
              <w:t xml:space="preserve"> гарантиране продоволствената сигурност</w:t>
            </w:r>
            <w:r w:rsidR="008262FE">
              <w:rPr>
                <w:rFonts w:ascii="Times New Roman" w:hAnsi="Times New Roman"/>
                <w:b/>
                <w:color w:val="000000" w:themeColor="text1"/>
                <w:sz w:val="16"/>
                <w:szCs w:val="16"/>
              </w:rPr>
              <w:t>,</w:t>
            </w:r>
            <w:r w:rsidR="001A562D" w:rsidRPr="00DD69D5">
              <w:t xml:space="preserve"> </w:t>
            </w:r>
            <w:r w:rsidR="001A562D" w:rsidRPr="00DD69D5">
              <w:rPr>
                <w:rFonts w:ascii="Times New Roman" w:hAnsi="Times New Roman"/>
                <w:b/>
                <w:color w:val="000000" w:themeColor="text1"/>
                <w:sz w:val="16"/>
                <w:szCs w:val="16"/>
              </w:rPr>
              <w:t>т.к. не води до пълноценно функциониране на веригата на доставка на храни и земеделска продукция</w:t>
            </w:r>
          </w:p>
        </w:tc>
      </w:tr>
      <w:tr w:rsidR="00FC5BA2" w:rsidRPr="00DD69D5" w14:paraId="42884C36" w14:textId="77777777" w:rsidTr="00816AC5">
        <w:tc>
          <w:tcPr>
            <w:tcW w:w="1843" w:type="dxa"/>
            <w:shd w:val="clear" w:color="auto" w:fill="D9D9D9" w:themeFill="background1" w:themeFillShade="D9"/>
          </w:tcPr>
          <w:p w14:paraId="2E52E191" w14:textId="77777777" w:rsidR="00FC5BA2" w:rsidRPr="00DD69D5" w:rsidRDefault="00FC5BA2" w:rsidP="00816AC5">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Ниска</w:t>
            </w:r>
          </w:p>
        </w:tc>
        <w:tc>
          <w:tcPr>
            <w:tcW w:w="2268" w:type="dxa"/>
            <w:vAlign w:val="center"/>
          </w:tcPr>
          <w:p w14:paraId="3CA4374A" w14:textId="77777777" w:rsidR="00FC5BA2" w:rsidRPr="00DD69D5" w:rsidRDefault="00FC5BA2" w:rsidP="00816AC5">
            <w:pPr>
              <w:tabs>
                <w:tab w:val="left" w:pos="567"/>
              </w:tabs>
              <w:spacing w:line="276" w:lineRule="auto"/>
              <w:ind w:right="232"/>
              <w:jc w:val="center"/>
              <w:rPr>
                <w:rFonts w:ascii="Times New Roman" w:hAnsi="Times New Roman"/>
                <w:b/>
                <w:i/>
                <w:color w:val="000000" w:themeColor="text1"/>
                <w:sz w:val="16"/>
                <w:szCs w:val="16"/>
              </w:rPr>
            </w:pPr>
          </w:p>
        </w:tc>
        <w:tc>
          <w:tcPr>
            <w:tcW w:w="2126" w:type="dxa"/>
            <w:vAlign w:val="center"/>
          </w:tcPr>
          <w:p w14:paraId="02E9F3E5" w14:textId="77777777" w:rsidR="00FC5BA2" w:rsidRPr="00DD69D5" w:rsidRDefault="00FC5BA2" w:rsidP="00816AC5">
            <w:pPr>
              <w:tabs>
                <w:tab w:val="left" w:pos="567"/>
              </w:tabs>
              <w:spacing w:line="276" w:lineRule="auto"/>
              <w:ind w:right="-46"/>
              <w:jc w:val="center"/>
              <w:rPr>
                <w:rFonts w:ascii="Times New Roman" w:hAnsi="Times New Roman"/>
                <w:b/>
                <w:i/>
                <w:color w:val="000000" w:themeColor="text1"/>
                <w:sz w:val="16"/>
                <w:szCs w:val="16"/>
              </w:rPr>
            </w:pPr>
          </w:p>
        </w:tc>
        <w:tc>
          <w:tcPr>
            <w:tcW w:w="2661" w:type="dxa"/>
            <w:vAlign w:val="center"/>
          </w:tcPr>
          <w:p w14:paraId="643E3BC8" w14:textId="77777777" w:rsidR="00FC5BA2" w:rsidRPr="00DD69D5" w:rsidRDefault="00FC5BA2" w:rsidP="00816AC5">
            <w:pPr>
              <w:tabs>
                <w:tab w:val="left" w:pos="567"/>
              </w:tabs>
              <w:spacing w:line="276" w:lineRule="auto"/>
              <w:ind w:right="232"/>
              <w:jc w:val="center"/>
              <w:rPr>
                <w:rFonts w:ascii="Times New Roman" w:hAnsi="Times New Roman"/>
                <w:b/>
                <w:i/>
                <w:color w:val="000000" w:themeColor="text1"/>
                <w:sz w:val="16"/>
                <w:szCs w:val="16"/>
              </w:rPr>
            </w:pPr>
          </w:p>
        </w:tc>
      </w:tr>
      <w:tr w:rsidR="00FC5BA2" w:rsidRPr="00DD69D5" w14:paraId="305FF9C8" w14:textId="77777777" w:rsidTr="00816AC5">
        <w:tc>
          <w:tcPr>
            <w:tcW w:w="1843" w:type="dxa"/>
            <w:shd w:val="clear" w:color="auto" w:fill="D9D9D9" w:themeFill="background1" w:themeFillShade="D9"/>
          </w:tcPr>
          <w:p w14:paraId="01E09B52" w14:textId="77777777" w:rsidR="00FC5BA2" w:rsidRPr="00DD69D5" w:rsidRDefault="00FC5BA2" w:rsidP="00816AC5">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Средна</w:t>
            </w:r>
          </w:p>
        </w:tc>
        <w:tc>
          <w:tcPr>
            <w:tcW w:w="2268" w:type="dxa"/>
            <w:vAlign w:val="center"/>
          </w:tcPr>
          <w:p w14:paraId="20B35B41" w14:textId="77777777" w:rsidR="00FC5BA2" w:rsidRPr="00DD69D5" w:rsidRDefault="00FC5BA2" w:rsidP="00816AC5">
            <w:pPr>
              <w:tabs>
                <w:tab w:val="left" w:pos="567"/>
              </w:tabs>
              <w:spacing w:line="276" w:lineRule="auto"/>
              <w:ind w:right="232"/>
              <w:jc w:val="center"/>
              <w:rPr>
                <w:rFonts w:ascii="Times New Roman" w:hAnsi="Times New Roman"/>
                <w:b/>
                <w:color w:val="000000" w:themeColor="text1"/>
                <w:sz w:val="16"/>
                <w:szCs w:val="16"/>
              </w:rPr>
            </w:pPr>
          </w:p>
        </w:tc>
        <w:tc>
          <w:tcPr>
            <w:tcW w:w="2126" w:type="dxa"/>
            <w:vAlign w:val="center"/>
          </w:tcPr>
          <w:p w14:paraId="1BC08484" w14:textId="010C2596" w:rsidR="00FC5BA2" w:rsidRPr="00DD69D5" w:rsidRDefault="004A4476" w:rsidP="00816AC5">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c>
          <w:tcPr>
            <w:tcW w:w="2661" w:type="dxa"/>
            <w:vAlign w:val="center"/>
          </w:tcPr>
          <w:p w14:paraId="43A87366" w14:textId="712DA58D" w:rsidR="00FC5BA2" w:rsidRPr="00DD69D5" w:rsidRDefault="00FC5BA2" w:rsidP="00816AC5">
            <w:pPr>
              <w:tabs>
                <w:tab w:val="left" w:pos="567"/>
              </w:tabs>
              <w:spacing w:line="276" w:lineRule="auto"/>
              <w:ind w:right="232"/>
              <w:jc w:val="center"/>
              <w:rPr>
                <w:rFonts w:ascii="Times New Roman" w:hAnsi="Times New Roman"/>
                <w:b/>
                <w:color w:val="000000" w:themeColor="text1"/>
                <w:sz w:val="16"/>
                <w:szCs w:val="16"/>
              </w:rPr>
            </w:pPr>
          </w:p>
        </w:tc>
      </w:tr>
      <w:tr w:rsidR="00FC5BA2" w:rsidRPr="00DD69D5" w14:paraId="178A5C03" w14:textId="77777777" w:rsidTr="00816AC5">
        <w:tc>
          <w:tcPr>
            <w:tcW w:w="1843" w:type="dxa"/>
            <w:shd w:val="clear" w:color="auto" w:fill="D9D9D9" w:themeFill="background1" w:themeFillShade="D9"/>
          </w:tcPr>
          <w:p w14:paraId="6CFE2C72" w14:textId="77777777" w:rsidR="00FC5BA2" w:rsidRPr="00DD69D5" w:rsidRDefault="00FC5BA2" w:rsidP="00816AC5">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Висока</w:t>
            </w:r>
          </w:p>
        </w:tc>
        <w:tc>
          <w:tcPr>
            <w:tcW w:w="2268" w:type="dxa"/>
            <w:vAlign w:val="center"/>
          </w:tcPr>
          <w:p w14:paraId="6DFBF37E" w14:textId="77777777" w:rsidR="00FC5BA2" w:rsidRPr="00DD69D5" w:rsidRDefault="00FC5BA2" w:rsidP="00816AC5">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c>
          <w:tcPr>
            <w:tcW w:w="2126" w:type="dxa"/>
            <w:vAlign w:val="center"/>
          </w:tcPr>
          <w:p w14:paraId="75B92022" w14:textId="1F54534B" w:rsidR="00FC5BA2" w:rsidRPr="00DD69D5" w:rsidRDefault="00FC5BA2" w:rsidP="00816AC5">
            <w:pPr>
              <w:tabs>
                <w:tab w:val="left" w:pos="567"/>
              </w:tabs>
              <w:spacing w:line="276" w:lineRule="auto"/>
              <w:ind w:right="232"/>
              <w:jc w:val="center"/>
              <w:rPr>
                <w:rFonts w:ascii="Times New Roman" w:hAnsi="Times New Roman"/>
                <w:b/>
                <w:color w:val="000000" w:themeColor="text1"/>
                <w:sz w:val="16"/>
                <w:szCs w:val="16"/>
              </w:rPr>
            </w:pPr>
          </w:p>
        </w:tc>
        <w:tc>
          <w:tcPr>
            <w:tcW w:w="2661" w:type="dxa"/>
            <w:vAlign w:val="center"/>
          </w:tcPr>
          <w:p w14:paraId="5A129FD4" w14:textId="7F351425" w:rsidR="00FC5BA2" w:rsidRPr="00DD69D5" w:rsidRDefault="001A562D" w:rsidP="00816AC5">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r>
      <w:tr w:rsidR="00FC5BA2" w:rsidRPr="00DD69D5" w14:paraId="5294CD10" w14:textId="77777777" w:rsidTr="00FC5BA2">
        <w:tc>
          <w:tcPr>
            <w:tcW w:w="1843" w:type="dxa"/>
            <w:shd w:val="clear" w:color="auto" w:fill="5B9BD5" w:themeFill="accent1"/>
            <w:vAlign w:val="center"/>
          </w:tcPr>
          <w:p w14:paraId="31F8AA52" w14:textId="77777777" w:rsidR="00FC5BA2" w:rsidRPr="00DD69D5" w:rsidRDefault="00FC5BA2" w:rsidP="00816AC5">
            <w:pPr>
              <w:spacing w:before="120" w:after="120"/>
              <w:jc w:val="center"/>
              <w:rPr>
                <w:rFonts w:ascii="Times New Roman" w:hAnsi="Times New Roman"/>
                <w:b/>
                <w:i/>
              </w:rPr>
            </w:pPr>
            <w:r w:rsidRPr="00DD69D5">
              <w:rPr>
                <w:rFonts w:ascii="Times New Roman" w:hAnsi="Times New Roman"/>
                <w:b/>
              </w:rPr>
              <w:t>Вариант 0: „Без действие“</w:t>
            </w:r>
          </w:p>
        </w:tc>
        <w:tc>
          <w:tcPr>
            <w:tcW w:w="7055" w:type="dxa"/>
            <w:gridSpan w:val="3"/>
            <w:shd w:val="clear" w:color="auto" w:fill="BFBFBF" w:themeFill="background1" w:themeFillShade="BF"/>
            <w:vAlign w:val="center"/>
          </w:tcPr>
          <w:p w14:paraId="2BAACD5A" w14:textId="77777777" w:rsidR="00FC5BA2" w:rsidRPr="00DD69D5" w:rsidRDefault="00FC5BA2" w:rsidP="00816AC5">
            <w:pPr>
              <w:tabs>
                <w:tab w:val="left" w:pos="567"/>
              </w:tabs>
              <w:spacing w:after="120" w:line="276" w:lineRule="auto"/>
              <w:ind w:right="232"/>
              <w:jc w:val="center"/>
              <w:rPr>
                <w:rFonts w:ascii="Times New Roman" w:hAnsi="Times New Roman"/>
                <w:b/>
              </w:rPr>
            </w:pPr>
            <w:r w:rsidRPr="00DD69D5">
              <w:rPr>
                <w:rFonts w:ascii="Times New Roman" w:hAnsi="Times New Roman"/>
                <w:b/>
                <w:i/>
              </w:rPr>
              <w:t>ЕКОЛОГИЧНИ ВЪЗДЕЙСТВИЯ</w:t>
            </w:r>
          </w:p>
        </w:tc>
      </w:tr>
      <w:tr w:rsidR="00FC5BA2" w:rsidRPr="00DD69D5" w14:paraId="4F4EA6E2" w14:textId="77777777" w:rsidTr="004E7F56">
        <w:tc>
          <w:tcPr>
            <w:tcW w:w="1843" w:type="dxa"/>
            <w:shd w:val="clear" w:color="auto" w:fill="D9D9D9" w:themeFill="background1" w:themeFillShade="D9"/>
            <w:vAlign w:val="center"/>
          </w:tcPr>
          <w:p w14:paraId="318BB0B6" w14:textId="77777777" w:rsidR="00FC5BA2" w:rsidRPr="00DD69D5" w:rsidRDefault="00FC5BA2" w:rsidP="00816AC5">
            <w:pPr>
              <w:tabs>
                <w:tab w:val="left" w:pos="567"/>
              </w:tabs>
              <w:spacing w:after="120"/>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Вероятност въздействието да се прояви</w:t>
            </w:r>
          </w:p>
        </w:tc>
        <w:tc>
          <w:tcPr>
            <w:tcW w:w="2268" w:type="dxa"/>
            <w:shd w:val="clear" w:color="auto" w:fill="DEEAF6" w:themeFill="accent1" w:themeFillTint="33"/>
          </w:tcPr>
          <w:p w14:paraId="5706FE0C" w14:textId="77777777" w:rsidR="00FC5BA2" w:rsidRPr="00DD69D5" w:rsidRDefault="00FC5BA2" w:rsidP="00816AC5">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Въздействие 1</w:t>
            </w:r>
            <w:r w:rsidR="00CA4186" w:rsidRPr="00DD69D5">
              <w:rPr>
                <w:rFonts w:ascii="Times New Roman" w:hAnsi="Times New Roman"/>
                <w:b/>
                <w:color w:val="000000" w:themeColor="text1"/>
                <w:sz w:val="16"/>
                <w:szCs w:val="16"/>
              </w:rPr>
              <w:t>.</w:t>
            </w:r>
          </w:p>
          <w:p w14:paraId="1E36195F" w14:textId="05FEE5AC" w:rsidR="00CA4186" w:rsidRPr="00DD69D5" w:rsidRDefault="001A562D" w:rsidP="00711653">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Не спомага за повишаване нивото на подготвеност за посрещане на евентуални негативни ефекти от настъпването на климатични промени</w:t>
            </w:r>
          </w:p>
        </w:tc>
        <w:tc>
          <w:tcPr>
            <w:tcW w:w="2126" w:type="dxa"/>
            <w:shd w:val="clear" w:color="auto" w:fill="DEEAF6" w:themeFill="accent1" w:themeFillTint="33"/>
          </w:tcPr>
          <w:p w14:paraId="1C7812ED" w14:textId="77777777" w:rsidR="00CA4186" w:rsidRPr="00DD69D5" w:rsidRDefault="00FC5BA2" w:rsidP="00CA4186">
            <w:pPr>
              <w:tabs>
                <w:tab w:val="left" w:pos="567"/>
              </w:tabs>
              <w:spacing w:after="120" w:line="276" w:lineRule="auto"/>
              <w:ind w:right="-108"/>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Въздействие 2</w:t>
            </w:r>
            <w:r w:rsidR="00CA4186" w:rsidRPr="00DD69D5">
              <w:rPr>
                <w:rFonts w:ascii="Times New Roman" w:hAnsi="Times New Roman"/>
                <w:b/>
                <w:color w:val="000000" w:themeColor="text1"/>
                <w:sz w:val="16"/>
                <w:szCs w:val="16"/>
              </w:rPr>
              <w:t xml:space="preserve">. </w:t>
            </w:r>
          </w:p>
          <w:p w14:paraId="457AD787" w14:textId="07CEA116" w:rsidR="00FC5BA2" w:rsidRPr="00DD69D5" w:rsidRDefault="001A562D" w:rsidP="00CA4186">
            <w:pPr>
              <w:tabs>
                <w:tab w:val="left" w:pos="567"/>
              </w:tabs>
              <w:spacing w:after="120" w:line="276" w:lineRule="auto"/>
              <w:ind w:right="-108"/>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Не води до намаляване на текущото ниво на образуване на отпадъци, поради липсата на потенциал за увеличаване обемите на реализация на произведени храни и друга земеделска продукция</w:t>
            </w:r>
          </w:p>
        </w:tc>
        <w:tc>
          <w:tcPr>
            <w:tcW w:w="2661" w:type="dxa"/>
            <w:shd w:val="clear" w:color="auto" w:fill="DEEAF6" w:themeFill="accent1" w:themeFillTint="33"/>
          </w:tcPr>
          <w:p w14:paraId="14AB302F" w14:textId="77777777" w:rsidR="00CA4186" w:rsidRPr="00DD69D5" w:rsidRDefault="00FC5BA2" w:rsidP="00CA4186">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 xml:space="preserve">Въздействие </w:t>
            </w:r>
            <w:r w:rsidR="00CA4186" w:rsidRPr="00DD69D5">
              <w:rPr>
                <w:rFonts w:ascii="Times New Roman" w:hAnsi="Times New Roman"/>
                <w:b/>
                <w:color w:val="000000" w:themeColor="text1"/>
                <w:sz w:val="16"/>
                <w:szCs w:val="16"/>
              </w:rPr>
              <w:t xml:space="preserve">3. </w:t>
            </w:r>
          </w:p>
          <w:p w14:paraId="06644243" w14:textId="628117B8" w:rsidR="00FC5BA2" w:rsidRPr="00DD69D5" w:rsidRDefault="001A562D" w:rsidP="00CA4186">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Не предвижда възможности за въвеждането на устойчиви модели на потребление и производство за преминаване към по-щадящи околната среда работни процеси</w:t>
            </w:r>
          </w:p>
        </w:tc>
      </w:tr>
      <w:tr w:rsidR="00FC5BA2" w:rsidRPr="00DD69D5" w14:paraId="2F008CA3" w14:textId="77777777" w:rsidTr="00816AC5">
        <w:tc>
          <w:tcPr>
            <w:tcW w:w="1843" w:type="dxa"/>
            <w:shd w:val="clear" w:color="auto" w:fill="D9D9D9" w:themeFill="background1" w:themeFillShade="D9"/>
          </w:tcPr>
          <w:p w14:paraId="1764FBD4" w14:textId="77777777" w:rsidR="00FC5BA2" w:rsidRPr="00DD69D5" w:rsidRDefault="00FC5BA2" w:rsidP="00816AC5">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Ниска</w:t>
            </w:r>
          </w:p>
        </w:tc>
        <w:tc>
          <w:tcPr>
            <w:tcW w:w="2268" w:type="dxa"/>
            <w:vAlign w:val="center"/>
          </w:tcPr>
          <w:p w14:paraId="181DB1AF" w14:textId="75832958" w:rsidR="00FC5BA2" w:rsidRPr="00DD69D5" w:rsidRDefault="00FC5BA2" w:rsidP="00816AC5">
            <w:pPr>
              <w:tabs>
                <w:tab w:val="left" w:pos="567"/>
              </w:tabs>
              <w:spacing w:line="276" w:lineRule="auto"/>
              <w:ind w:right="232"/>
              <w:jc w:val="center"/>
              <w:rPr>
                <w:rFonts w:ascii="Times New Roman" w:hAnsi="Times New Roman"/>
                <w:b/>
                <w:i/>
                <w:color w:val="000000" w:themeColor="text1"/>
                <w:sz w:val="16"/>
                <w:szCs w:val="16"/>
              </w:rPr>
            </w:pPr>
          </w:p>
        </w:tc>
        <w:tc>
          <w:tcPr>
            <w:tcW w:w="2126" w:type="dxa"/>
            <w:vAlign w:val="center"/>
          </w:tcPr>
          <w:p w14:paraId="46364CDB" w14:textId="77777777" w:rsidR="00FC5BA2" w:rsidRPr="00DD69D5" w:rsidRDefault="00FC5BA2" w:rsidP="00816AC5">
            <w:pPr>
              <w:tabs>
                <w:tab w:val="left" w:pos="567"/>
              </w:tabs>
              <w:spacing w:line="276" w:lineRule="auto"/>
              <w:ind w:right="-46"/>
              <w:jc w:val="center"/>
              <w:rPr>
                <w:rFonts w:ascii="Times New Roman" w:hAnsi="Times New Roman"/>
                <w:b/>
                <w:i/>
                <w:color w:val="000000" w:themeColor="text1"/>
                <w:sz w:val="16"/>
                <w:szCs w:val="16"/>
              </w:rPr>
            </w:pPr>
          </w:p>
        </w:tc>
        <w:tc>
          <w:tcPr>
            <w:tcW w:w="2661" w:type="dxa"/>
            <w:vAlign w:val="center"/>
          </w:tcPr>
          <w:p w14:paraId="2C2F55EF" w14:textId="77777777" w:rsidR="00FC5BA2" w:rsidRPr="00DD69D5" w:rsidRDefault="00FC5BA2" w:rsidP="00816AC5">
            <w:pPr>
              <w:tabs>
                <w:tab w:val="left" w:pos="567"/>
              </w:tabs>
              <w:spacing w:line="276" w:lineRule="auto"/>
              <w:ind w:right="232"/>
              <w:jc w:val="center"/>
              <w:rPr>
                <w:rFonts w:ascii="Times New Roman" w:hAnsi="Times New Roman"/>
                <w:b/>
                <w:i/>
                <w:color w:val="000000" w:themeColor="text1"/>
                <w:sz w:val="16"/>
                <w:szCs w:val="16"/>
              </w:rPr>
            </w:pPr>
          </w:p>
        </w:tc>
      </w:tr>
      <w:tr w:rsidR="00FC5BA2" w:rsidRPr="00DD69D5" w14:paraId="0C2B7F2D" w14:textId="77777777" w:rsidTr="00816AC5">
        <w:tc>
          <w:tcPr>
            <w:tcW w:w="1843" w:type="dxa"/>
            <w:shd w:val="clear" w:color="auto" w:fill="D9D9D9" w:themeFill="background1" w:themeFillShade="D9"/>
          </w:tcPr>
          <w:p w14:paraId="432028C0" w14:textId="77777777" w:rsidR="00FC5BA2" w:rsidRPr="00DD69D5" w:rsidRDefault="00FC5BA2" w:rsidP="00816AC5">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Средна</w:t>
            </w:r>
          </w:p>
        </w:tc>
        <w:tc>
          <w:tcPr>
            <w:tcW w:w="2268" w:type="dxa"/>
            <w:vAlign w:val="center"/>
          </w:tcPr>
          <w:p w14:paraId="43C817EE" w14:textId="29E13AE2" w:rsidR="00FC5BA2" w:rsidRPr="00DD69D5" w:rsidRDefault="00FC5BA2" w:rsidP="00816AC5">
            <w:pPr>
              <w:tabs>
                <w:tab w:val="left" w:pos="567"/>
              </w:tabs>
              <w:spacing w:line="276" w:lineRule="auto"/>
              <w:ind w:right="232"/>
              <w:jc w:val="center"/>
              <w:rPr>
                <w:rFonts w:ascii="Times New Roman" w:hAnsi="Times New Roman"/>
                <w:b/>
                <w:color w:val="000000" w:themeColor="text1"/>
                <w:sz w:val="16"/>
                <w:szCs w:val="16"/>
              </w:rPr>
            </w:pPr>
          </w:p>
        </w:tc>
        <w:tc>
          <w:tcPr>
            <w:tcW w:w="2126" w:type="dxa"/>
            <w:vAlign w:val="center"/>
          </w:tcPr>
          <w:p w14:paraId="6E4AD88E" w14:textId="75EB0D5E" w:rsidR="00FC5BA2" w:rsidRPr="00DD69D5" w:rsidRDefault="00FC5BA2" w:rsidP="00816AC5">
            <w:pPr>
              <w:tabs>
                <w:tab w:val="left" w:pos="567"/>
              </w:tabs>
              <w:spacing w:line="276" w:lineRule="auto"/>
              <w:ind w:right="232"/>
              <w:jc w:val="center"/>
              <w:rPr>
                <w:rFonts w:ascii="Times New Roman" w:hAnsi="Times New Roman"/>
                <w:b/>
                <w:color w:val="000000" w:themeColor="text1"/>
                <w:sz w:val="16"/>
                <w:szCs w:val="16"/>
              </w:rPr>
            </w:pPr>
          </w:p>
        </w:tc>
        <w:tc>
          <w:tcPr>
            <w:tcW w:w="2661" w:type="dxa"/>
            <w:vAlign w:val="center"/>
          </w:tcPr>
          <w:p w14:paraId="4862AA49" w14:textId="77777777" w:rsidR="00FC5BA2" w:rsidRPr="00DD69D5" w:rsidRDefault="00FC5BA2" w:rsidP="00816AC5">
            <w:pPr>
              <w:tabs>
                <w:tab w:val="left" w:pos="567"/>
              </w:tabs>
              <w:spacing w:line="276" w:lineRule="auto"/>
              <w:ind w:right="232"/>
              <w:jc w:val="center"/>
              <w:rPr>
                <w:rFonts w:ascii="Times New Roman" w:hAnsi="Times New Roman"/>
                <w:b/>
                <w:color w:val="000000" w:themeColor="text1"/>
                <w:sz w:val="16"/>
                <w:szCs w:val="16"/>
              </w:rPr>
            </w:pPr>
          </w:p>
        </w:tc>
      </w:tr>
      <w:tr w:rsidR="00FC5BA2" w:rsidRPr="00DD69D5" w14:paraId="0740E08A" w14:textId="77777777" w:rsidTr="00816AC5">
        <w:tc>
          <w:tcPr>
            <w:tcW w:w="1843" w:type="dxa"/>
            <w:shd w:val="clear" w:color="auto" w:fill="D9D9D9" w:themeFill="background1" w:themeFillShade="D9"/>
          </w:tcPr>
          <w:p w14:paraId="7BBA8DDA" w14:textId="77777777" w:rsidR="00FC5BA2" w:rsidRPr="00DD69D5" w:rsidRDefault="00FC5BA2" w:rsidP="00816AC5">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lastRenderedPageBreak/>
              <w:t>Висока</w:t>
            </w:r>
          </w:p>
        </w:tc>
        <w:tc>
          <w:tcPr>
            <w:tcW w:w="2268" w:type="dxa"/>
            <w:vAlign w:val="center"/>
          </w:tcPr>
          <w:p w14:paraId="3EE0E05A" w14:textId="43D61E8A" w:rsidR="00FC5BA2" w:rsidRPr="00DD69D5" w:rsidRDefault="00417139" w:rsidP="00816AC5">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c>
          <w:tcPr>
            <w:tcW w:w="2126" w:type="dxa"/>
            <w:vAlign w:val="center"/>
          </w:tcPr>
          <w:p w14:paraId="540BB5C9" w14:textId="556CCC94" w:rsidR="00FC5BA2" w:rsidRPr="00DD69D5" w:rsidRDefault="001A562D" w:rsidP="00816AC5">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c>
          <w:tcPr>
            <w:tcW w:w="2661" w:type="dxa"/>
            <w:vAlign w:val="center"/>
          </w:tcPr>
          <w:p w14:paraId="6049B8BC" w14:textId="77777777" w:rsidR="00FC5BA2" w:rsidRPr="00DD69D5" w:rsidRDefault="00CA4186" w:rsidP="00816AC5">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r>
    </w:tbl>
    <w:p w14:paraId="4B61D682" w14:textId="77777777" w:rsidR="004A4476" w:rsidRPr="00DD69D5" w:rsidRDefault="004A4476" w:rsidP="00B52FBE">
      <w:pPr>
        <w:spacing w:after="0"/>
        <w:ind w:firstLine="567"/>
        <w:jc w:val="both"/>
        <w:rPr>
          <w:rFonts w:ascii="Times New Roman" w:hAnsi="Times New Roman"/>
          <w:b/>
          <w:sz w:val="24"/>
          <w:szCs w:val="24"/>
        </w:rPr>
      </w:pPr>
    </w:p>
    <w:p w14:paraId="460A27F9" w14:textId="77777777" w:rsidR="00A50666" w:rsidRPr="00DD69D5" w:rsidRDefault="00A50666" w:rsidP="00B52FBE">
      <w:pPr>
        <w:spacing w:after="0"/>
        <w:ind w:firstLine="567"/>
        <w:jc w:val="both"/>
        <w:rPr>
          <w:rFonts w:ascii="Times New Roman" w:hAnsi="Times New Roman"/>
          <w:b/>
          <w:sz w:val="24"/>
          <w:szCs w:val="24"/>
        </w:rPr>
      </w:pPr>
    </w:p>
    <w:p w14:paraId="257C2FE6" w14:textId="72CF3C89" w:rsidR="00371B0D" w:rsidRPr="00DD69D5" w:rsidRDefault="00371B0D" w:rsidP="00371B0D">
      <w:pPr>
        <w:jc w:val="both"/>
        <w:rPr>
          <w:rFonts w:ascii="Times New Roman" w:hAnsi="Times New Roman" w:cs="Times New Roman"/>
        </w:rPr>
      </w:pPr>
      <w:r w:rsidRPr="00DD69D5">
        <w:rPr>
          <w:rFonts w:ascii="Times New Roman" w:hAnsi="Times New Roman"/>
          <w:b/>
          <w:sz w:val="24"/>
          <w:szCs w:val="24"/>
        </w:rPr>
        <w:t xml:space="preserve">Таблица </w:t>
      </w:r>
      <w:r w:rsidRPr="00DD69D5">
        <w:rPr>
          <w:rFonts w:ascii="Times New Roman" w:hAnsi="Times New Roman" w:cs="Times New Roman"/>
          <w:b/>
          <w:sz w:val="24"/>
          <w:szCs w:val="24"/>
        </w:rPr>
        <w:t xml:space="preserve">№ </w:t>
      </w:r>
      <w:r w:rsidR="00A50666" w:rsidRPr="00DD69D5">
        <w:rPr>
          <w:rFonts w:ascii="Times New Roman" w:hAnsi="Times New Roman"/>
          <w:b/>
          <w:sz w:val="24"/>
          <w:szCs w:val="24"/>
        </w:rPr>
        <w:t>4</w:t>
      </w:r>
      <w:r w:rsidRPr="00DD69D5">
        <w:rPr>
          <w:rFonts w:ascii="Times New Roman" w:hAnsi="Times New Roman"/>
          <w:b/>
          <w:sz w:val="24"/>
          <w:szCs w:val="24"/>
        </w:rPr>
        <w:t>. Матрица на въздействията на Вариант 1: „Нерегулаторен“</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2268"/>
        <w:gridCol w:w="2126"/>
        <w:gridCol w:w="2661"/>
      </w:tblGrid>
      <w:tr w:rsidR="00371B0D" w:rsidRPr="00DD69D5" w14:paraId="0AD7B830" w14:textId="77777777" w:rsidTr="009B365E">
        <w:tc>
          <w:tcPr>
            <w:tcW w:w="1843" w:type="dxa"/>
            <w:shd w:val="clear" w:color="auto" w:fill="5B9BD5" w:themeFill="accent1"/>
            <w:vAlign w:val="center"/>
          </w:tcPr>
          <w:p w14:paraId="28465B7B" w14:textId="77777777" w:rsidR="00371B0D" w:rsidRPr="00DD69D5" w:rsidRDefault="00371B0D" w:rsidP="009B365E">
            <w:pPr>
              <w:spacing w:before="120" w:after="120"/>
              <w:jc w:val="center"/>
              <w:rPr>
                <w:rFonts w:ascii="Times New Roman" w:hAnsi="Times New Roman"/>
                <w:b/>
                <w:i/>
              </w:rPr>
            </w:pPr>
            <w:r w:rsidRPr="00DD69D5">
              <w:rPr>
                <w:rFonts w:ascii="Times New Roman" w:hAnsi="Times New Roman"/>
                <w:b/>
              </w:rPr>
              <w:t>Вариант 1: „Нерегулаторен“</w:t>
            </w:r>
          </w:p>
        </w:tc>
        <w:tc>
          <w:tcPr>
            <w:tcW w:w="7055" w:type="dxa"/>
            <w:gridSpan w:val="3"/>
            <w:shd w:val="clear" w:color="auto" w:fill="BFBFBF" w:themeFill="background1" w:themeFillShade="BF"/>
            <w:vAlign w:val="center"/>
          </w:tcPr>
          <w:p w14:paraId="2E3037C1" w14:textId="77777777" w:rsidR="00371B0D" w:rsidRPr="00DD69D5" w:rsidRDefault="00371B0D" w:rsidP="009B365E">
            <w:pPr>
              <w:tabs>
                <w:tab w:val="left" w:pos="567"/>
              </w:tabs>
              <w:spacing w:after="120" w:line="276" w:lineRule="auto"/>
              <w:ind w:right="232"/>
              <w:jc w:val="center"/>
              <w:rPr>
                <w:rFonts w:ascii="Times New Roman" w:hAnsi="Times New Roman"/>
                <w:b/>
              </w:rPr>
            </w:pPr>
            <w:r w:rsidRPr="00DD69D5">
              <w:rPr>
                <w:rFonts w:ascii="Times New Roman" w:hAnsi="Times New Roman"/>
                <w:b/>
                <w:i/>
              </w:rPr>
              <w:t>ИКОНОМИЧЕСКИ ВЪЗДЕЙСТВИЯ</w:t>
            </w:r>
          </w:p>
        </w:tc>
      </w:tr>
      <w:tr w:rsidR="00371B0D" w:rsidRPr="00DD69D5" w14:paraId="4F88CEE6" w14:textId="77777777" w:rsidTr="009B365E">
        <w:tc>
          <w:tcPr>
            <w:tcW w:w="1843" w:type="dxa"/>
            <w:shd w:val="clear" w:color="auto" w:fill="D9D9D9" w:themeFill="background1" w:themeFillShade="D9"/>
            <w:vAlign w:val="center"/>
          </w:tcPr>
          <w:p w14:paraId="10C1D172" w14:textId="77777777" w:rsidR="00371B0D" w:rsidRPr="00DD69D5" w:rsidRDefault="00371B0D" w:rsidP="009B365E">
            <w:pPr>
              <w:tabs>
                <w:tab w:val="left" w:pos="567"/>
              </w:tabs>
              <w:spacing w:after="120"/>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Вероятност въздействието да се прояви</w:t>
            </w:r>
          </w:p>
        </w:tc>
        <w:tc>
          <w:tcPr>
            <w:tcW w:w="2268" w:type="dxa"/>
            <w:shd w:val="clear" w:color="auto" w:fill="DEEAF6" w:themeFill="accent1" w:themeFillTint="33"/>
          </w:tcPr>
          <w:p w14:paraId="768CCB3E" w14:textId="77777777" w:rsidR="00371B0D" w:rsidRPr="00DD69D5" w:rsidRDefault="00371B0D" w:rsidP="009B365E">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Въздействие 1.</w:t>
            </w:r>
          </w:p>
          <w:p w14:paraId="125DF8A5" w14:textId="37CBFBB9" w:rsidR="00371B0D" w:rsidRPr="00DD69D5" w:rsidRDefault="001A562D" w:rsidP="009B365E">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sz w:val="16"/>
                <w:szCs w:val="16"/>
              </w:rPr>
              <w:t>Малко вероятно положително влияние върху конкуренцията, увеличаването на  избора на потребителите и постигане на по-ниски цени на основните земеделски продукти и храни</w:t>
            </w:r>
          </w:p>
        </w:tc>
        <w:tc>
          <w:tcPr>
            <w:tcW w:w="2126" w:type="dxa"/>
            <w:shd w:val="clear" w:color="auto" w:fill="DEEAF6" w:themeFill="accent1" w:themeFillTint="33"/>
          </w:tcPr>
          <w:p w14:paraId="3A1893CE" w14:textId="77777777" w:rsidR="00371B0D" w:rsidRPr="00DD69D5" w:rsidRDefault="00371B0D" w:rsidP="009B365E">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 xml:space="preserve">Въздействие 2. </w:t>
            </w:r>
          </w:p>
          <w:p w14:paraId="5BEB12B6" w14:textId="69B1CC9F" w:rsidR="00371B0D" w:rsidRPr="00DD69D5" w:rsidRDefault="001A562D" w:rsidP="001C549F">
            <w:pPr>
              <w:tabs>
                <w:tab w:val="left" w:pos="567"/>
              </w:tabs>
              <w:spacing w:after="120" w:line="276" w:lineRule="auto"/>
              <w:ind w:right="232"/>
              <w:jc w:val="center"/>
              <w:rPr>
                <w:rFonts w:ascii="Times New Roman" w:hAnsi="Times New Roman"/>
                <w:b/>
                <w:color w:val="000000" w:themeColor="text1"/>
                <w:sz w:val="16"/>
                <w:szCs w:val="16"/>
              </w:rPr>
            </w:pPr>
            <w:r w:rsidRPr="00B83A67">
              <w:rPr>
                <w:rFonts w:ascii="Times New Roman" w:hAnsi="Times New Roman"/>
                <w:b/>
                <w:color w:val="000000" w:themeColor="text1"/>
                <w:sz w:val="16"/>
                <w:szCs w:val="16"/>
              </w:rPr>
              <w:t xml:space="preserve">Малко вероятен потенциал за постигане на </w:t>
            </w:r>
            <w:r w:rsidR="001C549F" w:rsidRPr="00B83A67">
              <w:rPr>
                <w:rFonts w:ascii="Times New Roman" w:hAnsi="Times New Roman"/>
                <w:b/>
                <w:color w:val="000000" w:themeColor="text1"/>
                <w:sz w:val="16"/>
                <w:szCs w:val="16"/>
              </w:rPr>
              <w:t xml:space="preserve">продоволствена </w:t>
            </w:r>
            <w:r w:rsidRPr="00B83A67">
              <w:rPr>
                <w:rFonts w:ascii="Times New Roman" w:hAnsi="Times New Roman"/>
                <w:b/>
                <w:color w:val="000000" w:themeColor="text1"/>
                <w:sz w:val="16"/>
                <w:szCs w:val="16"/>
              </w:rPr>
              <w:t>сигурност и на устойчиво селско стопанство</w:t>
            </w:r>
          </w:p>
        </w:tc>
        <w:tc>
          <w:tcPr>
            <w:tcW w:w="2661" w:type="dxa"/>
            <w:shd w:val="clear" w:color="auto" w:fill="DEEAF6" w:themeFill="accent1" w:themeFillTint="33"/>
          </w:tcPr>
          <w:p w14:paraId="6439B7E4" w14:textId="77777777" w:rsidR="00371B0D" w:rsidRPr="00DD69D5" w:rsidRDefault="00371B0D" w:rsidP="009B365E">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Въздействие 3.</w:t>
            </w:r>
          </w:p>
          <w:p w14:paraId="155095A0" w14:textId="31F1A206" w:rsidR="00371B0D" w:rsidRPr="00DD69D5" w:rsidRDefault="001A562D" w:rsidP="009B365E">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Малко вероятен потенциал за насърчаване на реална конкурентна среда, правна сигурност, равнопоставеност в отношенията по веригата и пропорционалност при разпределението на добавената стойност по нея</w:t>
            </w:r>
          </w:p>
        </w:tc>
      </w:tr>
      <w:tr w:rsidR="00371B0D" w:rsidRPr="00DD69D5" w14:paraId="1F015D34" w14:textId="77777777" w:rsidTr="009B365E">
        <w:tc>
          <w:tcPr>
            <w:tcW w:w="1843" w:type="dxa"/>
            <w:shd w:val="clear" w:color="auto" w:fill="D9D9D9" w:themeFill="background1" w:themeFillShade="D9"/>
          </w:tcPr>
          <w:p w14:paraId="4E763B19" w14:textId="77777777" w:rsidR="00371B0D" w:rsidRPr="00DD69D5" w:rsidRDefault="00371B0D" w:rsidP="009B365E">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Ниска</w:t>
            </w:r>
          </w:p>
        </w:tc>
        <w:tc>
          <w:tcPr>
            <w:tcW w:w="2268" w:type="dxa"/>
            <w:vAlign w:val="center"/>
          </w:tcPr>
          <w:p w14:paraId="28C61D5A"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p>
        </w:tc>
        <w:tc>
          <w:tcPr>
            <w:tcW w:w="2126" w:type="dxa"/>
            <w:vAlign w:val="center"/>
          </w:tcPr>
          <w:p w14:paraId="5360D56B" w14:textId="77777777" w:rsidR="00371B0D" w:rsidRPr="00DD69D5" w:rsidRDefault="00371B0D" w:rsidP="009B365E">
            <w:pPr>
              <w:tabs>
                <w:tab w:val="left" w:pos="567"/>
              </w:tabs>
              <w:spacing w:line="276" w:lineRule="auto"/>
              <w:ind w:right="-46"/>
              <w:jc w:val="center"/>
              <w:rPr>
                <w:rFonts w:ascii="Times New Roman" w:hAnsi="Times New Roman"/>
                <w:b/>
                <w:color w:val="000000" w:themeColor="text1"/>
                <w:sz w:val="16"/>
                <w:szCs w:val="16"/>
              </w:rPr>
            </w:pPr>
          </w:p>
        </w:tc>
        <w:tc>
          <w:tcPr>
            <w:tcW w:w="2661" w:type="dxa"/>
            <w:vAlign w:val="center"/>
          </w:tcPr>
          <w:p w14:paraId="44E84DE6"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p>
        </w:tc>
      </w:tr>
      <w:tr w:rsidR="00371B0D" w:rsidRPr="00DD69D5" w14:paraId="36199A07" w14:textId="77777777" w:rsidTr="009B365E">
        <w:tc>
          <w:tcPr>
            <w:tcW w:w="1843" w:type="dxa"/>
            <w:shd w:val="clear" w:color="auto" w:fill="D9D9D9" w:themeFill="background1" w:themeFillShade="D9"/>
          </w:tcPr>
          <w:p w14:paraId="126155E8" w14:textId="77777777" w:rsidR="00371B0D" w:rsidRPr="00DD69D5" w:rsidRDefault="00371B0D" w:rsidP="009B365E">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Средна</w:t>
            </w:r>
          </w:p>
        </w:tc>
        <w:tc>
          <w:tcPr>
            <w:tcW w:w="2268" w:type="dxa"/>
            <w:vAlign w:val="center"/>
          </w:tcPr>
          <w:p w14:paraId="3B2959BB" w14:textId="77777777" w:rsidR="00371B0D" w:rsidRPr="00DD69D5" w:rsidRDefault="00371B0D" w:rsidP="009B365E">
            <w:pPr>
              <w:tabs>
                <w:tab w:val="left" w:pos="567"/>
              </w:tabs>
              <w:spacing w:line="276" w:lineRule="auto"/>
              <w:ind w:right="232"/>
              <w:jc w:val="center"/>
              <w:rPr>
                <w:rFonts w:ascii="Times New Roman" w:hAnsi="Times New Roman"/>
                <w:b/>
                <w:i/>
                <w:color w:val="000000" w:themeColor="text1"/>
                <w:sz w:val="16"/>
                <w:szCs w:val="16"/>
              </w:rPr>
            </w:pPr>
          </w:p>
        </w:tc>
        <w:tc>
          <w:tcPr>
            <w:tcW w:w="2126" w:type="dxa"/>
            <w:vAlign w:val="center"/>
          </w:tcPr>
          <w:p w14:paraId="3C643A78"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p>
        </w:tc>
        <w:tc>
          <w:tcPr>
            <w:tcW w:w="2661" w:type="dxa"/>
            <w:vAlign w:val="center"/>
          </w:tcPr>
          <w:p w14:paraId="6C23D7C5" w14:textId="77777777" w:rsidR="00371B0D" w:rsidRPr="00DD69D5" w:rsidRDefault="00371B0D" w:rsidP="009B365E">
            <w:pPr>
              <w:tabs>
                <w:tab w:val="left" w:pos="567"/>
              </w:tabs>
              <w:spacing w:line="276" w:lineRule="auto"/>
              <w:ind w:right="232"/>
              <w:jc w:val="center"/>
              <w:rPr>
                <w:rFonts w:ascii="Times New Roman" w:hAnsi="Times New Roman"/>
                <w:b/>
                <w:i/>
                <w:color w:val="000000" w:themeColor="text1"/>
                <w:sz w:val="16"/>
                <w:szCs w:val="16"/>
              </w:rPr>
            </w:pPr>
          </w:p>
        </w:tc>
      </w:tr>
      <w:tr w:rsidR="00371B0D" w:rsidRPr="00DD69D5" w14:paraId="22B9C953" w14:textId="77777777" w:rsidTr="009B365E">
        <w:tc>
          <w:tcPr>
            <w:tcW w:w="1843" w:type="dxa"/>
            <w:shd w:val="clear" w:color="auto" w:fill="D9D9D9" w:themeFill="background1" w:themeFillShade="D9"/>
          </w:tcPr>
          <w:p w14:paraId="0F36C2F5" w14:textId="77777777" w:rsidR="00371B0D" w:rsidRPr="00DD69D5" w:rsidRDefault="00371B0D" w:rsidP="009B365E">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Висока</w:t>
            </w:r>
          </w:p>
        </w:tc>
        <w:tc>
          <w:tcPr>
            <w:tcW w:w="2268" w:type="dxa"/>
            <w:vAlign w:val="center"/>
          </w:tcPr>
          <w:p w14:paraId="42E1DE43" w14:textId="77777777" w:rsidR="00371B0D" w:rsidRPr="00DD69D5" w:rsidRDefault="00371B0D" w:rsidP="009B365E">
            <w:pPr>
              <w:tabs>
                <w:tab w:val="left" w:pos="567"/>
              </w:tabs>
              <w:spacing w:line="276" w:lineRule="auto"/>
              <w:ind w:right="232"/>
              <w:jc w:val="center"/>
              <w:rPr>
                <w:rFonts w:ascii="Times New Roman" w:hAnsi="Times New Roman"/>
                <w:b/>
                <w:i/>
                <w:color w:val="000000" w:themeColor="text1"/>
                <w:sz w:val="16"/>
                <w:szCs w:val="16"/>
              </w:rPr>
            </w:pPr>
            <w:r w:rsidRPr="00DD69D5">
              <w:rPr>
                <w:rFonts w:ascii="Times New Roman" w:hAnsi="Times New Roman"/>
                <w:b/>
                <w:color w:val="000000" w:themeColor="text1"/>
                <w:sz w:val="16"/>
                <w:szCs w:val="16"/>
              </w:rPr>
              <w:t>Х</w:t>
            </w:r>
          </w:p>
        </w:tc>
        <w:tc>
          <w:tcPr>
            <w:tcW w:w="2126" w:type="dxa"/>
            <w:vAlign w:val="center"/>
          </w:tcPr>
          <w:p w14:paraId="6E187F16"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c>
          <w:tcPr>
            <w:tcW w:w="2661" w:type="dxa"/>
            <w:vAlign w:val="center"/>
          </w:tcPr>
          <w:p w14:paraId="3CD06B86" w14:textId="77777777" w:rsidR="00371B0D" w:rsidRPr="00DD69D5" w:rsidRDefault="00371B0D" w:rsidP="009B365E">
            <w:pPr>
              <w:tabs>
                <w:tab w:val="left" w:pos="567"/>
              </w:tabs>
              <w:spacing w:line="276" w:lineRule="auto"/>
              <w:ind w:right="232"/>
              <w:jc w:val="center"/>
              <w:rPr>
                <w:rFonts w:ascii="Times New Roman" w:hAnsi="Times New Roman"/>
                <w:b/>
                <w:i/>
                <w:color w:val="000000" w:themeColor="text1"/>
                <w:sz w:val="16"/>
                <w:szCs w:val="16"/>
              </w:rPr>
            </w:pPr>
            <w:r w:rsidRPr="00DD69D5">
              <w:rPr>
                <w:rFonts w:ascii="Times New Roman" w:hAnsi="Times New Roman"/>
                <w:b/>
                <w:color w:val="000000" w:themeColor="text1"/>
                <w:sz w:val="16"/>
                <w:szCs w:val="16"/>
              </w:rPr>
              <w:t>Х</w:t>
            </w:r>
          </w:p>
        </w:tc>
      </w:tr>
      <w:tr w:rsidR="00371B0D" w:rsidRPr="00DD69D5" w14:paraId="144B9BD9" w14:textId="77777777" w:rsidTr="009B365E">
        <w:tc>
          <w:tcPr>
            <w:tcW w:w="1843" w:type="dxa"/>
            <w:shd w:val="clear" w:color="auto" w:fill="5B9BD5" w:themeFill="accent1"/>
            <w:vAlign w:val="center"/>
          </w:tcPr>
          <w:p w14:paraId="4C6D403B" w14:textId="77777777" w:rsidR="00371B0D" w:rsidRPr="00DD69D5" w:rsidRDefault="00371B0D" w:rsidP="009B365E">
            <w:pPr>
              <w:spacing w:before="120" w:after="120"/>
              <w:jc w:val="center"/>
              <w:rPr>
                <w:rFonts w:ascii="Times New Roman" w:hAnsi="Times New Roman"/>
                <w:b/>
                <w:i/>
              </w:rPr>
            </w:pPr>
            <w:r w:rsidRPr="00DD69D5">
              <w:rPr>
                <w:rFonts w:ascii="Times New Roman" w:hAnsi="Times New Roman"/>
                <w:b/>
              </w:rPr>
              <w:t>Вариант 1: „Нерегулаторен“</w:t>
            </w:r>
          </w:p>
        </w:tc>
        <w:tc>
          <w:tcPr>
            <w:tcW w:w="7055" w:type="dxa"/>
            <w:gridSpan w:val="3"/>
            <w:shd w:val="clear" w:color="auto" w:fill="BFBFBF" w:themeFill="background1" w:themeFillShade="BF"/>
            <w:vAlign w:val="center"/>
          </w:tcPr>
          <w:p w14:paraId="1645F16D" w14:textId="77777777" w:rsidR="00371B0D" w:rsidRPr="00DD69D5" w:rsidRDefault="00371B0D" w:rsidP="009B365E">
            <w:pPr>
              <w:tabs>
                <w:tab w:val="left" w:pos="567"/>
              </w:tabs>
              <w:spacing w:after="120" w:line="276" w:lineRule="auto"/>
              <w:ind w:right="232"/>
              <w:jc w:val="center"/>
              <w:rPr>
                <w:rFonts w:ascii="Times New Roman" w:hAnsi="Times New Roman"/>
                <w:b/>
              </w:rPr>
            </w:pPr>
            <w:r w:rsidRPr="00DD69D5">
              <w:rPr>
                <w:rFonts w:ascii="Times New Roman" w:hAnsi="Times New Roman"/>
                <w:b/>
                <w:i/>
              </w:rPr>
              <w:t>СОЦИАЛНИ ВЪЗДЕЙСТВИЯ</w:t>
            </w:r>
          </w:p>
        </w:tc>
      </w:tr>
      <w:tr w:rsidR="00371B0D" w:rsidRPr="00DD69D5" w14:paraId="45C04CCE" w14:textId="77777777" w:rsidTr="009B365E">
        <w:tc>
          <w:tcPr>
            <w:tcW w:w="1843" w:type="dxa"/>
            <w:shd w:val="clear" w:color="auto" w:fill="D9D9D9" w:themeFill="background1" w:themeFillShade="D9"/>
            <w:vAlign w:val="center"/>
          </w:tcPr>
          <w:p w14:paraId="33A67E9E" w14:textId="77777777" w:rsidR="00371B0D" w:rsidRPr="00DD69D5" w:rsidRDefault="00371B0D" w:rsidP="009B365E">
            <w:pPr>
              <w:tabs>
                <w:tab w:val="left" w:pos="567"/>
              </w:tabs>
              <w:spacing w:after="120"/>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Вероятност въздействието да се прояви</w:t>
            </w:r>
          </w:p>
        </w:tc>
        <w:tc>
          <w:tcPr>
            <w:tcW w:w="2268" w:type="dxa"/>
            <w:shd w:val="clear" w:color="auto" w:fill="DEEAF6" w:themeFill="accent1" w:themeFillTint="33"/>
            <w:vAlign w:val="center"/>
          </w:tcPr>
          <w:p w14:paraId="15544260" w14:textId="77777777" w:rsidR="00371B0D" w:rsidRPr="00DD69D5" w:rsidRDefault="00371B0D" w:rsidP="009B365E">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Въздействие 1.</w:t>
            </w:r>
          </w:p>
          <w:p w14:paraId="5C832195" w14:textId="1BD7D981" w:rsidR="00371B0D" w:rsidRPr="00DD69D5" w:rsidRDefault="001A562D" w:rsidP="009B365E">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Малко вероятен принос за осигуряване на общественото здраве, предвид малко вероятните гаранции за доставката на достатъчно висококачествени и безопасни храни</w:t>
            </w:r>
          </w:p>
        </w:tc>
        <w:tc>
          <w:tcPr>
            <w:tcW w:w="2126" w:type="dxa"/>
            <w:shd w:val="clear" w:color="auto" w:fill="DEEAF6" w:themeFill="accent1" w:themeFillTint="33"/>
            <w:vAlign w:val="center"/>
          </w:tcPr>
          <w:p w14:paraId="2DAC40A0" w14:textId="77777777" w:rsidR="00371B0D" w:rsidRPr="00DD69D5" w:rsidRDefault="00371B0D" w:rsidP="009B365E">
            <w:pPr>
              <w:tabs>
                <w:tab w:val="left" w:pos="567"/>
              </w:tabs>
              <w:spacing w:after="120" w:line="276" w:lineRule="auto"/>
              <w:ind w:right="-108"/>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Въздействие 2.</w:t>
            </w:r>
          </w:p>
          <w:p w14:paraId="4437F864" w14:textId="428B15A4" w:rsidR="00371B0D" w:rsidRPr="00DD69D5" w:rsidRDefault="001A562D" w:rsidP="007E3C03">
            <w:pPr>
              <w:tabs>
                <w:tab w:val="left" w:pos="567"/>
              </w:tabs>
              <w:spacing w:after="120" w:line="276" w:lineRule="auto"/>
              <w:ind w:right="33"/>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 xml:space="preserve">Малко вероятен потенциал за </w:t>
            </w:r>
            <w:r w:rsidR="007E3C03">
              <w:rPr>
                <w:rFonts w:ascii="Times New Roman" w:hAnsi="Times New Roman"/>
                <w:b/>
                <w:color w:val="000000" w:themeColor="text1"/>
                <w:sz w:val="16"/>
                <w:szCs w:val="16"/>
              </w:rPr>
              <w:t>подобряване</w:t>
            </w:r>
            <w:r w:rsidRPr="00DD69D5">
              <w:rPr>
                <w:rFonts w:ascii="Times New Roman" w:hAnsi="Times New Roman"/>
                <w:b/>
                <w:color w:val="000000" w:themeColor="text1"/>
                <w:sz w:val="16"/>
                <w:szCs w:val="16"/>
              </w:rPr>
              <w:t xml:space="preserve"> благосъстоянието на възрастните хора и другите социално уязвими групи от обществото</w:t>
            </w:r>
          </w:p>
        </w:tc>
        <w:tc>
          <w:tcPr>
            <w:tcW w:w="2661" w:type="dxa"/>
            <w:shd w:val="clear" w:color="auto" w:fill="DEEAF6" w:themeFill="accent1" w:themeFillTint="33"/>
            <w:vAlign w:val="center"/>
          </w:tcPr>
          <w:p w14:paraId="3240EBFF" w14:textId="77777777" w:rsidR="00371B0D" w:rsidRPr="00DD69D5" w:rsidRDefault="00371B0D" w:rsidP="009B365E">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Въздействие 3.</w:t>
            </w:r>
          </w:p>
          <w:p w14:paraId="7FAA5D0A" w14:textId="16FE1D7B" w:rsidR="00371B0D" w:rsidRPr="00DD69D5" w:rsidRDefault="001A562D" w:rsidP="009B365E">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Малко вероятен потенциал за гарантиране продоволствената сигурност, т.к. не води до пълноценно функциониране на веригата на доставка на храни и земеделска продукция</w:t>
            </w:r>
          </w:p>
        </w:tc>
      </w:tr>
      <w:tr w:rsidR="00371B0D" w:rsidRPr="00DD69D5" w14:paraId="570938F2" w14:textId="77777777" w:rsidTr="009B365E">
        <w:tc>
          <w:tcPr>
            <w:tcW w:w="1843" w:type="dxa"/>
            <w:shd w:val="clear" w:color="auto" w:fill="D9D9D9" w:themeFill="background1" w:themeFillShade="D9"/>
          </w:tcPr>
          <w:p w14:paraId="7D4F648E" w14:textId="77777777" w:rsidR="00371B0D" w:rsidRPr="00DD69D5" w:rsidRDefault="00371B0D" w:rsidP="009B365E">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Ниска</w:t>
            </w:r>
          </w:p>
        </w:tc>
        <w:tc>
          <w:tcPr>
            <w:tcW w:w="2268" w:type="dxa"/>
            <w:vAlign w:val="center"/>
          </w:tcPr>
          <w:p w14:paraId="69D1A71A"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p>
        </w:tc>
        <w:tc>
          <w:tcPr>
            <w:tcW w:w="2126" w:type="dxa"/>
            <w:vAlign w:val="center"/>
          </w:tcPr>
          <w:p w14:paraId="2B0472AE" w14:textId="77777777" w:rsidR="00371B0D" w:rsidRPr="00DD69D5" w:rsidRDefault="00371B0D" w:rsidP="009B365E">
            <w:pPr>
              <w:tabs>
                <w:tab w:val="left" w:pos="567"/>
              </w:tabs>
              <w:spacing w:line="276" w:lineRule="auto"/>
              <w:ind w:right="-46"/>
              <w:jc w:val="center"/>
              <w:rPr>
                <w:rFonts w:ascii="Times New Roman" w:hAnsi="Times New Roman"/>
                <w:b/>
                <w:color w:val="000000" w:themeColor="text1"/>
                <w:sz w:val="16"/>
                <w:szCs w:val="16"/>
              </w:rPr>
            </w:pPr>
          </w:p>
        </w:tc>
        <w:tc>
          <w:tcPr>
            <w:tcW w:w="2661" w:type="dxa"/>
            <w:vAlign w:val="center"/>
          </w:tcPr>
          <w:p w14:paraId="64B035B4"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p>
        </w:tc>
      </w:tr>
      <w:tr w:rsidR="00371B0D" w:rsidRPr="00DD69D5" w14:paraId="6A7513C8" w14:textId="77777777" w:rsidTr="009B365E">
        <w:tc>
          <w:tcPr>
            <w:tcW w:w="1843" w:type="dxa"/>
            <w:shd w:val="clear" w:color="auto" w:fill="D9D9D9" w:themeFill="background1" w:themeFillShade="D9"/>
          </w:tcPr>
          <w:p w14:paraId="17DA6DBD" w14:textId="77777777" w:rsidR="00371B0D" w:rsidRPr="00DD69D5" w:rsidRDefault="00371B0D" w:rsidP="009B365E">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Средна</w:t>
            </w:r>
          </w:p>
        </w:tc>
        <w:tc>
          <w:tcPr>
            <w:tcW w:w="2268" w:type="dxa"/>
            <w:vAlign w:val="center"/>
          </w:tcPr>
          <w:p w14:paraId="31B0ACA0" w14:textId="77777777" w:rsidR="00371B0D" w:rsidRPr="00DD69D5" w:rsidRDefault="00371B0D" w:rsidP="009B365E">
            <w:pPr>
              <w:tabs>
                <w:tab w:val="left" w:pos="567"/>
              </w:tabs>
              <w:spacing w:line="276" w:lineRule="auto"/>
              <w:ind w:right="232"/>
              <w:jc w:val="center"/>
              <w:rPr>
                <w:rFonts w:ascii="Times New Roman" w:hAnsi="Times New Roman"/>
                <w:b/>
                <w:i/>
                <w:color w:val="000000" w:themeColor="text1"/>
                <w:sz w:val="16"/>
                <w:szCs w:val="16"/>
              </w:rPr>
            </w:pPr>
          </w:p>
        </w:tc>
        <w:tc>
          <w:tcPr>
            <w:tcW w:w="2126" w:type="dxa"/>
            <w:vAlign w:val="center"/>
          </w:tcPr>
          <w:p w14:paraId="61DB3C1B"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c>
          <w:tcPr>
            <w:tcW w:w="2661" w:type="dxa"/>
            <w:vAlign w:val="center"/>
          </w:tcPr>
          <w:p w14:paraId="329DCAAD" w14:textId="77777777" w:rsidR="00371B0D" w:rsidRPr="00DD69D5" w:rsidRDefault="00371B0D" w:rsidP="009B365E">
            <w:pPr>
              <w:tabs>
                <w:tab w:val="left" w:pos="567"/>
              </w:tabs>
              <w:spacing w:line="276" w:lineRule="auto"/>
              <w:ind w:right="232"/>
              <w:jc w:val="center"/>
              <w:rPr>
                <w:rFonts w:ascii="Times New Roman" w:hAnsi="Times New Roman"/>
                <w:b/>
                <w:i/>
                <w:color w:val="000000" w:themeColor="text1"/>
                <w:sz w:val="16"/>
                <w:szCs w:val="16"/>
              </w:rPr>
            </w:pPr>
          </w:p>
        </w:tc>
      </w:tr>
      <w:tr w:rsidR="00371B0D" w:rsidRPr="00DD69D5" w14:paraId="65E0F50B" w14:textId="77777777" w:rsidTr="009B365E">
        <w:tc>
          <w:tcPr>
            <w:tcW w:w="1843" w:type="dxa"/>
            <w:shd w:val="clear" w:color="auto" w:fill="D9D9D9" w:themeFill="background1" w:themeFillShade="D9"/>
          </w:tcPr>
          <w:p w14:paraId="2884BDB1" w14:textId="77777777" w:rsidR="00371B0D" w:rsidRPr="00DD69D5" w:rsidRDefault="00371B0D" w:rsidP="009B365E">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Висока</w:t>
            </w:r>
          </w:p>
        </w:tc>
        <w:tc>
          <w:tcPr>
            <w:tcW w:w="2268" w:type="dxa"/>
            <w:vAlign w:val="center"/>
          </w:tcPr>
          <w:p w14:paraId="076E0792" w14:textId="77777777" w:rsidR="00371B0D" w:rsidRPr="00DD69D5" w:rsidRDefault="00371B0D" w:rsidP="009B365E">
            <w:pPr>
              <w:tabs>
                <w:tab w:val="left" w:pos="567"/>
              </w:tabs>
              <w:spacing w:line="276" w:lineRule="auto"/>
              <w:ind w:right="232"/>
              <w:jc w:val="center"/>
              <w:rPr>
                <w:rFonts w:ascii="Times New Roman" w:hAnsi="Times New Roman"/>
                <w:b/>
                <w:i/>
                <w:color w:val="000000" w:themeColor="text1"/>
                <w:sz w:val="16"/>
                <w:szCs w:val="16"/>
              </w:rPr>
            </w:pPr>
            <w:r w:rsidRPr="00DD69D5">
              <w:rPr>
                <w:rFonts w:ascii="Times New Roman" w:hAnsi="Times New Roman"/>
                <w:b/>
                <w:color w:val="000000" w:themeColor="text1"/>
                <w:sz w:val="16"/>
                <w:szCs w:val="16"/>
              </w:rPr>
              <w:t>Х</w:t>
            </w:r>
          </w:p>
        </w:tc>
        <w:tc>
          <w:tcPr>
            <w:tcW w:w="2126" w:type="dxa"/>
            <w:vAlign w:val="center"/>
          </w:tcPr>
          <w:p w14:paraId="23251E78" w14:textId="77777777" w:rsidR="00371B0D" w:rsidRPr="00DD69D5" w:rsidRDefault="00371B0D" w:rsidP="009B365E">
            <w:pPr>
              <w:tabs>
                <w:tab w:val="left" w:pos="567"/>
              </w:tabs>
              <w:spacing w:line="276" w:lineRule="auto"/>
              <w:ind w:right="232"/>
              <w:jc w:val="center"/>
              <w:rPr>
                <w:rFonts w:ascii="Times New Roman" w:hAnsi="Times New Roman"/>
                <w:b/>
                <w:i/>
                <w:color w:val="000000" w:themeColor="text1"/>
                <w:sz w:val="16"/>
                <w:szCs w:val="16"/>
              </w:rPr>
            </w:pPr>
          </w:p>
        </w:tc>
        <w:tc>
          <w:tcPr>
            <w:tcW w:w="2661" w:type="dxa"/>
            <w:vAlign w:val="center"/>
          </w:tcPr>
          <w:p w14:paraId="620E9E6F" w14:textId="77777777" w:rsidR="00371B0D" w:rsidRPr="00DD69D5" w:rsidRDefault="00371B0D" w:rsidP="009B365E">
            <w:pPr>
              <w:tabs>
                <w:tab w:val="left" w:pos="567"/>
              </w:tabs>
              <w:spacing w:line="276" w:lineRule="auto"/>
              <w:ind w:right="232"/>
              <w:jc w:val="center"/>
              <w:rPr>
                <w:rFonts w:ascii="Times New Roman" w:hAnsi="Times New Roman"/>
                <w:b/>
                <w:i/>
                <w:color w:val="000000" w:themeColor="text1"/>
                <w:sz w:val="16"/>
                <w:szCs w:val="16"/>
              </w:rPr>
            </w:pPr>
            <w:r w:rsidRPr="00DD69D5">
              <w:rPr>
                <w:rFonts w:ascii="Times New Roman" w:hAnsi="Times New Roman"/>
                <w:b/>
                <w:color w:val="000000" w:themeColor="text1"/>
                <w:sz w:val="16"/>
                <w:szCs w:val="16"/>
              </w:rPr>
              <w:t>Х</w:t>
            </w:r>
          </w:p>
        </w:tc>
      </w:tr>
      <w:tr w:rsidR="00371B0D" w:rsidRPr="00DD69D5" w14:paraId="23FF6986" w14:textId="77777777" w:rsidTr="009B365E">
        <w:tc>
          <w:tcPr>
            <w:tcW w:w="1843" w:type="dxa"/>
            <w:shd w:val="clear" w:color="auto" w:fill="5B9BD5" w:themeFill="accent1"/>
            <w:vAlign w:val="center"/>
          </w:tcPr>
          <w:p w14:paraId="02259658" w14:textId="77777777" w:rsidR="00371B0D" w:rsidRPr="00DD69D5" w:rsidRDefault="00371B0D" w:rsidP="009B365E">
            <w:pPr>
              <w:spacing w:before="120" w:after="120"/>
              <w:jc w:val="center"/>
              <w:rPr>
                <w:rFonts w:ascii="Times New Roman" w:hAnsi="Times New Roman"/>
                <w:b/>
                <w:i/>
              </w:rPr>
            </w:pPr>
            <w:r w:rsidRPr="00DD69D5">
              <w:rPr>
                <w:rFonts w:ascii="Times New Roman" w:hAnsi="Times New Roman"/>
                <w:b/>
              </w:rPr>
              <w:t>Вариант 1: „Нерегулаторен“</w:t>
            </w:r>
          </w:p>
        </w:tc>
        <w:tc>
          <w:tcPr>
            <w:tcW w:w="7055" w:type="dxa"/>
            <w:gridSpan w:val="3"/>
            <w:shd w:val="clear" w:color="auto" w:fill="BFBFBF" w:themeFill="background1" w:themeFillShade="BF"/>
            <w:vAlign w:val="center"/>
          </w:tcPr>
          <w:p w14:paraId="77055E4B" w14:textId="77777777" w:rsidR="00371B0D" w:rsidRPr="00DD69D5" w:rsidRDefault="00371B0D" w:rsidP="009B365E">
            <w:pPr>
              <w:tabs>
                <w:tab w:val="left" w:pos="567"/>
              </w:tabs>
              <w:spacing w:after="120" w:line="276" w:lineRule="auto"/>
              <w:ind w:right="232"/>
              <w:jc w:val="center"/>
              <w:rPr>
                <w:rFonts w:ascii="Times New Roman" w:hAnsi="Times New Roman"/>
                <w:b/>
              </w:rPr>
            </w:pPr>
            <w:r w:rsidRPr="00DD69D5">
              <w:rPr>
                <w:rFonts w:ascii="Times New Roman" w:hAnsi="Times New Roman"/>
                <w:b/>
                <w:i/>
              </w:rPr>
              <w:t>ЕКОЛОГИЧНИ ВЪЗДЕЙСТВИЯ</w:t>
            </w:r>
          </w:p>
        </w:tc>
      </w:tr>
      <w:tr w:rsidR="00371B0D" w:rsidRPr="00DD69D5" w14:paraId="1870D101" w14:textId="77777777" w:rsidTr="009B365E">
        <w:tc>
          <w:tcPr>
            <w:tcW w:w="1843" w:type="dxa"/>
            <w:shd w:val="clear" w:color="auto" w:fill="D9D9D9" w:themeFill="background1" w:themeFillShade="D9"/>
            <w:vAlign w:val="center"/>
          </w:tcPr>
          <w:p w14:paraId="187FF10E" w14:textId="77777777" w:rsidR="00371B0D" w:rsidRPr="00DD69D5" w:rsidRDefault="00371B0D" w:rsidP="009B365E">
            <w:pPr>
              <w:tabs>
                <w:tab w:val="left" w:pos="567"/>
              </w:tabs>
              <w:spacing w:after="120"/>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 xml:space="preserve">Вероятност въздействието да </w:t>
            </w:r>
            <w:r w:rsidRPr="00DD69D5">
              <w:rPr>
                <w:rFonts w:ascii="Times New Roman" w:hAnsi="Times New Roman"/>
                <w:b/>
                <w:color w:val="000000" w:themeColor="text1"/>
                <w:sz w:val="16"/>
                <w:szCs w:val="16"/>
              </w:rPr>
              <w:lastRenderedPageBreak/>
              <w:t>се прояви</w:t>
            </w:r>
          </w:p>
        </w:tc>
        <w:tc>
          <w:tcPr>
            <w:tcW w:w="2268" w:type="dxa"/>
            <w:shd w:val="clear" w:color="auto" w:fill="DEEAF6" w:themeFill="accent1" w:themeFillTint="33"/>
          </w:tcPr>
          <w:p w14:paraId="7F4F6279" w14:textId="77777777" w:rsidR="00371B0D" w:rsidRPr="00DD69D5" w:rsidRDefault="00371B0D" w:rsidP="009B365E">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lastRenderedPageBreak/>
              <w:t>Въздействие 1.</w:t>
            </w:r>
          </w:p>
          <w:p w14:paraId="2381CB99" w14:textId="14D5CBCF" w:rsidR="00371B0D" w:rsidRPr="00DD69D5" w:rsidRDefault="001A562D" w:rsidP="009B365E">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lastRenderedPageBreak/>
              <w:t>Малко вероятен принос за повишаване нивото на подготвеност за посрещане на евентуални негативни ефекти от настъпването на климатични промени</w:t>
            </w:r>
          </w:p>
        </w:tc>
        <w:tc>
          <w:tcPr>
            <w:tcW w:w="2126" w:type="dxa"/>
            <w:shd w:val="clear" w:color="auto" w:fill="DEEAF6" w:themeFill="accent1" w:themeFillTint="33"/>
          </w:tcPr>
          <w:p w14:paraId="456C6800" w14:textId="77777777" w:rsidR="00371B0D" w:rsidRPr="00DD69D5" w:rsidRDefault="00371B0D" w:rsidP="009B365E">
            <w:pPr>
              <w:tabs>
                <w:tab w:val="left" w:pos="567"/>
              </w:tabs>
              <w:spacing w:after="120" w:line="276" w:lineRule="auto"/>
              <w:ind w:right="-108"/>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lastRenderedPageBreak/>
              <w:t>Въздействие 2.</w:t>
            </w:r>
          </w:p>
          <w:p w14:paraId="6ADEA369" w14:textId="0D32665D" w:rsidR="00371B0D" w:rsidRPr="00DD69D5" w:rsidRDefault="001A562D" w:rsidP="001A562D">
            <w:pPr>
              <w:tabs>
                <w:tab w:val="left" w:pos="567"/>
              </w:tabs>
              <w:spacing w:after="120" w:line="276" w:lineRule="auto"/>
              <w:ind w:right="33"/>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lastRenderedPageBreak/>
              <w:t>Малко вероятен принос за повишаване нивото на подготвеност за посрещане на евентуални негативни ефекти от настъпването на климатични промени</w:t>
            </w:r>
          </w:p>
        </w:tc>
        <w:tc>
          <w:tcPr>
            <w:tcW w:w="2661" w:type="dxa"/>
            <w:shd w:val="clear" w:color="auto" w:fill="DEEAF6" w:themeFill="accent1" w:themeFillTint="33"/>
          </w:tcPr>
          <w:p w14:paraId="7A2FE40F" w14:textId="77777777" w:rsidR="00371B0D" w:rsidRPr="00DD69D5" w:rsidRDefault="00371B0D" w:rsidP="009B365E">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lastRenderedPageBreak/>
              <w:t>Въздействие 3.</w:t>
            </w:r>
          </w:p>
          <w:p w14:paraId="1A4D0977" w14:textId="40C096DE" w:rsidR="00371B0D" w:rsidRPr="00DD69D5" w:rsidRDefault="001A562D" w:rsidP="009B365E">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lastRenderedPageBreak/>
              <w:t>Малко вероятни възможности за въвеждането на устойчиви модели на потребление и производство за преминаване към по-щадящи околната среда работни процеси</w:t>
            </w:r>
          </w:p>
        </w:tc>
      </w:tr>
      <w:tr w:rsidR="00371B0D" w:rsidRPr="00DD69D5" w14:paraId="0C74D175" w14:textId="77777777" w:rsidTr="009B365E">
        <w:tc>
          <w:tcPr>
            <w:tcW w:w="1843" w:type="dxa"/>
            <w:shd w:val="clear" w:color="auto" w:fill="D9D9D9" w:themeFill="background1" w:themeFillShade="D9"/>
          </w:tcPr>
          <w:p w14:paraId="3B0EE4BC" w14:textId="77777777" w:rsidR="00371B0D" w:rsidRPr="00DD69D5" w:rsidRDefault="00371B0D" w:rsidP="009B365E">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lastRenderedPageBreak/>
              <w:t>Ниска</w:t>
            </w:r>
          </w:p>
        </w:tc>
        <w:tc>
          <w:tcPr>
            <w:tcW w:w="2268" w:type="dxa"/>
            <w:vAlign w:val="center"/>
          </w:tcPr>
          <w:p w14:paraId="4569E42D"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p>
        </w:tc>
        <w:tc>
          <w:tcPr>
            <w:tcW w:w="2126" w:type="dxa"/>
            <w:vAlign w:val="center"/>
          </w:tcPr>
          <w:p w14:paraId="0A637110" w14:textId="77777777" w:rsidR="00371B0D" w:rsidRPr="00DD69D5" w:rsidRDefault="00371B0D" w:rsidP="009B365E">
            <w:pPr>
              <w:tabs>
                <w:tab w:val="left" w:pos="567"/>
              </w:tabs>
              <w:spacing w:line="276" w:lineRule="auto"/>
              <w:ind w:right="-46"/>
              <w:jc w:val="center"/>
              <w:rPr>
                <w:rFonts w:ascii="Times New Roman" w:hAnsi="Times New Roman"/>
                <w:b/>
                <w:color w:val="000000" w:themeColor="text1"/>
                <w:sz w:val="16"/>
                <w:szCs w:val="16"/>
              </w:rPr>
            </w:pPr>
          </w:p>
        </w:tc>
        <w:tc>
          <w:tcPr>
            <w:tcW w:w="2661" w:type="dxa"/>
            <w:vAlign w:val="center"/>
          </w:tcPr>
          <w:p w14:paraId="23F516B5"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p>
        </w:tc>
      </w:tr>
      <w:tr w:rsidR="00371B0D" w:rsidRPr="00DD69D5" w14:paraId="3975C559" w14:textId="77777777" w:rsidTr="009B365E">
        <w:tc>
          <w:tcPr>
            <w:tcW w:w="1843" w:type="dxa"/>
            <w:shd w:val="clear" w:color="auto" w:fill="D9D9D9" w:themeFill="background1" w:themeFillShade="D9"/>
          </w:tcPr>
          <w:p w14:paraId="789435B7" w14:textId="77777777" w:rsidR="00371B0D" w:rsidRPr="00DD69D5" w:rsidRDefault="00371B0D" w:rsidP="009B365E">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Средна</w:t>
            </w:r>
          </w:p>
        </w:tc>
        <w:tc>
          <w:tcPr>
            <w:tcW w:w="2268" w:type="dxa"/>
            <w:vAlign w:val="center"/>
          </w:tcPr>
          <w:p w14:paraId="68DDA0DE" w14:textId="374DBC6B" w:rsidR="00371B0D" w:rsidRPr="00DD69D5" w:rsidRDefault="00417139" w:rsidP="009B365E">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c>
          <w:tcPr>
            <w:tcW w:w="2126" w:type="dxa"/>
            <w:vAlign w:val="center"/>
          </w:tcPr>
          <w:p w14:paraId="19715A5D"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p>
        </w:tc>
        <w:tc>
          <w:tcPr>
            <w:tcW w:w="2661" w:type="dxa"/>
            <w:vAlign w:val="center"/>
          </w:tcPr>
          <w:p w14:paraId="2CA462F9"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p>
        </w:tc>
      </w:tr>
      <w:tr w:rsidR="00371B0D" w:rsidRPr="00DD69D5" w14:paraId="27109219" w14:textId="77777777" w:rsidTr="009B365E">
        <w:tc>
          <w:tcPr>
            <w:tcW w:w="1843" w:type="dxa"/>
            <w:shd w:val="clear" w:color="auto" w:fill="D9D9D9" w:themeFill="background1" w:themeFillShade="D9"/>
          </w:tcPr>
          <w:p w14:paraId="7620A778" w14:textId="77777777" w:rsidR="00371B0D" w:rsidRPr="00DD69D5" w:rsidRDefault="00371B0D" w:rsidP="009B365E">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Висока</w:t>
            </w:r>
          </w:p>
        </w:tc>
        <w:tc>
          <w:tcPr>
            <w:tcW w:w="2268" w:type="dxa"/>
            <w:vAlign w:val="center"/>
          </w:tcPr>
          <w:p w14:paraId="5DC59303" w14:textId="02349BE8"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p>
        </w:tc>
        <w:tc>
          <w:tcPr>
            <w:tcW w:w="2126" w:type="dxa"/>
            <w:vAlign w:val="center"/>
          </w:tcPr>
          <w:p w14:paraId="7FA5D3FF" w14:textId="792D024D"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p>
        </w:tc>
        <w:tc>
          <w:tcPr>
            <w:tcW w:w="2661" w:type="dxa"/>
            <w:vAlign w:val="center"/>
          </w:tcPr>
          <w:p w14:paraId="17C2CBC9"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r>
    </w:tbl>
    <w:p w14:paraId="4BF8DE7D" w14:textId="77777777" w:rsidR="00371B0D" w:rsidRPr="00DD69D5" w:rsidRDefault="00371B0D" w:rsidP="00B52FBE">
      <w:pPr>
        <w:spacing w:after="0"/>
        <w:ind w:firstLine="567"/>
        <w:jc w:val="both"/>
        <w:rPr>
          <w:rFonts w:ascii="Times New Roman" w:hAnsi="Times New Roman"/>
          <w:b/>
          <w:sz w:val="24"/>
          <w:szCs w:val="24"/>
        </w:rPr>
      </w:pPr>
    </w:p>
    <w:p w14:paraId="70C5E3A2" w14:textId="7FAEDFDE" w:rsidR="00B52FBE" w:rsidRPr="00DD69D5" w:rsidRDefault="00B52FBE" w:rsidP="00B52FBE">
      <w:pPr>
        <w:spacing w:after="0"/>
        <w:ind w:firstLine="567"/>
        <w:jc w:val="both"/>
        <w:rPr>
          <w:rFonts w:ascii="Times New Roman" w:hAnsi="Times New Roman"/>
          <w:b/>
          <w:sz w:val="24"/>
          <w:szCs w:val="24"/>
        </w:rPr>
      </w:pPr>
      <w:r w:rsidRPr="00DD69D5">
        <w:rPr>
          <w:rFonts w:ascii="Times New Roman" w:hAnsi="Times New Roman"/>
          <w:b/>
          <w:sz w:val="24"/>
          <w:szCs w:val="24"/>
        </w:rPr>
        <w:t xml:space="preserve">Таблица </w:t>
      </w:r>
      <w:r w:rsidRPr="00DD69D5">
        <w:rPr>
          <w:rFonts w:ascii="Times New Roman" w:hAnsi="Times New Roman" w:cs="Times New Roman"/>
          <w:b/>
          <w:sz w:val="24"/>
          <w:szCs w:val="24"/>
        </w:rPr>
        <w:t xml:space="preserve">№ </w:t>
      </w:r>
      <w:r w:rsidR="00A50666" w:rsidRPr="00DD69D5">
        <w:rPr>
          <w:rFonts w:ascii="Times New Roman" w:hAnsi="Times New Roman"/>
          <w:b/>
          <w:sz w:val="24"/>
          <w:szCs w:val="24"/>
        </w:rPr>
        <w:t>5</w:t>
      </w:r>
      <w:r w:rsidR="007848EC" w:rsidRPr="00DD69D5">
        <w:rPr>
          <w:rFonts w:ascii="Times New Roman" w:hAnsi="Times New Roman"/>
          <w:b/>
          <w:sz w:val="24"/>
          <w:szCs w:val="24"/>
        </w:rPr>
        <w:t>.</w:t>
      </w:r>
      <w:r w:rsidRPr="00DD69D5">
        <w:rPr>
          <w:rFonts w:ascii="Times New Roman" w:hAnsi="Times New Roman"/>
          <w:b/>
          <w:sz w:val="24"/>
          <w:szCs w:val="24"/>
        </w:rPr>
        <w:t xml:space="preserve"> Матрица на въздействията на Вариант </w:t>
      </w:r>
      <w:r w:rsidR="002A29BE" w:rsidRPr="00DD69D5">
        <w:rPr>
          <w:rFonts w:ascii="Times New Roman" w:hAnsi="Times New Roman"/>
          <w:b/>
          <w:sz w:val="24"/>
          <w:szCs w:val="24"/>
        </w:rPr>
        <w:t>2</w:t>
      </w:r>
      <w:r w:rsidRPr="00DD69D5">
        <w:rPr>
          <w:rFonts w:ascii="Times New Roman" w:hAnsi="Times New Roman"/>
          <w:b/>
          <w:sz w:val="24"/>
          <w:szCs w:val="24"/>
        </w:rPr>
        <w:t>: „Регулатор</w:t>
      </w:r>
      <w:r w:rsidR="00371B0D" w:rsidRPr="00DD69D5">
        <w:rPr>
          <w:rFonts w:ascii="Times New Roman" w:hAnsi="Times New Roman"/>
          <w:b/>
          <w:sz w:val="24"/>
          <w:szCs w:val="24"/>
        </w:rPr>
        <w:t>е</w:t>
      </w:r>
      <w:r w:rsidRPr="00DD69D5">
        <w:rPr>
          <w:rFonts w:ascii="Times New Roman" w:hAnsi="Times New Roman"/>
          <w:b/>
          <w:sz w:val="24"/>
          <w:szCs w:val="24"/>
        </w:rPr>
        <w:t xml:space="preserve">н </w:t>
      </w:r>
      <w:r w:rsidR="00371B0D" w:rsidRPr="00DD69D5">
        <w:rPr>
          <w:rFonts w:ascii="Times New Roman" w:hAnsi="Times New Roman"/>
          <w:b/>
          <w:sz w:val="24"/>
          <w:szCs w:val="24"/>
        </w:rPr>
        <w:t>-</w:t>
      </w:r>
      <w:r w:rsidRPr="00DD69D5">
        <w:rPr>
          <w:rFonts w:ascii="Times New Roman" w:hAnsi="Times New Roman"/>
          <w:b/>
          <w:sz w:val="24"/>
          <w:szCs w:val="24"/>
        </w:rPr>
        <w:t xml:space="preserve"> промени в действащата </w:t>
      </w:r>
      <w:r w:rsidR="00371B0D" w:rsidRPr="00DD69D5">
        <w:rPr>
          <w:rFonts w:ascii="Times New Roman" w:hAnsi="Times New Roman"/>
          <w:b/>
          <w:sz w:val="24"/>
          <w:szCs w:val="24"/>
        </w:rPr>
        <w:t xml:space="preserve">правна </w:t>
      </w:r>
      <w:r w:rsidRPr="00DD69D5">
        <w:rPr>
          <w:rFonts w:ascii="Times New Roman" w:hAnsi="Times New Roman"/>
          <w:b/>
          <w:sz w:val="24"/>
          <w:szCs w:val="24"/>
        </w:rPr>
        <w:t>уредба“</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28"/>
        <w:gridCol w:w="2008"/>
        <w:gridCol w:w="2127"/>
        <w:gridCol w:w="2401"/>
      </w:tblGrid>
      <w:tr w:rsidR="00380E68" w:rsidRPr="00DD69D5" w14:paraId="00D14650" w14:textId="77777777" w:rsidTr="00A642C4">
        <w:tc>
          <w:tcPr>
            <w:tcW w:w="2528" w:type="dxa"/>
            <w:shd w:val="clear" w:color="auto" w:fill="5B9BD5" w:themeFill="accent1"/>
            <w:vAlign w:val="center"/>
          </w:tcPr>
          <w:p w14:paraId="72BAB6DC" w14:textId="53E219E6" w:rsidR="00380E68" w:rsidRPr="00DD69D5" w:rsidRDefault="00371B0D" w:rsidP="00747C8B">
            <w:pPr>
              <w:spacing w:before="120" w:after="120"/>
              <w:jc w:val="center"/>
              <w:rPr>
                <w:rFonts w:ascii="Times New Roman" w:hAnsi="Times New Roman"/>
                <w:b/>
                <w:i/>
              </w:rPr>
            </w:pPr>
            <w:r w:rsidRPr="00DD69D5">
              <w:rPr>
                <w:rFonts w:ascii="Times New Roman" w:hAnsi="Times New Roman"/>
                <w:b/>
              </w:rPr>
              <w:t>Вариант 2: „Регулаторен - промени в действащата правна уредба“</w:t>
            </w:r>
          </w:p>
        </w:tc>
        <w:tc>
          <w:tcPr>
            <w:tcW w:w="6536" w:type="dxa"/>
            <w:gridSpan w:val="3"/>
            <w:shd w:val="clear" w:color="auto" w:fill="BFBFBF" w:themeFill="background1" w:themeFillShade="BF"/>
            <w:vAlign w:val="center"/>
          </w:tcPr>
          <w:p w14:paraId="0005FD41" w14:textId="77777777" w:rsidR="00380E68" w:rsidRPr="00DD69D5" w:rsidRDefault="00B52FBE" w:rsidP="00747C8B">
            <w:pPr>
              <w:tabs>
                <w:tab w:val="left" w:pos="567"/>
              </w:tabs>
              <w:spacing w:after="120" w:line="276" w:lineRule="auto"/>
              <w:ind w:right="232"/>
              <w:jc w:val="center"/>
              <w:rPr>
                <w:rFonts w:ascii="Times New Roman" w:hAnsi="Times New Roman"/>
                <w:b/>
              </w:rPr>
            </w:pPr>
            <w:r w:rsidRPr="00DD69D5">
              <w:rPr>
                <w:rFonts w:ascii="Times New Roman" w:hAnsi="Times New Roman"/>
                <w:b/>
                <w:i/>
              </w:rPr>
              <w:t>ИКОНОМИЧЕСКИ ВЪЗДЕЙСТВИЯ</w:t>
            </w:r>
          </w:p>
        </w:tc>
      </w:tr>
      <w:tr w:rsidR="00380E68" w:rsidRPr="00DD69D5" w14:paraId="65C7FED6" w14:textId="77777777" w:rsidTr="004E7F56">
        <w:tc>
          <w:tcPr>
            <w:tcW w:w="2528" w:type="dxa"/>
            <w:shd w:val="clear" w:color="auto" w:fill="D9D9D9" w:themeFill="background1" w:themeFillShade="D9"/>
            <w:vAlign w:val="center"/>
          </w:tcPr>
          <w:p w14:paraId="7783182B" w14:textId="77777777" w:rsidR="00380E68" w:rsidRPr="00DD69D5" w:rsidRDefault="00380E68" w:rsidP="00D77C2D">
            <w:pPr>
              <w:tabs>
                <w:tab w:val="left" w:pos="567"/>
              </w:tabs>
              <w:spacing w:after="120"/>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Вероятност въздействието да се прояви</w:t>
            </w:r>
          </w:p>
        </w:tc>
        <w:tc>
          <w:tcPr>
            <w:tcW w:w="2008" w:type="dxa"/>
            <w:shd w:val="clear" w:color="auto" w:fill="DEEAF6" w:themeFill="accent1" w:themeFillTint="33"/>
          </w:tcPr>
          <w:p w14:paraId="7B431E73" w14:textId="77777777" w:rsidR="00380E68" w:rsidRPr="00DD69D5" w:rsidRDefault="00380E68" w:rsidP="00CA4186">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 xml:space="preserve">Въздействие </w:t>
            </w:r>
            <w:r w:rsidR="002A29BE" w:rsidRPr="00DD69D5">
              <w:rPr>
                <w:rFonts w:ascii="Times New Roman" w:hAnsi="Times New Roman"/>
                <w:b/>
                <w:color w:val="000000" w:themeColor="text1"/>
                <w:sz w:val="16"/>
                <w:szCs w:val="16"/>
              </w:rPr>
              <w:t xml:space="preserve">1. </w:t>
            </w:r>
          </w:p>
          <w:p w14:paraId="58F41B3C" w14:textId="11EDA073" w:rsidR="00967227" w:rsidRPr="00DD69D5" w:rsidRDefault="001A562D" w:rsidP="00CA4186">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Частично положително влияние върху конкуренцията, увеличаването на  избора на потребителите и постигане на по-ниски цени на основните земеделски продукти и храни</w:t>
            </w:r>
          </w:p>
        </w:tc>
        <w:tc>
          <w:tcPr>
            <w:tcW w:w="2127" w:type="dxa"/>
            <w:shd w:val="clear" w:color="auto" w:fill="DEEAF6" w:themeFill="accent1" w:themeFillTint="33"/>
          </w:tcPr>
          <w:p w14:paraId="27C5B792" w14:textId="77777777" w:rsidR="002A29BE" w:rsidRPr="00DD69D5" w:rsidRDefault="002A29BE" w:rsidP="00D77C2D">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 xml:space="preserve">Въздействие 2. </w:t>
            </w:r>
          </w:p>
          <w:p w14:paraId="58D13525" w14:textId="74F8CB16" w:rsidR="00380E68" w:rsidRPr="00DD69D5" w:rsidRDefault="001A562D" w:rsidP="001C549F">
            <w:pPr>
              <w:tabs>
                <w:tab w:val="left" w:pos="567"/>
              </w:tabs>
              <w:spacing w:after="120" w:line="276" w:lineRule="auto"/>
              <w:ind w:right="232"/>
              <w:jc w:val="center"/>
              <w:rPr>
                <w:rFonts w:ascii="Times New Roman" w:hAnsi="Times New Roman"/>
                <w:b/>
                <w:color w:val="000000" w:themeColor="text1"/>
                <w:sz w:val="16"/>
                <w:szCs w:val="16"/>
              </w:rPr>
            </w:pPr>
            <w:r w:rsidRPr="00B83A67">
              <w:rPr>
                <w:rFonts w:ascii="Times New Roman" w:hAnsi="Times New Roman"/>
                <w:b/>
                <w:color w:val="000000" w:themeColor="text1"/>
                <w:sz w:val="16"/>
                <w:szCs w:val="16"/>
              </w:rPr>
              <w:t xml:space="preserve">Непълен потенциал за постигане на </w:t>
            </w:r>
            <w:r w:rsidR="001C549F" w:rsidRPr="00B83A67">
              <w:rPr>
                <w:rFonts w:ascii="Times New Roman" w:hAnsi="Times New Roman"/>
                <w:b/>
                <w:color w:val="000000" w:themeColor="text1"/>
                <w:sz w:val="16"/>
                <w:szCs w:val="16"/>
              </w:rPr>
              <w:t xml:space="preserve">продоволствена </w:t>
            </w:r>
            <w:r w:rsidRPr="00B83A67">
              <w:rPr>
                <w:rFonts w:ascii="Times New Roman" w:hAnsi="Times New Roman"/>
                <w:b/>
                <w:color w:val="000000" w:themeColor="text1"/>
                <w:sz w:val="16"/>
                <w:szCs w:val="16"/>
              </w:rPr>
              <w:t>сигурност и на устойчиво селско стопанство</w:t>
            </w:r>
          </w:p>
        </w:tc>
        <w:tc>
          <w:tcPr>
            <w:tcW w:w="2401" w:type="dxa"/>
            <w:shd w:val="clear" w:color="auto" w:fill="DEEAF6" w:themeFill="accent1" w:themeFillTint="33"/>
          </w:tcPr>
          <w:p w14:paraId="6CF0A29B" w14:textId="77777777" w:rsidR="002A29BE" w:rsidRPr="00DD69D5" w:rsidRDefault="002A29BE" w:rsidP="00D77C2D">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 xml:space="preserve">Въздействие 3. </w:t>
            </w:r>
          </w:p>
          <w:p w14:paraId="669B102A" w14:textId="2A1CC1AE" w:rsidR="00380E68" w:rsidRPr="00DD69D5" w:rsidRDefault="001A562D" w:rsidP="00D77C2D">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sz w:val="16"/>
                <w:szCs w:val="16"/>
              </w:rPr>
              <w:t>Частично насърчаване на реална конкурентна среда, правна сигурност, равнопоставеност в отношенията по веригата и пропорционалност при разпределението на добавената стойност по нея</w:t>
            </w:r>
          </w:p>
        </w:tc>
      </w:tr>
      <w:tr w:rsidR="00380E68" w:rsidRPr="00DD69D5" w14:paraId="236432FD" w14:textId="77777777" w:rsidTr="00BE4797">
        <w:tc>
          <w:tcPr>
            <w:tcW w:w="2528" w:type="dxa"/>
            <w:shd w:val="clear" w:color="auto" w:fill="D9D9D9" w:themeFill="background1" w:themeFillShade="D9"/>
          </w:tcPr>
          <w:p w14:paraId="448840F1" w14:textId="77777777" w:rsidR="00380E68" w:rsidRPr="00DD69D5" w:rsidRDefault="00380E68" w:rsidP="00D77C2D">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Ниска</w:t>
            </w:r>
          </w:p>
        </w:tc>
        <w:tc>
          <w:tcPr>
            <w:tcW w:w="2008" w:type="dxa"/>
            <w:vAlign w:val="center"/>
          </w:tcPr>
          <w:p w14:paraId="3A30384A" w14:textId="77777777" w:rsidR="00380E68" w:rsidRPr="00DD69D5" w:rsidRDefault="00380E68" w:rsidP="00D77C2D">
            <w:pPr>
              <w:tabs>
                <w:tab w:val="left" w:pos="567"/>
              </w:tabs>
              <w:spacing w:line="276" w:lineRule="auto"/>
              <w:ind w:right="232"/>
              <w:jc w:val="center"/>
              <w:rPr>
                <w:rFonts w:ascii="Times New Roman" w:hAnsi="Times New Roman"/>
                <w:b/>
                <w:color w:val="000000" w:themeColor="text1"/>
                <w:sz w:val="16"/>
                <w:szCs w:val="16"/>
              </w:rPr>
            </w:pPr>
          </w:p>
        </w:tc>
        <w:tc>
          <w:tcPr>
            <w:tcW w:w="2127" w:type="dxa"/>
            <w:vAlign w:val="center"/>
          </w:tcPr>
          <w:p w14:paraId="66EC4772" w14:textId="77777777" w:rsidR="00380E68" w:rsidRPr="00DD69D5" w:rsidRDefault="00380E68" w:rsidP="00D77C2D">
            <w:pPr>
              <w:tabs>
                <w:tab w:val="left" w:pos="567"/>
              </w:tabs>
              <w:spacing w:line="276" w:lineRule="auto"/>
              <w:ind w:right="-46"/>
              <w:jc w:val="center"/>
              <w:rPr>
                <w:rFonts w:ascii="Times New Roman" w:hAnsi="Times New Roman"/>
                <w:b/>
                <w:color w:val="000000" w:themeColor="text1"/>
                <w:sz w:val="16"/>
                <w:szCs w:val="16"/>
              </w:rPr>
            </w:pPr>
          </w:p>
        </w:tc>
        <w:tc>
          <w:tcPr>
            <w:tcW w:w="2401" w:type="dxa"/>
            <w:vAlign w:val="center"/>
          </w:tcPr>
          <w:p w14:paraId="117DD515" w14:textId="77777777" w:rsidR="00380E68" w:rsidRPr="00DD69D5" w:rsidRDefault="00380E68" w:rsidP="00D77C2D">
            <w:pPr>
              <w:tabs>
                <w:tab w:val="left" w:pos="567"/>
              </w:tabs>
              <w:spacing w:line="276" w:lineRule="auto"/>
              <w:ind w:right="232"/>
              <w:jc w:val="center"/>
              <w:rPr>
                <w:rFonts w:ascii="Times New Roman" w:hAnsi="Times New Roman"/>
                <w:b/>
                <w:color w:val="000000" w:themeColor="text1"/>
                <w:sz w:val="16"/>
                <w:szCs w:val="16"/>
              </w:rPr>
            </w:pPr>
          </w:p>
        </w:tc>
      </w:tr>
      <w:tr w:rsidR="00380E68" w:rsidRPr="00DD69D5" w14:paraId="3738BFE4" w14:textId="77777777" w:rsidTr="00BE4797">
        <w:tc>
          <w:tcPr>
            <w:tcW w:w="2528" w:type="dxa"/>
            <w:shd w:val="clear" w:color="auto" w:fill="D9D9D9" w:themeFill="background1" w:themeFillShade="D9"/>
          </w:tcPr>
          <w:p w14:paraId="5604DBC4" w14:textId="77777777" w:rsidR="00380E68" w:rsidRPr="00DD69D5" w:rsidRDefault="00380E68" w:rsidP="00D77C2D">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Средна</w:t>
            </w:r>
          </w:p>
        </w:tc>
        <w:tc>
          <w:tcPr>
            <w:tcW w:w="2008" w:type="dxa"/>
            <w:vAlign w:val="center"/>
          </w:tcPr>
          <w:p w14:paraId="136FCF77" w14:textId="77777777" w:rsidR="00380E68" w:rsidRPr="00DD69D5" w:rsidRDefault="009C59C2" w:rsidP="00D77C2D">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c>
          <w:tcPr>
            <w:tcW w:w="2127" w:type="dxa"/>
            <w:vAlign w:val="center"/>
          </w:tcPr>
          <w:p w14:paraId="4376B2DD" w14:textId="77777777" w:rsidR="00380E68" w:rsidRPr="00DD69D5" w:rsidRDefault="009C59C2" w:rsidP="00D77C2D">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c>
          <w:tcPr>
            <w:tcW w:w="2401" w:type="dxa"/>
            <w:vAlign w:val="center"/>
          </w:tcPr>
          <w:p w14:paraId="3BB8AFB0" w14:textId="77777777" w:rsidR="00380E68" w:rsidRPr="00DD69D5" w:rsidRDefault="009C59C2" w:rsidP="00D77C2D">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r>
      <w:tr w:rsidR="00380E68" w:rsidRPr="00DD69D5" w14:paraId="44E0B954" w14:textId="77777777" w:rsidTr="00BE4797">
        <w:tc>
          <w:tcPr>
            <w:tcW w:w="2528" w:type="dxa"/>
            <w:shd w:val="clear" w:color="auto" w:fill="D9D9D9" w:themeFill="background1" w:themeFillShade="D9"/>
          </w:tcPr>
          <w:p w14:paraId="17265636" w14:textId="77777777" w:rsidR="00380E68" w:rsidRPr="00DD69D5" w:rsidRDefault="00380E68" w:rsidP="00D77C2D">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Висока</w:t>
            </w:r>
          </w:p>
        </w:tc>
        <w:tc>
          <w:tcPr>
            <w:tcW w:w="2008" w:type="dxa"/>
            <w:vAlign w:val="center"/>
          </w:tcPr>
          <w:p w14:paraId="34C61AED" w14:textId="77777777" w:rsidR="00380E68" w:rsidRPr="00DD69D5" w:rsidRDefault="00380E68" w:rsidP="00D77C2D">
            <w:pPr>
              <w:tabs>
                <w:tab w:val="left" w:pos="567"/>
              </w:tabs>
              <w:spacing w:line="276" w:lineRule="auto"/>
              <w:ind w:right="232"/>
              <w:jc w:val="center"/>
              <w:rPr>
                <w:rFonts w:ascii="Times New Roman" w:hAnsi="Times New Roman"/>
                <w:b/>
                <w:color w:val="000000" w:themeColor="text1"/>
                <w:sz w:val="16"/>
                <w:szCs w:val="16"/>
              </w:rPr>
            </w:pPr>
          </w:p>
        </w:tc>
        <w:tc>
          <w:tcPr>
            <w:tcW w:w="2127" w:type="dxa"/>
            <w:vAlign w:val="center"/>
          </w:tcPr>
          <w:p w14:paraId="2F03D09D" w14:textId="77777777" w:rsidR="00380E68" w:rsidRPr="00DD69D5" w:rsidRDefault="00380E68" w:rsidP="00D77C2D">
            <w:pPr>
              <w:tabs>
                <w:tab w:val="left" w:pos="567"/>
              </w:tabs>
              <w:spacing w:line="276" w:lineRule="auto"/>
              <w:ind w:right="232"/>
              <w:jc w:val="center"/>
              <w:rPr>
                <w:rFonts w:ascii="Times New Roman" w:hAnsi="Times New Roman"/>
                <w:b/>
                <w:color w:val="000000" w:themeColor="text1"/>
                <w:sz w:val="16"/>
                <w:szCs w:val="16"/>
              </w:rPr>
            </w:pPr>
          </w:p>
        </w:tc>
        <w:tc>
          <w:tcPr>
            <w:tcW w:w="2401" w:type="dxa"/>
            <w:vAlign w:val="center"/>
          </w:tcPr>
          <w:p w14:paraId="4066DAB2" w14:textId="77777777" w:rsidR="00380E68" w:rsidRPr="00DD69D5" w:rsidRDefault="00380E68" w:rsidP="00D77C2D">
            <w:pPr>
              <w:tabs>
                <w:tab w:val="left" w:pos="567"/>
              </w:tabs>
              <w:spacing w:line="276" w:lineRule="auto"/>
              <w:ind w:right="232"/>
              <w:jc w:val="center"/>
              <w:rPr>
                <w:rFonts w:ascii="Times New Roman" w:hAnsi="Times New Roman"/>
                <w:b/>
                <w:color w:val="000000" w:themeColor="text1"/>
                <w:sz w:val="16"/>
                <w:szCs w:val="16"/>
              </w:rPr>
            </w:pPr>
          </w:p>
        </w:tc>
      </w:tr>
      <w:tr w:rsidR="00B52FBE" w:rsidRPr="00DD69D5" w14:paraId="0150105B" w14:textId="77777777" w:rsidTr="00A642C4">
        <w:tc>
          <w:tcPr>
            <w:tcW w:w="2528" w:type="dxa"/>
            <w:shd w:val="clear" w:color="auto" w:fill="5B9BD5" w:themeFill="accent1"/>
            <w:vAlign w:val="center"/>
          </w:tcPr>
          <w:p w14:paraId="7C329D1C" w14:textId="00D2A4FC" w:rsidR="00B52FBE" w:rsidRPr="00DD69D5" w:rsidRDefault="00371B0D" w:rsidP="00816AC5">
            <w:pPr>
              <w:spacing w:before="120" w:after="120"/>
              <w:jc w:val="center"/>
              <w:rPr>
                <w:rFonts w:ascii="Times New Roman" w:hAnsi="Times New Roman"/>
                <w:b/>
                <w:i/>
              </w:rPr>
            </w:pPr>
            <w:r w:rsidRPr="00DD69D5">
              <w:rPr>
                <w:rFonts w:ascii="Times New Roman" w:hAnsi="Times New Roman"/>
                <w:b/>
              </w:rPr>
              <w:t>Вариант 2: „Регулаторен - промени в действащата правна уредба“</w:t>
            </w:r>
          </w:p>
        </w:tc>
        <w:tc>
          <w:tcPr>
            <w:tcW w:w="6536" w:type="dxa"/>
            <w:gridSpan w:val="3"/>
            <w:shd w:val="clear" w:color="auto" w:fill="BFBFBF" w:themeFill="background1" w:themeFillShade="BF"/>
            <w:vAlign w:val="center"/>
          </w:tcPr>
          <w:p w14:paraId="3CC233F5" w14:textId="77777777" w:rsidR="00B52FBE" w:rsidRPr="00DD69D5" w:rsidRDefault="00B52FBE" w:rsidP="00816AC5">
            <w:pPr>
              <w:tabs>
                <w:tab w:val="left" w:pos="567"/>
              </w:tabs>
              <w:spacing w:after="120" w:line="276" w:lineRule="auto"/>
              <w:ind w:right="232"/>
              <w:jc w:val="center"/>
              <w:rPr>
                <w:rFonts w:ascii="Times New Roman" w:hAnsi="Times New Roman"/>
                <w:b/>
              </w:rPr>
            </w:pPr>
            <w:r w:rsidRPr="00DD69D5">
              <w:rPr>
                <w:rFonts w:ascii="Times New Roman" w:hAnsi="Times New Roman"/>
                <w:b/>
                <w:i/>
              </w:rPr>
              <w:t>СОЦИАЛНИ ВЪЗДЕЙСТВИЯ</w:t>
            </w:r>
          </w:p>
        </w:tc>
      </w:tr>
      <w:tr w:rsidR="00B52FBE" w:rsidRPr="00DD69D5" w14:paraId="11773352" w14:textId="77777777" w:rsidTr="004E7F56">
        <w:tc>
          <w:tcPr>
            <w:tcW w:w="2528" w:type="dxa"/>
            <w:shd w:val="clear" w:color="auto" w:fill="D9D9D9" w:themeFill="background1" w:themeFillShade="D9"/>
            <w:vAlign w:val="center"/>
          </w:tcPr>
          <w:p w14:paraId="77901812" w14:textId="77777777" w:rsidR="00B52FBE" w:rsidRPr="00DD69D5" w:rsidRDefault="00B52FBE" w:rsidP="00816AC5">
            <w:pPr>
              <w:tabs>
                <w:tab w:val="left" w:pos="567"/>
              </w:tabs>
              <w:spacing w:after="120"/>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Вероятност въздействието да се прояви</w:t>
            </w:r>
          </w:p>
        </w:tc>
        <w:tc>
          <w:tcPr>
            <w:tcW w:w="2008" w:type="dxa"/>
            <w:shd w:val="clear" w:color="auto" w:fill="DEEAF6" w:themeFill="accent1" w:themeFillTint="33"/>
          </w:tcPr>
          <w:p w14:paraId="6DF86066" w14:textId="77777777" w:rsidR="00B52FBE" w:rsidRPr="00DD69D5" w:rsidRDefault="00B52FBE" w:rsidP="00816AC5">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Въздействие 1</w:t>
            </w:r>
            <w:r w:rsidR="00967227" w:rsidRPr="00DD69D5">
              <w:rPr>
                <w:rFonts w:ascii="Times New Roman" w:hAnsi="Times New Roman"/>
                <w:b/>
                <w:color w:val="000000" w:themeColor="text1"/>
                <w:sz w:val="16"/>
                <w:szCs w:val="16"/>
              </w:rPr>
              <w:t>.</w:t>
            </w:r>
          </w:p>
          <w:p w14:paraId="6C972A27" w14:textId="0AD6B9FA" w:rsidR="00967227" w:rsidRPr="00DD69D5" w:rsidRDefault="001A562D" w:rsidP="001A562D">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 xml:space="preserve">Частичен и несигурен принос за осигуряване на общественото здраве, </w:t>
            </w:r>
            <w:r w:rsidRPr="00DD69D5">
              <w:rPr>
                <w:rFonts w:ascii="Times New Roman" w:hAnsi="Times New Roman"/>
                <w:b/>
                <w:color w:val="000000" w:themeColor="text1"/>
                <w:sz w:val="16"/>
                <w:szCs w:val="16"/>
              </w:rPr>
              <w:lastRenderedPageBreak/>
              <w:t>предвид частичните гаранции за доставката на достатъчно висококачествени и безопасни храни</w:t>
            </w:r>
          </w:p>
        </w:tc>
        <w:tc>
          <w:tcPr>
            <w:tcW w:w="2127" w:type="dxa"/>
            <w:shd w:val="clear" w:color="auto" w:fill="DEEAF6" w:themeFill="accent1" w:themeFillTint="33"/>
          </w:tcPr>
          <w:p w14:paraId="7E39192B" w14:textId="77777777" w:rsidR="00B52FBE" w:rsidRPr="00DD69D5" w:rsidRDefault="00B52FBE" w:rsidP="00816AC5">
            <w:pPr>
              <w:tabs>
                <w:tab w:val="left" w:pos="567"/>
              </w:tabs>
              <w:spacing w:after="120" w:line="276" w:lineRule="auto"/>
              <w:ind w:right="-108"/>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lastRenderedPageBreak/>
              <w:t>Въздействие 2</w:t>
            </w:r>
            <w:r w:rsidR="00967227" w:rsidRPr="00DD69D5">
              <w:rPr>
                <w:rFonts w:ascii="Times New Roman" w:hAnsi="Times New Roman"/>
                <w:b/>
                <w:color w:val="000000" w:themeColor="text1"/>
                <w:sz w:val="16"/>
                <w:szCs w:val="16"/>
              </w:rPr>
              <w:t>.</w:t>
            </w:r>
          </w:p>
          <w:p w14:paraId="6F878253" w14:textId="7D104B6B" w:rsidR="00967227" w:rsidRPr="00DD69D5" w:rsidRDefault="001A562D" w:rsidP="001A562D">
            <w:pPr>
              <w:tabs>
                <w:tab w:val="left" w:pos="567"/>
              </w:tabs>
              <w:spacing w:after="120" w:line="276" w:lineRule="auto"/>
              <w:ind w:right="-108"/>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 xml:space="preserve">Частично и несигурно повишаване благосъстоянието на възрастните хора и другите </w:t>
            </w:r>
            <w:r w:rsidRPr="00DD69D5">
              <w:rPr>
                <w:rFonts w:ascii="Times New Roman" w:hAnsi="Times New Roman"/>
                <w:b/>
                <w:color w:val="000000" w:themeColor="text1"/>
                <w:sz w:val="16"/>
                <w:szCs w:val="16"/>
              </w:rPr>
              <w:lastRenderedPageBreak/>
              <w:t>социално уязвими групи от обществото, поради потенциала за постигане на по-ниски цени на основните земеделски и хранителни продукти</w:t>
            </w:r>
          </w:p>
        </w:tc>
        <w:tc>
          <w:tcPr>
            <w:tcW w:w="2401" w:type="dxa"/>
            <w:shd w:val="clear" w:color="auto" w:fill="DEEAF6" w:themeFill="accent1" w:themeFillTint="33"/>
          </w:tcPr>
          <w:p w14:paraId="3C9FA629" w14:textId="77777777" w:rsidR="00B52FBE" w:rsidRPr="00DD69D5" w:rsidRDefault="00B52FBE" w:rsidP="00816AC5">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lastRenderedPageBreak/>
              <w:t>Въздействие 3</w:t>
            </w:r>
            <w:r w:rsidR="00967227" w:rsidRPr="00DD69D5">
              <w:rPr>
                <w:rFonts w:ascii="Times New Roman" w:hAnsi="Times New Roman"/>
                <w:b/>
                <w:color w:val="000000" w:themeColor="text1"/>
                <w:sz w:val="16"/>
                <w:szCs w:val="16"/>
              </w:rPr>
              <w:t>.</w:t>
            </w:r>
          </w:p>
          <w:p w14:paraId="53B63E0C" w14:textId="1993D3DF" w:rsidR="00967227" w:rsidRPr="00DD69D5" w:rsidRDefault="001A562D" w:rsidP="001A562D">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 xml:space="preserve">Частично и несигурно гарантиране на продоволствената сигурност, т.к. не води до </w:t>
            </w:r>
            <w:r w:rsidRPr="00DD69D5">
              <w:rPr>
                <w:rFonts w:ascii="Times New Roman" w:hAnsi="Times New Roman"/>
                <w:b/>
                <w:color w:val="000000" w:themeColor="text1"/>
                <w:sz w:val="16"/>
                <w:szCs w:val="16"/>
              </w:rPr>
              <w:lastRenderedPageBreak/>
              <w:t>най-пълноценно функциониране на веригата на доставка на храни и земеделска продукция</w:t>
            </w:r>
          </w:p>
        </w:tc>
      </w:tr>
      <w:tr w:rsidR="00B52FBE" w:rsidRPr="00DD69D5" w14:paraId="68C50833" w14:textId="77777777" w:rsidTr="00BE4797">
        <w:tc>
          <w:tcPr>
            <w:tcW w:w="2528" w:type="dxa"/>
            <w:shd w:val="clear" w:color="auto" w:fill="D9D9D9" w:themeFill="background1" w:themeFillShade="D9"/>
          </w:tcPr>
          <w:p w14:paraId="24F885EA" w14:textId="77777777" w:rsidR="00B52FBE" w:rsidRPr="00DD69D5" w:rsidRDefault="00B52FBE" w:rsidP="00816AC5">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lastRenderedPageBreak/>
              <w:t>Ниска</w:t>
            </w:r>
          </w:p>
        </w:tc>
        <w:tc>
          <w:tcPr>
            <w:tcW w:w="2008" w:type="dxa"/>
            <w:vAlign w:val="center"/>
          </w:tcPr>
          <w:p w14:paraId="6D363387" w14:textId="4200BBC0" w:rsidR="00B52FBE" w:rsidRPr="00DD69D5" w:rsidRDefault="00B52FBE" w:rsidP="00816AC5">
            <w:pPr>
              <w:tabs>
                <w:tab w:val="left" w:pos="567"/>
              </w:tabs>
              <w:spacing w:line="276" w:lineRule="auto"/>
              <w:ind w:right="232"/>
              <w:jc w:val="center"/>
              <w:rPr>
                <w:rFonts w:ascii="Times New Roman" w:hAnsi="Times New Roman"/>
                <w:b/>
                <w:color w:val="000000" w:themeColor="text1"/>
                <w:sz w:val="16"/>
                <w:szCs w:val="16"/>
              </w:rPr>
            </w:pPr>
          </w:p>
        </w:tc>
        <w:tc>
          <w:tcPr>
            <w:tcW w:w="2127" w:type="dxa"/>
            <w:vAlign w:val="center"/>
          </w:tcPr>
          <w:p w14:paraId="5363B3DC" w14:textId="71727701" w:rsidR="00B52FBE" w:rsidRPr="00DD69D5" w:rsidRDefault="00B52FBE" w:rsidP="00816AC5">
            <w:pPr>
              <w:tabs>
                <w:tab w:val="left" w:pos="567"/>
              </w:tabs>
              <w:spacing w:line="276" w:lineRule="auto"/>
              <w:ind w:right="-46"/>
              <w:jc w:val="center"/>
              <w:rPr>
                <w:rFonts w:ascii="Times New Roman" w:hAnsi="Times New Roman"/>
                <w:b/>
                <w:color w:val="000000" w:themeColor="text1"/>
                <w:sz w:val="16"/>
                <w:szCs w:val="16"/>
              </w:rPr>
            </w:pPr>
          </w:p>
        </w:tc>
        <w:tc>
          <w:tcPr>
            <w:tcW w:w="2401" w:type="dxa"/>
            <w:vAlign w:val="center"/>
          </w:tcPr>
          <w:p w14:paraId="32F7D577" w14:textId="77777777" w:rsidR="00B52FBE" w:rsidRPr="00DD69D5" w:rsidRDefault="00B52FBE" w:rsidP="00816AC5">
            <w:pPr>
              <w:tabs>
                <w:tab w:val="left" w:pos="567"/>
              </w:tabs>
              <w:spacing w:line="276" w:lineRule="auto"/>
              <w:ind w:right="232"/>
              <w:jc w:val="center"/>
              <w:rPr>
                <w:rFonts w:ascii="Times New Roman" w:hAnsi="Times New Roman"/>
                <w:b/>
                <w:color w:val="000000" w:themeColor="text1"/>
                <w:sz w:val="16"/>
                <w:szCs w:val="16"/>
              </w:rPr>
            </w:pPr>
          </w:p>
        </w:tc>
      </w:tr>
      <w:tr w:rsidR="004A4476" w:rsidRPr="00DD69D5" w14:paraId="5FE39C7E" w14:textId="77777777" w:rsidTr="00BE4797">
        <w:tc>
          <w:tcPr>
            <w:tcW w:w="2528" w:type="dxa"/>
            <w:shd w:val="clear" w:color="auto" w:fill="D9D9D9" w:themeFill="background1" w:themeFillShade="D9"/>
          </w:tcPr>
          <w:p w14:paraId="69D881CA" w14:textId="77777777" w:rsidR="004A4476" w:rsidRPr="00DD69D5" w:rsidRDefault="004A4476" w:rsidP="004A4476">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Средна</w:t>
            </w:r>
          </w:p>
        </w:tc>
        <w:tc>
          <w:tcPr>
            <w:tcW w:w="2008" w:type="dxa"/>
            <w:vAlign w:val="center"/>
          </w:tcPr>
          <w:p w14:paraId="31F8067D" w14:textId="312F9436" w:rsidR="004A4476" w:rsidRPr="00DD69D5" w:rsidRDefault="004A4476" w:rsidP="004A4476">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c>
          <w:tcPr>
            <w:tcW w:w="2127" w:type="dxa"/>
            <w:vAlign w:val="center"/>
          </w:tcPr>
          <w:p w14:paraId="131DB6AA" w14:textId="39BEB086" w:rsidR="004A4476" w:rsidRPr="00DD69D5" w:rsidRDefault="004A4476" w:rsidP="004A4476">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c>
          <w:tcPr>
            <w:tcW w:w="2401" w:type="dxa"/>
            <w:vAlign w:val="center"/>
          </w:tcPr>
          <w:p w14:paraId="75F555A5" w14:textId="77777777" w:rsidR="004A4476" w:rsidRPr="00DD69D5" w:rsidRDefault="004A4476" w:rsidP="004A4476">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r>
      <w:tr w:rsidR="004A4476" w:rsidRPr="00DD69D5" w14:paraId="3EF94DF2" w14:textId="77777777" w:rsidTr="00BE4797">
        <w:tc>
          <w:tcPr>
            <w:tcW w:w="2528" w:type="dxa"/>
            <w:shd w:val="clear" w:color="auto" w:fill="D9D9D9" w:themeFill="background1" w:themeFillShade="D9"/>
          </w:tcPr>
          <w:p w14:paraId="39F769DC" w14:textId="77777777" w:rsidR="004A4476" w:rsidRPr="00DD69D5" w:rsidRDefault="004A4476" w:rsidP="004A4476">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Висока</w:t>
            </w:r>
          </w:p>
        </w:tc>
        <w:tc>
          <w:tcPr>
            <w:tcW w:w="2008" w:type="dxa"/>
            <w:vAlign w:val="center"/>
          </w:tcPr>
          <w:p w14:paraId="63A4FFD3" w14:textId="77777777" w:rsidR="004A4476" w:rsidRPr="00DD69D5" w:rsidRDefault="004A4476" w:rsidP="004A4476">
            <w:pPr>
              <w:tabs>
                <w:tab w:val="left" w:pos="567"/>
              </w:tabs>
              <w:spacing w:line="276" w:lineRule="auto"/>
              <w:ind w:right="232"/>
              <w:jc w:val="center"/>
              <w:rPr>
                <w:rFonts w:ascii="Times New Roman" w:hAnsi="Times New Roman"/>
                <w:b/>
                <w:color w:val="000000" w:themeColor="text1"/>
                <w:sz w:val="16"/>
                <w:szCs w:val="16"/>
              </w:rPr>
            </w:pPr>
          </w:p>
        </w:tc>
        <w:tc>
          <w:tcPr>
            <w:tcW w:w="2127" w:type="dxa"/>
            <w:vAlign w:val="center"/>
          </w:tcPr>
          <w:p w14:paraId="4BF738DD" w14:textId="77777777" w:rsidR="004A4476" w:rsidRPr="00DD69D5" w:rsidRDefault="004A4476" w:rsidP="004A4476">
            <w:pPr>
              <w:tabs>
                <w:tab w:val="left" w:pos="567"/>
              </w:tabs>
              <w:spacing w:line="276" w:lineRule="auto"/>
              <w:ind w:right="232"/>
              <w:jc w:val="center"/>
              <w:rPr>
                <w:rFonts w:ascii="Times New Roman" w:hAnsi="Times New Roman"/>
                <w:b/>
                <w:color w:val="000000" w:themeColor="text1"/>
                <w:sz w:val="16"/>
                <w:szCs w:val="16"/>
              </w:rPr>
            </w:pPr>
          </w:p>
        </w:tc>
        <w:tc>
          <w:tcPr>
            <w:tcW w:w="2401" w:type="dxa"/>
            <w:vAlign w:val="center"/>
          </w:tcPr>
          <w:p w14:paraId="664D4FBF" w14:textId="77777777" w:rsidR="004A4476" w:rsidRPr="00DD69D5" w:rsidRDefault="004A4476" w:rsidP="004A4476">
            <w:pPr>
              <w:tabs>
                <w:tab w:val="left" w:pos="567"/>
              </w:tabs>
              <w:spacing w:line="276" w:lineRule="auto"/>
              <w:ind w:right="232"/>
              <w:jc w:val="center"/>
              <w:rPr>
                <w:rFonts w:ascii="Times New Roman" w:hAnsi="Times New Roman"/>
                <w:b/>
                <w:color w:val="000000" w:themeColor="text1"/>
                <w:sz w:val="16"/>
                <w:szCs w:val="16"/>
              </w:rPr>
            </w:pPr>
          </w:p>
        </w:tc>
      </w:tr>
      <w:tr w:rsidR="004A4476" w:rsidRPr="00DD69D5" w14:paraId="338B640E" w14:textId="77777777" w:rsidTr="00A642C4">
        <w:tc>
          <w:tcPr>
            <w:tcW w:w="2528" w:type="dxa"/>
            <w:shd w:val="clear" w:color="auto" w:fill="5B9BD5" w:themeFill="accent1"/>
            <w:vAlign w:val="center"/>
          </w:tcPr>
          <w:p w14:paraId="7D30048B" w14:textId="0595AFE3" w:rsidR="004A4476" w:rsidRPr="00DD69D5" w:rsidRDefault="00371B0D" w:rsidP="004A4476">
            <w:pPr>
              <w:spacing w:before="120" w:after="120"/>
              <w:jc w:val="center"/>
              <w:rPr>
                <w:rFonts w:ascii="Times New Roman" w:hAnsi="Times New Roman"/>
                <w:b/>
                <w:i/>
              </w:rPr>
            </w:pPr>
            <w:r w:rsidRPr="00DD69D5">
              <w:rPr>
                <w:rFonts w:ascii="Times New Roman" w:hAnsi="Times New Roman"/>
                <w:b/>
              </w:rPr>
              <w:t>Вариант 2: „Регулаторен - промени в действащата правна уредба“</w:t>
            </w:r>
          </w:p>
        </w:tc>
        <w:tc>
          <w:tcPr>
            <w:tcW w:w="6536" w:type="dxa"/>
            <w:gridSpan w:val="3"/>
            <w:shd w:val="clear" w:color="auto" w:fill="BFBFBF" w:themeFill="background1" w:themeFillShade="BF"/>
            <w:vAlign w:val="center"/>
          </w:tcPr>
          <w:p w14:paraId="362B3B36" w14:textId="77777777" w:rsidR="004A4476" w:rsidRPr="00DD69D5" w:rsidRDefault="004A4476" w:rsidP="004A4476">
            <w:pPr>
              <w:tabs>
                <w:tab w:val="left" w:pos="567"/>
              </w:tabs>
              <w:spacing w:after="120" w:line="276" w:lineRule="auto"/>
              <w:ind w:right="232"/>
              <w:jc w:val="center"/>
              <w:rPr>
                <w:rFonts w:ascii="Times New Roman" w:hAnsi="Times New Roman"/>
                <w:b/>
              </w:rPr>
            </w:pPr>
            <w:r w:rsidRPr="00DD69D5">
              <w:rPr>
                <w:rFonts w:ascii="Times New Roman" w:hAnsi="Times New Roman"/>
                <w:b/>
                <w:i/>
              </w:rPr>
              <w:t>ЕКОЛОГИЧНИ ВЪЗДЕЙСТВИЯ</w:t>
            </w:r>
          </w:p>
        </w:tc>
      </w:tr>
      <w:tr w:rsidR="004A4476" w:rsidRPr="00DD69D5" w14:paraId="372D3C4E" w14:textId="77777777" w:rsidTr="00BE4797">
        <w:tc>
          <w:tcPr>
            <w:tcW w:w="2528" w:type="dxa"/>
            <w:shd w:val="clear" w:color="auto" w:fill="D9D9D9" w:themeFill="background1" w:themeFillShade="D9"/>
            <w:vAlign w:val="center"/>
          </w:tcPr>
          <w:p w14:paraId="058A33F9" w14:textId="77777777" w:rsidR="004A4476" w:rsidRPr="00DD69D5" w:rsidRDefault="004A4476" w:rsidP="004A4476">
            <w:pPr>
              <w:tabs>
                <w:tab w:val="left" w:pos="567"/>
              </w:tabs>
              <w:spacing w:after="120"/>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Вероятност въздействието да се прояви</w:t>
            </w:r>
          </w:p>
        </w:tc>
        <w:tc>
          <w:tcPr>
            <w:tcW w:w="2008" w:type="dxa"/>
            <w:shd w:val="clear" w:color="auto" w:fill="DEEAF6" w:themeFill="accent1" w:themeFillTint="33"/>
            <w:vAlign w:val="center"/>
          </w:tcPr>
          <w:p w14:paraId="21F8847E" w14:textId="77777777" w:rsidR="004A4476" w:rsidRPr="00DD69D5" w:rsidRDefault="004A4476" w:rsidP="004A4476">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Въздействие 1.</w:t>
            </w:r>
          </w:p>
          <w:p w14:paraId="55FF8F9E" w14:textId="6009DA6F" w:rsidR="004A4476" w:rsidRPr="00DD69D5" w:rsidRDefault="004A4476" w:rsidP="004A4476">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i/>
                <w:color w:val="000000" w:themeColor="text1"/>
                <w:sz w:val="16"/>
                <w:szCs w:val="16"/>
              </w:rPr>
              <w:t xml:space="preserve"> </w:t>
            </w:r>
            <w:r w:rsidR="001A562D" w:rsidRPr="00DD69D5">
              <w:rPr>
                <w:rFonts w:ascii="Times New Roman" w:hAnsi="Times New Roman"/>
                <w:b/>
                <w:color w:val="000000" w:themeColor="text1"/>
                <w:sz w:val="16"/>
                <w:szCs w:val="16"/>
              </w:rPr>
              <w:t>Непълен и несигурен принос за повишаване нивото на подготвеност за посрещане на евентуални негативни ефекти от настъпването на климатични промени</w:t>
            </w:r>
          </w:p>
        </w:tc>
        <w:tc>
          <w:tcPr>
            <w:tcW w:w="2127" w:type="dxa"/>
            <w:shd w:val="clear" w:color="auto" w:fill="DEEAF6" w:themeFill="accent1" w:themeFillTint="33"/>
            <w:vAlign w:val="center"/>
          </w:tcPr>
          <w:p w14:paraId="483582EE" w14:textId="77777777" w:rsidR="004A4476" w:rsidRPr="00DD69D5" w:rsidRDefault="004A4476" w:rsidP="004A4476">
            <w:pPr>
              <w:tabs>
                <w:tab w:val="left" w:pos="567"/>
              </w:tabs>
              <w:spacing w:after="120" w:line="276" w:lineRule="auto"/>
              <w:ind w:right="-108"/>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Въздействие 2.</w:t>
            </w:r>
          </w:p>
          <w:p w14:paraId="47ECB8D4" w14:textId="03F60A83" w:rsidR="004A4476" w:rsidRPr="00DD69D5" w:rsidRDefault="001A562D" w:rsidP="00BE4797">
            <w:pPr>
              <w:tabs>
                <w:tab w:val="left" w:pos="567"/>
              </w:tabs>
              <w:spacing w:after="120" w:line="276" w:lineRule="auto"/>
              <w:ind w:right="34"/>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Частичен и несигурен потенциал за намаляване на текущото ниво на образуване на отпадъци, поради несигурното увеличаване обемите на реализация на произведени храни и друга земеделска продукция</w:t>
            </w:r>
          </w:p>
        </w:tc>
        <w:tc>
          <w:tcPr>
            <w:tcW w:w="2401" w:type="dxa"/>
            <w:shd w:val="clear" w:color="auto" w:fill="DEEAF6" w:themeFill="accent1" w:themeFillTint="33"/>
            <w:vAlign w:val="center"/>
          </w:tcPr>
          <w:p w14:paraId="5F7B8B15" w14:textId="77777777" w:rsidR="004A4476" w:rsidRPr="00DD69D5" w:rsidRDefault="004A4476" w:rsidP="004A4476">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Въздействие 3.</w:t>
            </w:r>
          </w:p>
          <w:p w14:paraId="21939E51" w14:textId="3D1D522E" w:rsidR="004A4476" w:rsidRPr="00DC67C0" w:rsidRDefault="001A562D" w:rsidP="004A4476">
            <w:pPr>
              <w:tabs>
                <w:tab w:val="left" w:pos="567"/>
              </w:tabs>
              <w:spacing w:after="120" w:line="276" w:lineRule="auto"/>
              <w:ind w:right="232"/>
              <w:jc w:val="center"/>
              <w:rPr>
                <w:rFonts w:ascii="Times New Roman" w:hAnsi="Times New Roman"/>
                <w:b/>
                <w:color w:val="000000" w:themeColor="text1"/>
                <w:sz w:val="16"/>
                <w:szCs w:val="16"/>
              </w:rPr>
            </w:pPr>
            <w:r w:rsidRPr="0098398D">
              <w:rPr>
                <w:rFonts w:ascii="Times New Roman" w:hAnsi="Times New Roman"/>
                <w:b/>
                <w:sz w:val="16"/>
                <w:szCs w:val="16"/>
              </w:rPr>
              <w:t>Вероятни частични възможности за въвеждането на устойчиви модели на потребление и производство за преминаване към по-щадящи околната среда работни процеси</w:t>
            </w:r>
          </w:p>
        </w:tc>
      </w:tr>
      <w:tr w:rsidR="004A4476" w:rsidRPr="00DD69D5" w14:paraId="73C6E39B" w14:textId="77777777" w:rsidTr="00BE4797">
        <w:tc>
          <w:tcPr>
            <w:tcW w:w="2528" w:type="dxa"/>
            <w:shd w:val="clear" w:color="auto" w:fill="D9D9D9" w:themeFill="background1" w:themeFillShade="D9"/>
          </w:tcPr>
          <w:p w14:paraId="5D6F3C9F" w14:textId="77777777" w:rsidR="004A4476" w:rsidRPr="00DD69D5" w:rsidRDefault="004A4476" w:rsidP="004A4476">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Ниска</w:t>
            </w:r>
          </w:p>
        </w:tc>
        <w:tc>
          <w:tcPr>
            <w:tcW w:w="2008" w:type="dxa"/>
            <w:vAlign w:val="center"/>
          </w:tcPr>
          <w:p w14:paraId="0F759A1F" w14:textId="77777777" w:rsidR="004A4476" w:rsidRPr="00DD69D5" w:rsidRDefault="004A4476" w:rsidP="004A4476">
            <w:pPr>
              <w:tabs>
                <w:tab w:val="left" w:pos="567"/>
              </w:tabs>
              <w:spacing w:line="276" w:lineRule="auto"/>
              <w:ind w:right="232"/>
              <w:jc w:val="center"/>
              <w:rPr>
                <w:rFonts w:ascii="Times New Roman" w:hAnsi="Times New Roman"/>
                <w:b/>
                <w:color w:val="000000" w:themeColor="text1"/>
                <w:sz w:val="16"/>
                <w:szCs w:val="16"/>
              </w:rPr>
            </w:pPr>
          </w:p>
        </w:tc>
        <w:tc>
          <w:tcPr>
            <w:tcW w:w="2127" w:type="dxa"/>
            <w:vAlign w:val="center"/>
          </w:tcPr>
          <w:p w14:paraId="2DA6627E" w14:textId="77777777" w:rsidR="004A4476" w:rsidRPr="00DD69D5" w:rsidRDefault="004A4476" w:rsidP="004A4476">
            <w:pPr>
              <w:tabs>
                <w:tab w:val="left" w:pos="567"/>
              </w:tabs>
              <w:spacing w:line="276" w:lineRule="auto"/>
              <w:ind w:right="-46"/>
              <w:jc w:val="center"/>
              <w:rPr>
                <w:rFonts w:ascii="Times New Roman" w:hAnsi="Times New Roman"/>
                <w:b/>
                <w:color w:val="000000" w:themeColor="text1"/>
                <w:sz w:val="16"/>
                <w:szCs w:val="16"/>
              </w:rPr>
            </w:pPr>
          </w:p>
        </w:tc>
        <w:tc>
          <w:tcPr>
            <w:tcW w:w="2401" w:type="dxa"/>
            <w:vAlign w:val="center"/>
          </w:tcPr>
          <w:p w14:paraId="631D3D55" w14:textId="77777777" w:rsidR="004A4476" w:rsidRPr="00DD69D5" w:rsidRDefault="004A4476" w:rsidP="004A4476">
            <w:pPr>
              <w:tabs>
                <w:tab w:val="left" w:pos="567"/>
              </w:tabs>
              <w:spacing w:line="276" w:lineRule="auto"/>
              <w:ind w:right="232"/>
              <w:jc w:val="center"/>
              <w:rPr>
                <w:rFonts w:ascii="Times New Roman" w:hAnsi="Times New Roman"/>
                <w:b/>
                <w:color w:val="000000" w:themeColor="text1"/>
                <w:sz w:val="16"/>
                <w:szCs w:val="16"/>
              </w:rPr>
            </w:pPr>
          </w:p>
        </w:tc>
      </w:tr>
      <w:tr w:rsidR="004A4476" w:rsidRPr="00DD69D5" w14:paraId="02DA12BE" w14:textId="77777777" w:rsidTr="00BE4797">
        <w:tc>
          <w:tcPr>
            <w:tcW w:w="2528" w:type="dxa"/>
            <w:shd w:val="clear" w:color="auto" w:fill="D9D9D9" w:themeFill="background1" w:themeFillShade="D9"/>
          </w:tcPr>
          <w:p w14:paraId="3016A992" w14:textId="77777777" w:rsidR="004A4476" w:rsidRPr="00DD69D5" w:rsidRDefault="004A4476" w:rsidP="004A4476">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Средна</w:t>
            </w:r>
          </w:p>
        </w:tc>
        <w:tc>
          <w:tcPr>
            <w:tcW w:w="2008" w:type="dxa"/>
            <w:vAlign w:val="center"/>
          </w:tcPr>
          <w:p w14:paraId="70740E0B" w14:textId="77777777" w:rsidR="004A4476" w:rsidRPr="00DD69D5" w:rsidRDefault="004A4476" w:rsidP="004A4476">
            <w:pPr>
              <w:tabs>
                <w:tab w:val="left" w:pos="567"/>
              </w:tabs>
              <w:spacing w:line="276" w:lineRule="auto"/>
              <w:ind w:right="232"/>
              <w:jc w:val="center"/>
              <w:rPr>
                <w:rFonts w:ascii="Times New Roman" w:hAnsi="Times New Roman"/>
                <w:b/>
                <w:color w:val="000000" w:themeColor="text1"/>
                <w:sz w:val="16"/>
                <w:szCs w:val="16"/>
              </w:rPr>
            </w:pPr>
          </w:p>
        </w:tc>
        <w:tc>
          <w:tcPr>
            <w:tcW w:w="2127" w:type="dxa"/>
            <w:vAlign w:val="center"/>
          </w:tcPr>
          <w:p w14:paraId="2F4BAB31" w14:textId="77777777" w:rsidR="004A4476" w:rsidRPr="00DD69D5" w:rsidRDefault="004A4476" w:rsidP="004A4476">
            <w:pPr>
              <w:tabs>
                <w:tab w:val="left" w:pos="567"/>
              </w:tabs>
              <w:spacing w:line="276" w:lineRule="auto"/>
              <w:ind w:right="232"/>
              <w:jc w:val="center"/>
              <w:rPr>
                <w:rFonts w:ascii="Times New Roman" w:hAnsi="Times New Roman"/>
                <w:b/>
                <w:color w:val="000000" w:themeColor="text1"/>
                <w:sz w:val="16"/>
                <w:szCs w:val="16"/>
              </w:rPr>
            </w:pPr>
          </w:p>
        </w:tc>
        <w:tc>
          <w:tcPr>
            <w:tcW w:w="2401" w:type="dxa"/>
            <w:vAlign w:val="center"/>
          </w:tcPr>
          <w:p w14:paraId="04F33F8F" w14:textId="2DF0A6D8" w:rsidR="004A4476" w:rsidRPr="00DD69D5" w:rsidRDefault="004A4476" w:rsidP="004A4476">
            <w:pPr>
              <w:tabs>
                <w:tab w:val="left" w:pos="567"/>
              </w:tabs>
              <w:spacing w:line="276" w:lineRule="auto"/>
              <w:ind w:right="232"/>
              <w:jc w:val="center"/>
              <w:rPr>
                <w:rFonts w:ascii="Times New Roman" w:hAnsi="Times New Roman"/>
                <w:b/>
                <w:color w:val="000000" w:themeColor="text1"/>
                <w:sz w:val="16"/>
                <w:szCs w:val="16"/>
              </w:rPr>
            </w:pPr>
          </w:p>
        </w:tc>
      </w:tr>
      <w:tr w:rsidR="004A4476" w:rsidRPr="00DD69D5" w14:paraId="076010F7" w14:textId="77777777" w:rsidTr="00BE4797">
        <w:tc>
          <w:tcPr>
            <w:tcW w:w="2528" w:type="dxa"/>
            <w:shd w:val="clear" w:color="auto" w:fill="D9D9D9" w:themeFill="background1" w:themeFillShade="D9"/>
          </w:tcPr>
          <w:p w14:paraId="030DA293" w14:textId="77777777" w:rsidR="004A4476" w:rsidRPr="00DD69D5" w:rsidRDefault="004A4476" w:rsidP="004A4476">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Висока</w:t>
            </w:r>
          </w:p>
        </w:tc>
        <w:tc>
          <w:tcPr>
            <w:tcW w:w="2008" w:type="dxa"/>
            <w:vAlign w:val="center"/>
          </w:tcPr>
          <w:p w14:paraId="3D228093" w14:textId="77777777" w:rsidR="004A4476" w:rsidRPr="00DD69D5" w:rsidRDefault="004A4476" w:rsidP="004A4476">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c>
          <w:tcPr>
            <w:tcW w:w="2127" w:type="dxa"/>
            <w:vAlign w:val="center"/>
          </w:tcPr>
          <w:p w14:paraId="6FAB6774" w14:textId="77777777" w:rsidR="004A4476" w:rsidRPr="00DD69D5" w:rsidRDefault="004A4476" w:rsidP="004A4476">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c>
          <w:tcPr>
            <w:tcW w:w="2401" w:type="dxa"/>
            <w:vAlign w:val="center"/>
          </w:tcPr>
          <w:p w14:paraId="1DACC075" w14:textId="043D6857" w:rsidR="004A4476" w:rsidRPr="00DD69D5" w:rsidRDefault="004A4476" w:rsidP="004A4476">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r>
    </w:tbl>
    <w:p w14:paraId="0B7779A6" w14:textId="77777777" w:rsidR="00941AD9" w:rsidRPr="00DD69D5" w:rsidRDefault="00941AD9" w:rsidP="00FB588D">
      <w:pPr>
        <w:jc w:val="both"/>
        <w:rPr>
          <w:rFonts w:ascii="Times New Roman" w:hAnsi="Times New Roman" w:cs="Times New Roman"/>
        </w:rPr>
      </w:pPr>
    </w:p>
    <w:p w14:paraId="76092DB2" w14:textId="54BD739F" w:rsidR="00371B0D" w:rsidRPr="00DD69D5" w:rsidRDefault="00371B0D" w:rsidP="00371B0D">
      <w:pPr>
        <w:spacing w:after="0"/>
        <w:ind w:firstLine="567"/>
        <w:jc w:val="both"/>
        <w:rPr>
          <w:rFonts w:ascii="Times New Roman" w:hAnsi="Times New Roman"/>
          <w:b/>
          <w:sz w:val="24"/>
          <w:szCs w:val="24"/>
        </w:rPr>
      </w:pPr>
      <w:r w:rsidRPr="00DD69D5">
        <w:rPr>
          <w:rFonts w:ascii="Times New Roman" w:hAnsi="Times New Roman"/>
          <w:b/>
          <w:sz w:val="24"/>
          <w:szCs w:val="24"/>
        </w:rPr>
        <w:t xml:space="preserve">Таблица </w:t>
      </w:r>
      <w:r w:rsidRPr="00DD69D5">
        <w:rPr>
          <w:rFonts w:ascii="Times New Roman" w:hAnsi="Times New Roman" w:cs="Times New Roman"/>
          <w:b/>
          <w:sz w:val="24"/>
          <w:szCs w:val="24"/>
        </w:rPr>
        <w:t xml:space="preserve">№ </w:t>
      </w:r>
      <w:r w:rsidR="00A50666" w:rsidRPr="00DD69D5">
        <w:rPr>
          <w:rFonts w:ascii="Times New Roman" w:hAnsi="Times New Roman"/>
          <w:b/>
          <w:sz w:val="24"/>
          <w:szCs w:val="24"/>
        </w:rPr>
        <w:t>6</w:t>
      </w:r>
      <w:r w:rsidRPr="00DD69D5">
        <w:rPr>
          <w:rFonts w:ascii="Times New Roman" w:hAnsi="Times New Roman"/>
          <w:b/>
          <w:sz w:val="24"/>
          <w:szCs w:val="24"/>
        </w:rPr>
        <w:t>. Матрица на въздействията на Вариант 3: „Регулаторен - изцяло нов специален закон“</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01"/>
        <w:gridCol w:w="2268"/>
        <w:gridCol w:w="2268"/>
        <w:gridCol w:w="2661"/>
      </w:tblGrid>
      <w:tr w:rsidR="00371B0D" w:rsidRPr="00DD69D5" w14:paraId="4545B19A" w14:textId="77777777" w:rsidTr="009B365E">
        <w:tc>
          <w:tcPr>
            <w:tcW w:w="1701" w:type="dxa"/>
            <w:shd w:val="clear" w:color="auto" w:fill="5B9BD5" w:themeFill="accent1"/>
            <w:vAlign w:val="center"/>
          </w:tcPr>
          <w:p w14:paraId="592AF2FC" w14:textId="77777777" w:rsidR="00371B0D" w:rsidRPr="00DD69D5" w:rsidRDefault="00371B0D" w:rsidP="009B365E">
            <w:pPr>
              <w:spacing w:before="120" w:after="120"/>
              <w:jc w:val="center"/>
              <w:rPr>
                <w:rFonts w:ascii="Times New Roman" w:hAnsi="Times New Roman"/>
                <w:b/>
                <w:i/>
              </w:rPr>
            </w:pPr>
            <w:r w:rsidRPr="00DD69D5">
              <w:rPr>
                <w:rFonts w:ascii="Times New Roman" w:hAnsi="Times New Roman"/>
                <w:b/>
              </w:rPr>
              <w:t>Вариант 3: „Регулаторен - изцяло нов специален закон“</w:t>
            </w:r>
          </w:p>
        </w:tc>
        <w:tc>
          <w:tcPr>
            <w:tcW w:w="7197" w:type="dxa"/>
            <w:gridSpan w:val="3"/>
            <w:shd w:val="clear" w:color="auto" w:fill="BFBFBF" w:themeFill="background1" w:themeFillShade="BF"/>
            <w:vAlign w:val="center"/>
          </w:tcPr>
          <w:p w14:paraId="5FB887FC" w14:textId="77777777" w:rsidR="00371B0D" w:rsidRPr="00DD69D5" w:rsidRDefault="00371B0D" w:rsidP="009B365E">
            <w:pPr>
              <w:tabs>
                <w:tab w:val="left" w:pos="567"/>
              </w:tabs>
              <w:spacing w:after="120" w:line="276" w:lineRule="auto"/>
              <w:ind w:right="232"/>
              <w:jc w:val="center"/>
              <w:rPr>
                <w:rFonts w:ascii="Times New Roman" w:hAnsi="Times New Roman"/>
                <w:b/>
              </w:rPr>
            </w:pPr>
            <w:r w:rsidRPr="00DD69D5">
              <w:rPr>
                <w:rFonts w:ascii="Times New Roman" w:hAnsi="Times New Roman"/>
                <w:b/>
                <w:i/>
              </w:rPr>
              <w:t>ИКОНОМИЧЕСКИ ВЪЗДЕЙСТВИЯ</w:t>
            </w:r>
          </w:p>
        </w:tc>
      </w:tr>
      <w:tr w:rsidR="00371B0D" w:rsidRPr="00DD69D5" w14:paraId="00FA9BD3" w14:textId="77777777" w:rsidTr="009B365E">
        <w:tc>
          <w:tcPr>
            <w:tcW w:w="1701" w:type="dxa"/>
            <w:shd w:val="clear" w:color="auto" w:fill="D9D9D9" w:themeFill="background1" w:themeFillShade="D9"/>
            <w:vAlign w:val="center"/>
          </w:tcPr>
          <w:p w14:paraId="1DBB3FBB" w14:textId="77777777" w:rsidR="00371B0D" w:rsidRPr="00DD69D5" w:rsidRDefault="00371B0D" w:rsidP="009B365E">
            <w:pPr>
              <w:tabs>
                <w:tab w:val="left" w:pos="567"/>
              </w:tabs>
              <w:spacing w:after="120"/>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Вероятност въздействието да се прояви</w:t>
            </w:r>
          </w:p>
        </w:tc>
        <w:tc>
          <w:tcPr>
            <w:tcW w:w="2268" w:type="dxa"/>
            <w:shd w:val="clear" w:color="auto" w:fill="DEEAF6" w:themeFill="accent1" w:themeFillTint="33"/>
          </w:tcPr>
          <w:p w14:paraId="3388BA28" w14:textId="77777777" w:rsidR="00371B0D" w:rsidRPr="00DD69D5" w:rsidRDefault="00371B0D" w:rsidP="009B365E">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 xml:space="preserve">Въздействие 1. </w:t>
            </w:r>
          </w:p>
          <w:p w14:paraId="27EB9C18" w14:textId="064744E0" w:rsidR="001A562D" w:rsidRPr="00DD69D5" w:rsidRDefault="001A562D" w:rsidP="001A562D">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 xml:space="preserve">Цялостно положително влияние върху конкуренцията, увеличаването на  избора на потребителите и постигане на по-ниски </w:t>
            </w:r>
            <w:r w:rsidRPr="00DD69D5">
              <w:rPr>
                <w:rFonts w:ascii="Times New Roman" w:hAnsi="Times New Roman"/>
                <w:b/>
                <w:color w:val="000000" w:themeColor="text1"/>
                <w:sz w:val="16"/>
                <w:szCs w:val="16"/>
              </w:rPr>
              <w:lastRenderedPageBreak/>
              <w:t>цени на основн</w:t>
            </w:r>
            <w:r w:rsidR="0098398D">
              <w:rPr>
                <w:rFonts w:ascii="Times New Roman" w:hAnsi="Times New Roman"/>
                <w:b/>
                <w:color w:val="000000" w:themeColor="text1"/>
                <w:sz w:val="16"/>
                <w:szCs w:val="16"/>
              </w:rPr>
              <w:t>ите земеделски продукти и храни</w:t>
            </w:r>
          </w:p>
          <w:p w14:paraId="1F5A667A" w14:textId="06CB6D3D" w:rsidR="00371B0D" w:rsidRPr="00DD69D5" w:rsidRDefault="00371B0D" w:rsidP="001A562D">
            <w:pPr>
              <w:tabs>
                <w:tab w:val="left" w:pos="567"/>
              </w:tabs>
              <w:spacing w:after="120" w:line="276" w:lineRule="auto"/>
              <w:ind w:right="232"/>
              <w:jc w:val="center"/>
              <w:rPr>
                <w:rFonts w:ascii="Times New Roman" w:hAnsi="Times New Roman"/>
                <w:b/>
                <w:color w:val="000000" w:themeColor="text1"/>
                <w:sz w:val="16"/>
                <w:szCs w:val="16"/>
              </w:rPr>
            </w:pPr>
          </w:p>
        </w:tc>
        <w:tc>
          <w:tcPr>
            <w:tcW w:w="2268" w:type="dxa"/>
            <w:shd w:val="clear" w:color="auto" w:fill="DEEAF6" w:themeFill="accent1" w:themeFillTint="33"/>
          </w:tcPr>
          <w:p w14:paraId="6A1A16E8" w14:textId="77777777" w:rsidR="00371B0D" w:rsidRPr="00DD69D5" w:rsidRDefault="00371B0D" w:rsidP="009B365E">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lastRenderedPageBreak/>
              <w:t xml:space="preserve">Въздействие 2. </w:t>
            </w:r>
          </w:p>
          <w:p w14:paraId="05EDB227" w14:textId="0D578770" w:rsidR="00371B0D" w:rsidRPr="0098398D" w:rsidRDefault="00371B0D" w:rsidP="001C549F">
            <w:pPr>
              <w:tabs>
                <w:tab w:val="left" w:pos="567"/>
              </w:tabs>
              <w:spacing w:after="120" w:line="276" w:lineRule="auto"/>
              <w:ind w:right="232"/>
              <w:jc w:val="center"/>
              <w:rPr>
                <w:rFonts w:ascii="Times New Roman" w:hAnsi="Times New Roman"/>
                <w:b/>
                <w:color w:val="000000" w:themeColor="text1"/>
                <w:sz w:val="16"/>
                <w:szCs w:val="16"/>
              </w:rPr>
            </w:pPr>
            <w:r w:rsidRPr="00B83A67">
              <w:rPr>
                <w:rFonts w:ascii="Times New Roman" w:hAnsi="Times New Roman"/>
                <w:b/>
                <w:color w:val="000000" w:themeColor="text1"/>
                <w:sz w:val="16"/>
                <w:szCs w:val="16"/>
              </w:rPr>
              <w:t>На</w:t>
            </w:r>
            <w:r w:rsidR="001A562D" w:rsidRPr="00B83A67">
              <w:rPr>
                <w:rFonts w:ascii="Times New Roman" w:hAnsi="Times New Roman"/>
                <w:b/>
                <w:color w:val="000000" w:themeColor="text1"/>
                <w:sz w:val="16"/>
                <w:szCs w:val="16"/>
              </w:rPr>
              <w:t>й</w:t>
            </w:r>
            <w:r w:rsidR="001A562D" w:rsidRPr="00B83A67">
              <w:rPr>
                <w:rFonts w:ascii="Times New Roman" w:hAnsi="Times New Roman"/>
                <w:b/>
                <w:sz w:val="16"/>
                <w:szCs w:val="16"/>
              </w:rPr>
              <w:t xml:space="preserve">-пълноценен принос за постигането на </w:t>
            </w:r>
            <w:r w:rsidR="001C549F" w:rsidRPr="00B83A67">
              <w:rPr>
                <w:rFonts w:ascii="Times New Roman" w:hAnsi="Times New Roman"/>
                <w:b/>
                <w:sz w:val="16"/>
                <w:szCs w:val="16"/>
              </w:rPr>
              <w:t xml:space="preserve">продоволствена </w:t>
            </w:r>
            <w:r w:rsidR="001A562D" w:rsidRPr="00B83A67">
              <w:rPr>
                <w:rFonts w:ascii="Times New Roman" w:hAnsi="Times New Roman"/>
                <w:b/>
                <w:sz w:val="16"/>
                <w:szCs w:val="16"/>
              </w:rPr>
              <w:t xml:space="preserve">сигурност и на устойчиво селско </w:t>
            </w:r>
            <w:r w:rsidR="001A562D" w:rsidRPr="00B83A67">
              <w:rPr>
                <w:rFonts w:ascii="Times New Roman" w:hAnsi="Times New Roman"/>
                <w:b/>
                <w:sz w:val="16"/>
                <w:szCs w:val="16"/>
              </w:rPr>
              <w:lastRenderedPageBreak/>
              <w:t>стопанство</w:t>
            </w:r>
            <w:r w:rsidR="001A562D" w:rsidRPr="0098398D">
              <w:rPr>
                <w:rFonts w:ascii="Times New Roman" w:hAnsi="Times New Roman"/>
                <w:b/>
                <w:color w:val="000000" w:themeColor="text1"/>
                <w:sz w:val="16"/>
                <w:szCs w:val="16"/>
              </w:rPr>
              <w:t xml:space="preserve"> </w:t>
            </w:r>
          </w:p>
        </w:tc>
        <w:tc>
          <w:tcPr>
            <w:tcW w:w="2661" w:type="dxa"/>
            <w:shd w:val="clear" w:color="auto" w:fill="DEEAF6" w:themeFill="accent1" w:themeFillTint="33"/>
          </w:tcPr>
          <w:p w14:paraId="0AD83CEA" w14:textId="77777777" w:rsidR="00371B0D" w:rsidRPr="00DD69D5" w:rsidRDefault="00371B0D" w:rsidP="009B365E">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lastRenderedPageBreak/>
              <w:t xml:space="preserve">Въздействие 3. </w:t>
            </w:r>
          </w:p>
          <w:p w14:paraId="24A5A012" w14:textId="1B7C7DC2" w:rsidR="00371B0D" w:rsidRPr="00DD69D5" w:rsidRDefault="001A562D" w:rsidP="001A562D">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sz w:val="16"/>
                <w:szCs w:val="16"/>
              </w:rPr>
              <w:t xml:space="preserve">Насърчаване на конкурентна среда, правна сигурност, равнопоставеност в отношенията по веригата и пропорционалност при разпределението на </w:t>
            </w:r>
            <w:r w:rsidRPr="00DD69D5">
              <w:rPr>
                <w:rFonts w:ascii="Times New Roman" w:hAnsi="Times New Roman"/>
                <w:b/>
                <w:sz w:val="16"/>
                <w:szCs w:val="16"/>
              </w:rPr>
              <w:lastRenderedPageBreak/>
              <w:t>добавената стойност по нея</w:t>
            </w:r>
          </w:p>
        </w:tc>
      </w:tr>
      <w:tr w:rsidR="00371B0D" w:rsidRPr="00DD69D5" w14:paraId="45E7D294" w14:textId="77777777" w:rsidTr="009B365E">
        <w:tc>
          <w:tcPr>
            <w:tcW w:w="1701" w:type="dxa"/>
            <w:shd w:val="clear" w:color="auto" w:fill="D9D9D9" w:themeFill="background1" w:themeFillShade="D9"/>
          </w:tcPr>
          <w:p w14:paraId="2938937E" w14:textId="77777777" w:rsidR="00371B0D" w:rsidRPr="00DD69D5" w:rsidRDefault="00371B0D" w:rsidP="009B365E">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lastRenderedPageBreak/>
              <w:t>Ниска</w:t>
            </w:r>
          </w:p>
        </w:tc>
        <w:tc>
          <w:tcPr>
            <w:tcW w:w="2268" w:type="dxa"/>
            <w:vAlign w:val="center"/>
          </w:tcPr>
          <w:p w14:paraId="7A7F1832"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p>
        </w:tc>
        <w:tc>
          <w:tcPr>
            <w:tcW w:w="2268" w:type="dxa"/>
            <w:vAlign w:val="center"/>
          </w:tcPr>
          <w:p w14:paraId="78D0302F" w14:textId="77777777" w:rsidR="00371B0D" w:rsidRPr="00DD69D5" w:rsidRDefault="00371B0D" w:rsidP="009B365E">
            <w:pPr>
              <w:tabs>
                <w:tab w:val="left" w:pos="567"/>
              </w:tabs>
              <w:spacing w:line="276" w:lineRule="auto"/>
              <w:ind w:right="-46"/>
              <w:jc w:val="center"/>
              <w:rPr>
                <w:rFonts w:ascii="Times New Roman" w:hAnsi="Times New Roman"/>
                <w:b/>
                <w:color w:val="000000" w:themeColor="text1"/>
                <w:sz w:val="16"/>
                <w:szCs w:val="16"/>
              </w:rPr>
            </w:pPr>
          </w:p>
        </w:tc>
        <w:tc>
          <w:tcPr>
            <w:tcW w:w="2661" w:type="dxa"/>
            <w:vAlign w:val="center"/>
          </w:tcPr>
          <w:p w14:paraId="65D5609A"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p>
        </w:tc>
      </w:tr>
      <w:tr w:rsidR="00371B0D" w:rsidRPr="00DD69D5" w14:paraId="5143CE19" w14:textId="77777777" w:rsidTr="009B365E">
        <w:tc>
          <w:tcPr>
            <w:tcW w:w="1701" w:type="dxa"/>
            <w:shd w:val="clear" w:color="auto" w:fill="D9D9D9" w:themeFill="background1" w:themeFillShade="D9"/>
          </w:tcPr>
          <w:p w14:paraId="6986616A" w14:textId="77777777" w:rsidR="00371B0D" w:rsidRPr="00DD69D5" w:rsidRDefault="00371B0D" w:rsidP="009B365E">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Средна</w:t>
            </w:r>
          </w:p>
        </w:tc>
        <w:tc>
          <w:tcPr>
            <w:tcW w:w="2268" w:type="dxa"/>
            <w:vAlign w:val="center"/>
          </w:tcPr>
          <w:p w14:paraId="6353FDB1"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p>
        </w:tc>
        <w:tc>
          <w:tcPr>
            <w:tcW w:w="2268" w:type="dxa"/>
            <w:vAlign w:val="center"/>
          </w:tcPr>
          <w:p w14:paraId="28385581"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p>
        </w:tc>
        <w:tc>
          <w:tcPr>
            <w:tcW w:w="2661" w:type="dxa"/>
            <w:vAlign w:val="center"/>
          </w:tcPr>
          <w:p w14:paraId="1435066A"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p>
        </w:tc>
      </w:tr>
      <w:tr w:rsidR="00371B0D" w:rsidRPr="00DD69D5" w14:paraId="3C3D9D9E" w14:textId="77777777" w:rsidTr="009B365E">
        <w:tc>
          <w:tcPr>
            <w:tcW w:w="1701" w:type="dxa"/>
            <w:shd w:val="clear" w:color="auto" w:fill="D9D9D9" w:themeFill="background1" w:themeFillShade="D9"/>
          </w:tcPr>
          <w:p w14:paraId="31467AC3" w14:textId="77777777" w:rsidR="00371B0D" w:rsidRPr="00DD69D5" w:rsidRDefault="00371B0D" w:rsidP="009B365E">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Висока</w:t>
            </w:r>
          </w:p>
        </w:tc>
        <w:tc>
          <w:tcPr>
            <w:tcW w:w="2268" w:type="dxa"/>
            <w:vAlign w:val="center"/>
          </w:tcPr>
          <w:p w14:paraId="77E050F8"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c>
          <w:tcPr>
            <w:tcW w:w="2268" w:type="dxa"/>
            <w:vAlign w:val="center"/>
          </w:tcPr>
          <w:p w14:paraId="738F3AE5"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c>
          <w:tcPr>
            <w:tcW w:w="2661" w:type="dxa"/>
            <w:vAlign w:val="center"/>
          </w:tcPr>
          <w:p w14:paraId="58D34652"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r>
      <w:tr w:rsidR="00371B0D" w:rsidRPr="00DD69D5" w14:paraId="408BFC30" w14:textId="77777777" w:rsidTr="009B365E">
        <w:tc>
          <w:tcPr>
            <w:tcW w:w="1701" w:type="dxa"/>
            <w:shd w:val="clear" w:color="auto" w:fill="5B9BD5" w:themeFill="accent1"/>
            <w:vAlign w:val="center"/>
          </w:tcPr>
          <w:p w14:paraId="22D48A78" w14:textId="77777777" w:rsidR="00371B0D" w:rsidRPr="00DD69D5" w:rsidRDefault="00371B0D" w:rsidP="009B365E">
            <w:pPr>
              <w:spacing w:before="120" w:after="120"/>
              <w:jc w:val="center"/>
              <w:rPr>
                <w:rFonts w:ascii="Times New Roman" w:hAnsi="Times New Roman"/>
                <w:b/>
                <w:i/>
              </w:rPr>
            </w:pPr>
            <w:r w:rsidRPr="00DD69D5">
              <w:rPr>
                <w:rFonts w:ascii="Times New Roman" w:hAnsi="Times New Roman"/>
                <w:b/>
              </w:rPr>
              <w:t>Вариант 3: „Регулаторен - изцяло нов специален закон“</w:t>
            </w:r>
          </w:p>
        </w:tc>
        <w:tc>
          <w:tcPr>
            <w:tcW w:w="7197" w:type="dxa"/>
            <w:gridSpan w:val="3"/>
            <w:shd w:val="clear" w:color="auto" w:fill="BFBFBF" w:themeFill="background1" w:themeFillShade="BF"/>
            <w:vAlign w:val="center"/>
          </w:tcPr>
          <w:p w14:paraId="4ED0EFCA" w14:textId="77777777" w:rsidR="00371B0D" w:rsidRPr="00DD69D5" w:rsidRDefault="00371B0D" w:rsidP="009B365E">
            <w:pPr>
              <w:tabs>
                <w:tab w:val="left" w:pos="567"/>
              </w:tabs>
              <w:spacing w:after="120" w:line="276" w:lineRule="auto"/>
              <w:ind w:right="232"/>
              <w:jc w:val="center"/>
              <w:rPr>
                <w:rFonts w:ascii="Times New Roman" w:hAnsi="Times New Roman"/>
                <w:b/>
              </w:rPr>
            </w:pPr>
            <w:r w:rsidRPr="00DD69D5">
              <w:rPr>
                <w:rFonts w:ascii="Times New Roman" w:hAnsi="Times New Roman"/>
                <w:b/>
                <w:i/>
              </w:rPr>
              <w:t>СОЦИАЛНИ ВЪЗДЕЙСТВИЯ</w:t>
            </w:r>
          </w:p>
        </w:tc>
      </w:tr>
      <w:tr w:rsidR="00371B0D" w:rsidRPr="00DD69D5" w14:paraId="696FBCF4" w14:textId="77777777" w:rsidTr="009B365E">
        <w:tc>
          <w:tcPr>
            <w:tcW w:w="1701" w:type="dxa"/>
            <w:shd w:val="clear" w:color="auto" w:fill="D9D9D9" w:themeFill="background1" w:themeFillShade="D9"/>
            <w:vAlign w:val="center"/>
          </w:tcPr>
          <w:p w14:paraId="5556952D" w14:textId="77777777" w:rsidR="00371B0D" w:rsidRPr="00DD69D5" w:rsidRDefault="00371B0D" w:rsidP="009B365E">
            <w:pPr>
              <w:tabs>
                <w:tab w:val="left" w:pos="567"/>
              </w:tabs>
              <w:spacing w:after="120"/>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Вероятност въздействието да се прояви</w:t>
            </w:r>
          </w:p>
        </w:tc>
        <w:tc>
          <w:tcPr>
            <w:tcW w:w="2268" w:type="dxa"/>
            <w:shd w:val="clear" w:color="auto" w:fill="DEEAF6" w:themeFill="accent1" w:themeFillTint="33"/>
          </w:tcPr>
          <w:p w14:paraId="75A5D415" w14:textId="77777777" w:rsidR="00371B0D" w:rsidRPr="00DD69D5" w:rsidRDefault="00371B0D" w:rsidP="009B365E">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Въздействие 1.</w:t>
            </w:r>
          </w:p>
          <w:p w14:paraId="75C629AE" w14:textId="4C3F737F" w:rsidR="00371B0D" w:rsidRPr="0098398D" w:rsidRDefault="001A562D" w:rsidP="001A562D">
            <w:pPr>
              <w:tabs>
                <w:tab w:val="left" w:pos="567"/>
              </w:tabs>
              <w:spacing w:after="120" w:line="276" w:lineRule="auto"/>
              <w:ind w:right="232"/>
              <w:jc w:val="center"/>
              <w:rPr>
                <w:rFonts w:ascii="Times New Roman" w:hAnsi="Times New Roman"/>
                <w:b/>
                <w:color w:val="000000" w:themeColor="text1"/>
                <w:sz w:val="16"/>
                <w:szCs w:val="16"/>
              </w:rPr>
            </w:pPr>
            <w:r w:rsidRPr="0098398D">
              <w:rPr>
                <w:rFonts w:ascii="Times New Roman" w:hAnsi="Times New Roman"/>
                <w:b/>
                <w:sz w:val="16"/>
                <w:szCs w:val="16"/>
              </w:rPr>
              <w:t>Оптимален принос за осигуряване на общественото здраве, като гарантира най-пълно доставката на достатъчно висококачествени и безопасни храни</w:t>
            </w:r>
          </w:p>
        </w:tc>
        <w:tc>
          <w:tcPr>
            <w:tcW w:w="2268" w:type="dxa"/>
            <w:shd w:val="clear" w:color="auto" w:fill="DEEAF6" w:themeFill="accent1" w:themeFillTint="33"/>
          </w:tcPr>
          <w:p w14:paraId="4E39E262" w14:textId="77777777" w:rsidR="00371B0D" w:rsidRPr="00DD69D5" w:rsidRDefault="00371B0D" w:rsidP="009B365E">
            <w:pPr>
              <w:tabs>
                <w:tab w:val="left" w:pos="567"/>
              </w:tabs>
              <w:spacing w:after="120" w:line="276" w:lineRule="auto"/>
              <w:ind w:right="-108"/>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Въздействие 2.</w:t>
            </w:r>
          </w:p>
          <w:p w14:paraId="1DAEB247" w14:textId="06A915DB" w:rsidR="00371B0D" w:rsidRPr="00DD69D5" w:rsidRDefault="007E3C03" w:rsidP="001A562D">
            <w:pPr>
              <w:tabs>
                <w:tab w:val="left" w:pos="567"/>
              </w:tabs>
              <w:spacing w:after="120" w:line="276" w:lineRule="auto"/>
              <w:ind w:right="-108"/>
              <w:jc w:val="center"/>
              <w:rPr>
                <w:rFonts w:ascii="Times New Roman" w:hAnsi="Times New Roman"/>
                <w:b/>
                <w:color w:val="000000" w:themeColor="text1"/>
                <w:sz w:val="16"/>
                <w:szCs w:val="16"/>
              </w:rPr>
            </w:pPr>
            <w:r>
              <w:rPr>
                <w:rFonts w:ascii="Times New Roman" w:hAnsi="Times New Roman"/>
                <w:b/>
                <w:color w:val="000000" w:themeColor="text1"/>
                <w:sz w:val="16"/>
                <w:szCs w:val="16"/>
              </w:rPr>
              <w:t>Подобряване</w:t>
            </w:r>
            <w:r w:rsidR="001A562D" w:rsidRPr="00DD69D5">
              <w:rPr>
                <w:rFonts w:ascii="Times New Roman" w:hAnsi="Times New Roman"/>
                <w:b/>
                <w:color w:val="000000" w:themeColor="text1"/>
                <w:sz w:val="16"/>
                <w:szCs w:val="16"/>
              </w:rPr>
              <w:t xml:space="preserve"> благосъстоянието на възрастните хора и другите социално уязвими групи от обществото</w:t>
            </w:r>
          </w:p>
        </w:tc>
        <w:tc>
          <w:tcPr>
            <w:tcW w:w="2661" w:type="dxa"/>
            <w:shd w:val="clear" w:color="auto" w:fill="DEEAF6" w:themeFill="accent1" w:themeFillTint="33"/>
          </w:tcPr>
          <w:p w14:paraId="51FA1E1E" w14:textId="77777777" w:rsidR="00371B0D" w:rsidRPr="00DD69D5" w:rsidRDefault="00371B0D" w:rsidP="009B365E">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Въздействие 3.</w:t>
            </w:r>
          </w:p>
          <w:p w14:paraId="036233F4" w14:textId="541AF9F5" w:rsidR="00371B0D" w:rsidRPr="00DD69D5" w:rsidRDefault="001A562D" w:rsidP="009B365E">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Гарантиране най-ефективно продоволствената сигурност, т.к. води до най-пълноценното функциониране на веригата на доставка на храни и земеделска продукция</w:t>
            </w:r>
          </w:p>
        </w:tc>
      </w:tr>
      <w:tr w:rsidR="00371B0D" w:rsidRPr="00DD69D5" w14:paraId="4BE9A276" w14:textId="77777777" w:rsidTr="009B365E">
        <w:tc>
          <w:tcPr>
            <w:tcW w:w="1701" w:type="dxa"/>
            <w:shd w:val="clear" w:color="auto" w:fill="D9D9D9" w:themeFill="background1" w:themeFillShade="D9"/>
          </w:tcPr>
          <w:p w14:paraId="7EB0C802" w14:textId="77777777" w:rsidR="00371B0D" w:rsidRPr="00DD69D5" w:rsidRDefault="00371B0D" w:rsidP="009B365E">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Ниска</w:t>
            </w:r>
          </w:p>
        </w:tc>
        <w:tc>
          <w:tcPr>
            <w:tcW w:w="2268" w:type="dxa"/>
            <w:vAlign w:val="center"/>
          </w:tcPr>
          <w:p w14:paraId="5EF60017"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p>
        </w:tc>
        <w:tc>
          <w:tcPr>
            <w:tcW w:w="2268" w:type="dxa"/>
            <w:vAlign w:val="center"/>
          </w:tcPr>
          <w:p w14:paraId="1E6E6CDE" w14:textId="77777777" w:rsidR="00371B0D" w:rsidRPr="00DD69D5" w:rsidRDefault="00371B0D" w:rsidP="009B365E">
            <w:pPr>
              <w:tabs>
                <w:tab w:val="left" w:pos="567"/>
              </w:tabs>
              <w:spacing w:line="276" w:lineRule="auto"/>
              <w:ind w:right="-46"/>
              <w:jc w:val="center"/>
              <w:rPr>
                <w:rFonts w:ascii="Times New Roman" w:hAnsi="Times New Roman"/>
                <w:b/>
                <w:color w:val="000000" w:themeColor="text1"/>
                <w:sz w:val="16"/>
                <w:szCs w:val="16"/>
              </w:rPr>
            </w:pPr>
          </w:p>
        </w:tc>
        <w:tc>
          <w:tcPr>
            <w:tcW w:w="2661" w:type="dxa"/>
            <w:vAlign w:val="center"/>
          </w:tcPr>
          <w:p w14:paraId="0D533374"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p>
        </w:tc>
      </w:tr>
      <w:tr w:rsidR="00371B0D" w:rsidRPr="00DD69D5" w14:paraId="54381DB9" w14:textId="77777777" w:rsidTr="009B365E">
        <w:tc>
          <w:tcPr>
            <w:tcW w:w="1701" w:type="dxa"/>
            <w:shd w:val="clear" w:color="auto" w:fill="D9D9D9" w:themeFill="background1" w:themeFillShade="D9"/>
          </w:tcPr>
          <w:p w14:paraId="5D0A60FB" w14:textId="77777777" w:rsidR="00371B0D" w:rsidRPr="00DD69D5" w:rsidRDefault="00371B0D" w:rsidP="009B365E">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Средна</w:t>
            </w:r>
          </w:p>
        </w:tc>
        <w:tc>
          <w:tcPr>
            <w:tcW w:w="2268" w:type="dxa"/>
            <w:vAlign w:val="center"/>
          </w:tcPr>
          <w:p w14:paraId="72376E66"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p>
        </w:tc>
        <w:tc>
          <w:tcPr>
            <w:tcW w:w="2268" w:type="dxa"/>
            <w:vAlign w:val="center"/>
          </w:tcPr>
          <w:p w14:paraId="53932A80"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p>
        </w:tc>
        <w:tc>
          <w:tcPr>
            <w:tcW w:w="2661" w:type="dxa"/>
            <w:vAlign w:val="center"/>
          </w:tcPr>
          <w:p w14:paraId="4FD25C9F"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p>
        </w:tc>
      </w:tr>
      <w:tr w:rsidR="00371B0D" w:rsidRPr="00DD69D5" w14:paraId="16BD206F" w14:textId="77777777" w:rsidTr="009B365E">
        <w:tc>
          <w:tcPr>
            <w:tcW w:w="1701" w:type="dxa"/>
            <w:shd w:val="clear" w:color="auto" w:fill="D9D9D9" w:themeFill="background1" w:themeFillShade="D9"/>
          </w:tcPr>
          <w:p w14:paraId="07D91382" w14:textId="77777777" w:rsidR="00371B0D" w:rsidRPr="00DD69D5" w:rsidRDefault="00371B0D" w:rsidP="009B365E">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Висока</w:t>
            </w:r>
          </w:p>
        </w:tc>
        <w:tc>
          <w:tcPr>
            <w:tcW w:w="2268" w:type="dxa"/>
            <w:vAlign w:val="center"/>
          </w:tcPr>
          <w:p w14:paraId="2DCE18C7"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c>
          <w:tcPr>
            <w:tcW w:w="2268" w:type="dxa"/>
            <w:vAlign w:val="center"/>
          </w:tcPr>
          <w:p w14:paraId="569946C2"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c>
          <w:tcPr>
            <w:tcW w:w="2661" w:type="dxa"/>
            <w:vAlign w:val="center"/>
          </w:tcPr>
          <w:p w14:paraId="513C70B8"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r>
      <w:tr w:rsidR="00371B0D" w:rsidRPr="00DD69D5" w14:paraId="036C2D3C" w14:textId="77777777" w:rsidTr="009B365E">
        <w:tc>
          <w:tcPr>
            <w:tcW w:w="1701" w:type="dxa"/>
            <w:shd w:val="clear" w:color="auto" w:fill="5B9BD5" w:themeFill="accent1"/>
            <w:vAlign w:val="center"/>
          </w:tcPr>
          <w:p w14:paraId="7091F0C7" w14:textId="77777777" w:rsidR="00371B0D" w:rsidRPr="00DD69D5" w:rsidRDefault="00371B0D" w:rsidP="009B365E">
            <w:pPr>
              <w:spacing w:before="120" w:after="120"/>
              <w:jc w:val="center"/>
              <w:rPr>
                <w:rFonts w:ascii="Times New Roman" w:hAnsi="Times New Roman"/>
                <w:b/>
                <w:i/>
              </w:rPr>
            </w:pPr>
            <w:r w:rsidRPr="00DD69D5">
              <w:rPr>
                <w:rFonts w:ascii="Times New Roman" w:hAnsi="Times New Roman"/>
                <w:b/>
              </w:rPr>
              <w:t>Вариант 3: „Регулаторен - изцяло нов специален закон“</w:t>
            </w:r>
          </w:p>
        </w:tc>
        <w:tc>
          <w:tcPr>
            <w:tcW w:w="7197" w:type="dxa"/>
            <w:gridSpan w:val="3"/>
            <w:shd w:val="clear" w:color="auto" w:fill="BFBFBF" w:themeFill="background1" w:themeFillShade="BF"/>
            <w:vAlign w:val="center"/>
          </w:tcPr>
          <w:p w14:paraId="29CEF3D0" w14:textId="77777777" w:rsidR="00371B0D" w:rsidRPr="00DD69D5" w:rsidRDefault="00371B0D" w:rsidP="009B365E">
            <w:pPr>
              <w:tabs>
                <w:tab w:val="left" w:pos="567"/>
              </w:tabs>
              <w:spacing w:after="120" w:line="276" w:lineRule="auto"/>
              <w:ind w:right="232"/>
              <w:jc w:val="center"/>
              <w:rPr>
                <w:rFonts w:ascii="Times New Roman" w:hAnsi="Times New Roman"/>
                <w:b/>
              </w:rPr>
            </w:pPr>
            <w:r w:rsidRPr="00DD69D5">
              <w:rPr>
                <w:rFonts w:ascii="Times New Roman" w:hAnsi="Times New Roman"/>
                <w:b/>
                <w:i/>
              </w:rPr>
              <w:t>ЕКОЛОГИЧНИ ВЪЗДЕЙСТВИЯ</w:t>
            </w:r>
          </w:p>
        </w:tc>
      </w:tr>
      <w:tr w:rsidR="00371B0D" w:rsidRPr="00DD69D5" w14:paraId="6AC95D3F" w14:textId="77777777" w:rsidTr="009B365E">
        <w:tc>
          <w:tcPr>
            <w:tcW w:w="1701" w:type="dxa"/>
            <w:shd w:val="clear" w:color="auto" w:fill="D9D9D9" w:themeFill="background1" w:themeFillShade="D9"/>
            <w:vAlign w:val="center"/>
          </w:tcPr>
          <w:p w14:paraId="681012E3" w14:textId="77777777" w:rsidR="00371B0D" w:rsidRPr="00DD69D5" w:rsidRDefault="00371B0D" w:rsidP="009B365E">
            <w:pPr>
              <w:tabs>
                <w:tab w:val="left" w:pos="567"/>
              </w:tabs>
              <w:spacing w:after="120"/>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Вероятност въздействието да се прояви</w:t>
            </w:r>
          </w:p>
        </w:tc>
        <w:tc>
          <w:tcPr>
            <w:tcW w:w="2268" w:type="dxa"/>
            <w:shd w:val="clear" w:color="auto" w:fill="DEEAF6" w:themeFill="accent1" w:themeFillTint="33"/>
          </w:tcPr>
          <w:p w14:paraId="4BB1823B" w14:textId="77777777" w:rsidR="00371B0D" w:rsidRPr="00DD69D5" w:rsidRDefault="00371B0D" w:rsidP="009B365E">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Въздействие 1.</w:t>
            </w:r>
          </w:p>
          <w:p w14:paraId="73DDDD42" w14:textId="74F4F98F" w:rsidR="00371B0D" w:rsidRPr="00DD69D5" w:rsidRDefault="001A562D" w:rsidP="009B365E">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Спомага оптимално за нивото на подготвеност за посрещане на евентуални негативни ефекти от настъпването на климатични промени</w:t>
            </w:r>
          </w:p>
        </w:tc>
        <w:tc>
          <w:tcPr>
            <w:tcW w:w="2268" w:type="dxa"/>
            <w:shd w:val="clear" w:color="auto" w:fill="DEEAF6" w:themeFill="accent1" w:themeFillTint="33"/>
          </w:tcPr>
          <w:p w14:paraId="217E264A" w14:textId="77777777" w:rsidR="00371B0D" w:rsidRPr="00DD69D5" w:rsidRDefault="00371B0D" w:rsidP="009B365E">
            <w:pPr>
              <w:tabs>
                <w:tab w:val="left" w:pos="567"/>
              </w:tabs>
              <w:spacing w:after="120" w:line="276" w:lineRule="auto"/>
              <w:ind w:right="-108"/>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Въздействие 2.</w:t>
            </w:r>
          </w:p>
          <w:p w14:paraId="7F8F9B5A" w14:textId="5B23AF25" w:rsidR="00371B0D" w:rsidRPr="00DD69D5" w:rsidRDefault="001A562D" w:rsidP="001A562D">
            <w:pPr>
              <w:tabs>
                <w:tab w:val="left" w:pos="567"/>
              </w:tabs>
              <w:spacing w:after="120" w:line="276" w:lineRule="auto"/>
              <w:ind w:right="33"/>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Има най-голям потенциал за намаляване на текущото ниво на образуване на отпадъци, поради възможностите за увеличаване обемите на реализация на произведени храни и друга земеделска продукция</w:t>
            </w:r>
          </w:p>
        </w:tc>
        <w:tc>
          <w:tcPr>
            <w:tcW w:w="2661" w:type="dxa"/>
            <w:shd w:val="clear" w:color="auto" w:fill="DEEAF6" w:themeFill="accent1" w:themeFillTint="33"/>
          </w:tcPr>
          <w:p w14:paraId="4347CDEC" w14:textId="77777777" w:rsidR="00371B0D" w:rsidRPr="00DD69D5" w:rsidRDefault="00371B0D" w:rsidP="009B365E">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Въздействие 3.</w:t>
            </w:r>
          </w:p>
          <w:p w14:paraId="34B3A4E3" w14:textId="25F8C15D" w:rsidR="00371B0D" w:rsidRPr="00DD69D5" w:rsidRDefault="001A562D" w:rsidP="009B365E">
            <w:pPr>
              <w:tabs>
                <w:tab w:val="left" w:pos="567"/>
              </w:tabs>
              <w:spacing w:after="120"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Предлага най-голям потенциал за въвеждането на устойчиви модели на потребление и производство за преминаване към по-щадящи околната среда работни процеси</w:t>
            </w:r>
          </w:p>
        </w:tc>
      </w:tr>
      <w:tr w:rsidR="00371B0D" w:rsidRPr="00DD69D5" w14:paraId="33DCEEB6" w14:textId="77777777" w:rsidTr="009B365E">
        <w:tc>
          <w:tcPr>
            <w:tcW w:w="1701" w:type="dxa"/>
            <w:shd w:val="clear" w:color="auto" w:fill="D9D9D9" w:themeFill="background1" w:themeFillShade="D9"/>
          </w:tcPr>
          <w:p w14:paraId="4A0B3059" w14:textId="77777777" w:rsidR="00371B0D" w:rsidRPr="00DD69D5" w:rsidRDefault="00371B0D" w:rsidP="009B365E">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Ниска</w:t>
            </w:r>
          </w:p>
        </w:tc>
        <w:tc>
          <w:tcPr>
            <w:tcW w:w="2268" w:type="dxa"/>
            <w:vAlign w:val="center"/>
          </w:tcPr>
          <w:p w14:paraId="2A4AA6EB"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p>
        </w:tc>
        <w:tc>
          <w:tcPr>
            <w:tcW w:w="2268" w:type="dxa"/>
            <w:vAlign w:val="center"/>
          </w:tcPr>
          <w:p w14:paraId="0CF23E05" w14:textId="77777777" w:rsidR="00371B0D" w:rsidRPr="00DD69D5" w:rsidRDefault="00371B0D" w:rsidP="009B365E">
            <w:pPr>
              <w:tabs>
                <w:tab w:val="left" w:pos="567"/>
              </w:tabs>
              <w:spacing w:line="276" w:lineRule="auto"/>
              <w:ind w:right="-46"/>
              <w:jc w:val="center"/>
              <w:rPr>
                <w:rFonts w:ascii="Times New Roman" w:hAnsi="Times New Roman"/>
                <w:b/>
                <w:color w:val="000000" w:themeColor="text1"/>
                <w:sz w:val="16"/>
                <w:szCs w:val="16"/>
              </w:rPr>
            </w:pPr>
          </w:p>
        </w:tc>
        <w:tc>
          <w:tcPr>
            <w:tcW w:w="2661" w:type="dxa"/>
            <w:vAlign w:val="center"/>
          </w:tcPr>
          <w:p w14:paraId="44420595"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p>
        </w:tc>
      </w:tr>
      <w:tr w:rsidR="00371B0D" w:rsidRPr="00DD69D5" w14:paraId="12136A0E" w14:textId="77777777" w:rsidTr="009B365E">
        <w:tc>
          <w:tcPr>
            <w:tcW w:w="1701" w:type="dxa"/>
            <w:shd w:val="clear" w:color="auto" w:fill="D9D9D9" w:themeFill="background1" w:themeFillShade="D9"/>
          </w:tcPr>
          <w:p w14:paraId="3DBE7DD4" w14:textId="77777777" w:rsidR="00371B0D" w:rsidRPr="00DD69D5" w:rsidRDefault="00371B0D" w:rsidP="009B365E">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t>Средна</w:t>
            </w:r>
          </w:p>
        </w:tc>
        <w:tc>
          <w:tcPr>
            <w:tcW w:w="2268" w:type="dxa"/>
            <w:vAlign w:val="center"/>
          </w:tcPr>
          <w:p w14:paraId="4FEE1351"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p>
        </w:tc>
        <w:tc>
          <w:tcPr>
            <w:tcW w:w="2268" w:type="dxa"/>
            <w:vAlign w:val="center"/>
          </w:tcPr>
          <w:p w14:paraId="7B67FA71"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c>
          <w:tcPr>
            <w:tcW w:w="2661" w:type="dxa"/>
            <w:vAlign w:val="center"/>
          </w:tcPr>
          <w:p w14:paraId="5EFFB018"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p>
        </w:tc>
      </w:tr>
      <w:tr w:rsidR="00371B0D" w:rsidRPr="007B4A99" w14:paraId="69D35A08" w14:textId="77777777" w:rsidTr="009B365E">
        <w:tc>
          <w:tcPr>
            <w:tcW w:w="1701" w:type="dxa"/>
            <w:shd w:val="clear" w:color="auto" w:fill="D9D9D9" w:themeFill="background1" w:themeFillShade="D9"/>
          </w:tcPr>
          <w:p w14:paraId="0DD84CB1" w14:textId="77777777" w:rsidR="00371B0D" w:rsidRPr="00DD69D5" w:rsidRDefault="00371B0D" w:rsidP="009B365E">
            <w:pPr>
              <w:tabs>
                <w:tab w:val="left" w:pos="567"/>
              </w:tabs>
              <w:spacing w:line="276" w:lineRule="auto"/>
              <w:ind w:right="232"/>
              <w:jc w:val="both"/>
              <w:rPr>
                <w:rFonts w:ascii="Times New Roman" w:hAnsi="Times New Roman"/>
                <w:b/>
                <w:i/>
                <w:color w:val="000000" w:themeColor="text1"/>
                <w:sz w:val="16"/>
                <w:szCs w:val="16"/>
              </w:rPr>
            </w:pPr>
            <w:r w:rsidRPr="00DD69D5">
              <w:rPr>
                <w:rFonts w:ascii="Times New Roman" w:hAnsi="Times New Roman"/>
                <w:b/>
                <w:i/>
                <w:color w:val="000000" w:themeColor="text1"/>
                <w:sz w:val="16"/>
                <w:szCs w:val="16"/>
              </w:rPr>
              <w:lastRenderedPageBreak/>
              <w:t>Висока</w:t>
            </w:r>
          </w:p>
        </w:tc>
        <w:tc>
          <w:tcPr>
            <w:tcW w:w="2268" w:type="dxa"/>
            <w:vAlign w:val="center"/>
          </w:tcPr>
          <w:p w14:paraId="3E02DF38"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c>
          <w:tcPr>
            <w:tcW w:w="2268" w:type="dxa"/>
            <w:vAlign w:val="center"/>
          </w:tcPr>
          <w:p w14:paraId="0F3A34AC" w14:textId="77777777" w:rsidR="00371B0D" w:rsidRPr="00DD69D5" w:rsidRDefault="00371B0D" w:rsidP="009B365E">
            <w:pPr>
              <w:tabs>
                <w:tab w:val="left" w:pos="567"/>
              </w:tabs>
              <w:spacing w:line="276" w:lineRule="auto"/>
              <w:ind w:right="232"/>
              <w:jc w:val="center"/>
              <w:rPr>
                <w:rFonts w:ascii="Times New Roman" w:hAnsi="Times New Roman"/>
                <w:b/>
                <w:color w:val="000000" w:themeColor="text1"/>
                <w:sz w:val="16"/>
                <w:szCs w:val="16"/>
              </w:rPr>
            </w:pPr>
          </w:p>
        </w:tc>
        <w:tc>
          <w:tcPr>
            <w:tcW w:w="2661" w:type="dxa"/>
            <w:vAlign w:val="center"/>
          </w:tcPr>
          <w:p w14:paraId="47036F58" w14:textId="77777777" w:rsidR="00371B0D" w:rsidRPr="007B4A99" w:rsidRDefault="00371B0D" w:rsidP="009B365E">
            <w:pPr>
              <w:tabs>
                <w:tab w:val="left" w:pos="567"/>
              </w:tabs>
              <w:spacing w:line="276" w:lineRule="auto"/>
              <w:ind w:right="232"/>
              <w:jc w:val="center"/>
              <w:rPr>
                <w:rFonts w:ascii="Times New Roman" w:hAnsi="Times New Roman"/>
                <w:b/>
                <w:color w:val="000000" w:themeColor="text1"/>
                <w:sz w:val="16"/>
                <w:szCs w:val="16"/>
              </w:rPr>
            </w:pPr>
            <w:r w:rsidRPr="00DD69D5">
              <w:rPr>
                <w:rFonts w:ascii="Times New Roman" w:hAnsi="Times New Roman"/>
                <w:b/>
                <w:color w:val="000000" w:themeColor="text1"/>
                <w:sz w:val="16"/>
                <w:szCs w:val="16"/>
              </w:rPr>
              <w:t>Х</w:t>
            </w:r>
          </w:p>
        </w:tc>
      </w:tr>
    </w:tbl>
    <w:p w14:paraId="7D59B888" w14:textId="77777777" w:rsidR="00371B0D" w:rsidRPr="007B4A99" w:rsidRDefault="00371B0D" w:rsidP="00FB588D">
      <w:pPr>
        <w:jc w:val="both"/>
        <w:rPr>
          <w:rFonts w:ascii="Times New Roman" w:hAnsi="Times New Roman" w:cs="Times New Roman"/>
        </w:rPr>
      </w:pPr>
    </w:p>
    <w:p w14:paraId="5823817B" w14:textId="77777777" w:rsidR="00380E68" w:rsidRDefault="00F157D6" w:rsidP="00136409">
      <w:pPr>
        <w:pStyle w:val="Heading2"/>
        <w:numPr>
          <w:ilvl w:val="1"/>
          <w:numId w:val="1"/>
        </w:numPr>
        <w:tabs>
          <w:tab w:val="left" w:pos="900"/>
        </w:tabs>
        <w:ind w:left="360" w:firstLine="0"/>
        <w:jc w:val="both"/>
        <w:rPr>
          <w:rFonts w:ascii="Times New Roman" w:hAnsi="Times New Roman"/>
        </w:rPr>
      </w:pPr>
      <w:bookmarkStart w:id="20" w:name="_Toc198633087"/>
      <w:r w:rsidRPr="007B4A99">
        <w:rPr>
          <w:rFonts w:ascii="Times New Roman" w:hAnsi="Times New Roman"/>
        </w:rPr>
        <w:t>Количествена оценка на най-значимите въздействия и на специфичните им аспекти</w:t>
      </w:r>
      <w:bookmarkEnd w:id="20"/>
    </w:p>
    <w:p w14:paraId="5812151F" w14:textId="77777777" w:rsidR="00D9463F" w:rsidRDefault="00D9463F" w:rsidP="00D9463F"/>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376BFB" w:rsidRPr="007B4A99" w14:paraId="268AB298" w14:textId="77777777" w:rsidTr="00D9463F">
        <w:tc>
          <w:tcPr>
            <w:tcW w:w="8702" w:type="dxa"/>
          </w:tcPr>
          <w:p w14:paraId="42CCDD0B" w14:textId="0B8575E8" w:rsidR="00376BFB" w:rsidRPr="007B4A99" w:rsidRDefault="00D9463F" w:rsidP="00376BFB">
            <w:pPr>
              <w:pStyle w:val="7878"/>
              <w:ind w:left="0"/>
              <w:rPr>
                <w:rFonts w:ascii="Times New Roman" w:hAnsi="Times New Roman"/>
              </w:rPr>
            </w:pPr>
            <w:r w:rsidRPr="007B4A99">
              <w:rPr>
                <w:rFonts w:ascii="Times New Roman" w:hAnsi="Times New Roman"/>
              </w:rPr>
              <w:t xml:space="preserve"> </w:t>
            </w:r>
            <w:r w:rsidR="00376BFB" w:rsidRPr="007B4A99">
              <w:rPr>
                <w:rFonts w:ascii="Times New Roman" w:hAnsi="Times New Roman"/>
              </w:rPr>
              <w:t>[Третата фаза от анализа на въздействията включва задълбочен качествен и количествен анализ на най-значимите въздействия. Тя надгражда резултатите от структурния качествен анализ от предходната стъпка, като нейната цел е задълбочаване на анализа за извеждането на количествени прогнози за очакваните ползи и разходи. Те могат да са под няколко форми:</w:t>
            </w:r>
          </w:p>
          <w:p w14:paraId="4848BDE5" w14:textId="77777777" w:rsidR="00376BFB" w:rsidRPr="007B4A99" w:rsidRDefault="00376BFB" w:rsidP="00376BFB">
            <w:pPr>
              <w:pStyle w:val="7878"/>
              <w:ind w:left="0"/>
              <w:rPr>
                <w:rFonts w:ascii="Times New Roman" w:hAnsi="Times New Roman"/>
              </w:rPr>
            </w:pPr>
            <w:r w:rsidRPr="007B4A99">
              <w:rPr>
                <w:rFonts w:ascii="Times New Roman" w:hAnsi="Times New Roman"/>
              </w:rPr>
              <w:t>1. задълбочен анализ на очакваните въздействия с течение на времето, който изисква проучване на практики или изграждане на конкретни сценарии</w:t>
            </w:r>
          </w:p>
          <w:p w14:paraId="29A9DE4C" w14:textId="77777777" w:rsidR="00376BFB" w:rsidRPr="007B4A99" w:rsidRDefault="00376BFB" w:rsidP="00376BFB">
            <w:pPr>
              <w:pStyle w:val="7878"/>
              <w:ind w:left="0"/>
              <w:rPr>
                <w:rFonts w:ascii="Times New Roman" w:hAnsi="Times New Roman"/>
              </w:rPr>
            </w:pPr>
            <w:r w:rsidRPr="007B4A99">
              <w:rPr>
                <w:rFonts w:ascii="Times New Roman" w:hAnsi="Times New Roman"/>
              </w:rPr>
              <w:t>2. количествена прогноза, при която въздействията се оценяват чрез използването на количествени методи. Чрез тях следва да се остойностят въздействията на отделните варианти и да се прогнозират разходите и ползите в парични стойности, когато това е осъществимо. Ако не е осъществимо, следва да се обяснят причините за това.</w:t>
            </w:r>
          </w:p>
          <w:p w14:paraId="74C1D6DC" w14:textId="77777777" w:rsidR="00376BFB" w:rsidRPr="007B4A99" w:rsidRDefault="00376BFB" w:rsidP="00376BFB">
            <w:pPr>
              <w:pStyle w:val="7878"/>
              <w:ind w:left="0"/>
              <w:rPr>
                <w:rFonts w:ascii="Times New Roman" w:hAnsi="Times New Roman"/>
              </w:rPr>
            </w:pPr>
            <w:r w:rsidRPr="007B4A99">
              <w:rPr>
                <w:rFonts w:ascii="Times New Roman" w:hAnsi="Times New Roman"/>
              </w:rPr>
              <w:t>Задълбоченият качествен и количествен анализ на най-значимите въздействия и на специфичните им аспекти се извършва чрез определени методи за анализ на въздействията.</w:t>
            </w:r>
          </w:p>
          <w:p w14:paraId="4B5C9A2D" w14:textId="77777777" w:rsidR="00376BFB" w:rsidRPr="007B4A99" w:rsidRDefault="00376BFB" w:rsidP="00376BFB">
            <w:pPr>
              <w:pStyle w:val="7878"/>
              <w:ind w:left="0"/>
              <w:rPr>
                <w:rFonts w:ascii="Times New Roman" w:hAnsi="Times New Roman"/>
              </w:rPr>
            </w:pPr>
            <w:r w:rsidRPr="007B4A99">
              <w:rPr>
                <w:rFonts w:ascii="Times New Roman" w:hAnsi="Times New Roman"/>
              </w:rPr>
              <w:t xml:space="preserve">Всички предложени варианти за действие трябва да бъдат оценявани през призмата на съответствието с общата цел за по-добро регулиране и да бъдат оценени от </w:t>
            </w:r>
            <w:r w:rsidRPr="007B4A99">
              <w:rPr>
                <w:rFonts w:ascii="Times New Roman" w:hAnsi="Times New Roman"/>
                <w:b/>
              </w:rPr>
              <w:t>гледна точка на необходимостта от по-ясно и разбираемо национално законодателство</w:t>
            </w:r>
            <w:r w:rsidRPr="007B4A99">
              <w:rPr>
                <w:rFonts w:ascii="Times New Roman" w:hAnsi="Times New Roman"/>
              </w:rPr>
              <w:t>. Необходимо е да се прави оценка на аспектите на спазването и прилагането на законодателството от гражданите и бизнеса. Целта е определяне на потенциалните пречки за спазване от страна на лицата, чието поведение трябва да се промени, както и всякакви стимули, които биха насърчили по-високо ниво на спазване.</w:t>
            </w:r>
          </w:p>
          <w:p w14:paraId="3A938BB0" w14:textId="77777777" w:rsidR="00376BFB" w:rsidRPr="007B4A99" w:rsidRDefault="00376BFB" w:rsidP="00376BFB">
            <w:pPr>
              <w:pStyle w:val="7878"/>
              <w:ind w:left="0"/>
              <w:rPr>
                <w:rFonts w:ascii="Times New Roman" w:hAnsi="Times New Roman"/>
                <w:b/>
              </w:rPr>
            </w:pPr>
            <w:r w:rsidRPr="007B4A99">
              <w:rPr>
                <w:rFonts w:ascii="Times New Roman" w:hAnsi="Times New Roman"/>
              </w:rPr>
              <w:t xml:space="preserve">Количествена оценка се извършва на </w:t>
            </w:r>
            <w:r w:rsidRPr="007B4A99">
              <w:rPr>
                <w:rFonts w:ascii="Times New Roman" w:hAnsi="Times New Roman"/>
                <w:b/>
              </w:rPr>
              <w:t>всяко значително въздействие на всеки вариант за действие при решаването на всеки проблем</w:t>
            </w:r>
            <w:r w:rsidRPr="007B4A99">
              <w:rPr>
                <w:rFonts w:ascii="Times New Roman" w:hAnsi="Times New Roman"/>
              </w:rPr>
              <w:t xml:space="preserve"> (Ръководство, РМС № 728 от 2019 г., стр. 37 - 59)</w:t>
            </w:r>
            <w:r w:rsidRPr="007B4A99">
              <w:rPr>
                <w:rFonts w:ascii="Times New Roman" w:hAnsi="Times New Roman"/>
                <w:b/>
              </w:rPr>
              <w:t>].</w:t>
            </w:r>
          </w:p>
          <w:p w14:paraId="4962A286" w14:textId="77777777" w:rsidR="00376BFB" w:rsidRPr="007B4A99" w:rsidRDefault="00376BFB" w:rsidP="00C91091">
            <w:pPr>
              <w:pStyle w:val="7878"/>
              <w:ind w:left="0"/>
              <w:rPr>
                <w:rFonts w:ascii="Times New Roman" w:hAnsi="Times New Roman"/>
              </w:rPr>
            </w:pPr>
            <w:r w:rsidRPr="007B4A99">
              <w:rPr>
                <w:rFonts w:ascii="Times New Roman" w:hAnsi="Times New Roman"/>
              </w:rPr>
              <w:t>Опишете количествено всички значителни въздействия и на специфичните им аспекти за всеки вариант, идентифициран за решаване на всеки проблем.]</w:t>
            </w:r>
          </w:p>
          <w:p w14:paraId="6801C25F" w14:textId="77777777" w:rsidR="00376BFB" w:rsidRPr="007B4A99" w:rsidRDefault="00376BFB" w:rsidP="00C91091">
            <w:pPr>
              <w:pStyle w:val="7878"/>
              <w:ind w:left="0"/>
              <w:rPr>
                <w:rFonts w:ascii="Times New Roman" w:hAnsi="Times New Roman"/>
              </w:rPr>
            </w:pPr>
            <w:r w:rsidRPr="007B4A99">
              <w:rPr>
                <w:rFonts w:ascii="Times New Roman" w:hAnsi="Times New Roman"/>
              </w:rPr>
              <w:t xml:space="preserve">Опишете количествено и качествено измерение на всички значителни икономически и/или социални, и/или екологични въздействия най-малко за следващите три години, </w:t>
            </w:r>
            <w:r w:rsidRPr="007B4A99">
              <w:rPr>
                <w:rFonts w:ascii="Times New Roman" w:hAnsi="Times New Roman"/>
                <w:b/>
              </w:rPr>
              <w:t>водещи до ползи и разходи</w:t>
            </w:r>
            <w:r w:rsidRPr="007B4A99">
              <w:rPr>
                <w:rFonts w:ascii="Times New Roman" w:hAnsi="Times New Roman"/>
              </w:rPr>
              <w:t xml:space="preserve">, включително директни, </w:t>
            </w:r>
            <w:r w:rsidRPr="007B4A99">
              <w:rPr>
                <w:rFonts w:ascii="Times New Roman" w:hAnsi="Times New Roman"/>
                <w:b/>
              </w:rPr>
              <w:t>за заинтересованите страни</w:t>
            </w:r>
            <w:r w:rsidRPr="007B4A99">
              <w:rPr>
                <w:rFonts w:ascii="Times New Roman" w:hAnsi="Times New Roman"/>
              </w:rPr>
              <w:t>, за отделни икономически и социални сектори и/или групи предприятия - за една година, в левове и/или в други мерни единици, позволяващи съпоставяне за всеки вариант.</w:t>
            </w:r>
          </w:p>
        </w:tc>
      </w:tr>
    </w:tbl>
    <w:p w14:paraId="340174D9" w14:textId="77777777" w:rsidR="00136409" w:rsidRDefault="00136409" w:rsidP="00FB588D">
      <w:pPr>
        <w:jc w:val="both"/>
        <w:rPr>
          <w:rFonts w:ascii="Times New Roman" w:hAnsi="Times New Roman" w:cs="Times New Roman"/>
        </w:rPr>
      </w:pPr>
    </w:p>
    <w:p w14:paraId="3007102A" w14:textId="1AD3FBFB" w:rsidR="00D9463F" w:rsidRPr="007B4A99" w:rsidRDefault="00D9463F" w:rsidP="00D9463F">
      <w:pPr>
        <w:spacing w:after="0" w:line="240" w:lineRule="auto"/>
        <w:jc w:val="center"/>
        <w:rPr>
          <w:rFonts w:ascii="Times New Roman" w:hAnsi="Times New Roman" w:cs="Times New Roman"/>
          <w:b/>
          <w:sz w:val="24"/>
          <w:szCs w:val="24"/>
        </w:rPr>
      </w:pPr>
      <w:r w:rsidRPr="007E3C03">
        <w:rPr>
          <w:rFonts w:ascii="Times New Roman" w:hAnsi="Times New Roman" w:cs="Times New Roman"/>
          <w:b/>
          <w:sz w:val="24"/>
          <w:szCs w:val="24"/>
        </w:rPr>
        <w:t>Таблица</w:t>
      </w:r>
      <w:r w:rsidR="001906F0">
        <w:rPr>
          <w:rFonts w:ascii="Times New Roman" w:hAnsi="Times New Roman" w:cs="Times New Roman"/>
          <w:b/>
          <w:sz w:val="24"/>
          <w:szCs w:val="24"/>
        </w:rPr>
        <w:t xml:space="preserve"> №</w:t>
      </w:r>
      <w:r w:rsidRPr="007E3C03">
        <w:rPr>
          <w:rFonts w:ascii="Times New Roman" w:hAnsi="Times New Roman" w:cs="Times New Roman"/>
          <w:b/>
          <w:sz w:val="24"/>
          <w:szCs w:val="24"/>
        </w:rPr>
        <w:t xml:space="preserve"> 7. Количествена оценка на най-значимите въздействия и на специфичните им аспекти</w:t>
      </w:r>
      <w:r w:rsidRPr="007E3C03">
        <w:rPr>
          <w:rFonts w:ascii="Times New Roman" w:hAnsi="Times New Roman" w:cs="Times New Roman"/>
          <w:b/>
          <w:sz w:val="24"/>
          <w:szCs w:val="24"/>
          <w:vertAlign w:val="superscript"/>
        </w:rPr>
        <w:footnoteReference w:id="42"/>
      </w:r>
    </w:p>
    <w:tbl>
      <w:tblPr>
        <w:tblStyle w:val="TableGrid1"/>
        <w:tblW w:w="9072" w:type="dxa"/>
        <w:tblInd w:w="-5" w:type="dxa"/>
        <w:tblLayout w:type="fixed"/>
        <w:tblLook w:val="04A0" w:firstRow="1" w:lastRow="0" w:firstColumn="1" w:lastColumn="0" w:noHBand="0" w:noVBand="1"/>
      </w:tblPr>
      <w:tblGrid>
        <w:gridCol w:w="9072"/>
      </w:tblGrid>
      <w:tr w:rsidR="00D9463F" w:rsidRPr="007B4A99" w14:paraId="203E470A" w14:textId="77777777" w:rsidTr="00D9463F">
        <w:tc>
          <w:tcPr>
            <w:tcW w:w="9072" w:type="dxa"/>
            <w:tcBorders>
              <w:bottom w:val="single" w:sz="4" w:space="0" w:color="auto"/>
            </w:tcBorders>
            <w:shd w:val="clear" w:color="auto" w:fill="9CC2E5" w:themeFill="accent1" w:themeFillTint="99"/>
          </w:tcPr>
          <w:p w14:paraId="1A03D63B" w14:textId="77777777" w:rsidR="00D9463F" w:rsidRPr="007B4A99" w:rsidRDefault="00D9463F" w:rsidP="00D9463F">
            <w:pPr>
              <w:spacing w:before="120" w:after="120"/>
              <w:jc w:val="center"/>
              <w:rPr>
                <w:rFonts w:ascii="Times New Roman" w:hAnsi="Times New Roman"/>
                <w:b/>
                <w:i/>
              </w:rPr>
            </w:pPr>
            <w:r w:rsidRPr="007B4A99">
              <w:rPr>
                <w:rFonts w:ascii="Times New Roman" w:hAnsi="Times New Roman"/>
                <w:b/>
                <w:i/>
              </w:rPr>
              <w:lastRenderedPageBreak/>
              <w:t>Проблем: Липса на цялостна рамка от мерки на национално ниво, която гарантира прозрачност, проследяемост и равнопоставеност в отношенията между участниците във веригата на доставки на земеделски продукти и храни</w:t>
            </w:r>
          </w:p>
        </w:tc>
      </w:tr>
    </w:tbl>
    <w:tbl>
      <w:tblPr>
        <w:tblStyle w:val="TableGrid"/>
        <w:tblW w:w="0" w:type="auto"/>
        <w:tblLook w:val="04A0" w:firstRow="1" w:lastRow="0" w:firstColumn="1" w:lastColumn="0" w:noHBand="0" w:noVBand="1"/>
      </w:tblPr>
      <w:tblGrid>
        <w:gridCol w:w="2334"/>
        <w:gridCol w:w="1440"/>
        <w:gridCol w:w="1621"/>
        <w:gridCol w:w="1734"/>
        <w:gridCol w:w="1933"/>
      </w:tblGrid>
      <w:tr w:rsidR="00D9463F" w:rsidRPr="007B4A99" w14:paraId="19F2080E" w14:textId="77777777" w:rsidTr="00D9463F">
        <w:tc>
          <w:tcPr>
            <w:tcW w:w="2334" w:type="dxa"/>
            <w:vMerge w:val="restart"/>
            <w:shd w:val="clear" w:color="auto" w:fill="BDD6EE" w:themeFill="accent1" w:themeFillTint="66"/>
            <w:vAlign w:val="center"/>
          </w:tcPr>
          <w:p w14:paraId="1038078E" w14:textId="77777777" w:rsidR="00D9463F" w:rsidRPr="007B4A99" w:rsidRDefault="00D9463F" w:rsidP="00D9463F">
            <w:pPr>
              <w:spacing w:line="276" w:lineRule="auto"/>
              <w:jc w:val="center"/>
              <w:rPr>
                <w:rFonts w:ascii="Times New Roman" w:hAnsi="Times New Roman" w:cs="Times New Roman"/>
                <w:b/>
                <w:i/>
                <w:sz w:val="20"/>
                <w:szCs w:val="20"/>
              </w:rPr>
            </w:pPr>
            <w:r w:rsidRPr="007B4A99">
              <w:rPr>
                <w:rFonts w:ascii="Times New Roman" w:hAnsi="Times New Roman" w:cs="Times New Roman"/>
                <w:b/>
                <w:i/>
                <w:sz w:val="20"/>
                <w:szCs w:val="20"/>
              </w:rPr>
              <w:t xml:space="preserve">Критерии </w:t>
            </w:r>
          </w:p>
        </w:tc>
        <w:tc>
          <w:tcPr>
            <w:tcW w:w="6728" w:type="dxa"/>
            <w:gridSpan w:val="4"/>
            <w:shd w:val="clear" w:color="auto" w:fill="D0CECE" w:themeFill="background2" w:themeFillShade="E6"/>
            <w:vAlign w:val="center"/>
          </w:tcPr>
          <w:p w14:paraId="5086798C" w14:textId="77777777" w:rsidR="00D9463F" w:rsidRPr="007B4A99" w:rsidRDefault="00D9463F" w:rsidP="00D9463F">
            <w:pPr>
              <w:spacing w:line="276" w:lineRule="auto"/>
              <w:jc w:val="center"/>
              <w:rPr>
                <w:rFonts w:ascii="Times New Roman" w:hAnsi="Times New Roman" w:cs="Times New Roman"/>
                <w:b/>
                <w:sz w:val="18"/>
                <w:szCs w:val="18"/>
              </w:rPr>
            </w:pPr>
          </w:p>
          <w:p w14:paraId="51F1DB15" w14:textId="77777777" w:rsidR="00D9463F" w:rsidRPr="007B4A99" w:rsidRDefault="00D9463F" w:rsidP="00D9463F">
            <w:pPr>
              <w:spacing w:line="276" w:lineRule="auto"/>
              <w:jc w:val="center"/>
              <w:rPr>
                <w:rFonts w:ascii="Times New Roman" w:hAnsi="Times New Roman" w:cs="Times New Roman"/>
                <w:b/>
                <w:i/>
                <w:sz w:val="20"/>
                <w:szCs w:val="20"/>
              </w:rPr>
            </w:pPr>
            <w:r w:rsidRPr="007B4A99">
              <w:rPr>
                <w:rFonts w:ascii="Times New Roman" w:hAnsi="Times New Roman" w:cs="Times New Roman"/>
                <w:b/>
                <w:i/>
                <w:sz w:val="20"/>
                <w:szCs w:val="20"/>
              </w:rPr>
              <w:t>Варианти</w:t>
            </w:r>
          </w:p>
          <w:p w14:paraId="466E8BB2" w14:textId="77777777" w:rsidR="00D9463F" w:rsidRPr="007B4A99" w:rsidRDefault="00D9463F" w:rsidP="00D9463F">
            <w:pPr>
              <w:spacing w:line="276" w:lineRule="auto"/>
              <w:jc w:val="center"/>
              <w:rPr>
                <w:rFonts w:ascii="Times New Roman" w:hAnsi="Times New Roman" w:cs="Times New Roman"/>
                <w:b/>
                <w:sz w:val="18"/>
                <w:szCs w:val="18"/>
              </w:rPr>
            </w:pPr>
          </w:p>
        </w:tc>
      </w:tr>
      <w:tr w:rsidR="00D9463F" w:rsidRPr="007B4A99" w14:paraId="5D06F70A" w14:textId="77777777" w:rsidTr="00D9463F">
        <w:trPr>
          <w:trHeight w:val="1350"/>
        </w:trPr>
        <w:tc>
          <w:tcPr>
            <w:tcW w:w="2334" w:type="dxa"/>
            <w:vMerge/>
            <w:shd w:val="clear" w:color="auto" w:fill="BDD6EE" w:themeFill="accent1" w:themeFillTint="66"/>
          </w:tcPr>
          <w:p w14:paraId="752BB323" w14:textId="77777777" w:rsidR="00D9463F" w:rsidRPr="007B4A99" w:rsidRDefault="00D9463F" w:rsidP="00D9463F">
            <w:pPr>
              <w:spacing w:line="276" w:lineRule="auto"/>
              <w:jc w:val="center"/>
              <w:rPr>
                <w:rFonts w:ascii="Times New Roman" w:hAnsi="Times New Roman" w:cs="Times New Roman"/>
                <w:b/>
                <w:sz w:val="18"/>
                <w:szCs w:val="18"/>
              </w:rPr>
            </w:pPr>
          </w:p>
        </w:tc>
        <w:tc>
          <w:tcPr>
            <w:tcW w:w="1440" w:type="dxa"/>
            <w:shd w:val="clear" w:color="auto" w:fill="00B0F0"/>
          </w:tcPr>
          <w:p w14:paraId="28842C71" w14:textId="77777777" w:rsidR="00D9463F" w:rsidRPr="007B4A99" w:rsidRDefault="00D9463F" w:rsidP="00D9463F">
            <w:pPr>
              <w:spacing w:line="276" w:lineRule="auto"/>
              <w:jc w:val="center"/>
              <w:rPr>
                <w:rFonts w:ascii="Times New Roman" w:hAnsi="Times New Roman" w:cs="Times New Roman"/>
                <w:b/>
                <w:sz w:val="18"/>
                <w:szCs w:val="18"/>
              </w:rPr>
            </w:pPr>
            <w:r w:rsidRPr="007B4A99">
              <w:rPr>
                <w:rFonts w:ascii="Times New Roman" w:hAnsi="Times New Roman" w:cs="Times New Roman"/>
                <w:b/>
                <w:sz w:val="18"/>
                <w:szCs w:val="18"/>
              </w:rPr>
              <w:t>Вариант 0: „Без действие“</w:t>
            </w:r>
          </w:p>
        </w:tc>
        <w:tc>
          <w:tcPr>
            <w:tcW w:w="1621" w:type="dxa"/>
            <w:shd w:val="clear" w:color="auto" w:fill="00B0F0"/>
          </w:tcPr>
          <w:p w14:paraId="71A9C616" w14:textId="77777777" w:rsidR="00D9463F" w:rsidRPr="007B4A99" w:rsidRDefault="00D9463F" w:rsidP="00D9463F">
            <w:pPr>
              <w:spacing w:line="276" w:lineRule="auto"/>
              <w:jc w:val="center"/>
              <w:rPr>
                <w:rFonts w:ascii="Times New Roman" w:hAnsi="Times New Roman" w:cs="Times New Roman"/>
                <w:b/>
                <w:sz w:val="18"/>
                <w:szCs w:val="18"/>
              </w:rPr>
            </w:pPr>
            <w:r w:rsidRPr="007B4A99">
              <w:rPr>
                <w:rFonts w:ascii="Times New Roman" w:hAnsi="Times New Roman" w:cs="Times New Roman"/>
                <w:b/>
                <w:sz w:val="18"/>
                <w:szCs w:val="18"/>
              </w:rPr>
              <w:t>Вариант 1: „Нерегулаторен“</w:t>
            </w:r>
          </w:p>
        </w:tc>
        <w:tc>
          <w:tcPr>
            <w:tcW w:w="1734" w:type="dxa"/>
            <w:shd w:val="clear" w:color="auto" w:fill="00B0F0"/>
          </w:tcPr>
          <w:p w14:paraId="19212E6F" w14:textId="77777777" w:rsidR="00D9463F" w:rsidRPr="007B4A99" w:rsidRDefault="00D9463F" w:rsidP="00D9463F">
            <w:pPr>
              <w:spacing w:line="276" w:lineRule="auto"/>
              <w:jc w:val="center"/>
              <w:rPr>
                <w:rFonts w:ascii="Times New Roman" w:hAnsi="Times New Roman" w:cs="Times New Roman"/>
                <w:b/>
                <w:sz w:val="18"/>
                <w:szCs w:val="18"/>
              </w:rPr>
            </w:pPr>
            <w:r w:rsidRPr="007B4A99">
              <w:rPr>
                <w:rFonts w:ascii="Times New Roman" w:hAnsi="Times New Roman" w:cs="Times New Roman"/>
                <w:b/>
                <w:sz w:val="18"/>
                <w:szCs w:val="18"/>
              </w:rPr>
              <w:t>Вариант 2: „Регулаторен - промени в действащата правна уредба“</w:t>
            </w:r>
          </w:p>
        </w:tc>
        <w:tc>
          <w:tcPr>
            <w:tcW w:w="1933" w:type="dxa"/>
            <w:shd w:val="clear" w:color="auto" w:fill="00B0F0"/>
          </w:tcPr>
          <w:p w14:paraId="28FF164B" w14:textId="77777777" w:rsidR="00D9463F" w:rsidRPr="007B4A99" w:rsidRDefault="00D9463F" w:rsidP="00D9463F">
            <w:pPr>
              <w:spacing w:line="276" w:lineRule="auto"/>
              <w:jc w:val="center"/>
              <w:rPr>
                <w:rFonts w:ascii="Times New Roman" w:hAnsi="Times New Roman" w:cs="Times New Roman"/>
                <w:b/>
                <w:sz w:val="18"/>
                <w:szCs w:val="18"/>
              </w:rPr>
            </w:pPr>
            <w:r w:rsidRPr="007B4A99">
              <w:rPr>
                <w:rFonts w:ascii="Times New Roman" w:hAnsi="Times New Roman" w:cs="Times New Roman"/>
                <w:b/>
                <w:sz w:val="18"/>
                <w:szCs w:val="18"/>
              </w:rPr>
              <w:t>Вариант 3:</w:t>
            </w:r>
            <w:r w:rsidRPr="007B4A99">
              <w:t xml:space="preserve"> </w:t>
            </w:r>
            <w:r w:rsidRPr="007B4A99">
              <w:rPr>
                <w:rFonts w:ascii="Times New Roman" w:hAnsi="Times New Roman" w:cs="Times New Roman"/>
                <w:b/>
                <w:sz w:val="18"/>
                <w:szCs w:val="18"/>
              </w:rPr>
              <w:t xml:space="preserve">„Регулаторен – изцяло нов специален закон“ </w:t>
            </w:r>
          </w:p>
        </w:tc>
      </w:tr>
      <w:tr w:rsidR="00D9463F" w:rsidRPr="00D9463F" w14:paraId="3398B933" w14:textId="77777777" w:rsidTr="00D9463F">
        <w:tc>
          <w:tcPr>
            <w:tcW w:w="2334" w:type="dxa"/>
            <w:shd w:val="clear" w:color="auto" w:fill="BDD6EE" w:themeFill="accent1" w:themeFillTint="66"/>
            <w:vAlign w:val="center"/>
          </w:tcPr>
          <w:p w14:paraId="6F401285" w14:textId="77777777" w:rsidR="00D9463F" w:rsidRPr="00D9463F" w:rsidRDefault="00D9463F" w:rsidP="00D9463F">
            <w:pPr>
              <w:spacing w:line="276" w:lineRule="auto"/>
              <w:rPr>
                <w:rFonts w:ascii="Times New Roman" w:hAnsi="Times New Roman" w:cs="Times New Roman"/>
                <w:sz w:val="18"/>
                <w:szCs w:val="18"/>
              </w:rPr>
            </w:pPr>
            <w:r w:rsidRPr="00D9463F">
              <w:rPr>
                <w:rFonts w:ascii="Times New Roman" w:hAnsi="Times New Roman" w:cs="Times New Roman"/>
                <w:b/>
                <w:sz w:val="18"/>
                <w:szCs w:val="18"/>
              </w:rPr>
              <w:t>Икономическо въздействие 1</w:t>
            </w:r>
            <w:r w:rsidRPr="00D9463F">
              <w:rPr>
                <w:rFonts w:ascii="Times New Roman" w:hAnsi="Times New Roman" w:cs="Times New Roman"/>
                <w:sz w:val="18"/>
                <w:szCs w:val="18"/>
              </w:rPr>
              <w:t>. Положително влияние върху конкуренцията, увеличаването на  избора на потребителите и постигане на по-ниски цени на основните земеделски продукти и храни</w:t>
            </w:r>
          </w:p>
        </w:tc>
        <w:tc>
          <w:tcPr>
            <w:tcW w:w="1440" w:type="dxa"/>
            <w:shd w:val="clear" w:color="auto" w:fill="E7E6E6" w:themeFill="background2"/>
            <w:vAlign w:val="center"/>
          </w:tcPr>
          <w:p w14:paraId="08137AFF" w14:textId="77777777" w:rsidR="00D9463F" w:rsidRPr="007E3C03" w:rsidRDefault="00D9463F"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–3</w:t>
            </w:r>
          </w:p>
        </w:tc>
        <w:tc>
          <w:tcPr>
            <w:tcW w:w="1621" w:type="dxa"/>
            <w:shd w:val="clear" w:color="auto" w:fill="E7E6E6" w:themeFill="background2"/>
            <w:vAlign w:val="center"/>
          </w:tcPr>
          <w:p w14:paraId="6E6233B8" w14:textId="77777777" w:rsidR="00D9463F" w:rsidRPr="007E3C03" w:rsidRDefault="00D9463F"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+1</w:t>
            </w:r>
          </w:p>
        </w:tc>
        <w:tc>
          <w:tcPr>
            <w:tcW w:w="1734" w:type="dxa"/>
            <w:shd w:val="clear" w:color="auto" w:fill="E7E6E6" w:themeFill="background2"/>
            <w:vAlign w:val="center"/>
          </w:tcPr>
          <w:p w14:paraId="486704B1" w14:textId="77777777" w:rsidR="00D9463F" w:rsidRPr="007E3C03" w:rsidRDefault="00D9463F"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+2</w:t>
            </w:r>
          </w:p>
        </w:tc>
        <w:tc>
          <w:tcPr>
            <w:tcW w:w="1933" w:type="dxa"/>
            <w:shd w:val="clear" w:color="auto" w:fill="E7E6E6" w:themeFill="background2"/>
            <w:vAlign w:val="center"/>
          </w:tcPr>
          <w:p w14:paraId="332BD50A" w14:textId="77777777" w:rsidR="00D9463F" w:rsidRPr="007E3C03" w:rsidRDefault="00D9463F"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+3</w:t>
            </w:r>
          </w:p>
        </w:tc>
      </w:tr>
      <w:tr w:rsidR="00D9463F" w:rsidRPr="00D9463F" w14:paraId="6DBBCB6F" w14:textId="77777777" w:rsidTr="00D9463F">
        <w:tc>
          <w:tcPr>
            <w:tcW w:w="2334" w:type="dxa"/>
            <w:shd w:val="clear" w:color="auto" w:fill="BDD6EE" w:themeFill="accent1" w:themeFillTint="66"/>
            <w:vAlign w:val="center"/>
          </w:tcPr>
          <w:p w14:paraId="0505A7D5" w14:textId="49232E7B" w:rsidR="00D9463F" w:rsidRPr="00D9463F" w:rsidRDefault="00D9463F" w:rsidP="001C549F">
            <w:pPr>
              <w:spacing w:line="276" w:lineRule="auto"/>
              <w:rPr>
                <w:rFonts w:ascii="Times New Roman" w:hAnsi="Times New Roman" w:cs="Times New Roman"/>
                <w:sz w:val="18"/>
                <w:szCs w:val="18"/>
              </w:rPr>
            </w:pPr>
            <w:r w:rsidRPr="00B83A67">
              <w:rPr>
                <w:rFonts w:ascii="Times New Roman" w:hAnsi="Times New Roman" w:cs="Times New Roman"/>
                <w:b/>
                <w:sz w:val="18"/>
                <w:szCs w:val="18"/>
              </w:rPr>
              <w:t>Икономическо въздействие 2</w:t>
            </w:r>
            <w:r w:rsidRPr="00B83A67">
              <w:rPr>
                <w:rFonts w:ascii="Times New Roman" w:hAnsi="Times New Roman" w:cs="Times New Roman"/>
                <w:sz w:val="18"/>
                <w:szCs w:val="18"/>
              </w:rPr>
              <w:t xml:space="preserve">., </w:t>
            </w:r>
            <w:r w:rsidR="001C549F" w:rsidRPr="00B83A67">
              <w:rPr>
                <w:rFonts w:ascii="Times New Roman" w:hAnsi="Times New Roman" w:cs="Times New Roman"/>
                <w:sz w:val="18"/>
                <w:szCs w:val="18"/>
              </w:rPr>
              <w:t>П</w:t>
            </w:r>
            <w:r w:rsidRPr="00B83A67">
              <w:rPr>
                <w:rFonts w:ascii="Times New Roman" w:hAnsi="Times New Roman" w:cs="Times New Roman"/>
                <w:sz w:val="18"/>
                <w:szCs w:val="18"/>
              </w:rPr>
              <w:t>остигане на</w:t>
            </w:r>
            <w:r w:rsidR="001C549F" w:rsidRPr="00B83A67">
              <w:rPr>
                <w:rFonts w:ascii="Times New Roman" w:hAnsi="Times New Roman" w:cs="Times New Roman"/>
                <w:sz w:val="18"/>
                <w:szCs w:val="18"/>
              </w:rPr>
              <w:t xml:space="preserve"> продоволствена</w:t>
            </w:r>
            <w:r w:rsidRPr="00B83A67">
              <w:rPr>
                <w:rFonts w:ascii="Times New Roman" w:hAnsi="Times New Roman" w:cs="Times New Roman"/>
                <w:sz w:val="18"/>
                <w:szCs w:val="18"/>
              </w:rPr>
              <w:t xml:space="preserve"> сигурност и на устойчиво селско стопанство</w:t>
            </w:r>
          </w:p>
        </w:tc>
        <w:tc>
          <w:tcPr>
            <w:tcW w:w="1440" w:type="dxa"/>
            <w:shd w:val="clear" w:color="auto" w:fill="E7E6E6" w:themeFill="background2"/>
            <w:vAlign w:val="center"/>
          </w:tcPr>
          <w:p w14:paraId="450442BD" w14:textId="79807771" w:rsidR="00D9463F" w:rsidRPr="007E3C03" w:rsidRDefault="00D9463F" w:rsidP="007E3C03">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w:t>
            </w:r>
            <w:r w:rsidR="007E3C03" w:rsidRPr="007E3C03">
              <w:rPr>
                <w:rFonts w:ascii="Times New Roman" w:hAnsi="Times New Roman" w:cs="Times New Roman"/>
                <w:sz w:val="18"/>
                <w:szCs w:val="18"/>
              </w:rPr>
              <w:t>3</w:t>
            </w:r>
          </w:p>
        </w:tc>
        <w:tc>
          <w:tcPr>
            <w:tcW w:w="1621" w:type="dxa"/>
            <w:shd w:val="clear" w:color="auto" w:fill="E7E6E6" w:themeFill="background2"/>
            <w:vAlign w:val="center"/>
          </w:tcPr>
          <w:p w14:paraId="4F811484" w14:textId="78863609" w:rsidR="00D9463F" w:rsidRPr="007E3C03" w:rsidRDefault="007E3C03"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0</w:t>
            </w:r>
          </w:p>
        </w:tc>
        <w:tc>
          <w:tcPr>
            <w:tcW w:w="1734" w:type="dxa"/>
            <w:shd w:val="clear" w:color="auto" w:fill="E7E6E6" w:themeFill="background2"/>
            <w:vAlign w:val="center"/>
          </w:tcPr>
          <w:p w14:paraId="25FCED36" w14:textId="77777777" w:rsidR="00D9463F" w:rsidRPr="007E3C03" w:rsidRDefault="00D9463F"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+2</w:t>
            </w:r>
          </w:p>
        </w:tc>
        <w:tc>
          <w:tcPr>
            <w:tcW w:w="1933" w:type="dxa"/>
            <w:shd w:val="clear" w:color="auto" w:fill="E7E6E6" w:themeFill="background2"/>
            <w:vAlign w:val="center"/>
          </w:tcPr>
          <w:p w14:paraId="7325019D" w14:textId="59597841" w:rsidR="00D9463F" w:rsidRPr="007E3C03" w:rsidRDefault="007E3C03"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+2</w:t>
            </w:r>
          </w:p>
        </w:tc>
      </w:tr>
      <w:tr w:rsidR="00D9463F" w:rsidRPr="00D9463F" w14:paraId="62B0D0A8" w14:textId="77777777" w:rsidTr="00D9463F">
        <w:tc>
          <w:tcPr>
            <w:tcW w:w="2334" w:type="dxa"/>
            <w:shd w:val="clear" w:color="auto" w:fill="BDD6EE" w:themeFill="accent1" w:themeFillTint="66"/>
            <w:vAlign w:val="center"/>
          </w:tcPr>
          <w:p w14:paraId="587854A3" w14:textId="77777777" w:rsidR="00D9463F" w:rsidRPr="00D9463F" w:rsidRDefault="00D9463F" w:rsidP="00D9463F">
            <w:pPr>
              <w:spacing w:line="276" w:lineRule="auto"/>
              <w:rPr>
                <w:rFonts w:ascii="Times New Roman" w:hAnsi="Times New Roman" w:cs="Times New Roman"/>
                <w:b/>
                <w:sz w:val="18"/>
                <w:szCs w:val="18"/>
              </w:rPr>
            </w:pPr>
            <w:r w:rsidRPr="00D9463F">
              <w:rPr>
                <w:rFonts w:ascii="Times New Roman" w:hAnsi="Times New Roman" w:cs="Times New Roman"/>
                <w:b/>
                <w:sz w:val="18"/>
                <w:szCs w:val="18"/>
              </w:rPr>
              <w:t>Икономическо въздействие 3.</w:t>
            </w:r>
          </w:p>
          <w:p w14:paraId="1B53E009" w14:textId="77777777" w:rsidR="00D9463F" w:rsidRPr="00D9463F" w:rsidRDefault="00D9463F" w:rsidP="00D9463F">
            <w:pPr>
              <w:spacing w:line="276" w:lineRule="auto"/>
              <w:rPr>
                <w:rFonts w:ascii="Times New Roman" w:hAnsi="Times New Roman" w:cs="Times New Roman"/>
                <w:sz w:val="18"/>
                <w:szCs w:val="18"/>
              </w:rPr>
            </w:pPr>
            <w:r w:rsidRPr="00D9463F">
              <w:rPr>
                <w:rFonts w:ascii="Times New Roman" w:hAnsi="Times New Roman" w:cs="Times New Roman"/>
                <w:sz w:val="18"/>
                <w:szCs w:val="18"/>
              </w:rPr>
              <w:t>Реална конкурентна среда, правна сигурност, равнопоставеност в отношенията по веригата и пропорционалност при разпределението на добавената стойност по нея</w:t>
            </w:r>
          </w:p>
        </w:tc>
        <w:tc>
          <w:tcPr>
            <w:tcW w:w="1440" w:type="dxa"/>
            <w:shd w:val="clear" w:color="auto" w:fill="E7E6E6" w:themeFill="background2"/>
            <w:vAlign w:val="center"/>
          </w:tcPr>
          <w:p w14:paraId="7BC6858B" w14:textId="77777777" w:rsidR="00D9463F" w:rsidRPr="007E3C03" w:rsidRDefault="00D9463F"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–3</w:t>
            </w:r>
          </w:p>
        </w:tc>
        <w:tc>
          <w:tcPr>
            <w:tcW w:w="1621" w:type="dxa"/>
            <w:shd w:val="clear" w:color="auto" w:fill="E7E6E6" w:themeFill="background2"/>
            <w:vAlign w:val="center"/>
          </w:tcPr>
          <w:p w14:paraId="09FE2241" w14:textId="77777777" w:rsidR="00D9463F" w:rsidRPr="007E3C03" w:rsidRDefault="00D9463F"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+1</w:t>
            </w:r>
          </w:p>
        </w:tc>
        <w:tc>
          <w:tcPr>
            <w:tcW w:w="1734" w:type="dxa"/>
            <w:shd w:val="clear" w:color="auto" w:fill="E7E6E6" w:themeFill="background2"/>
            <w:vAlign w:val="center"/>
          </w:tcPr>
          <w:p w14:paraId="7574DBB8" w14:textId="77777777" w:rsidR="00D9463F" w:rsidRPr="007E3C03" w:rsidRDefault="00D9463F"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+2</w:t>
            </w:r>
          </w:p>
        </w:tc>
        <w:tc>
          <w:tcPr>
            <w:tcW w:w="1933" w:type="dxa"/>
            <w:shd w:val="clear" w:color="auto" w:fill="E7E6E6" w:themeFill="background2"/>
            <w:vAlign w:val="center"/>
          </w:tcPr>
          <w:p w14:paraId="1F1E2652" w14:textId="03AF1D25" w:rsidR="00D9463F" w:rsidRPr="007E3C03" w:rsidRDefault="007E3C03"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+3</w:t>
            </w:r>
          </w:p>
        </w:tc>
      </w:tr>
      <w:tr w:rsidR="00D9463F" w:rsidRPr="00D9463F" w14:paraId="5C682D01" w14:textId="77777777" w:rsidTr="00D9463F">
        <w:tc>
          <w:tcPr>
            <w:tcW w:w="2334" w:type="dxa"/>
            <w:shd w:val="clear" w:color="auto" w:fill="BDD6EE" w:themeFill="accent1" w:themeFillTint="66"/>
            <w:vAlign w:val="center"/>
          </w:tcPr>
          <w:p w14:paraId="3441B811" w14:textId="77777777" w:rsidR="00D9463F" w:rsidRPr="00D9463F" w:rsidRDefault="00D9463F" w:rsidP="00D9463F">
            <w:pPr>
              <w:spacing w:line="276" w:lineRule="auto"/>
              <w:rPr>
                <w:rFonts w:ascii="Times New Roman" w:hAnsi="Times New Roman" w:cs="Times New Roman"/>
                <w:sz w:val="18"/>
                <w:szCs w:val="18"/>
              </w:rPr>
            </w:pPr>
            <w:r w:rsidRPr="00D9463F">
              <w:rPr>
                <w:rFonts w:ascii="Times New Roman" w:hAnsi="Times New Roman" w:cs="Times New Roman"/>
                <w:b/>
                <w:sz w:val="18"/>
                <w:szCs w:val="18"/>
              </w:rPr>
              <w:t>Социално въздействие 1</w:t>
            </w:r>
            <w:r w:rsidRPr="00D9463F">
              <w:rPr>
                <w:rFonts w:ascii="Times New Roman" w:hAnsi="Times New Roman" w:cs="Times New Roman"/>
                <w:sz w:val="18"/>
                <w:szCs w:val="18"/>
              </w:rPr>
              <w:t>. Осигуряване на общественото здраве, чрез гарантиране на доставката на достатъчно висококачествени и безопасни храни</w:t>
            </w:r>
          </w:p>
        </w:tc>
        <w:tc>
          <w:tcPr>
            <w:tcW w:w="1440" w:type="dxa"/>
            <w:shd w:val="clear" w:color="auto" w:fill="E7E6E6" w:themeFill="background2"/>
            <w:vAlign w:val="center"/>
          </w:tcPr>
          <w:p w14:paraId="583F2164" w14:textId="77777777" w:rsidR="00D9463F" w:rsidRPr="007E3C03" w:rsidRDefault="00D9463F"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–3</w:t>
            </w:r>
          </w:p>
        </w:tc>
        <w:tc>
          <w:tcPr>
            <w:tcW w:w="1621" w:type="dxa"/>
            <w:shd w:val="clear" w:color="auto" w:fill="E7E6E6" w:themeFill="background2"/>
            <w:vAlign w:val="center"/>
          </w:tcPr>
          <w:p w14:paraId="08F0E288" w14:textId="77777777" w:rsidR="00D9463F" w:rsidRPr="007E3C03" w:rsidRDefault="00D9463F"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0</w:t>
            </w:r>
          </w:p>
        </w:tc>
        <w:tc>
          <w:tcPr>
            <w:tcW w:w="1734" w:type="dxa"/>
            <w:shd w:val="clear" w:color="auto" w:fill="E7E6E6" w:themeFill="background2"/>
            <w:vAlign w:val="center"/>
          </w:tcPr>
          <w:p w14:paraId="1C2F2FC9" w14:textId="77777777" w:rsidR="00D9463F" w:rsidRPr="007E3C03" w:rsidRDefault="00D9463F"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+1</w:t>
            </w:r>
          </w:p>
        </w:tc>
        <w:tc>
          <w:tcPr>
            <w:tcW w:w="1933" w:type="dxa"/>
            <w:shd w:val="clear" w:color="auto" w:fill="E7E6E6" w:themeFill="background2"/>
            <w:vAlign w:val="center"/>
          </w:tcPr>
          <w:p w14:paraId="5948E438" w14:textId="0AB3B9E2" w:rsidR="00D9463F" w:rsidRPr="007E3C03" w:rsidRDefault="00D9463F" w:rsidP="007E3C03">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w:t>
            </w:r>
            <w:r w:rsidR="007E3C03" w:rsidRPr="007E3C03">
              <w:rPr>
                <w:rFonts w:ascii="Times New Roman" w:hAnsi="Times New Roman" w:cs="Times New Roman"/>
                <w:sz w:val="18"/>
                <w:szCs w:val="18"/>
              </w:rPr>
              <w:t>3</w:t>
            </w:r>
          </w:p>
        </w:tc>
      </w:tr>
      <w:tr w:rsidR="00D9463F" w:rsidRPr="00D9463F" w14:paraId="22BF8A10" w14:textId="77777777" w:rsidTr="00D9463F">
        <w:tc>
          <w:tcPr>
            <w:tcW w:w="2334" w:type="dxa"/>
            <w:shd w:val="clear" w:color="auto" w:fill="BDD6EE" w:themeFill="accent1" w:themeFillTint="66"/>
            <w:vAlign w:val="center"/>
          </w:tcPr>
          <w:p w14:paraId="23937873" w14:textId="0326F3D1" w:rsidR="00D9463F" w:rsidRPr="00D9463F" w:rsidRDefault="00D9463F" w:rsidP="007E3C03">
            <w:pPr>
              <w:spacing w:line="276" w:lineRule="auto"/>
              <w:rPr>
                <w:rFonts w:ascii="Times New Roman" w:hAnsi="Times New Roman" w:cs="Times New Roman"/>
                <w:sz w:val="18"/>
                <w:szCs w:val="18"/>
              </w:rPr>
            </w:pPr>
            <w:r w:rsidRPr="00D9463F">
              <w:rPr>
                <w:rFonts w:ascii="Times New Roman" w:hAnsi="Times New Roman" w:cs="Times New Roman"/>
                <w:b/>
                <w:sz w:val="18"/>
                <w:szCs w:val="18"/>
              </w:rPr>
              <w:t>Социално въздействие 2</w:t>
            </w:r>
            <w:r w:rsidRPr="00D9463F">
              <w:rPr>
                <w:rFonts w:ascii="Times New Roman" w:hAnsi="Times New Roman" w:cs="Times New Roman"/>
                <w:sz w:val="18"/>
                <w:szCs w:val="18"/>
              </w:rPr>
              <w:t xml:space="preserve">. </w:t>
            </w:r>
            <w:r w:rsidR="007E3C03">
              <w:rPr>
                <w:rFonts w:ascii="Times New Roman" w:hAnsi="Times New Roman" w:cs="Times New Roman"/>
                <w:sz w:val="18"/>
                <w:szCs w:val="18"/>
              </w:rPr>
              <w:t>Подобряване</w:t>
            </w:r>
            <w:r w:rsidRPr="00D9463F">
              <w:rPr>
                <w:rFonts w:ascii="Times New Roman" w:hAnsi="Times New Roman" w:cs="Times New Roman"/>
                <w:sz w:val="18"/>
                <w:szCs w:val="18"/>
              </w:rPr>
              <w:t xml:space="preserve"> благосъстоянието на възрастните хора и другите социално уязвими групи от обществото</w:t>
            </w:r>
          </w:p>
        </w:tc>
        <w:tc>
          <w:tcPr>
            <w:tcW w:w="1440" w:type="dxa"/>
            <w:shd w:val="clear" w:color="auto" w:fill="E7E6E6" w:themeFill="background2"/>
            <w:vAlign w:val="center"/>
          </w:tcPr>
          <w:p w14:paraId="6B809BA2" w14:textId="77777777" w:rsidR="00D9463F" w:rsidRPr="007E3C03" w:rsidRDefault="00D9463F"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–3</w:t>
            </w:r>
          </w:p>
        </w:tc>
        <w:tc>
          <w:tcPr>
            <w:tcW w:w="1621" w:type="dxa"/>
            <w:shd w:val="clear" w:color="auto" w:fill="E7E6E6" w:themeFill="background2"/>
            <w:vAlign w:val="center"/>
          </w:tcPr>
          <w:p w14:paraId="3FDF771C" w14:textId="77777777" w:rsidR="00D9463F" w:rsidRPr="007E3C03" w:rsidRDefault="00D9463F"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0</w:t>
            </w:r>
          </w:p>
        </w:tc>
        <w:tc>
          <w:tcPr>
            <w:tcW w:w="1734" w:type="dxa"/>
            <w:shd w:val="clear" w:color="auto" w:fill="E7E6E6" w:themeFill="background2"/>
            <w:vAlign w:val="center"/>
          </w:tcPr>
          <w:p w14:paraId="7AE93E51" w14:textId="77777777" w:rsidR="00D9463F" w:rsidRPr="007E3C03" w:rsidRDefault="00D9463F"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+1</w:t>
            </w:r>
          </w:p>
        </w:tc>
        <w:tc>
          <w:tcPr>
            <w:tcW w:w="1933" w:type="dxa"/>
            <w:shd w:val="clear" w:color="auto" w:fill="E7E6E6" w:themeFill="background2"/>
            <w:vAlign w:val="center"/>
          </w:tcPr>
          <w:p w14:paraId="61089EC3" w14:textId="77777777" w:rsidR="00D9463F" w:rsidRPr="007E3C03" w:rsidRDefault="00D9463F"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+3</w:t>
            </w:r>
          </w:p>
        </w:tc>
      </w:tr>
      <w:tr w:rsidR="00D9463F" w:rsidRPr="00D9463F" w14:paraId="07C75513" w14:textId="77777777" w:rsidTr="00D9463F">
        <w:tc>
          <w:tcPr>
            <w:tcW w:w="2334" w:type="dxa"/>
            <w:shd w:val="clear" w:color="auto" w:fill="BDD6EE" w:themeFill="accent1" w:themeFillTint="66"/>
            <w:vAlign w:val="center"/>
          </w:tcPr>
          <w:p w14:paraId="29205EE2" w14:textId="08644A28" w:rsidR="00D9463F" w:rsidRPr="00D9463F" w:rsidRDefault="00D9463F" w:rsidP="007E3C03">
            <w:pPr>
              <w:spacing w:line="276" w:lineRule="auto"/>
              <w:rPr>
                <w:rFonts w:ascii="Times New Roman" w:hAnsi="Times New Roman" w:cs="Times New Roman"/>
                <w:sz w:val="18"/>
                <w:szCs w:val="18"/>
              </w:rPr>
            </w:pPr>
            <w:r w:rsidRPr="00D9463F">
              <w:rPr>
                <w:rFonts w:ascii="Times New Roman" w:hAnsi="Times New Roman" w:cs="Times New Roman"/>
                <w:b/>
                <w:sz w:val="18"/>
                <w:szCs w:val="18"/>
              </w:rPr>
              <w:lastRenderedPageBreak/>
              <w:t>Социално въздействие 3</w:t>
            </w:r>
            <w:r w:rsidRPr="00D9463F">
              <w:rPr>
                <w:rFonts w:ascii="Times New Roman" w:hAnsi="Times New Roman" w:cs="Times New Roman"/>
                <w:sz w:val="18"/>
                <w:szCs w:val="18"/>
              </w:rPr>
              <w:t>. Гарантира</w:t>
            </w:r>
            <w:r w:rsidR="007E3C03">
              <w:rPr>
                <w:rFonts w:ascii="Times New Roman" w:hAnsi="Times New Roman" w:cs="Times New Roman"/>
                <w:sz w:val="18"/>
                <w:szCs w:val="18"/>
              </w:rPr>
              <w:t>не</w:t>
            </w:r>
            <w:r w:rsidRPr="00D9463F">
              <w:rPr>
                <w:rFonts w:ascii="Times New Roman" w:hAnsi="Times New Roman" w:cs="Times New Roman"/>
                <w:sz w:val="18"/>
                <w:szCs w:val="18"/>
              </w:rPr>
              <w:t xml:space="preserve">  продоволствената сигурност, чрез най-пълноценното функциониране на веригата на доставк</w:t>
            </w:r>
            <w:r>
              <w:rPr>
                <w:rFonts w:ascii="Times New Roman" w:hAnsi="Times New Roman" w:cs="Times New Roman"/>
                <w:sz w:val="18"/>
                <w:szCs w:val="18"/>
              </w:rPr>
              <w:t>и</w:t>
            </w:r>
            <w:r w:rsidRPr="00D9463F">
              <w:rPr>
                <w:rFonts w:ascii="Times New Roman" w:hAnsi="Times New Roman" w:cs="Times New Roman"/>
                <w:sz w:val="18"/>
                <w:szCs w:val="18"/>
              </w:rPr>
              <w:t xml:space="preserve"> на </w:t>
            </w:r>
            <w:r>
              <w:rPr>
                <w:rFonts w:ascii="Times New Roman" w:hAnsi="Times New Roman" w:cs="Times New Roman"/>
                <w:sz w:val="18"/>
                <w:szCs w:val="18"/>
              </w:rPr>
              <w:t xml:space="preserve">земеделски продукти и </w:t>
            </w:r>
            <w:r w:rsidRPr="00D9463F">
              <w:rPr>
                <w:rFonts w:ascii="Times New Roman" w:hAnsi="Times New Roman" w:cs="Times New Roman"/>
                <w:sz w:val="18"/>
                <w:szCs w:val="18"/>
              </w:rPr>
              <w:t xml:space="preserve">храни </w:t>
            </w:r>
          </w:p>
        </w:tc>
        <w:tc>
          <w:tcPr>
            <w:tcW w:w="1440" w:type="dxa"/>
            <w:shd w:val="clear" w:color="auto" w:fill="E7E6E6" w:themeFill="background2"/>
            <w:vAlign w:val="center"/>
          </w:tcPr>
          <w:p w14:paraId="59E4BA20" w14:textId="272311ED" w:rsidR="00D9463F" w:rsidRPr="007E3C03" w:rsidRDefault="00D9463F" w:rsidP="007E3C03">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w:t>
            </w:r>
            <w:r w:rsidR="007E3C03" w:rsidRPr="007E3C03">
              <w:rPr>
                <w:rFonts w:ascii="Times New Roman" w:hAnsi="Times New Roman" w:cs="Times New Roman"/>
                <w:sz w:val="18"/>
                <w:szCs w:val="18"/>
              </w:rPr>
              <w:t>3</w:t>
            </w:r>
          </w:p>
        </w:tc>
        <w:tc>
          <w:tcPr>
            <w:tcW w:w="1621" w:type="dxa"/>
            <w:shd w:val="clear" w:color="auto" w:fill="E7E6E6" w:themeFill="background2"/>
            <w:vAlign w:val="center"/>
          </w:tcPr>
          <w:p w14:paraId="36C5360B" w14:textId="74356002" w:rsidR="00D9463F" w:rsidRPr="007E3C03" w:rsidRDefault="007E3C03"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+1</w:t>
            </w:r>
          </w:p>
        </w:tc>
        <w:tc>
          <w:tcPr>
            <w:tcW w:w="1734" w:type="dxa"/>
            <w:shd w:val="clear" w:color="auto" w:fill="E7E6E6" w:themeFill="background2"/>
            <w:vAlign w:val="center"/>
          </w:tcPr>
          <w:p w14:paraId="46B7045C" w14:textId="77777777" w:rsidR="00D9463F" w:rsidRPr="007E3C03" w:rsidRDefault="00D9463F"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+1</w:t>
            </w:r>
          </w:p>
        </w:tc>
        <w:tc>
          <w:tcPr>
            <w:tcW w:w="1933" w:type="dxa"/>
            <w:shd w:val="clear" w:color="auto" w:fill="E7E6E6" w:themeFill="background2"/>
            <w:vAlign w:val="center"/>
          </w:tcPr>
          <w:p w14:paraId="762F1862" w14:textId="10954306" w:rsidR="00D9463F" w:rsidRPr="007E3C03" w:rsidRDefault="00D9463F" w:rsidP="007E3C03">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w:t>
            </w:r>
            <w:r w:rsidR="007E3C03" w:rsidRPr="007E3C03">
              <w:rPr>
                <w:rFonts w:ascii="Times New Roman" w:hAnsi="Times New Roman" w:cs="Times New Roman"/>
                <w:sz w:val="18"/>
                <w:szCs w:val="18"/>
              </w:rPr>
              <w:t>3</w:t>
            </w:r>
          </w:p>
        </w:tc>
      </w:tr>
      <w:tr w:rsidR="00D9463F" w:rsidRPr="00D9463F" w14:paraId="0D1291B3" w14:textId="77777777" w:rsidTr="00D9463F">
        <w:tc>
          <w:tcPr>
            <w:tcW w:w="2334" w:type="dxa"/>
            <w:shd w:val="clear" w:color="auto" w:fill="BDD6EE" w:themeFill="accent1" w:themeFillTint="66"/>
            <w:vAlign w:val="center"/>
          </w:tcPr>
          <w:p w14:paraId="05177BEB" w14:textId="77777777" w:rsidR="00D9463F" w:rsidRPr="00D9463F" w:rsidRDefault="00D9463F" w:rsidP="00D9463F">
            <w:pPr>
              <w:spacing w:line="276" w:lineRule="auto"/>
              <w:rPr>
                <w:rFonts w:ascii="Times New Roman" w:hAnsi="Times New Roman" w:cs="Times New Roman"/>
                <w:sz w:val="18"/>
                <w:szCs w:val="18"/>
              </w:rPr>
            </w:pPr>
            <w:r w:rsidRPr="00D9463F">
              <w:rPr>
                <w:rFonts w:ascii="Times New Roman" w:hAnsi="Times New Roman" w:cs="Times New Roman"/>
                <w:b/>
                <w:sz w:val="18"/>
                <w:szCs w:val="18"/>
              </w:rPr>
              <w:t xml:space="preserve">Екологично въздействие 1.  </w:t>
            </w:r>
            <w:r w:rsidRPr="00D9463F">
              <w:rPr>
                <w:rFonts w:ascii="Times New Roman" w:hAnsi="Times New Roman" w:cs="Times New Roman"/>
                <w:sz w:val="18"/>
                <w:szCs w:val="18"/>
              </w:rPr>
              <w:t>Оптимално</w:t>
            </w:r>
            <w:r w:rsidRPr="00D9463F">
              <w:rPr>
                <w:rFonts w:ascii="Times New Roman" w:hAnsi="Times New Roman" w:cs="Times New Roman"/>
                <w:b/>
                <w:sz w:val="18"/>
                <w:szCs w:val="18"/>
              </w:rPr>
              <w:t xml:space="preserve"> </w:t>
            </w:r>
            <w:r w:rsidRPr="00D9463F">
              <w:rPr>
                <w:rFonts w:ascii="Times New Roman" w:hAnsi="Times New Roman" w:cs="Times New Roman"/>
                <w:sz w:val="18"/>
                <w:szCs w:val="18"/>
              </w:rPr>
              <w:t>ниво на подготвеност за посрещане на евентуални негативни ефекти от настъпването на климатични промени</w:t>
            </w:r>
          </w:p>
        </w:tc>
        <w:tc>
          <w:tcPr>
            <w:tcW w:w="1440" w:type="dxa"/>
            <w:shd w:val="clear" w:color="auto" w:fill="E7E6E6" w:themeFill="background2"/>
            <w:vAlign w:val="center"/>
          </w:tcPr>
          <w:p w14:paraId="70F99AD1" w14:textId="77777777" w:rsidR="00D9463F" w:rsidRPr="007E3C03" w:rsidRDefault="00D9463F"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–3</w:t>
            </w:r>
          </w:p>
        </w:tc>
        <w:tc>
          <w:tcPr>
            <w:tcW w:w="1621" w:type="dxa"/>
            <w:shd w:val="clear" w:color="auto" w:fill="E7E6E6" w:themeFill="background2"/>
            <w:vAlign w:val="center"/>
          </w:tcPr>
          <w:p w14:paraId="32B549D3" w14:textId="77777777" w:rsidR="00D9463F" w:rsidRPr="007E3C03" w:rsidRDefault="00D9463F"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0</w:t>
            </w:r>
          </w:p>
        </w:tc>
        <w:tc>
          <w:tcPr>
            <w:tcW w:w="1734" w:type="dxa"/>
            <w:shd w:val="clear" w:color="auto" w:fill="E7E6E6" w:themeFill="background2"/>
            <w:vAlign w:val="center"/>
          </w:tcPr>
          <w:p w14:paraId="6FDDEDE7" w14:textId="6C4528A2" w:rsidR="00D9463F" w:rsidRPr="007E3C03" w:rsidRDefault="007E3C03"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+2</w:t>
            </w:r>
          </w:p>
        </w:tc>
        <w:tc>
          <w:tcPr>
            <w:tcW w:w="1933" w:type="dxa"/>
            <w:shd w:val="clear" w:color="auto" w:fill="E7E6E6" w:themeFill="background2"/>
            <w:vAlign w:val="center"/>
          </w:tcPr>
          <w:p w14:paraId="2FFCB759" w14:textId="3B0F8451" w:rsidR="00D9463F" w:rsidRPr="007E3C03" w:rsidRDefault="007E3C03"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+3</w:t>
            </w:r>
          </w:p>
        </w:tc>
      </w:tr>
      <w:tr w:rsidR="00D9463F" w:rsidRPr="00D9463F" w14:paraId="24092AE6" w14:textId="77777777" w:rsidTr="00D9463F">
        <w:tc>
          <w:tcPr>
            <w:tcW w:w="2334" w:type="dxa"/>
            <w:shd w:val="clear" w:color="auto" w:fill="BDD6EE" w:themeFill="accent1" w:themeFillTint="66"/>
            <w:vAlign w:val="center"/>
          </w:tcPr>
          <w:p w14:paraId="1C6C34A1" w14:textId="77777777" w:rsidR="00D9463F" w:rsidRPr="00D9463F" w:rsidRDefault="00D9463F" w:rsidP="00D9463F">
            <w:pPr>
              <w:spacing w:line="276" w:lineRule="auto"/>
              <w:rPr>
                <w:rFonts w:ascii="Times New Roman" w:hAnsi="Times New Roman" w:cs="Times New Roman"/>
                <w:sz w:val="18"/>
                <w:szCs w:val="18"/>
              </w:rPr>
            </w:pPr>
            <w:r w:rsidRPr="00D9463F">
              <w:rPr>
                <w:rFonts w:ascii="Times New Roman" w:hAnsi="Times New Roman" w:cs="Times New Roman"/>
                <w:b/>
                <w:sz w:val="18"/>
                <w:szCs w:val="18"/>
              </w:rPr>
              <w:t xml:space="preserve">Екологично въздействие 2. </w:t>
            </w:r>
            <w:r w:rsidRPr="00D9463F">
              <w:rPr>
                <w:rFonts w:ascii="Times New Roman" w:hAnsi="Times New Roman" w:cs="Times New Roman"/>
                <w:sz w:val="18"/>
                <w:szCs w:val="18"/>
              </w:rPr>
              <w:t>Намаляване на текущото ниво на образуване на отпадъци, поради възможностите за увеличаване обемите на реализация на произведени храни и друга земеделска продукция</w:t>
            </w:r>
          </w:p>
        </w:tc>
        <w:tc>
          <w:tcPr>
            <w:tcW w:w="1440" w:type="dxa"/>
            <w:shd w:val="clear" w:color="auto" w:fill="E7E6E6" w:themeFill="background2"/>
            <w:vAlign w:val="center"/>
          </w:tcPr>
          <w:p w14:paraId="7E2BCB97" w14:textId="749DA244" w:rsidR="00D9463F" w:rsidRPr="007E3C03" w:rsidRDefault="007E3C03"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–3</w:t>
            </w:r>
          </w:p>
        </w:tc>
        <w:tc>
          <w:tcPr>
            <w:tcW w:w="1621" w:type="dxa"/>
            <w:shd w:val="clear" w:color="auto" w:fill="E7E6E6" w:themeFill="background2"/>
            <w:vAlign w:val="center"/>
          </w:tcPr>
          <w:p w14:paraId="712E6E84" w14:textId="5FDAF972" w:rsidR="00D9463F" w:rsidRPr="007E3C03" w:rsidRDefault="007E3C03"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+1</w:t>
            </w:r>
          </w:p>
        </w:tc>
        <w:tc>
          <w:tcPr>
            <w:tcW w:w="1734" w:type="dxa"/>
            <w:shd w:val="clear" w:color="auto" w:fill="E7E6E6" w:themeFill="background2"/>
            <w:vAlign w:val="center"/>
          </w:tcPr>
          <w:p w14:paraId="1D52B82A" w14:textId="65158A94" w:rsidR="00D9463F" w:rsidRPr="007E3C03" w:rsidRDefault="007E3C03"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+2</w:t>
            </w:r>
          </w:p>
        </w:tc>
        <w:tc>
          <w:tcPr>
            <w:tcW w:w="1933" w:type="dxa"/>
            <w:shd w:val="clear" w:color="auto" w:fill="E7E6E6" w:themeFill="background2"/>
            <w:vAlign w:val="center"/>
          </w:tcPr>
          <w:p w14:paraId="096FE0A1" w14:textId="703C56B4" w:rsidR="00D9463F" w:rsidRPr="007E3C03" w:rsidRDefault="007E3C03"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+2</w:t>
            </w:r>
          </w:p>
        </w:tc>
      </w:tr>
      <w:tr w:rsidR="00D9463F" w:rsidRPr="00D9463F" w14:paraId="5175F8AD" w14:textId="77777777" w:rsidTr="00D9463F">
        <w:tc>
          <w:tcPr>
            <w:tcW w:w="2334" w:type="dxa"/>
            <w:shd w:val="clear" w:color="auto" w:fill="BDD6EE" w:themeFill="accent1" w:themeFillTint="66"/>
            <w:vAlign w:val="center"/>
          </w:tcPr>
          <w:p w14:paraId="0EBF8C0E" w14:textId="77777777" w:rsidR="00D9463F" w:rsidRPr="00D9463F" w:rsidRDefault="00D9463F" w:rsidP="00D9463F">
            <w:pPr>
              <w:spacing w:line="276" w:lineRule="auto"/>
              <w:rPr>
                <w:rFonts w:ascii="Times New Roman" w:hAnsi="Times New Roman" w:cs="Times New Roman"/>
                <w:i/>
                <w:sz w:val="18"/>
                <w:szCs w:val="18"/>
              </w:rPr>
            </w:pPr>
            <w:r w:rsidRPr="00D9463F">
              <w:rPr>
                <w:rFonts w:ascii="Times New Roman" w:hAnsi="Times New Roman" w:cs="Times New Roman"/>
                <w:b/>
                <w:sz w:val="18"/>
                <w:szCs w:val="18"/>
              </w:rPr>
              <w:t xml:space="preserve">Екологично въздействие 3. </w:t>
            </w:r>
            <w:r w:rsidRPr="00D9463F">
              <w:rPr>
                <w:rFonts w:ascii="Times New Roman" w:hAnsi="Times New Roman" w:cs="Times New Roman"/>
                <w:sz w:val="18"/>
                <w:szCs w:val="18"/>
              </w:rPr>
              <w:t>Въвеждане на устойчиви модели на потребление и производство за преминаване към по-щадящи околната среда работни процеси</w:t>
            </w:r>
          </w:p>
        </w:tc>
        <w:tc>
          <w:tcPr>
            <w:tcW w:w="1440" w:type="dxa"/>
            <w:shd w:val="clear" w:color="auto" w:fill="E7E6E6" w:themeFill="background2"/>
            <w:vAlign w:val="center"/>
          </w:tcPr>
          <w:p w14:paraId="656CA809" w14:textId="2ED5BD97" w:rsidR="00D9463F" w:rsidRPr="007E3C03" w:rsidRDefault="00D9463F" w:rsidP="007E3C03">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w:t>
            </w:r>
            <w:r w:rsidR="007E3C03" w:rsidRPr="007E3C03">
              <w:rPr>
                <w:rFonts w:ascii="Times New Roman" w:hAnsi="Times New Roman" w:cs="Times New Roman"/>
                <w:sz w:val="18"/>
                <w:szCs w:val="18"/>
              </w:rPr>
              <w:t>3</w:t>
            </w:r>
          </w:p>
        </w:tc>
        <w:tc>
          <w:tcPr>
            <w:tcW w:w="1621" w:type="dxa"/>
            <w:shd w:val="clear" w:color="auto" w:fill="E7E6E6" w:themeFill="background2"/>
            <w:vAlign w:val="center"/>
          </w:tcPr>
          <w:p w14:paraId="14774EE5" w14:textId="763C47D1" w:rsidR="00D9463F" w:rsidRPr="007E3C03" w:rsidRDefault="007E3C03"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0</w:t>
            </w:r>
          </w:p>
        </w:tc>
        <w:tc>
          <w:tcPr>
            <w:tcW w:w="1734" w:type="dxa"/>
            <w:shd w:val="clear" w:color="auto" w:fill="E7E6E6" w:themeFill="background2"/>
            <w:vAlign w:val="center"/>
          </w:tcPr>
          <w:p w14:paraId="401A50B4" w14:textId="35F8E71B" w:rsidR="00D9463F" w:rsidRPr="007E3C03" w:rsidRDefault="007E3C03"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+1</w:t>
            </w:r>
          </w:p>
        </w:tc>
        <w:tc>
          <w:tcPr>
            <w:tcW w:w="1933" w:type="dxa"/>
            <w:shd w:val="clear" w:color="auto" w:fill="E7E6E6" w:themeFill="background2"/>
            <w:vAlign w:val="center"/>
          </w:tcPr>
          <w:p w14:paraId="4C96D4FE" w14:textId="0C11276D" w:rsidR="00D9463F" w:rsidRPr="007E3C03" w:rsidRDefault="007E3C03" w:rsidP="00D9463F">
            <w:pPr>
              <w:spacing w:line="276" w:lineRule="auto"/>
              <w:jc w:val="center"/>
              <w:rPr>
                <w:rFonts w:ascii="Times New Roman" w:hAnsi="Times New Roman" w:cs="Times New Roman"/>
                <w:sz w:val="18"/>
                <w:szCs w:val="18"/>
              </w:rPr>
            </w:pPr>
            <w:r w:rsidRPr="007E3C03">
              <w:rPr>
                <w:rFonts w:ascii="Times New Roman" w:hAnsi="Times New Roman" w:cs="Times New Roman"/>
                <w:sz w:val="18"/>
                <w:szCs w:val="18"/>
              </w:rPr>
              <w:t>+2</w:t>
            </w:r>
          </w:p>
        </w:tc>
      </w:tr>
      <w:tr w:rsidR="00D9463F" w:rsidRPr="007B4A99" w14:paraId="60634DE5" w14:textId="77777777" w:rsidTr="00D9463F">
        <w:tc>
          <w:tcPr>
            <w:tcW w:w="2334" w:type="dxa"/>
            <w:shd w:val="clear" w:color="auto" w:fill="D0CECE" w:themeFill="background2" w:themeFillShade="E6"/>
            <w:vAlign w:val="center"/>
          </w:tcPr>
          <w:p w14:paraId="35D1EDF9" w14:textId="77777777" w:rsidR="00D9463F" w:rsidRPr="00D9463F" w:rsidRDefault="00D9463F" w:rsidP="00D9463F">
            <w:pPr>
              <w:spacing w:line="276" w:lineRule="auto"/>
              <w:rPr>
                <w:rFonts w:ascii="Times New Roman" w:hAnsi="Times New Roman" w:cs="Times New Roman"/>
                <w:b/>
                <w:sz w:val="18"/>
                <w:szCs w:val="18"/>
              </w:rPr>
            </w:pPr>
          </w:p>
          <w:p w14:paraId="51A33D3A" w14:textId="77777777" w:rsidR="00D9463F" w:rsidRPr="00D9463F" w:rsidRDefault="00D9463F" w:rsidP="00D9463F">
            <w:pPr>
              <w:spacing w:line="276" w:lineRule="auto"/>
              <w:rPr>
                <w:rFonts w:ascii="Times New Roman" w:hAnsi="Times New Roman" w:cs="Times New Roman"/>
                <w:b/>
                <w:sz w:val="18"/>
                <w:szCs w:val="18"/>
              </w:rPr>
            </w:pPr>
            <w:r w:rsidRPr="00D9463F">
              <w:rPr>
                <w:rFonts w:ascii="Times New Roman" w:hAnsi="Times New Roman" w:cs="Times New Roman"/>
                <w:b/>
                <w:sz w:val="18"/>
                <w:szCs w:val="18"/>
              </w:rPr>
              <w:t>Обща оценка:</w:t>
            </w:r>
          </w:p>
          <w:p w14:paraId="7E70B6C1" w14:textId="77777777" w:rsidR="00D9463F" w:rsidRPr="00D9463F" w:rsidRDefault="00D9463F" w:rsidP="00D9463F">
            <w:pPr>
              <w:spacing w:line="276" w:lineRule="auto"/>
              <w:rPr>
                <w:rFonts w:ascii="Times New Roman" w:hAnsi="Times New Roman" w:cs="Times New Roman"/>
                <w:b/>
                <w:sz w:val="18"/>
                <w:szCs w:val="18"/>
              </w:rPr>
            </w:pPr>
          </w:p>
        </w:tc>
        <w:tc>
          <w:tcPr>
            <w:tcW w:w="1440" w:type="dxa"/>
            <w:shd w:val="clear" w:color="auto" w:fill="D0CECE" w:themeFill="background2" w:themeFillShade="E6"/>
            <w:vAlign w:val="center"/>
          </w:tcPr>
          <w:p w14:paraId="451FFE67" w14:textId="02ACF220" w:rsidR="00D9463F" w:rsidRPr="007E3C03" w:rsidRDefault="007E3C03" w:rsidP="00D9463F">
            <w:pPr>
              <w:spacing w:line="276" w:lineRule="auto"/>
              <w:jc w:val="center"/>
              <w:rPr>
                <w:rFonts w:ascii="Times New Roman" w:hAnsi="Times New Roman" w:cs="Times New Roman"/>
                <w:b/>
                <w:sz w:val="18"/>
                <w:szCs w:val="18"/>
              </w:rPr>
            </w:pPr>
            <w:r>
              <w:rPr>
                <w:rFonts w:ascii="Times New Roman" w:hAnsi="Times New Roman" w:cs="Times New Roman"/>
                <w:b/>
                <w:sz w:val="18"/>
                <w:szCs w:val="18"/>
              </w:rPr>
              <w:t>–27</w:t>
            </w:r>
          </w:p>
        </w:tc>
        <w:tc>
          <w:tcPr>
            <w:tcW w:w="1621" w:type="dxa"/>
            <w:shd w:val="clear" w:color="auto" w:fill="D0CECE" w:themeFill="background2" w:themeFillShade="E6"/>
            <w:vAlign w:val="center"/>
          </w:tcPr>
          <w:p w14:paraId="776F8BA8" w14:textId="61C50495" w:rsidR="00D9463F" w:rsidRPr="007E3C03" w:rsidRDefault="00D9463F" w:rsidP="007E3C03">
            <w:pPr>
              <w:spacing w:line="276" w:lineRule="auto"/>
              <w:jc w:val="center"/>
              <w:rPr>
                <w:rFonts w:ascii="Times New Roman" w:hAnsi="Times New Roman" w:cs="Times New Roman"/>
                <w:b/>
                <w:sz w:val="18"/>
                <w:szCs w:val="18"/>
              </w:rPr>
            </w:pPr>
            <w:r w:rsidRPr="007E3C03">
              <w:rPr>
                <w:rFonts w:ascii="Times New Roman" w:hAnsi="Times New Roman" w:cs="Times New Roman"/>
                <w:b/>
                <w:sz w:val="18"/>
                <w:szCs w:val="18"/>
              </w:rPr>
              <w:t>+</w:t>
            </w:r>
            <w:r w:rsidR="007E3C03">
              <w:rPr>
                <w:rFonts w:ascii="Times New Roman" w:hAnsi="Times New Roman" w:cs="Times New Roman"/>
                <w:b/>
                <w:sz w:val="18"/>
                <w:szCs w:val="18"/>
              </w:rPr>
              <w:t>4</w:t>
            </w:r>
          </w:p>
        </w:tc>
        <w:tc>
          <w:tcPr>
            <w:tcW w:w="1734" w:type="dxa"/>
            <w:shd w:val="clear" w:color="auto" w:fill="D0CECE" w:themeFill="background2" w:themeFillShade="E6"/>
            <w:vAlign w:val="center"/>
          </w:tcPr>
          <w:p w14:paraId="0D4DAEDC" w14:textId="6382164E" w:rsidR="00D9463F" w:rsidRPr="007E3C03" w:rsidRDefault="00D9463F" w:rsidP="007E3C03">
            <w:pPr>
              <w:spacing w:line="276" w:lineRule="auto"/>
              <w:jc w:val="center"/>
              <w:rPr>
                <w:rFonts w:ascii="Times New Roman" w:hAnsi="Times New Roman" w:cs="Times New Roman"/>
                <w:b/>
                <w:sz w:val="18"/>
                <w:szCs w:val="18"/>
              </w:rPr>
            </w:pPr>
            <w:r w:rsidRPr="007E3C03">
              <w:rPr>
                <w:rFonts w:ascii="Times New Roman" w:hAnsi="Times New Roman" w:cs="Times New Roman"/>
                <w:b/>
                <w:sz w:val="18"/>
                <w:szCs w:val="18"/>
              </w:rPr>
              <w:t>+1</w:t>
            </w:r>
            <w:r w:rsidR="007E3C03">
              <w:rPr>
                <w:rFonts w:ascii="Times New Roman" w:hAnsi="Times New Roman" w:cs="Times New Roman"/>
                <w:b/>
                <w:sz w:val="18"/>
                <w:szCs w:val="18"/>
              </w:rPr>
              <w:t>4</w:t>
            </w:r>
          </w:p>
        </w:tc>
        <w:tc>
          <w:tcPr>
            <w:tcW w:w="1933" w:type="dxa"/>
            <w:shd w:val="clear" w:color="auto" w:fill="D0CECE" w:themeFill="background2" w:themeFillShade="E6"/>
            <w:vAlign w:val="center"/>
          </w:tcPr>
          <w:p w14:paraId="7839E717" w14:textId="109EAC85" w:rsidR="00D9463F" w:rsidRPr="007E3C03" w:rsidRDefault="00D9463F" w:rsidP="00D9463F">
            <w:pPr>
              <w:spacing w:line="276" w:lineRule="auto"/>
              <w:jc w:val="center"/>
              <w:rPr>
                <w:rFonts w:ascii="Times New Roman" w:hAnsi="Times New Roman" w:cs="Times New Roman"/>
                <w:b/>
                <w:sz w:val="18"/>
                <w:szCs w:val="18"/>
              </w:rPr>
            </w:pPr>
            <w:r w:rsidRPr="007E3C03">
              <w:rPr>
                <w:rFonts w:ascii="Times New Roman" w:hAnsi="Times New Roman" w:cs="Times New Roman"/>
                <w:b/>
                <w:sz w:val="18"/>
                <w:szCs w:val="18"/>
              </w:rPr>
              <w:t>+</w:t>
            </w:r>
            <w:r w:rsidR="007E3C03">
              <w:rPr>
                <w:rFonts w:ascii="Times New Roman" w:hAnsi="Times New Roman" w:cs="Times New Roman"/>
                <w:b/>
                <w:sz w:val="18"/>
                <w:szCs w:val="18"/>
              </w:rPr>
              <w:t>2</w:t>
            </w:r>
            <w:r w:rsidRPr="007E3C03">
              <w:rPr>
                <w:rFonts w:ascii="Times New Roman" w:hAnsi="Times New Roman" w:cs="Times New Roman"/>
                <w:b/>
                <w:sz w:val="18"/>
                <w:szCs w:val="18"/>
              </w:rPr>
              <w:t>4</w:t>
            </w:r>
          </w:p>
        </w:tc>
      </w:tr>
    </w:tbl>
    <w:p w14:paraId="3D5B45D6" w14:textId="77777777" w:rsidR="00D9463F" w:rsidRPr="00D9463F" w:rsidRDefault="00D9463F" w:rsidP="00D946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76BFB" w:rsidRPr="007B4A99" w14:paraId="4B5CEC56" w14:textId="77777777" w:rsidTr="00DD69D5">
        <w:tc>
          <w:tcPr>
            <w:tcW w:w="9062" w:type="dxa"/>
          </w:tcPr>
          <w:p w14:paraId="753DE97D" w14:textId="77777777" w:rsidR="00376BFB" w:rsidRPr="007B4A99" w:rsidRDefault="00376BFB" w:rsidP="00DD69D5">
            <w:pPr>
              <w:spacing w:line="240" w:lineRule="auto"/>
              <w:jc w:val="both"/>
              <w:rPr>
                <w:rFonts w:ascii="Times New Roman" w:hAnsi="Times New Roman" w:cs="Times New Roman"/>
                <w:i/>
                <w:color w:val="1F4E79" w:themeColor="accent1" w:themeShade="80"/>
                <w:sz w:val="16"/>
                <w:szCs w:val="16"/>
              </w:rPr>
            </w:pPr>
            <w:r w:rsidRPr="007B4A99">
              <w:rPr>
                <w:rFonts w:ascii="Times New Roman" w:hAnsi="Times New Roman" w:cs="Times New Roman"/>
                <w:i/>
                <w:color w:val="1F4E79" w:themeColor="accent1" w:themeShade="80"/>
                <w:sz w:val="16"/>
                <w:szCs w:val="16"/>
              </w:rPr>
              <w:t>Следва да се опише в следната поредност:</w:t>
            </w:r>
          </w:p>
          <w:p w14:paraId="6333658E" w14:textId="77777777" w:rsidR="00376BFB" w:rsidRPr="007B4A99" w:rsidRDefault="00376BFB" w:rsidP="00DD69D5">
            <w:pPr>
              <w:spacing w:line="240" w:lineRule="auto"/>
              <w:jc w:val="both"/>
              <w:rPr>
                <w:rFonts w:ascii="Times New Roman" w:hAnsi="Times New Roman" w:cs="Times New Roman"/>
                <w:b/>
                <w:i/>
                <w:sz w:val="16"/>
                <w:szCs w:val="16"/>
                <w:u w:val="single"/>
              </w:rPr>
            </w:pPr>
            <w:r w:rsidRPr="007B4A99">
              <w:rPr>
                <w:rFonts w:ascii="Times New Roman" w:hAnsi="Times New Roman" w:cs="Times New Roman"/>
                <w:b/>
                <w:i/>
                <w:color w:val="1F4E79" w:themeColor="accent1" w:themeShade="80"/>
                <w:sz w:val="16"/>
                <w:szCs w:val="16"/>
                <w:u w:val="single"/>
              </w:rPr>
              <w:t>Проблем 1.</w:t>
            </w:r>
          </w:p>
          <w:p w14:paraId="45CBF03F" w14:textId="77777777" w:rsidR="00376BFB" w:rsidRPr="007B4A99" w:rsidRDefault="00376BFB" w:rsidP="00DD69D5">
            <w:pPr>
              <w:spacing w:line="240" w:lineRule="auto"/>
              <w:ind w:firstLine="708"/>
              <w:jc w:val="both"/>
              <w:rPr>
                <w:rFonts w:ascii="Times New Roman" w:hAnsi="Times New Roman" w:cs="Times New Roman"/>
                <w:b/>
                <w:i/>
                <w:sz w:val="16"/>
                <w:szCs w:val="16"/>
              </w:rPr>
            </w:pPr>
            <w:r w:rsidRPr="007B4A99">
              <w:rPr>
                <w:rFonts w:ascii="Times New Roman" w:hAnsi="Times New Roman" w:cs="Times New Roman"/>
                <w:b/>
                <w:i/>
                <w:color w:val="2E74B5" w:themeColor="accent1" w:themeShade="BF"/>
                <w:sz w:val="16"/>
                <w:szCs w:val="16"/>
              </w:rPr>
              <w:t>Вариант 1</w:t>
            </w:r>
          </w:p>
          <w:p w14:paraId="3BCC7DCC"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i/>
                <w:sz w:val="16"/>
                <w:szCs w:val="16"/>
              </w:rPr>
              <w:tab/>
            </w:r>
            <w:r w:rsidRPr="007B4A99">
              <w:rPr>
                <w:rFonts w:ascii="Times New Roman" w:hAnsi="Times New Roman" w:cs="Times New Roman"/>
                <w:b/>
                <w:i/>
                <w:color w:val="9CC2E5" w:themeColor="accent1" w:themeTint="99"/>
                <w:sz w:val="16"/>
                <w:szCs w:val="16"/>
              </w:rPr>
              <w:t>Въздействие 1</w:t>
            </w:r>
            <w:r w:rsidRPr="007B4A99">
              <w:rPr>
                <w:rFonts w:ascii="Times New Roman" w:hAnsi="Times New Roman" w:cs="Times New Roman"/>
                <w:i/>
                <w:sz w:val="16"/>
                <w:szCs w:val="16"/>
              </w:rPr>
              <w:t>: количества оценка (метод 1, метод 2 и т.н.)</w:t>
            </w:r>
          </w:p>
          <w:p w14:paraId="2F02DDF1"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i/>
                <w:sz w:val="16"/>
                <w:szCs w:val="16"/>
              </w:rPr>
              <w:tab/>
            </w:r>
            <w:r w:rsidRPr="007B4A99">
              <w:rPr>
                <w:rFonts w:ascii="Times New Roman" w:hAnsi="Times New Roman" w:cs="Times New Roman"/>
                <w:b/>
                <w:i/>
                <w:color w:val="9CC2E5" w:themeColor="accent1" w:themeTint="99"/>
                <w:sz w:val="16"/>
                <w:szCs w:val="16"/>
              </w:rPr>
              <w:t>Въздействие 2:</w:t>
            </w:r>
            <w:r w:rsidRPr="007B4A99">
              <w:rPr>
                <w:rFonts w:ascii="Times New Roman" w:hAnsi="Times New Roman" w:cs="Times New Roman"/>
                <w:i/>
                <w:sz w:val="16"/>
                <w:szCs w:val="16"/>
              </w:rPr>
              <w:t xml:space="preserve"> количества оценка (метод 1, метод 2 и т.н.)</w:t>
            </w:r>
          </w:p>
          <w:p w14:paraId="1C09306F"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i/>
                <w:sz w:val="16"/>
                <w:szCs w:val="16"/>
              </w:rPr>
              <w:tab/>
            </w:r>
            <w:r w:rsidRPr="007B4A99">
              <w:rPr>
                <w:rFonts w:ascii="Times New Roman" w:hAnsi="Times New Roman" w:cs="Times New Roman"/>
                <w:b/>
                <w:i/>
                <w:color w:val="9CC2E5" w:themeColor="accent1" w:themeTint="99"/>
                <w:sz w:val="16"/>
                <w:szCs w:val="16"/>
              </w:rPr>
              <w:t>Въздействие 3:</w:t>
            </w:r>
            <w:r w:rsidRPr="007B4A99">
              <w:rPr>
                <w:rFonts w:ascii="Times New Roman" w:hAnsi="Times New Roman" w:cs="Times New Roman"/>
                <w:i/>
                <w:sz w:val="16"/>
                <w:szCs w:val="16"/>
              </w:rPr>
              <w:t xml:space="preserve"> количества оценка (метод 1, метод 2 и т.н.)</w:t>
            </w:r>
          </w:p>
          <w:p w14:paraId="2793C98C" w14:textId="77777777" w:rsidR="00376BFB" w:rsidRPr="007B4A99" w:rsidRDefault="00376BFB" w:rsidP="00DD69D5">
            <w:pPr>
              <w:spacing w:line="240" w:lineRule="auto"/>
              <w:ind w:firstLine="708"/>
              <w:jc w:val="both"/>
              <w:rPr>
                <w:rFonts w:ascii="Times New Roman" w:hAnsi="Times New Roman" w:cs="Times New Roman"/>
                <w:b/>
                <w:i/>
                <w:sz w:val="16"/>
                <w:szCs w:val="16"/>
              </w:rPr>
            </w:pPr>
            <w:r w:rsidRPr="007B4A99">
              <w:rPr>
                <w:rFonts w:ascii="Times New Roman" w:hAnsi="Times New Roman" w:cs="Times New Roman"/>
                <w:b/>
                <w:i/>
                <w:color w:val="2E74B5" w:themeColor="accent1" w:themeShade="BF"/>
                <w:sz w:val="16"/>
                <w:szCs w:val="16"/>
              </w:rPr>
              <w:t>Вариант 2</w:t>
            </w:r>
          </w:p>
          <w:p w14:paraId="6BA7D4AD"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i/>
                <w:sz w:val="16"/>
                <w:szCs w:val="16"/>
              </w:rPr>
              <w:tab/>
            </w:r>
            <w:r w:rsidRPr="007B4A99">
              <w:rPr>
                <w:rFonts w:ascii="Times New Roman" w:hAnsi="Times New Roman" w:cs="Times New Roman"/>
                <w:b/>
                <w:i/>
                <w:color w:val="9CC2E5" w:themeColor="accent1" w:themeTint="99"/>
                <w:sz w:val="16"/>
                <w:szCs w:val="16"/>
              </w:rPr>
              <w:t>Въздействие 1</w:t>
            </w:r>
            <w:r w:rsidRPr="007B4A99">
              <w:rPr>
                <w:rFonts w:ascii="Times New Roman" w:hAnsi="Times New Roman" w:cs="Times New Roman"/>
                <w:i/>
                <w:sz w:val="16"/>
                <w:szCs w:val="16"/>
              </w:rPr>
              <w:t>: количества оценка (метод 1, метод 2 и т.н.)</w:t>
            </w:r>
          </w:p>
          <w:p w14:paraId="2096E25E"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i/>
                <w:sz w:val="16"/>
                <w:szCs w:val="16"/>
              </w:rPr>
              <w:tab/>
            </w:r>
            <w:r w:rsidRPr="007B4A99">
              <w:rPr>
                <w:rFonts w:ascii="Times New Roman" w:hAnsi="Times New Roman" w:cs="Times New Roman"/>
                <w:b/>
                <w:i/>
                <w:color w:val="9CC2E5" w:themeColor="accent1" w:themeTint="99"/>
                <w:sz w:val="16"/>
                <w:szCs w:val="16"/>
              </w:rPr>
              <w:t>Въздействие 2:</w:t>
            </w:r>
            <w:r w:rsidRPr="007B4A99">
              <w:rPr>
                <w:rFonts w:ascii="Times New Roman" w:hAnsi="Times New Roman" w:cs="Times New Roman"/>
                <w:i/>
                <w:sz w:val="16"/>
                <w:szCs w:val="16"/>
              </w:rPr>
              <w:t xml:space="preserve"> количества оценка (метод 1, метод 2 и т.н.)</w:t>
            </w:r>
          </w:p>
          <w:p w14:paraId="5776EAD1"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i/>
                <w:sz w:val="16"/>
                <w:szCs w:val="16"/>
              </w:rPr>
              <w:tab/>
            </w:r>
            <w:r w:rsidRPr="007B4A99">
              <w:rPr>
                <w:rFonts w:ascii="Times New Roman" w:hAnsi="Times New Roman" w:cs="Times New Roman"/>
                <w:b/>
                <w:i/>
                <w:color w:val="9CC2E5" w:themeColor="accent1" w:themeTint="99"/>
                <w:sz w:val="16"/>
                <w:szCs w:val="16"/>
              </w:rPr>
              <w:t>Въздействие 3:</w:t>
            </w:r>
            <w:r w:rsidRPr="007B4A99">
              <w:rPr>
                <w:rFonts w:ascii="Times New Roman" w:hAnsi="Times New Roman" w:cs="Times New Roman"/>
                <w:i/>
                <w:sz w:val="16"/>
                <w:szCs w:val="16"/>
              </w:rPr>
              <w:t xml:space="preserve"> количества оценка (метод 1, метод 2 и т.н.)</w:t>
            </w:r>
          </w:p>
          <w:p w14:paraId="081B3663" w14:textId="77777777" w:rsidR="00376BFB" w:rsidRPr="007B4A99" w:rsidRDefault="00376BFB" w:rsidP="00DD69D5">
            <w:pPr>
              <w:spacing w:line="240" w:lineRule="auto"/>
              <w:ind w:firstLine="708"/>
              <w:jc w:val="both"/>
              <w:rPr>
                <w:rFonts w:ascii="Times New Roman" w:hAnsi="Times New Roman" w:cs="Times New Roman"/>
                <w:b/>
                <w:i/>
                <w:sz w:val="16"/>
                <w:szCs w:val="16"/>
              </w:rPr>
            </w:pPr>
            <w:r w:rsidRPr="007B4A99">
              <w:rPr>
                <w:rFonts w:ascii="Times New Roman" w:hAnsi="Times New Roman" w:cs="Times New Roman"/>
                <w:b/>
                <w:i/>
                <w:color w:val="2E74B5" w:themeColor="accent1" w:themeShade="BF"/>
                <w:sz w:val="16"/>
                <w:szCs w:val="16"/>
              </w:rPr>
              <w:lastRenderedPageBreak/>
              <w:t>Вариант 3</w:t>
            </w:r>
          </w:p>
          <w:p w14:paraId="17021B01"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i/>
                <w:sz w:val="16"/>
                <w:szCs w:val="16"/>
              </w:rPr>
              <w:tab/>
            </w:r>
            <w:r w:rsidRPr="007B4A99">
              <w:rPr>
                <w:rFonts w:ascii="Times New Roman" w:hAnsi="Times New Roman" w:cs="Times New Roman"/>
                <w:b/>
                <w:i/>
                <w:color w:val="9CC2E5" w:themeColor="accent1" w:themeTint="99"/>
                <w:sz w:val="16"/>
                <w:szCs w:val="16"/>
              </w:rPr>
              <w:t>Въздействие 1</w:t>
            </w:r>
            <w:r w:rsidRPr="007B4A99">
              <w:rPr>
                <w:rFonts w:ascii="Times New Roman" w:hAnsi="Times New Roman" w:cs="Times New Roman"/>
                <w:i/>
                <w:sz w:val="16"/>
                <w:szCs w:val="16"/>
              </w:rPr>
              <w:t>: количества оценка (метод 1, метод 2 и т.н.)</w:t>
            </w:r>
          </w:p>
          <w:p w14:paraId="46D2C131"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i/>
                <w:sz w:val="16"/>
                <w:szCs w:val="16"/>
              </w:rPr>
              <w:tab/>
            </w:r>
            <w:r w:rsidRPr="007B4A99">
              <w:rPr>
                <w:rFonts w:ascii="Times New Roman" w:hAnsi="Times New Roman" w:cs="Times New Roman"/>
                <w:b/>
                <w:i/>
                <w:color w:val="9CC2E5" w:themeColor="accent1" w:themeTint="99"/>
                <w:sz w:val="16"/>
                <w:szCs w:val="16"/>
              </w:rPr>
              <w:t>Въздействие 2:</w:t>
            </w:r>
            <w:r w:rsidRPr="007B4A99">
              <w:rPr>
                <w:rFonts w:ascii="Times New Roman" w:hAnsi="Times New Roman" w:cs="Times New Roman"/>
                <w:i/>
                <w:sz w:val="16"/>
                <w:szCs w:val="16"/>
              </w:rPr>
              <w:t xml:space="preserve"> количества оценка (метод 1, метод 2 и т.н.)</w:t>
            </w:r>
          </w:p>
          <w:p w14:paraId="1E4A47C0"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i/>
                <w:sz w:val="16"/>
                <w:szCs w:val="16"/>
              </w:rPr>
              <w:tab/>
            </w:r>
            <w:r w:rsidRPr="007B4A99">
              <w:rPr>
                <w:rFonts w:ascii="Times New Roman" w:hAnsi="Times New Roman" w:cs="Times New Roman"/>
                <w:b/>
                <w:i/>
                <w:color w:val="9CC2E5" w:themeColor="accent1" w:themeTint="99"/>
                <w:sz w:val="16"/>
                <w:szCs w:val="16"/>
              </w:rPr>
              <w:t>Въздействие 3:</w:t>
            </w:r>
            <w:r w:rsidRPr="007B4A99">
              <w:rPr>
                <w:rFonts w:ascii="Times New Roman" w:hAnsi="Times New Roman" w:cs="Times New Roman"/>
                <w:i/>
                <w:sz w:val="16"/>
                <w:szCs w:val="16"/>
              </w:rPr>
              <w:t xml:space="preserve"> количества оценка (метод 1, метод 2 и т.н.)</w:t>
            </w:r>
          </w:p>
          <w:p w14:paraId="22AF4726" w14:textId="77777777" w:rsidR="00376BFB" w:rsidRPr="007B4A99" w:rsidRDefault="00376BFB" w:rsidP="00DD69D5">
            <w:pPr>
              <w:spacing w:line="240" w:lineRule="auto"/>
              <w:jc w:val="both"/>
              <w:rPr>
                <w:rFonts w:ascii="Times New Roman" w:hAnsi="Times New Roman" w:cs="Times New Roman"/>
                <w:b/>
                <w:i/>
                <w:sz w:val="16"/>
                <w:szCs w:val="16"/>
                <w:u w:val="single"/>
              </w:rPr>
            </w:pPr>
            <w:r w:rsidRPr="007B4A99">
              <w:rPr>
                <w:rFonts w:ascii="Times New Roman" w:hAnsi="Times New Roman" w:cs="Times New Roman"/>
                <w:b/>
                <w:i/>
                <w:color w:val="1F4E79" w:themeColor="accent1" w:themeShade="80"/>
                <w:sz w:val="16"/>
                <w:szCs w:val="16"/>
                <w:u w:val="single"/>
              </w:rPr>
              <w:t>Проблем 2.</w:t>
            </w:r>
          </w:p>
          <w:p w14:paraId="394951B3" w14:textId="77777777" w:rsidR="00376BFB" w:rsidRPr="007B4A99" w:rsidRDefault="00376BFB" w:rsidP="00DD69D5">
            <w:pPr>
              <w:spacing w:line="240" w:lineRule="auto"/>
              <w:ind w:firstLine="708"/>
              <w:jc w:val="both"/>
              <w:rPr>
                <w:rFonts w:ascii="Times New Roman" w:hAnsi="Times New Roman" w:cs="Times New Roman"/>
                <w:b/>
                <w:i/>
                <w:sz w:val="16"/>
                <w:szCs w:val="16"/>
              </w:rPr>
            </w:pPr>
            <w:r w:rsidRPr="007B4A99">
              <w:rPr>
                <w:rFonts w:ascii="Times New Roman" w:hAnsi="Times New Roman" w:cs="Times New Roman"/>
                <w:b/>
                <w:i/>
                <w:color w:val="2E74B5" w:themeColor="accent1" w:themeShade="BF"/>
                <w:sz w:val="16"/>
                <w:szCs w:val="16"/>
              </w:rPr>
              <w:t>Вариант 1</w:t>
            </w:r>
          </w:p>
          <w:p w14:paraId="4CD01226"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i/>
                <w:sz w:val="16"/>
                <w:szCs w:val="16"/>
              </w:rPr>
              <w:tab/>
            </w:r>
            <w:r w:rsidRPr="007B4A99">
              <w:rPr>
                <w:rFonts w:ascii="Times New Roman" w:hAnsi="Times New Roman" w:cs="Times New Roman"/>
                <w:b/>
                <w:i/>
                <w:color w:val="9CC2E5" w:themeColor="accent1" w:themeTint="99"/>
                <w:sz w:val="16"/>
                <w:szCs w:val="16"/>
              </w:rPr>
              <w:t>Въздействие 1</w:t>
            </w:r>
            <w:r w:rsidRPr="007B4A99">
              <w:rPr>
                <w:rFonts w:ascii="Times New Roman" w:hAnsi="Times New Roman" w:cs="Times New Roman"/>
                <w:i/>
                <w:sz w:val="16"/>
                <w:szCs w:val="16"/>
              </w:rPr>
              <w:t>: количества оценка (метод 1, метод 2 и т.н.)</w:t>
            </w:r>
          </w:p>
          <w:p w14:paraId="655518A4"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i/>
                <w:sz w:val="16"/>
                <w:szCs w:val="16"/>
              </w:rPr>
              <w:tab/>
            </w:r>
            <w:r w:rsidRPr="007B4A99">
              <w:rPr>
                <w:rFonts w:ascii="Times New Roman" w:hAnsi="Times New Roman" w:cs="Times New Roman"/>
                <w:b/>
                <w:i/>
                <w:color w:val="9CC2E5" w:themeColor="accent1" w:themeTint="99"/>
                <w:sz w:val="16"/>
                <w:szCs w:val="16"/>
              </w:rPr>
              <w:t>Въздействие 2:</w:t>
            </w:r>
            <w:r w:rsidRPr="007B4A99">
              <w:rPr>
                <w:rFonts w:ascii="Times New Roman" w:hAnsi="Times New Roman" w:cs="Times New Roman"/>
                <w:i/>
                <w:sz w:val="16"/>
                <w:szCs w:val="16"/>
              </w:rPr>
              <w:t xml:space="preserve"> количества оценка (метод 1, метод 2 и т.н.)</w:t>
            </w:r>
          </w:p>
          <w:p w14:paraId="0C9F2772"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i/>
                <w:sz w:val="16"/>
                <w:szCs w:val="16"/>
              </w:rPr>
              <w:tab/>
            </w:r>
            <w:r w:rsidRPr="007B4A99">
              <w:rPr>
                <w:rFonts w:ascii="Times New Roman" w:hAnsi="Times New Roman" w:cs="Times New Roman"/>
                <w:b/>
                <w:i/>
                <w:color w:val="9CC2E5" w:themeColor="accent1" w:themeTint="99"/>
                <w:sz w:val="16"/>
                <w:szCs w:val="16"/>
              </w:rPr>
              <w:t>Въздействие 3:</w:t>
            </w:r>
            <w:r w:rsidRPr="007B4A99">
              <w:rPr>
                <w:rFonts w:ascii="Times New Roman" w:hAnsi="Times New Roman" w:cs="Times New Roman"/>
                <w:i/>
                <w:sz w:val="16"/>
                <w:szCs w:val="16"/>
              </w:rPr>
              <w:t xml:space="preserve"> количества оценка (метод 1, метод 2 и т.н.)</w:t>
            </w:r>
          </w:p>
          <w:p w14:paraId="50B8E80D" w14:textId="77777777" w:rsidR="00376BFB" w:rsidRPr="007B4A99" w:rsidRDefault="00376BFB" w:rsidP="00DD69D5">
            <w:pPr>
              <w:spacing w:line="240" w:lineRule="auto"/>
              <w:ind w:firstLine="708"/>
              <w:jc w:val="both"/>
              <w:rPr>
                <w:rFonts w:ascii="Times New Roman" w:hAnsi="Times New Roman" w:cs="Times New Roman"/>
                <w:b/>
                <w:i/>
                <w:sz w:val="16"/>
                <w:szCs w:val="16"/>
              </w:rPr>
            </w:pPr>
            <w:r w:rsidRPr="007B4A99">
              <w:rPr>
                <w:rFonts w:ascii="Times New Roman" w:hAnsi="Times New Roman" w:cs="Times New Roman"/>
                <w:b/>
                <w:i/>
                <w:color w:val="2E74B5" w:themeColor="accent1" w:themeShade="BF"/>
                <w:sz w:val="16"/>
                <w:szCs w:val="16"/>
              </w:rPr>
              <w:t>Вариант 2</w:t>
            </w:r>
          </w:p>
          <w:p w14:paraId="60AB17EF"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i/>
                <w:sz w:val="16"/>
                <w:szCs w:val="16"/>
              </w:rPr>
              <w:tab/>
            </w:r>
            <w:r w:rsidRPr="007B4A99">
              <w:rPr>
                <w:rFonts w:ascii="Times New Roman" w:hAnsi="Times New Roman" w:cs="Times New Roman"/>
                <w:b/>
                <w:i/>
                <w:color w:val="9CC2E5" w:themeColor="accent1" w:themeTint="99"/>
                <w:sz w:val="16"/>
                <w:szCs w:val="16"/>
              </w:rPr>
              <w:t>Въздействие 1</w:t>
            </w:r>
            <w:r w:rsidRPr="007B4A99">
              <w:rPr>
                <w:rFonts w:ascii="Times New Roman" w:hAnsi="Times New Roman" w:cs="Times New Roman"/>
                <w:i/>
                <w:sz w:val="16"/>
                <w:szCs w:val="16"/>
              </w:rPr>
              <w:t>: количества оценка (метод 1, метод 2 и т.н.)</w:t>
            </w:r>
          </w:p>
          <w:p w14:paraId="1EC2042B"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i/>
                <w:sz w:val="16"/>
                <w:szCs w:val="16"/>
              </w:rPr>
              <w:tab/>
            </w:r>
            <w:r w:rsidRPr="007B4A99">
              <w:rPr>
                <w:rFonts w:ascii="Times New Roman" w:hAnsi="Times New Roman" w:cs="Times New Roman"/>
                <w:b/>
                <w:i/>
                <w:color w:val="9CC2E5" w:themeColor="accent1" w:themeTint="99"/>
                <w:sz w:val="16"/>
                <w:szCs w:val="16"/>
              </w:rPr>
              <w:t>Въздействие 2:</w:t>
            </w:r>
            <w:r w:rsidRPr="007B4A99">
              <w:rPr>
                <w:rFonts w:ascii="Times New Roman" w:hAnsi="Times New Roman" w:cs="Times New Roman"/>
                <w:i/>
                <w:sz w:val="16"/>
                <w:szCs w:val="16"/>
              </w:rPr>
              <w:t xml:space="preserve"> количества оценка (метод 1, метод 2 и т.н.)</w:t>
            </w:r>
          </w:p>
          <w:p w14:paraId="14269F05"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i/>
                <w:sz w:val="16"/>
                <w:szCs w:val="16"/>
              </w:rPr>
              <w:tab/>
            </w:r>
            <w:r w:rsidRPr="007B4A99">
              <w:rPr>
                <w:rFonts w:ascii="Times New Roman" w:hAnsi="Times New Roman" w:cs="Times New Roman"/>
                <w:b/>
                <w:i/>
                <w:color w:val="9CC2E5" w:themeColor="accent1" w:themeTint="99"/>
                <w:sz w:val="16"/>
                <w:szCs w:val="16"/>
              </w:rPr>
              <w:t>Въздействие 3:</w:t>
            </w:r>
            <w:r w:rsidRPr="007B4A99">
              <w:rPr>
                <w:rFonts w:ascii="Times New Roman" w:hAnsi="Times New Roman" w:cs="Times New Roman"/>
                <w:i/>
                <w:sz w:val="16"/>
                <w:szCs w:val="16"/>
              </w:rPr>
              <w:t xml:space="preserve"> количества оценка (метод 1, метод 2 и т.н.)</w:t>
            </w:r>
          </w:p>
          <w:p w14:paraId="28AF3B8A" w14:textId="77777777" w:rsidR="00376BFB" w:rsidRPr="007B4A99" w:rsidRDefault="00376BFB" w:rsidP="00DD69D5">
            <w:pPr>
              <w:spacing w:line="240" w:lineRule="auto"/>
              <w:ind w:firstLine="708"/>
              <w:jc w:val="both"/>
              <w:rPr>
                <w:rFonts w:ascii="Times New Roman" w:hAnsi="Times New Roman" w:cs="Times New Roman"/>
                <w:b/>
                <w:i/>
                <w:sz w:val="16"/>
                <w:szCs w:val="16"/>
              </w:rPr>
            </w:pPr>
            <w:r w:rsidRPr="007B4A99">
              <w:rPr>
                <w:rFonts w:ascii="Times New Roman" w:hAnsi="Times New Roman" w:cs="Times New Roman"/>
                <w:b/>
                <w:i/>
                <w:color w:val="2E74B5" w:themeColor="accent1" w:themeShade="BF"/>
                <w:sz w:val="16"/>
                <w:szCs w:val="16"/>
              </w:rPr>
              <w:t>Вариант 3</w:t>
            </w:r>
          </w:p>
          <w:p w14:paraId="658BE3DD"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i/>
                <w:sz w:val="16"/>
                <w:szCs w:val="16"/>
              </w:rPr>
              <w:tab/>
            </w:r>
            <w:r w:rsidRPr="007B4A99">
              <w:rPr>
                <w:rFonts w:ascii="Times New Roman" w:hAnsi="Times New Roman" w:cs="Times New Roman"/>
                <w:b/>
                <w:i/>
                <w:color w:val="9CC2E5" w:themeColor="accent1" w:themeTint="99"/>
                <w:sz w:val="16"/>
                <w:szCs w:val="16"/>
              </w:rPr>
              <w:t>Въздействие 1</w:t>
            </w:r>
            <w:r w:rsidRPr="007B4A99">
              <w:rPr>
                <w:rFonts w:ascii="Times New Roman" w:hAnsi="Times New Roman" w:cs="Times New Roman"/>
                <w:i/>
                <w:sz w:val="16"/>
                <w:szCs w:val="16"/>
              </w:rPr>
              <w:t>: количества оценка (метод 1, метод 2 и т.н.)</w:t>
            </w:r>
          </w:p>
          <w:p w14:paraId="42B1811B"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i/>
                <w:sz w:val="16"/>
                <w:szCs w:val="16"/>
              </w:rPr>
              <w:tab/>
            </w:r>
            <w:r w:rsidRPr="007B4A99">
              <w:rPr>
                <w:rFonts w:ascii="Times New Roman" w:hAnsi="Times New Roman" w:cs="Times New Roman"/>
                <w:b/>
                <w:i/>
                <w:color w:val="9CC2E5" w:themeColor="accent1" w:themeTint="99"/>
                <w:sz w:val="16"/>
                <w:szCs w:val="16"/>
              </w:rPr>
              <w:t>Въздействие 2:</w:t>
            </w:r>
            <w:r w:rsidRPr="007B4A99">
              <w:rPr>
                <w:rFonts w:ascii="Times New Roman" w:hAnsi="Times New Roman" w:cs="Times New Roman"/>
                <w:i/>
                <w:sz w:val="16"/>
                <w:szCs w:val="16"/>
              </w:rPr>
              <w:t xml:space="preserve"> количества оценка (метод 1, метод 2 и т.н.)</w:t>
            </w:r>
          </w:p>
          <w:p w14:paraId="2EB2D143"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i/>
                <w:sz w:val="16"/>
                <w:szCs w:val="16"/>
              </w:rPr>
              <w:tab/>
            </w:r>
            <w:r w:rsidRPr="007B4A99">
              <w:rPr>
                <w:rFonts w:ascii="Times New Roman" w:hAnsi="Times New Roman" w:cs="Times New Roman"/>
                <w:b/>
                <w:i/>
                <w:color w:val="9CC2E5" w:themeColor="accent1" w:themeTint="99"/>
                <w:sz w:val="16"/>
                <w:szCs w:val="16"/>
              </w:rPr>
              <w:t>Въздействие 3:</w:t>
            </w:r>
            <w:r w:rsidRPr="007B4A99">
              <w:rPr>
                <w:rFonts w:ascii="Times New Roman" w:hAnsi="Times New Roman" w:cs="Times New Roman"/>
                <w:i/>
                <w:sz w:val="16"/>
                <w:szCs w:val="16"/>
              </w:rPr>
              <w:t xml:space="preserve"> количества оценка (метод 1, метод 2 и т.н.)</w:t>
            </w:r>
          </w:p>
          <w:p w14:paraId="1D12B2C3" w14:textId="77777777" w:rsidR="00376BFB" w:rsidRPr="007B4A99" w:rsidRDefault="00376BFB" w:rsidP="00DD69D5">
            <w:pPr>
              <w:spacing w:line="240" w:lineRule="auto"/>
              <w:jc w:val="both"/>
              <w:rPr>
                <w:rFonts w:ascii="Times New Roman" w:hAnsi="Times New Roman" w:cs="Times New Roman"/>
                <w:b/>
                <w:i/>
                <w:sz w:val="16"/>
                <w:szCs w:val="16"/>
                <w:u w:val="single"/>
              </w:rPr>
            </w:pPr>
            <w:r w:rsidRPr="007B4A99">
              <w:rPr>
                <w:rFonts w:ascii="Times New Roman" w:hAnsi="Times New Roman" w:cs="Times New Roman"/>
                <w:b/>
                <w:i/>
                <w:color w:val="1F4E79" w:themeColor="accent1" w:themeShade="80"/>
                <w:sz w:val="16"/>
                <w:szCs w:val="16"/>
                <w:u w:val="single"/>
              </w:rPr>
              <w:t>Проблем 3.</w:t>
            </w:r>
          </w:p>
          <w:p w14:paraId="716097E3" w14:textId="77777777" w:rsidR="00376BFB" w:rsidRPr="007B4A99" w:rsidRDefault="00376BFB" w:rsidP="00DD69D5">
            <w:pPr>
              <w:spacing w:line="240" w:lineRule="auto"/>
              <w:ind w:firstLine="708"/>
              <w:jc w:val="both"/>
              <w:rPr>
                <w:rFonts w:ascii="Times New Roman" w:hAnsi="Times New Roman" w:cs="Times New Roman"/>
                <w:b/>
                <w:i/>
                <w:sz w:val="16"/>
                <w:szCs w:val="16"/>
              </w:rPr>
            </w:pPr>
            <w:r w:rsidRPr="007B4A99">
              <w:rPr>
                <w:rFonts w:ascii="Times New Roman" w:hAnsi="Times New Roman" w:cs="Times New Roman"/>
                <w:b/>
                <w:i/>
                <w:color w:val="2E74B5" w:themeColor="accent1" w:themeShade="BF"/>
                <w:sz w:val="16"/>
                <w:szCs w:val="16"/>
              </w:rPr>
              <w:t>Вариант 1</w:t>
            </w:r>
          </w:p>
          <w:p w14:paraId="21AFD062"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i/>
                <w:sz w:val="16"/>
                <w:szCs w:val="16"/>
              </w:rPr>
              <w:tab/>
            </w:r>
            <w:r w:rsidRPr="007B4A99">
              <w:rPr>
                <w:rFonts w:ascii="Times New Roman" w:hAnsi="Times New Roman" w:cs="Times New Roman"/>
                <w:b/>
                <w:i/>
                <w:color w:val="9CC2E5" w:themeColor="accent1" w:themeTint="99"/>
                <w:sz w:val="16"/>
                <w:szCs w:val="16"/>
              </w:rPr>
              <w:t>Въздействие 1</w:t>
            </w:r>
            <w:r w:rsidRPr="007B4A99">
              <w:rPr>
                <w:rFonts w:ascii="Times New Roman" w:hAnsi="Times New Roman" w:cs="Times New Roman"/>
                <w:i/>
                <w:sz w:val="16"/>
                <w:szCs w:val="16"/>
              </w:rPr>
              <w:t>: количества оценка (метод 1, метод 2 и т.н.)</w:t>
            </w:r>
          </w:p>
          <w:p w14:paraId="70DA0F3F"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i/>
                <w:sz w:val="16"/>
                <w:szCs w:val="16"/>
              </w:rPr>
              <w:tab/>
            </w:r>
            <w:r w:rsidRPr="007B4A99">
              <w:rPr>
                <w:rFonts w:ascii="Times New Roman" w:hAnsi="Times New Roman" w:cs="Times New Roman"/>
                <w:b/>
                <w:i/>
                <w:color w:val="9CC2E5" w:themeColor="accent1" w:themeTint="99"/>
                <w:sz w:val="16"/>
                <w:szCs w:val="16"/>
              </w:rPr>
              <w:t>Въздействие 2:</w:t>
            </w:r>
            <w:r w:rsidRPr="007B4A99">
              <w:rPr>
                <w:rFonts w:ascii="Times New Roman" w:hAnsi="Times New Roman" w:cs="Times New Roman"/>
                <w:i/>
                <w:sz w:val="16"/>
                <w:szCs w:val="16"/>
              </w:rPr>
              <w:t xml:space="preserve"> количества оценка (метод 1, метод 2 и т.н.)</w:t>
            </w:r>
          </w:p>
          <w:p w14:paraId="7887E74F"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i/>
                <w:sz w:val="16"/>
                <w:szCs w:val="16"/>
              </w:rPr>
              <w:tab/>
            </w:r>
            <w:r w:rsidRPr="007B4A99">
              <w:rPr>
                <w:rFonts w:ascii="Times New Roman" w:hAnsi="Times New Roman" w:cs="Times New Roman"/>
                <w:b/>
                <w:i/>
                <w:color w:val="9CC2E5" w:themeColor="accent1" w:themeTint="99"/>
                <w:sz w:val="16"/>
                <w:szCs w:val="16"/>
              </w:rPr>
              <w:t>Въздействие 3:</w:t>
            </w:r>
            <w:r w:rsidRPr="007B4A99">
              <w:rPr>
                <w:rFonts w:ascii="Times New Roman" w:hAnsi="Times New Roman" w:cs="Times New Roman"/>
                <w:i/>
                <w:sz w:val="16"/>
                <w:szCs w:val="16"/>
              </w:rPr>
              <w:t xml:space="preserve"> количества оценка (метод 1, метод 2 и т.н.)</w:t>
            </w:r>
          </w:p>
          <w:p w14:paraId="10C1B29F" w14:textId="77777777" w:rsidR="00376BFB" w:rsidRPr="007B4A99" w:rsidRDefault="00376BFB" w:rsidP="00DD69D5">
            <w:pPr>
              <w:spacing w:line="240" w:lineRule="auto"/>
              <w:ind w:firstLine="708"/>
              <w:jc w:val="both"/>
              <w:rPr>
                <w:rFonts w:ascii="Times New Roman" w:hAnsi="Times New Roman" w:cs="Times New Roman"/>
                <w:b/>
                <w:i/>
                <w:sz w:val="16"/>
                <w:szCs w:val="16"/>
              </w:rPr>
            </w:pPr>
            <w:r w:rsidRPr="007B4A99">
              <w:rPr>
                <w:rFonts w:ascii="Times New Roman" w:hAnsi="Times New Roman" w:cs="Times New Roman"/>
                <w:b/>
                <w:i/>
                <w:color w:val="2E74B5" w:themeColor="accent1" w:themeShade="BF"/>
                <w:sz w:val="16"/>
                <w:szCs w:val="16"/>
              </w:rPr>
              <w:t>Вариант 2</w:t>
            </w:r>
          </w:p>
          <w:p w14:paraId="71EE270B"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i/>
                <w:sz w:val="16"/>
                <w:szCs w:val="16"/>
              </w:rPr>
              <w:tab/>
            </w:r>
            <w:r w:rsidRPr="007B4A99">
              <w:rPr>
                <w:rFonts w:ascii="Times New Roman" w:hAnsi="Times New Roman" w:cs="Times New Roman"/>
                <w:b/>
                <w:i/>
                <w:color w:val="9CC2E5" w:themeColor="accent1" w:themeTint="99"/>
                <w:sz w:val="16"/>
                <w:szCs w:val="16"/>
              </w:rPr>
              <w:t>Въздействие 1</w:t>
            </w:r>
            <w:r w:rsidRPr="007B4A99">
              <w:rPr>
                <w:rFonts w:ascii="Times New Roman" w:hAnsi="Times New Roman" w:cs="Times New Roman"/>
                <w:i/>
                <w:sz w:val="16"/>
                <w:szCs w:val="16"/>
              </w:rPr>
              <w:t>: количества оценка (метод 1, метод 2 и т.н.)</w:t>
            </w:r>
          </w:p>
          <w:p w14:paraId="585CD46B"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i/>
                <w:sz w:val="16"/>
                <w:szCs w:val="16"/>
              </w:rPr>
              <w:tab/>
            </w:r>
            <w:r w:rsidRPr="007B4A99">
              <w:rPr>
                <w:rFonts w:ascii="Times New Roman" w:hAnsi="Times New Roman" w:cs="Times New Roman"/>
                <w:b/>
                <w:i/>
                <w:color w:val="9CC2E5" w:themeColor="accent1" w:themeTint="99"/>
                <w:sz w:val="16"/>
                <w:szCs w:val="16"/>
              </w:rPr>
              <w:t>Въздействие 2:</w:t>
            </w:r>
            <w:r w:rsidRPr="007B4A99">
              <w:rPr>
                <w:rFonts w:ascii="Times New Roman" w:hAnsi="Times New Roman" w:cs="Times New Roman"/>
                <w:i/>
                <w:sz w:val="16"/>
                <w:szCs w:val="16"/>
              </w:rPr>
              <w:t xml:space="preserve"> количества оценка (метод 1, метод 2 и т.н.)</w:t>
            </w:r>
          </w:p>
          <w:p w14:paraId="7C4DFDC9"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i/>
                <w:sz w:val="16"/>
                <w:szCs w:val="16"/>
              </w:rPr>
              <w:tab/>
            </w:r>
            <w:r w:rsidRPr="007B4A99">
              <w:rPr>
                <w:rFonts w:ascii="Times New Roman" w:hAnsi="Times New Roman" w:cs="Times New Roman"/>
                <w:b/>
                <w:i/>
                <w:color w:val="9CC2E5" w:themeColor="accent1" w:themeTint="99"/>
                <w:sz w:val="16"/>
                <w:szCs w:val="16"/>
              </w:rPr>
              <w:t>Въздействие 3:</w:t>
            </w:r>
            <w:r w:rsidRPr="007B4A99">
              <w:rPr>
                <w:rFonts w:ascii="Times New Roman" w:hAnsi="Times New Roman" w:cs="Times New Roman"/>
                <w:i/>
                <w:sz w:val="16"/>
                <w:szCs w:val="16"/>
              </w:rPr>
              <w:t xml:space="preserve"> количества оценка (метод 1, метод 2 и т.н.)</w:t>
            </w:r>
          </w:p>
          <w:p w14:paraId="570DFDF5" w14:textId="77777777" w:rsidR="00376BFB" w:rsidRPr="007B4A99" w:rsidRDefault="00376BFB" w:rsidP="00DD69D5">
            <w:pPr>
              <w:spacing w:line="240" w:lineRule="auto"/>
              <w:ind w:firstLine="708"/>
              <w:jc w:val="both"/>
              <w:rPr>
                <w:rFonts w:ascii="Times New Roman" w:hAnsi="Times New Roman" w:cs="Times New Roman"/>
                <w:b/>
                <w:i/>
                <w:sz w:val="16"/>
                <w:szCs w:val="16"/>
              </w:rPr>
            </w:pPr>
            <w:r w:rsidRPr="007B4A99">
              <w:rPr>
                <w:rFonts w:ascii="Times New Roman" w:hAnsi="Times New Roman" w:cs="Times New Roman"/>
                <w:b/>
                <w:i/>
                <w:color w:val="2E74B5" w:themeColor="accent1" w:themeShade="BF"/>
                <w:sz w:val="16"/>
                <w:szCs w:val="16"/>
              </w:rPr>
              <w:t>Вариант 3</w:t>
            </w:r>
          </w:p>
          <w:p w14:paraId="4ED4763F"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i/>
                <w:sz w:val="16"/>
                <w:szCs w:val="16"/>
              </w:rPr>
              <w:tab/>
            </w:r>
            <w:r w:rsidRPr="007B4A99">
              <w:rPr>
                <w:rFonts w:ascii="Times New Roman" w:hAnsi="Times New Roman" w:cs="Times New Roman"/>
                <w:b/>
                <w:i/>
                <w:color w:val="9CC2E5" w:themeColor="accent1" w:themeTint="99"/>
                <w:sz w:val="16"/>
                <w:szCs w:val="16"/>
              </w:rPr>
              <w:t>Въздействие 1</w:t>
            </w:r>
            <w:r w:rsidRPr="007B4A99">
              <w:rPr>
                <w:rFonts w:ascii="Times New Roman" w:hAnsi="Times New Roman" w:cs="Times New Roman"/>
                <w:i/>
                <w:sz w:val="16"/>
                <w:szCs w:val="16"/>
              </w:rPr>
              <w:t>: количества оценка (метод 1, метод 2 и т.н.)</w:t>
            </w:r>
          </w:p>
          <w:p w14:paraId="47C92B59"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i/>
                <w:sz w:val="16"/>
                <w:szCs w:val="16"/>
              </w:rPr>
              <w:tab/>
            </w:r>
            <w:r w:rsidRPr="007B4A99">
              <w:rPr>
                <w:rFonts w:ascii="Times New Roman" w:hAnsi="Times New Roman" w:cs="Times New Roman"/>
                <w:b/>
                <w:i/>
                <w:color w:val="9CC2E5" w:themeColor="accent1" w:themeTint="99"/>
                <w:sz w:val="16"/>
                <w:szCs w:val="16"/>
              </w:rPr>
              <w:t>Въздействие 2:</w:t>
            </w:r>
            <w:r w:rsidRPr="007B4A99">
              <w:rPr>
                <w:rFonts w:ascii="Times New Roman" w:hAnsi="Times New Roman" w:cs="Times New Roman"/>
                <w:i/>
                <w:sz w:val="16"/>
                <w:szCs w:val="16"/>
              </w:rPr>
              <w:t xml:space="preserve"> количества оценка (метод 1, метод 2 и т.н.)</w:t>
            </w:r>
          </w:p>
          <w:p w14:paraId="0B90D4B8"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i/>
                <w:sz w:val="16"/>
                <w:szCs w:val="16"/>
              </w:rPr>
              <w:tab/>
            </w:r>
            <w:r w:rsidRPr="007B4A99">
              <w:rPr>
                <w:rFonts w:ascii="Times New Roman" w:hAnsi="Times New Roman" w:cs="Times New Roman"/>
                <w:b/>
                <w:i/>
                <w:color w:val="9CC2E5" w:themeColor="accent1" w:themeTint="99"/>
                <w:sz w:val="16"/>
                <w:szCs w:val="16"/>
              </w:rPr>
              <w:t>Въздействие 3:</w:t>
            </w:r>
            <w:r w:rsidRPr="007B4A99">
              <w:rPr>
                <w:rFonts w:ascii="Times New Roman" w:hAnsi="Times New Roman" w:cs="Times New Roman"/>
                <w:i/>
                <w:sz w:val="16"/>
                <w:szCs w:val="16"/>
              </w:rPr>
              <w:t xml:space="preserve"> количества оценка (метод 1, метод 2 и т.н.)</w:t>
            </w:r>
          </w:p>
          <w:p w14:paraId="21A94E55" w14:textId="77777777" w:rsidR="00376BFB" w:rsidRPr="00DD69D5" w:rsidRDefault="00376BFB" w:rsidP="00DD69D5">
            <w:pPr>
              <w:spacing w:line="240" w:lineRule="auto"/>
              <w:jc w:val="both"/>
              <w:rPr>
                <w:rFonts w:ascii="Times New Roman" w:hAnsi="Times New Roman" w:cs="Times New Roman"/>
                <w:i/>
                <w:color w:val="1F4E79" w:themeColor="accent1" w:themeShade="80"/>
                <w:sz w:val="16"/>
                <w:szCs w:val="16"/>
              </w:rPr>
            </w:pPr>
            <w:r w:rsidRPr="007B4A99">
              <w:rPr>
                <w:rFonts w:ascii="Times New Roman" w:hAnsi="Times New Roman" w:cs="Times New Roman"/>
                <w:i/>
                <w:color w:val="1F4E79" w:themeColor="accent1" w:themeShade="80"/>
                <w:sz w:val="16"/>
                <w:szCs w:val="16"/>
              </w:rPr>
              <w:t>В</w:t>
            </w:r>
            <w:r w:rsidRPr="00DD69D5">
              <w:rPr>
                <w:rFonts w:ascii="Times New Roman" w:hAnsi="Times New Roman" w:cs="Times New Roman"/>
                <w:i/>
                <w:color w:val="1F4E79" w:themeColor="accent1" w:themeShade="80"/>
                <w:sz w:val="16"/>
                <w:szCs w:val="16"/>
              </w:rPr>
              <w:t>ъзможни методи за анализа на въздействията</w:t>
            </w:r>
          </w:p>
          <w:p w14:paraId="772ED676" w14:textId="77777777" w:rsidR="00376BFB" w:rsidRPr="00DD69D5" w:rsidRDefault="00376BFB" w:rsidP="00DD69D5">
            <w:pPr>
              <w:pStyle w:val="ListParagraph"/>
              <w:numPr>
                <w:ilvl w:val="0"/>
                <w:numId w:val="2"/>
              </w:numPr>
              <w:spacing w:line="240" w:lineRule="auto"/>
              <w:jc w:val="both"/>
              <w:rPr>
                <w:rFonts w:ascii="Times New Roman" w:hAnsi="Times New Roman" w:cs="Times New Roman"/>
                <w:i/>
                <w:sz w:val="16"/>
                <w:szCs w:val="16"/>
              </w:rPr>
            </w:pPr>
            <w:r w:rsidRPr="00DD69D5">
              <w:rPr>
                <w:rFonts w:ascii="Times New Roman" w:hAnsi="Times New Roman" w:cs="Times New Roman"/>
                <w:i/>
                <w:sz w:val="16"/>
                <w:szCs w:val="16"/>
              </w:rPr>
              <w:t>Оценка на риска</w:t>
            </w:r>
          </w:p>
          <w:p w14:paraId="5AE666ED" w14:textId="77777777" w:rsidR="00376BFB" w:rsidRPr="00DD69D5" w:rsidRDefault="00376BFB" w:rsidP="00DD69D5">
            <w:pPr>
              <w:pStyle w:val="ListParagraph"/>
              <w:numPr>
                <w:ilvl w:val="0"/>
                <w:numId w:val="2"/>
              </w:numPr>
              <w:spacing w:line="240" w:lineRule="auto"/>
              <w:jc w:val="both"/>
              <w:rPr>
                <w:rFonts w:ascii="Times New Roman" w:hAnsi="Times New Roman" w:cs="Times New Roman"/>
                <w:i/>
                <w:sz w:val="16"/>
                <w:szCs w:val="16"/>
              </w:rPr>
            </w:pPr>
            <w:r w:rsidRPr="00DD69D5">
              <w:rPr>
                <w:rFonts w:ascii="Times New Roman" w:hAnsi="Times New Roman" w:cs="Times New Roman"/>
                <w:i/>
                <w:sz w:val="16"/>
                <w:szCs w:val="16"/>
              </w:rPr>
              <w:t>Анализ на разходите и ползите</w:t>
            </w:r>
          </w:p>
          <w:p w14:paraId="540767E4" w14:textId="77777777" w:rsidR="00376BFB" w:rsidRPr="00DD69D5" w:rsidRDefault="00376BFB" w:rsidP="00DD69D5">
            <w:pPr>
              <w:pStyle w:val="ListParagraph"/>
              <w:numPr>
                <w:ilvl w:val="0"/>
                <w:numId w:val="2"/>
              </w:numPr>
              <w:spacing w:line="240" w:lineRule="auto"/>
              <w:jc w:val="both"/>
              <w:rPr>
                <w:rFonts w:ascii="Times New Roman" w:hAnsi="Times New Roman" w:cs="Times New Roman"/>
                <w:i/>
                <w:sz w:val="16"/>
                <w:szCs w:val="16"/>
              </w:rPr>
            </w:pPr>
            <w:r w:rsidRPr="00DD69D5">
              <w:rPr>
                <w:rFonts w:ascii="Times New Roman" w:hAnsi="Times New Roman" w:cs="Times New Roman"/>
                <w:i/>
                <w:sz w:val="16"/>
                <w:szCs w:val="16"/>
              </w:rPr>
              <w:t>Анализ на ефективността</w:t>
            </w:r>
          </w:p>
          <w:p w14:paraId="3B296ED8" w14:textId="77777777" w:rsidR="00376BFB" w:rsidRPr="00DD69D5" w:rsidRDefault="00376BFB" w:rsidP="00DD69D5">
            <w:pPr>
              <w:pStyle w:val="ListParagraph"/>
              <w:numPr>
                <w:ilvl w:val="0"/>
                <w:numId w:val="2"/>
              </w:numPr>
              <w:spacing w:line="240" w:lineRule="auto"/>
              <w:jc w:val="both"/>
              <w:rPr>
                <w:rFonts w:ascii="Times New Roman" w:hAnsi="Times New Roman" w:cs="Times New Roman"/>
                <w:i/>
                <w:sz w:val="16"/>
                <w:szCs w:val="16"/>
              </w:rPr>
            </w:pPr>
            <w:r w:rsidRPr="00DD69D5">
              <w:rPr>
                <w:rFonts w:ascii="Times New Roman" w:hAnsi="Times New Roman" w:cs="Times New Roman"/>
                <w:i/>
                <w:sz w:val="16"/>
                <w:szCs w:val="16"/>
              </w:rPr>
              <w:t>Мултикритериен анализ</w:t>
            </w:r>
          </w:p>
          <w:p w14:paraId="3F8E2637" w14:textId="77777777" w:rsidR="00376BFB" w:rsidRPr="007B4A99" w:rsidRDefault="00376BFB" w:rsidP="00DD69D5">
            <w:pPr>
              <w:pStyle w:val="ListParagraph"/>
              <w:numPr>
                <w:ilvl w:val="0"/>
                <w:numId w:val="2"/>
              </w:numPr>
              <w:spacing w:line="240" w:lineRule="auto"/>
              <w:jc w:val="both"/>
              <w:rPr>
                <w:rFonts w:ascii="Times New Roman" w:hAnsi="Times New Roman" w:cs="Times New Roman"/>
                <w:i/>
                <w:sz w:val="16"/>
                <w:szCs w:val="16"/>
              </w:rPr>
            </w:pPr>
            <w:r w:rsidRPr="00DD69D5">
              <w:rPr>
                <w:rFonts w:ascii="Times New Roman" w:hAnsi="Times New Roman" w:cs="Times New Roman"/>
                <w:i/>
                <w:sz w:val="16"/>
                <w:szCs w:val="16"/>
              </w:rPr>
              <w:t>Оценка на въздействието върху малките и средните предприятия</w:t>
            </w:r>
          </w:p>
        </w:tc>
      </w:tr>
    </w:tbl>
    <w:p w14:paraId="7A8A05B1" w14:textId="77777777" w:rsidR="00CE7CCD" w:rsidRPr="007B4A99" w:rsidRDefault="00CE7CCD" w:rsidP="004E5614">
      <w:pPr>
        <w:spacing w:after="0" w:line="240" w:lineRule="auto"/>
        <w:jc w:val="center"/>
        <w:rPr>
          <w:rFonts w:ascii="Times New Roman" w:hAnsi="Times New Roman" w:cs="Times New Roman"/>
          <w:b/>
          <w:sz w:val="24"/>
          <w:szCs w:val="24"/>
        </w:rPr>
      </w:pPr>
    </w:p>
    <w:p w14:paraId="04187414" w14:textId="54C0BFBF" w:rsidR="00E16161" w:rsidRDefault="00E16161" w:rsidP="00AC3099">
      <w:pPr>
        <w:pStyle w:val="Heading2"/>
        <w:tabs>
          <w:tab w:val="left" w:pos="900"/>
        </w:tabs>
        <w:ind w:firstLine="567"/>
        <w:jc w:val="both"/>
        <w:rPr>
          <w:rFonts w:ascii="Times New Roman" w:hAnsi="Times New Roman"/>
        </w:rPr>
      </w:pPr>
      <w:bookmarkStart w:id="21" w:name="_Toc198633088"/>
      <w:r w:rsidRPr="00AC3099">
        <w:rPr>
          <w:rFonts w:ascii="Times New Roman" w:hAnsi="Times New Roman"/>
        </w:rPr>
        <w:lastRenderedPageBreak/>
        <w:t>5.3.1. Оценка на риска</w:t>
      </w:r>
      <w:bookmarkEnd w:id="21"/>
    </w:p>
    <w:p w14:paraId="2EEBA978" w14:textId="77777777" w:rsidR="00E16161" w:rsidRDefault="00E16161" w:rsidP="00AC3099">
      <w:pPr>
        <w:spacing w:after="0" w:line="240" w:lineRule="auto"/>
        <w:ind w:firstLine="567"/>
        <w:jc w:val="both"/>
        <w:rPr>
          <w:rFonts w:ascii="Times New Roman" w:eastAsia="Times New Roman" w:hAnsi="Times New Roman" w:cs="Times New Roman"/>
          <w:sz w:val="24"/>
          <w:szCs w:val="24"/>
        </w:rPr>
      </w:pPr>
      <w:r w:rsidRPr="003933DE">
        <w:rPr>
          <w:rFonts w:ascii="Times New Roman" w:eastAsia="Times New Roman" w:hAnsi="Times New Roman" w:cs="Times New Roman"/>
          <w:sz w:val="24"/>
          <w:szCs w:val="24"/>
        </w:rPr>
        <w:t>Оценка</w:t>
      </w:r>
      <w:r>
        <w:rPr>
          <w:rFonts w:ascii="Times New Roman" w:eastAsia="Times New Roman" w:hAnsi="Times New Roman" w:cs="Times New Roman"/>
          <w:sz w:val="24"/>
          <w:szCs w:val="24"/>
        </w:rPr>
        <w:t>та</w:t>
      </w:r>
      <w:r w:rsidRPr="003933DE">
        <w:rPr>
          <w:rFonts w:ascii="Times New Roman" w:eastAsia="Times New Roman" w:hAnsi="Times New Roman" w:cs="Times New Roman"/>
          <w:sz w:val="24"/>
          <w:szCs w:val="24"/>
        </w:rPr>
        <w:t xml:space="preserve"> на риска</w:t>
      </w:r>
      <w:r w:rsidRPr="008C3960">
        <w:rPr>
          <w:rFonts w:ascii="Times New Roman" w:eastAsia="Times New Roman" w:hAnsi="Times New Roman" w:cs="Times New Roman"/>
          <w:sz w:val="24"/>
          <w:szCs w:val="24"/>
        </w:rPr>
        <w:t xml:space="preserve"> идентифицира най-значимите </w:t>
      </w:r>
      <w:r w:rsidRPr="008C3960">
        <w:rPr>
          <w:rFonts w:ascii="Times New Roman" w:eastAsia="Times New Roman" w:hAnsi="Times New Roman" w:cs="Times New Roman"/>
          <w:b/>
          <w:bCs/>
          <w:sz w:val="24"/>
          <w:szCs w:val="24"/>
        </w:rPr>
        <w:t xml:space="preserve">икономически рискове, </w:t>
      </w:r>
      <w:r w:rsidRPr="008C3960">
        <w:rPr>
          <w:rFonts w:ascii="Times New Roman" w:eastAsia="Times New Roman" w:hAnsi="Times New Roman" w:cs="Times New Roman"/>
          <w:sz w:val="24"/>
          <w:szCs w:val="24"/>
        </w:rPr>
        <w:t>свързани с вс</w:t>
      </w:r>
      <w:r>
        <w:rPr>
          <w:rFonts w:ascii="Times New Roman" w:eastAsia="Times New Roman" w:hAnsi="Times New Roman" w:cs="Times New Roman"/>
          <w:sz w:val="24"/>
          <w:szCs w:val="24"/>
        </w:rPr>
        <w:t>е</w:t>
      </w:r>
      <w:r w:rsidRPr="008C3960">
        <w:rPr>
          <w:rFonts w:ascii="Times New Roman" w:eastAsia="Times New Roman" w:hAnsi="Times New Roman" w:cs="Times New Roman"/>
          <w:sz w:val="24"/>
          <w:szCs w:val="24"/>
        </w:rPr>
        <w:t>к</w:t>
      </w:r>
      <w:r>
        <w:rPr>
          <w:rFonts w:ascii="Times New Roman" w:eastAsia="Times New Roman" w:hAnsi="Times New Roman" w:cs="Times New Roman"/>
          <w:sz w:val="24"/>
          <w:szCs w:val="24"/>
        </w:rPr>
        <w:t>и</w:t>
      </w:r>
      <w:r w:rsidRPr="008C3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един от разглежданите от ОВ варианти</w:t>
      </w:r>
      <w:r w:rsidRPr="008C3960">
        <w:rPr>
          <w:rFonts w:ascii="Times New Roman" w:eastAsia="Times New Roman" w:hAnsi="Times New Roman" w:cs="Times New Roman"/>
          <w:sz w:val="24"/>
          <w:szCs w:val="24"/>
        </w:rPr>
        <w:t>. Пет ключови рискови категории се оценяват за вс</w:t>
      </w:r>
      <w:r>
        <w:rPr>
          <w:rFonts w:ascii="Times New Roman" w:eastAsia="Times New Roman" w:hAnsi="Times New Roman" w:cs="Times New Roman"/>
          <w:sz w:val="24"/>
          <w:szCs w:val="24"/>
        </w:rPr>
        <w:t>е</w:t>
      </w:r>
      <w:r w:rsidRPr="008C3960">
        <w:rPr>
          <w:rFonts w:ascii="Times New Roman" w:eastAsia="Times New Roman" w:hAnsi="Times New Roman" w:cs="Times New Roman"/>
          <w:sz w:val="24"/>
          <w:szCs w:val="24"/>
        </w:rPr>
        <w:t>к</w:t>
      </w:r>
      <w:r>
        <w:rPr>
          <w:rFonts w:ascii="Times New Roman" w:eastAsia="Times New Roman" w:hAnsi="Times New Roman" w:cs="Times New Roman"/>
          <w:sz w:val="24"/>
          <w:szCs w:val="24"/>
        </w:rPr>
        <w:t>и</w:t>
      </w:r>
      <w:r w:rsidRPr="008C3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вариант</w:t>
      </w:r>
      <w:r w:rsidRPr="008C3960">
        <w:rPr>
          <w:rFonts w:ascii="Times New Roman" w:eastAsia="Times New Roman" w:hAnsi="Times New Roman" w:cs="Times New Roman"/>
          <w:sz w:val="24"/>
          <w:szCs w:val="24"/>
        </w:rPr>
        <w:t xml:space="preserve">: </w:t>
      </w:r>
    </w:p>
    <w:p w14:paraId="21D137D0" w14:textId="3CDEA33B" w:rsidR="00E16161" w:rsidRPr="0078209E" w:rsidRDefault="00E16161" w:rsidP="00AC3099">
      <w:pPr>
        <w:spacing w:after="0" w:line="240" w:lineRule="auto"/>
        <w:ind w:firstLine="567"/>
        <w:jc w:val="both"/>
        <w:rPr>
          <w:rFonts w:ascii="Times New Roman" w:eastAsia="Times New Roman" w:hAnsi="Times New Roman" w:cs="Times New Roman"/>
          <w:sz w:val="24"/>
          <w:szCs w:val="24"/>
        </w:rPr>
      </w:pPr>
      <w:r w:rsidRPr="0078209E">
        <w:rPr>
          <w:rFonts w:ascii="Times New Roman" w:eastAsia="Times New Roman" w:hAnsi="Times New Roman" w:cs="Times New Roman"/>
          <w:bCs/>
          <w:sz w:val="24"/>
          <w:szCs w:val="24"/>
        </w:rPr>
        <w:t>1</w:t>
      </w:r>
      <w:r w:rsidR="0078209E">
        <w:rPr>
          <w:rFonts w:ascii="Times New Roman" w:eastAsia="Times New Roman" w:hAnsi="Times New Roman" w:cs="Times New Roman"/>
          <w:bCs/>
          <w:sz w:val="24"/>
          <w:szCs w:val="24"/>
        </w:rPr>
        <w:t>.</w:t>
      </w:r>
      <w:r w:rsidRPr="0078209E">
        <w:rPr>
          <w:rFonts w:ascii="Times New Roman" w:eastAsia="Times New Roman" w:hAnsi="Times New Roman" w:cs="Times New Roman"/>
          <w:bCs/>
          <w:sz w:val="24"/>
          <w:szCs w:val="24"/>
        </w:rPr>
        <w:t xml:space="preserve"> </w:t>
      </w:r>
      <w:r w:rsidRPr="0078209E">
        <w:rPr>
          <w:rFonts w:ascii="Times New Roman" w:eastAsia="Times New Roman" w:hAnsi="Times New Roman" w:cs="Times New Roman"/>
          <w:sz w:val="24"/>
          <w:szCs w:val="24"/>
        </w:rPr>
        <w:t xml:space="preserve">Ескалация на административните разходи; </w:t>
      </w:r>
    </w:p>
    <w:p w14:paraId="7256EA85" w14:textId="24273CC5" w:rsidR="00E16161" w:rsidRPr="0078209E" w:rsidRDefault="00E16161" w:rsidP="00AC3099">
      <w:pPr>
        <w:spacing w:after="0" w:line="240" w:lineRule="auto"/>
        <w:ind w:firstLine="567"/>
        <w:jc w:val="both"/>
        <w:rPr>
          <w:rFonts w:ascii="Times New Roman" w:eastAsia="Times New Roman" w:hAnsi="Times New Roman" w:cs="Times New Roman"/>
          <w:sz w:val="24"/>
          <w:szCs w:val="24"/>
        </w:rPr>
      </w:pPr>
      <w:r w:rsidRPr="0078209E">
        <w:rPr>
          <w:rFonts w:ascii="Times New Roman" w:eastAsia="Times New Roman" w:hAnsi="Times New Roman" w:cs="Times New Roman"/>
          <w:bCs/>
          <w:sz w:val="24"/>
          <w:szCs w:val="24"/>
        </w:rPr>
        <w:t>2</w:t>
      </w:r>
      <w:r w:rsidR="0078209E">
        <w:rPr>
          <w:rFonts w:ascii="Times New Roman" w:eastAsia="Times New Roman" w:hAnsi="Times New Roman" w:cs="Times New Roman"/>
          <w:bCs/>
          <w:sz w:val="24"/>
          <w:szCs w:val="24"/>
        </w:rPr>
        <w:t>.</w:t>
      </w:r>
      <w:r w:rsidRPr="0078209E">
        <w:rPr>
          <w:rFonts w:ascii="Times New Roman" w:eastAsia="Times New Roman" w:hAnsi="Times New Roman" w:cs="Times New Roman"/>
          <w:bCs/>
          <w:sz w:val="24"/>
          <w:szCs w:val="24"/>
        </w:rPr>
        <w:t xml:space="preserve"> </w:t>
      </w:r>
      <w:r w:rsidRPr="0078209E">
        <w:rPr>
          <w:rFonts w:ascii="Times New Roman" w:eastAsia="Times New Roman" w:hAnsi="Times New Roman" w:cs="Times New Roman"/>
          <w:sz w:val="24"/>
          <w:szCs w:val="24"/>
        </w:rPr>
        <w:t xml:space="preserve">Отрицателни въздействия върху малките и средни предприятия (МСП); </w:t>
      </w:r>
    </w:p>
    <w:p w14:paraId="0B6FE6DB" w14:textId="4DB6AD0E" w:rsidR="00E16161" w:rsidRPr="0078209E" w:rsidRDefault="00E16161" w:rsidP="00AC3099">
      <w:pPr>
        <w:spacing w:after="0" w:line="240" w:lineRule="auto"/>
        <w:ind w:firstLine="567"/>
        <w:jc w:val="both"/>
        <w:rPr>
          <w:rFonts w:ascii="Times New Roman" w:eastAsia="Times New Roman" w:hAnsi="Times New Roman" w:cs="Times New Roman"/>
          <w:sz w:val="24"/>
          <w:szCs w:val="24"/>
        </w:rPr>
      </w:pPr>
      <w:r w:rsidRPr="0078209E">
        <w:rPr>
          <w:rFonts w:ascii="Times New Roman" w:eastAsia="Times New Roman" w:hAnsi="Times New Roman" w:cs="Times New Roman"/>
          <w:bCs/>
          <w:sz w:val="24"/>
          <w:szCs w:val="24"/>
        </w:rPr>
        <w:t>3</w:t>
      </w:r>
      <w:r w:rsidR="0078209E">
        <w:rPr>
          <w:rFonts w:ascii="Times New Roman" w:eastAsia="Times New Roman" w:hAnsi="Times New Roman" w:cs="Times New Roman"/>
          <w:bCs/>
          <w:sz w:val="24"/>
          <w:szCs w:val="24"/>
        </w:rPr>
        <w:t>.</w:t>
      </w:r>
      <w:r w:rsidRPr="0078209E">
        <w:rPr>
          <w:rFonts w:ascii="Times New Roman" w:eastAsia="Times New Roman" w:hAnsi="Times New Roman" w:cs="Times New Roman"/>
          <w:bCs/>
          <w:sz w:val="24"/>
          <w:szCs w:val="24"/>
        </w:rPr>
        <w:t xml:space="preserve"> </w:t>
      </w:r>
      <w:r w:rsidRPr="0078209E">
        <w:rPr>
          <w:rFonts w:ascii="Times New Roman" w:eastAsia="Times New Roman" w:hAnsi="Times New Roman" w:cs="Times New Roman"/>
          <w:sz w:val="24"/>
          <w:szCs w:val="24"/>
        </w:rPr>
        <w:t xml:space="preserve">Изкривявания на пазара или нежелани икономически последици; </w:t>
      </w:r>
    </w:p>
    <w:p w14:paraId="5EF820D2" w14:textId="4E3267A5" w:rsidR="00E16161" w:rsidRPr="0078209E" w:rsidRDefault="00E16161" w:rsidP="00AC3099">
      <w:pPr>
        <w:spacing w:after="0" w:line="240" w:lineRule="auto"/>
        <w:ind w:firstLine="567"/>
        <w:jc w:val="both"/>
        <w:rPr>
          <w:rFonts w:ascii="Times New Roman" w:eastAsia="Times New Roman" w:hAnsi="Times New Roman" w:cs="Times New Roman"/>
          <w:sz w:val="24"/>
          <w:szCs w:val="24"/>
        </w:rPr>
      </w:pPr>
      <w:r w:rsidRPr="0078209E">
        <w:rPr>
          <w:rFonts w:ascii="Times New Roman" w:eastAsia="Times New Roman" w:hAnsi="Times New Roman" w:cs="Times New Roman"/>
          <w:bCs/>
          <w:sz w:val="24"/>
          <w:szCs w:val="24"/>
        </w:rPr>
        <w:t>4</w:t>
      </w:r>
      <w:r w:rsidR="0078209E">
        <w:rPr>
          <w:rFonts w:ascii="Times New Roman" w:eastAsia="Times New Roman" w:hAnsi="Times New Roman" w:cs="Times New Roman"/>
          <w:bCs/>
          <w:sz w:val="24"/>
          <w:szCs w:val="24"/>
        </w:rPr>
        <w:t>.</w:t>
      </w:r>
      <w:r w:rsidRPr="0078209E">
        <w:rPr>
          <w:rFonts w:ascii="Times New Roman" w:eastAsia="Times New Roman" w:hAnsi="Times New Roman" w:cs="Times New Roman"/>
          <w:bCs/>
          <w:sz w:val="24"/>
          <w:szCs w:val="24"/>
        </w:rPr>
        <w:t xml:space="preserve"> </w:t>
      </w:r>
      <w:r w:rsidRPr="0078209E">
        <w:rPr>
          <w:rFonts w:ascii="Times New Roman" w:eastAsia="Times New Roman" w:hAnsi="Times New Roman" w:cs="Times New Roman"/>
          <w:sz w:val="24"/>
          <w:szCs w:val="24"/>
        </w:rPr>
        <w:t xml:space="preserve">Провал на прилагането, водещ до липса на икономическа изгода и </w:t>
      </w:r>
    </w:p>
    <w:p w14:paraId="700FFA25" w14:textId="0DE5A9D2" w:rsidR="00E16161" w:rsidRPr="0078209E" w:rsidRDefault="00E16161" w:rsidP="00AC3099">
      <w:pPr>
        <w:spacing w:after="0" w:line="240" w:lineRule="auto"/>
        <w:ind w:firstLine="567"/>
        <w:jc w:val="both"/>
        <w:rPr>
          <w:rFonts w:ascii="Times New Roman" w:eastAsia="Times New Roman" w:hAnsi="Times New Roman" w:cs="Times New Roman"/>
          <w:sz w:val="24"/>
          <w:szCs w:val="24"/>
        </w:rPr>
      </w:pPr>
      <w:r w:rsidRPr="0078209E">
        <w:rPr>
          <w:rFonts w:ascii="Times New Roman" w:eastAsia="Times New Roman" w:hAnsi="Times New Roman" w:cs="Times New Roman"/>
          <w:bCs/>
          <w:sz w:val="24"/>
          <w:szCs w:val="24"/>
        </w:rPr>
        <w:t>5</w:t>
      </w:r>
      <w:r w:rsidR="0078209E">
        <w:rPr>
          <w:rFonts w:ascii="Times New Roman" w:eastAsia="Times New Roman" w:hAnsi="Times New Roman" w:cs="Times New Roman"/>
          <w:bCs/>
          <w:sz w:val="24"/>
          <w:szCs w:val="24"/>
        </w:rPr>
        <w:t>.</w:t>
      </w:r>
      <w:r w:rsidRPr="0078209E">
        <w:rPr>
          <w:rFonts w:ascii="Times New Roman" w:eastAsia="Times New Roman" w:hAnsi="Times New Roman" w:cs="Times New Roman"/>
          <w:bCs/>
          <w:sz w:val="24"/>
          <w:szCs w:val="24"/>
        </w:rPr>
        <w:t xml:space="preserve"> </w:t>
      </w:r>
      <w:r w:rsidRPr="0078209E">
        <w:rPr>
          <w:rFonts w:ascii="Times New Roman" w:eastAsia="Times New Roman" w:hAnsi="Times New Roman" w:cs="Times New Roman"/>
          <w:sz w:val="24"/>
          <w:szCs w:val="24"/>
        </w:rPr>
        <w:t xml:space="preserve">Ниско съответствие поради липса на стимули или институционална слабост. </w:t>
      </w:r>
    </w:p>
    <w:p w14:paraId="0CD8E7C8" w14:textId="34EB909C" w:rsidR="0078209E" w:rsidRDefault="00E16161" w:rsidP="00AC3099">
      <w:pPr>
        <w:spacing w:after="0" w:line="240" w:lineRule="auto"/>
        <w:ind w:firstLine="567"/>
        <w:jc w:val="both"/>
        <w:rPr>
          <w:rFonts w:ascii="Times New Roman" w:eastAsia="Times New Roman" w:hAnsi="Times New Roman" w:cs="Times New Roman"/>
          <w:sz w:val="24"/>
          <w:szCs w:val="24"/>
        </w:rPr>
      </w:pPr>
      <w:r w:rsidRPr="008C3960">
        <w:rPr>
          <w:rFonts w:ascii="Times New Roman" w:eastAsia="Times New Roman" w:hAnsi="Times New Roman" w:cs="Times New Roman"/>
          <w:sz w:val="24"/>
          <w:szCs w:val="24"/>
        </w:rPr>
        <w:t xml:space="preserve">Всеки риск се оценява по скала </w:t>
      </w:r>
      <w:r w:rsidRPr="008C3960">
        <w:rPr>
          <w:rFonts w:ascii="Times New Roman" w:eastAsia="Times New Roman" w:hAnsi="Times New Roman" w:cs="Times New Roman"/>
          <w:b/>
          <w:bCs/>
          <w:sz w:val="24"/>
          <w:szCs w:val="24"/>
        </w:rPr>
        <w:t>за вероятност (L</w:t>
      </w:r>
      <w:r w:rsidRPr="00273BF2">
        <w:rPr>
          <w:rStyle w:val="FootnoteReference"/>
          <w:rFonts w:ascii="Times New Roman" w:eastAsia="Times New Roman" w:hAnsi="Times New Roman" w:cs="Times New Roman"/>
          <w:bCs/>
          <w:sz w:val="24"/>
          <w:szCs w:val="24"/>
        </w:rPr>
        <w:footnoteReference w:id="43"/>
      </w:r>
      <w:r w:rsidRPr="008C3960">
        <w:rPr>
          <w:rFonts w:ascii="Times New Roman" w:eastAsia="Times New Roman" w:hAnsi="Times New Roman" w:cs="Times New Roman"/>
          <w:b/>
          <w:bCs/>
          <w:sz w:val="24"/>
          <w:szCs w:val="24"/>
        </w:rPr>
        <w:t xml:space="preserve">) </w:t>
      </w:r>
      <w:r w:rsidRPr="008C3960">
        <w:rPr>
          <w:rFonts w:ascii="Times New Roman" w:eastAsia="Times New Roman" w:hAnsi="Times New Roman" w:cs="Times New Roman"/>
          <w:sz w:val="24"/>
          <w:szCs w:val="24"/>
        </w:rPr>
        <w:t xml:space="preserve">и скала за </w:t>
      </w:r>
      <w:r w:rsidRPr="008C3960">
        <w:rPr>
          <w:rFonts w:ascii="Times New Roman" w:eastAsia="Times New Roman" w:hAnsi="Times New Roman" w:cs="Times New Roman"/>
          <w:b/>
          <w:bCs/>
          <w:sz w:val="24"/>
          <w:szCs w:val="24"/>
        </w:rPr>
        <w:t>въздействие (I</w:t>
      </w:r>
      <w:r>
        <w:rPr>
          <w:rStyle w:val="FootnoteReference"/>
          <w:rFonts w:ascii="Times New Roman" w:eastAsia="Times New Roman" w:hAnsi="Times New Roman" w:cs="Times New Roman"/>
          <w:b/>
          <w:bCs/>
          <w:sz w:val="24"/>
          <w:szCs w:val="24"/>
        </w:rPr>
        <w:footnoteReference w:id="44"/>
      </w:r>
      <w:r w:rsidRPr="008C3960">
        <w:rPr>
          <w:rFonts w:ascii="Times New Roman" w:eastAsia="Times New Roman" w:hAnsi="Times New Roman" w:cs="Times New Roman"/>
          <w:b/>
          <w:bCs/>
          <w:sz w:val="24"/>
          <w:szCs w:val="24"/>
        </w:rPr>
        <w:t xml:space="preserve">) </w:t>
      </w:r>
      <w:r w:rsidRPr="008C3960">
        <w:rPr>
          <w:rFonts w:ascii="Times New Roman" w:eastAsia="Times New Roman" w:hAnsi="Times New Roman" w:cs="Times New Roman"/>
          <w:sz w:val="24"/>
          <w:szCs w:val="24"/>
        </w:rPr>
        <w:t xml:space="preserve">от 1 (най-нисък) до 5 (най-висок). </w:t>
      </w:r>
      <w:r w:rsidR="0078209E">
        <w:rPr>
          <w:rFonts w:ascii="Times New Roman" w:eastAsia="Times New Roman" w:hAnsi="Times New Roman" w:cs="Times New Roman"/>
          <w:sz w:val="24"/>
          <w:szCs w:val="24"/>
        </w:rPr>
        <w:t xml:space="preserve">Накрая </w:t>
      </w:r>
      <w:r w:rsidR="0078209E" w:rsidRPr="0078209E">
        <w:rPr>
          <w:rFonts w:ascii="Times New Roman" w:eastAsia="Times New Roman" w:hAnsi="Times New Roman" w:cs="Times New Roman"/>
          <w:b/>
          <w:sz w:val="24"/>
          <w:szCs w:val="24"/>
        </w:rPr>
        <w:t>общата оценка на риска</w:t>
      </w:r>
      <w:r w:rsidR="0078209E">
        <w:rPr>
          <w:rFonts w:ascii="Times New Roman" w:eastAsia="Times New Roman" w:hAnsi="Times New Roman" w:cs="Times New Roman"/>
          <w:sz w:val="24"/>
          <w:szCs w:val="24"/>
        </w:rPr>
        <w:t xml:space="preserve"> е равна на произведението от вероятността и въздействието </w:t>
      </w:r>
      <w:r w:rsidRPr="008C3960">
        <w:rPr>
          <w:rFonts w:ascii="Times New Roman" w:eastAsia="Times New Roman" w:hAnsi="Times New Roman" w:cs="Times New Roman"/>
          <w:b/>
          <w:bCs/>
          <w:sz w:val="24"/>
          <w:szCs w:val="24"/>
        </w:rPr>
        <w:t>L × I</w:t>
      </w:r>
      <w:r w:rsidRPr="008C3960">
        <w:rPr>
          <w:rFonts w:ascii="Times New Roman" w:eastAsia="Times New Roman" w:hAnsi="Times New Roman" w:cs="Times New Roman"/>
          <w:sz w:val="24"/>
          <w:szCs w:val="24"/>
        </w:rPr>
        <w:t xml:space="preserve">. </w:t>
      </w:r>
    </w:p>
    <w:p w14:paraId="2FFC3FD3" w14:textId="78409E3F" w:rsidR="00E16161" w:rsidRDefault="0078209E" w:rsidP="00AC309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Представените по-долу</w:t>
      </w:r>
      <w:r w:rsidR="00E16161" w:rsidRPr="008C3960">
        <w:rPr>
          <w:rFonts w:ascii="Times New Roman" w:eastAsia="Times New Roman" w:hAnsi="Times New Roman" w:cs="Times New Roman"/>
          <w:sz w:val="24"/>
          <w:szCs w:val="24"/>
        </w:rPr>
        <w:t xml:space="preserve"> резултати се основават на официални данни, предварителни анализи и аналогичен опит в България и ЕС.</w:t>
      </w:r>
    </w:p>
    <w:p w14:paraId="79C223CF" w14:textId="77777777" w:rsidR="00E16161" w:rsidRDefault="00E16161" w:rsidP="00E16161">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Оценка на риска на</w:t>
      </w:r>
      <w:r w:rsidRPr="009A5085">
        <w:rPr>
          <w:rFonts w:ascii="Times New Roman" w:eastAsia="Times New Roman" w:hAnsi="Times New Roman" w:cs="Times New Roman"/>
          <w:b/>
          <w:bCs/>
          <w:sz w:val="24"/>
          <w:szCs w:val="24"/>
        </w:rPr>
        <w:t xml:space="preserve"> Вариант 0:</w:t>
      </w:r>
      <w:r>
        <w:rPr>
          <w:rFonts w:ascii="Times New Roman" w:eastAsia="Times New Roman" w:hAnsi="Times New Roman" w:cs="Times New Roman"/>
          <w:b/>
          <w:bCs/>
          <w:sz w:val="24"/>
          <w:szCs w:val="24"/>
        </w:rPr>
        <w:t xml:space="preserve"> </w:t>
      </w:r>
      <w:r w:rsidRPr="009A5085">
        <w:rPr>
          <w:rFonts w:ascii="Times New Roman" w:eastAsia="Times New Roman" w:hAnsi="Times New Roman" w:cs="Times New Roman"/>
          <w:b/>
          <w:bCs/>
          <w:sz w:val="24"/>
          <w:szCs w:val="24"/>
        </w:rPr>
        <w:t>„Без действие“</w:t>
      </w:r>
    </w:p>
    <w:p w14:paraId="27E4B104" w14:textId="42E9A540" w:rsidR="00E16161" w:rsidRPr="0078209E" w:rsidRDefault="00E16161" w:rsidP="00E16161">
      <w:pPr>
        <w:spacing w:after="0" w:line="240" w:lineRule="auto"/>
        <w:ind w:firstLine="567"/>
        <w:jc w:val="both"/>
        <w:rPr>
          <w:rFonts w:ascii="Times New Roman" w:eastAsia="Times New Roman" w:hAnsi="Times New Roman" w:cs="Times New Roman"/>
          <w:sz w:val="24"/>
          <w:szCs w:val="24"/>
        </w:rPr>
      </w:pPr>
      <w:r w:rsidRPr="008C3960">
        <w:rPr>
          <w:rFonts w:ascii="Times New Roman" w:eastAsia="Times New Roman" w:hAnsi="Times New Roman" w:cs="Times New Roman"/>
          <w:sz w:val="24"/>
          <w:szCs w:val="24"/>
        </w:rPr>
        <w:t xml:space="preserve">При </w:t>
      </w:r>
      <w:r>
        <w:rPr>
          <w:rFonts w:ascii="Times New Roman" w:eastAsia="Times New Roman" w:hAnsi="Times New Roman" w:cs="Times New Roman"/>
          <w:sz w:val="24"/>
          <w:szCs w:val="24"/>
        </w:rPr>
        <w:t>вариант</w:t>
      </w:r>
      <w:r w:rsidRPr="008C3960">
        <w:rPr>
          <w:rFonts w:ascii="Times New Roman" w:eastAsia="Times New Roman" w:hAnsi="Times New Roman" w:cs="Times New Roman"/>
          <w:sz w:val="24"/>
          <w:szCs w:val="24"/>
        </w:rPr>
        <w:t xml:space="preserve"> 0 не се въвежда нова политика. Единствените </w:t>
      </w:r>
      <w:r>
        <w:rPr>
          <w:rFonts w:ascii="Times New Roman" w:eastAsia="Times New Roman" w:hAnsi="Times New Roman" w:cs="Times New Roman"/>
          <w:sz w:val="24"/>
          <w:szCs w:val="24"/>
        </w:rPr>
        <w:t>мерки за регулиране</w:t>
      </w:r>
      <w:r w:rsidRPr="008C3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w:t>
      </w:r>
      <w:r w:rsidRPr="008C3960">
        <w:rPr>
          <w:rFonts w:ascii="Times New Roman" w:eastAsia="Times New Roman" w:hAnsi="Times New Roman" w:cs="Times New Roman"/>
          <w:sz w:val="24"/>
          <w:szCs w:val="24"/>
        </w:rPr>
        <w:t xml:space="preserve"> тези, които вече са </w:t>
      </w:r>
      <w:r w:rsidR="0078209E">
        <w:rPr>
          <w:rFonts w:ascii="Times New Roman" w:eastAsia="Times New Roman" w:hAnsi="Times New Roman" w:cs="Times New Roman"/>
          <w:sz w:val="24"/>
          <w:szCs w:val="24"/>
        </w:rPr>
        <w:t xml:space="preserve">приети. Това </w:t>
      </w:r>
      <w:r w:rsidRPr="008C3960">
        <w:rPr>
          <w:rFonts w:ascii="Times New Roman" w:eastAsia="Times New Roman" w:hAnsi="Times New Roman" w:cs="Times New Roman"/>
          <w:sz w:val="24"/>
          <w:szCs w:val="24"/>
        </w:rPr>
        <w:t xml:space="preserve">по-специално </w:t>
      </w:r>
      <w:r w:rsidR="0078209E">
        <w:rPr>
          <w:rFonts w:ascii="Times New Roman" w:eastAsia="Times New Roman" w:hAnsi="Times New Roman" w:cs="Times New Roman"/>
          <w:sz w:val="24"/>
          <w:szCs w:val="24"/>
        </w:rPr>
        <w:t xml:space="preserve">са </w:t>
      </w:r>
      <w:r w:rsidRPr="008C3960">
        <w:rPr>
          <w:rFonts w:ascii="Times New Roman" w:eastAsia="Times New Roman" w:hAnsi="Times New Roman" w:cs="Times New Roman"/>
          <w:sz w:val="24"/>
          <w:szCs w:val="24"/>
        </w:rPr>
        <w:t xml:space="preserve">съществуващите разпоредби </w:t>
      </w:r>
      <w:r>
        <w:rPr>
          <w:rFonts w:ascii="Times New Roman" w:eastAsia="Times New Roman" w:hAnsi="Times New Roman" w:cs="Times New Roman"/>
          <w:sz w:val="24"/>
          <w:szCs w:val="24"/>
        </w:rPr>
        <w:t xml:space="preserve">от националното законодателство </w:t>
      </w:r>
      <w:r w:rsidRPr="008C3960">
        <w:rPr>
          <w:rFonts w:ascii="Times New Roman" w:eastAsia="Times New Roman" w:hAnsi="Times New Roman" w:cs="Times New Roman"/>
          <w:sz w:val="24"/>
          <w:szCs w:val="24"/>
        </w:rPr>
        <w:t>на България срещу нелоялни търговски практики</w:t>
      </w:r>
      <w:r>
        <w:rPr>
          <w:rFonts w:ascii="Times New Roman" w:eastAsia="Times New Roman" w:hAnsi="Times New Roman" w:cs="Times New Roman"/>
          <w:sz w:val="24"/>
          <w:szCs w:val="24"/>
        </w:rPr>
        <w:t xml:space="preserve"> и тези</w:t>
      </w:r>
      <w:r w:rsidRPr="008C3960">
        <w:rPr>
          <w:rFonts w:ascii="Times New Roman" w:eastAsia="Times New Roman" w:hAnsi="Times New Roman" w:cs="Times New Roman"/>
          <w:sz w:val="24"/>
          <w:szCs w:val="24"/>
        </w:rPr>
        <w:t xml:space="preserve"> които </w:t>
      </w:r>
      <w:r>
        <w:rPr>
          <w:rFonts w:ascii="Times New Roman" w:eastAsia="Times New Roman" w:hAnsi="Times New Roman" w:cs="Times New Roman"/>
          <w:sz w:val="24"/>
          <w:szCs w:val="24"/>
        </w:rPr>
        <w:t>с</w:t>
      </w:r>
      <w:r w:rsidRPr="008C3960">
        <w:rPr>
          <w:rFonts w:ascii="Times New Roman" w:eastAsia="Times New Roman" w:hAnsi="Times New Roman" w:cs="Times New Roman"/>
          <w:sz w:val="24"/>
          <w:szCs w:val="24"/>
        </w:rPr>
        <w:t xml:space="preserve">а въведени през 2021 г. </w:t>
      </w:r>
      <w:r>
        <w:rPr>
          <w:rFonts w:ascii="Times New Roman" w:eastAsia="Times New Roman" w:hAnsi="Times New Roman" w:cs="Times New Roman"/>
          <w:sz w:val="24"/>
          <w:szCs w:val="24"/>
        </w:rPr>
        <w:t>чрез</w:t>
      </w:r>
      <w:r w:rsidRPr="008C3960">
        <w:rPr>
          <w:rFonts w:ascii="Times New Roman" w:eastAsia="Times New Roman" w:hAnsi="Times New Roman" w:cs="Times New Roman"/>
          <w:sz w:val="24"/>
          <w:szCs w:val="24"/>
        </w:rPr>
        <w:t xml:space="preserve"> транспониране на Директива </w:t>
      </w:r>
      <w:r w:rsidR="00AC2F82" w:rsidRPr="00AC2F82">
        <w:rPr>
          <w:rFonts w:ascii="Times New Roman" w:eastAsia="Times New Roman" w:hAnsi="Times New Roman" w:cs="Times New Roman"/>
          <w:sz w:val="24"/>
          <w:szCs w:val="24"/>
        </w:rPr>
        <w:t>(ЕС)</w:t>
      </w:r>
      <w:r w:rsidR="00AC2F82">
        <w:rPr>
          <w:rFonts w:ascii="Times New Roman" w:eastAsia="Times New Roman" w:hAnsi="Times New Roman" w:cs="Times New Roman"/>
          <w:sz w:val="24"/>
          <w:szCs w:val="24"/>
        </w:rPr>
        <w:t xml:space="preserve"> </w:t>
      </w:r>
      <w:r w:rsidRPr="008C3960">
        <w:rPr>
          <w:rFonts w:ascii="Times New Roman" w:eastAsia="Times New Roman" w:hAnsi="Times New Roman" w:cs="Times New Roman"/>
          <w:sz w:val="24"/>
          <w:szCs w:val="24"/>
        </w:rPr>
        <w:t xml:space="preserve">2019/633 на ЕС. Рисковете </w:t>
      </w:r>
      <w:r>
        <w:rPr>
          <w:rFonts w:ascii="Times New Roman" w:eastAsia="Times New Roman" w:hAnsi="Times New Roman" w:cs="Times New Roman"/>
          <w:sz w:val="24"/>
          <w:szCs w:val="24"/>
        </w:rPr>
        <w:t>при</w:t>
      </w:r>
      <w:r w:rsidRPr="008C3960">
        <w:rPr>
          <w:rFonts w:ascii="Times New Roman" w:eastAsia="Times New Roman" w:hAnsi="Times New Roman" w:cs="Times New Roman"/>
          <w:sz w:val="24"/>
          <w:szCs w:val="24"/>
        </w:rPr>
        <w:t xml:space="preserve"> т</w:t>
      </w:r>
      <w:r>
        <w:rPr>
          <w:rFonts w:ascii="Times New Roman" w:eastAsia="Times New Roman" w:hAnsi="Times New Roman" w:cs="Times New Roman"/>
          <w:sz w:val="24"/>
          <w:szCs w:val="24"/>
        </w:rPr>
        <w:t>о</w:t>
      </w:r>
      <w:r w:rsidRPr="008C3960">
        <w:rPr>
          <w:rFonts w:ascii="Times New Roman" w:eastAsia="Times New Roman" w:hAnsi="Times New Roman" w:cs="Times New Roman"/>
          <w:sz w:val="24"/>
          <w:szCs w:val="24"/>
        </w:rPr>
        <w:t xml:space="preserve">зи </w:t>
      </w:r>
      <w:r>
        <w:rPr>
          <w:rFonts w:ascii="Times New Roman" w:eastAsia="Times New Roman" w:hAnsi="Times New Roman" w:cs="Times New Roman"/>
          <w:sz w:val="24"/>
          <w:szCs w:val="24"/>
        </w:rPr>
        <w:t>вариант</w:t>
      </w:r>
      <w:r w:rsidRPr="008C3960">
        <w:rPr>
          <w:rFonts w:ascii="Times New Roman" w:eastAsia="Times New Roman" w:hAnsi="Times New Roman" w:cs="Times New Roman"/>
          <w:sz w:val="24"/>
          <w:szCs w:val="24"/>
        </w:rPr>
        <w:t xml:space="preserve"> до голяма степен произтичат </w:t>
      </w:r>
      <w:r w:rsidRPr="0078209E">
        <w:rPr>
          <w:rFonts w:ascii="Times New Roman" w:eastAsia="Times New Roman" w:hAnsi="Times New Roman" w:cs="Times New Roman"/>
          <w:sz w:val="24"/>
          <w:szCs w:val="24"/>
        </w:rPr>
        <w:t xml:space="preserve">от </w:t>
      </w:r>
      <w:r w:rsidRPr="0078209E">
        <w:rPr>
          <w:rFonts w:ascii="Times New Roman" w:eastAsia="Times New Roman" w:hAnsi="Times New Roman" w:cs="Times New Roman"/>
          <w:bCs/>
          <w:sz w:val="24"/>
          <w:szCs w:val="24"/>
        </w:rPr>
        <w:t xml:space="preserve">неспособността му да се справи с идентифицираните  проблеми </w:t>
      </w:r>
      <w:r w:rsidRPr="0078209E">
        <w:rPr>
          <w:rFonts w:ascii="Times New Roman" w:eastAsia="Times New Roman" w:hAnsi="Times New Roman" w:cs="Times New Roman"/>
          <w:sz w:val="24"/>
          <w:szCs w:val="24"/>
        </w:rPr>
        <w:t>във веригата на доставки.</w:t>
      </w:r>
    </w:p>
    <w:p w14:paraId="0B67A0D3"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p>
    <w:p w14:paraId="2191853D" w14:textId="77777777" w:rsidR="00E16161" w:rsidRPr="00163F4D" w:rsidRDefault="00E16161" w:rsidP="00E16161">
      <w:pPr>
        <w:spacing w:after="0" w:line="240" w:lineRule="auto"/>
        <w:ind w:firstLine="567"/>
        <w:jc w:val="both"/>
        <w:rPr>
          <w:rFonts w:ascii="Times New Roman" w:eastAsia="Times New Roman" w:hAnsi="Times New Roman" w:cs="Times New Roman"/>
          <w:i/>
          <w:iCs/>
          <w:sz w:val="24"/>
          <w:szCs w:val="24"/>
        </w:rPr>
      </w:pPr>
      <w:r w:rsidRPr="006E1C41">
        <w:rPr>
          <w:rFonts w:ascii="Times New Roman" w:eastAsia="Times New Roman" w:hAnsi="Times New Roman" w:cs="Times New Roman"/>
          <w:b/>
          <w:i/>
          <w:sz w:val="24"/>
          <w:szCs w:val="24"/>
        </w:rPr>
        <w:t>0.1.</w:t>
      </w:r>
      <w:r w:rsidRPr="00163F4D">
        <w:rPr>
          <w:rFonts w:ascii="Times New Roman" w:eastAsia="Times New Roman" w:hAnsi="Times New Roman" w:cs="Times New Roman"/>
          <w:i/>
          <w:sz w:val="24"/>
          <w:szCs w:val="24"/>
        </w:rPr>
        <w:t xml:space="preserve"> </w:t>
      </w:r>
      <w:r w:rsidRPr="00163F4D">
        <w:rPr>
          <w:rFonts w:ascii="Times New Roman" w:eastAsia="Times New Roman" w:hAnsi="Times New Roman" w:cs="Times New Roman"/>
          <w:b/>
          <w:bCs/>
          <w:i/>
          <w:sz w:val="24"/>
          <w:szCs w:val="24"/>
        </w:rPr>
        <w:t>Ескалация на административните разходи:</w:t>
      </w:r>
      <w:r w:rsidRPr="00163F4D">
        <w:rPr>
          <w:rFonts w:ascii="Times New Roman" w:eastAsia="Times New Roman" w:hAnsi="Times New Roman" w:cs="Times New Roman"/>
          <w:i/>
          <w:sz w:val="24"/>
          <w:szCs w:val="24"/>
        </w:rPr>
        <w:t xml:space="preserve"> </w:t>
      </w:r>
      <w:r w:rsidRPr="00163F4D">
        <w:rPr>
          <w:rFonts w:ascii="Times New Roman" w:eastAsia="Times New Roman" w:hAnsi="Times New Roman" w:cs="Times New Roman"/>
          <w:b/>
          <w:i/>
          <w:iCs/>
          <w:sz w:val="24"/>
          <w:szCs w:val="24"/>
        </w:rPr>
        <w:t>Минимален риск</w:t>
      </w:r>
    </w:p>
    <w:p w14:paraId="66B12CAE" w14:textId="7FBC6AEB" w:rsidR="00E16161" w:rsidRDefault="00E16161" w:rsidP="00E16161">
      <w:pPr>
        <w:spacing w:after="0" w:line="240" w:lineRule="auto"/>
        <w:ind w:firstLine="567"/>
        <w:jc w:val="both"/>
        <w:rPr>
          <w:rFonts w:ascii="Times New Roman" w:eastAsia="Times New Roman" w:hAnsi="Times New Roman" w:cs="Times New Roman"/>
          <w:sz w:val="24"/>
          <w:szCs w:val="24"/>
        </w:rPr>
      </w:pPr>
      <w:r w:rsidRPr="008C3960">
        <w:rPr>
          <w:rFonts w:ascii="Times New Roman" w:eastAsia="Times New Roman" w:hAnsi="Times New Roman" w:cs="Times New Roman"/>
          <w:sz w:val="24"/>
          <w:szCs w:val="24"/>
        </w:rPr>
        <w:t xml:space="preserve">Без нови мерки няма въведени допълнителни административни процедури или разходи за </w:t>
      </w:r>
      <w:r>
        <w:rPr>
          <w:rFonts w:ascii="Times New Roman" w:eastAsia="Times New Roman" w:hAnsi="Times New Roman" w:cs="Times New Roman"/>
          <w:sz w:val="24"/>
          <w:szCs w:val="24"/>
        </w:rPr>
        <w:t>спазване (</w:t>
      </w:r>
      <w:r w:rsidRPr="008C3960">
        <w:rPr>
          <w:rFonts w:ascii="Times New Roman" w:eastAsia="Times New Roman" w:hAnsi="Times New Roman" w:cs="Times New Roman"/>
          <w:sz w:val="24"/>
          <w:szCs w:val="24"/>
        </w:rPr>
        <w:t>привеждане в съответствие</w:t>
      </w:r>
      <w:r>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Държавата</w:t>
      </w:r>
      <w:r w:rsidRPr="008C3960">
        <w:rPr>
          <w:rFonts w:ascii="Times New Roman" w:eastAsia="Times New Roman" w:hAnsi="Times New Roman" w:cs="Times New Roman"/>
          <w:sz w:val="24"/>
          <w:szCs w:val="24"/>
        </w:rPr>
        <w:t xml:space="preserve"> не прави нови разходи за внедряване и предприятията не са изправени пред </w:t>
      </w:r>
      <w:r>
        <w:rPr>
          <w:rFonts w:ascii="Times New Roman" w:eastAsia="Times New Roman" w:hAnsi="Times New Roman" w:cs="Times New Roman"/>
          <w:sz w:val="24"/>
          <w:szCs w:val="24"/>
        </w:rPr>
        <w:t xml:space="preserve">задължения за представяне на </w:t>
      </w:r>
      <w:r w:rsidRPr="008C3960">
        <w:rPr>
          <w:rFonts w:ascii="Times New Roman" w:eastAsia="Times New Roman" w:hAnsi="Times New Roman" w:cs="Times New Roman"/>
          <w:sz w:val="24"/>
          <w:szCs w:val="24"/>
        </w:rPr>
        <w:t>нов</w:t>
      </w:r>
      <w:r>
        <w:rPr>
          <w:rFonts w:ascii="Times New Roman" w:eastAsia="Times New Roman" w:hAnsi="Times New Roman" w:cs="Times New Roman"/>
          <w:sz w:val="24"/>
          <w:szCs w:val="24"/>
        </w:rPr>
        <w:t xml:space="preserve">а </w:t>
      </w:r>
      <w:r w:rsidRPr="008C3960">
        <w:rPr>
          <w:rFonts w:ascii="Times New Roman" w:eastAsia="Times New Roman" w:hAnsi="Times New Roman" w:cs="Times New Roman"/>
          <w:sz w:val="24"/>
          <w:szCs w:val="24"/>
        </w:rPr>
        <w:t>и</w:t>
      </w:r>
      <w:r>
        <w:rPr>
          <w:rFonts w:ascii="Times New Roman" w:eastAsia="Times New Roman" w:hAnsi="Times New Roman" w:cs="Times New Roman"/>
          <w:sz w:val="24"/>
          <w:szCs w:val="24"/>
        </w:rPr>
        <w:t>нформация</w:t>
      </w:r>
      <w:r w:rsidRPr="008C3960">
        <w:rPr>
          <w:rFonts w:ascii="Times New Roman" w:eastAsia="Times New Roman" w:hAnsi="Times New Roman" w:cs="Times New Roman"/>
          <w:sz w:val="24"/>
          <w:szCs w:val="24"/>
        </w:rPr>
        <w:t>. Вероятността е много ниска (L=1) и въздействието е незначително (I=1)</w:t>
      </w:r>
      <w:r w:rsidR="00A5236A">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w:t>
      </w:r>
      <w:r w:rsidR="00A5236A" w:rsidRPr="008C3960">
        <w:rPr>
          <w:rFonts w:ascii="Times New Roman" w:eastAsia="Times New Roman" w:hAnsi="Times New Roman" w:cs="Times New Roman"/>
          <w:sz w:val="24"/>
          <w:szCs w:val="24"/>
        </w:rPr>
        <w:t>Това е в съответствие с очакването, че да не прав</w:t>
      </w:r>
      <w:r w:rsidR="00A5236A">
        <w:rPr>
          <w:rFonts w:ascii="Times New Roman" w:eastAsia="Times New Roman" w:hAnsi="Times New Roman" w:cs="Times New Roman"/>
          <w:sz w:val="24"/>
          <w:szCs w:val="24"/>
        </w:rPr>
        <w:t xml:space="preserve">иш нищо „на практика не струва нищо“. Това </w:t>
      </w:r>
      <w:r>
        <w:rPr>
          <w:rFonts w:ascii="Times New Roman" w:eastAsia="Times New Roman" w:hAnsi="Times New Roman" w:cs="Times New Roman"/>
          <w:sz w:val="24"/>
          <w:szCs w:val="24"/>
        </w:rPr>
        <w:t xml:space="preserve">води до </w:t>
      </w:r>
      <w:r w:rsidRPr="00A5236A">
        <w:rPr>
          <w:rFonts w:ascii="Times New Roman" w:eastAsia="Times New Roman" w:hAnsi="Times New Roman" w:cs="Times New Roman"/>
          <w:b/>
          <w:sz w:val="24"/>
          <w:szCs w:val="24"/>
        </w:rPr>
        <w:t xml:space="preserve">обща </w:t>
      </w:r>
      <w:r w:rsidRPr="00A5236A">
        <w:rPr>
          <w:rFonts w:ascii="Times New Roman" w:eastAsia="Times New Roman" w:hAnsi="Times New Roman" w:cs="Times New Roman"/>
          <w:b/>
          <w:bCs/>
          <w:sz w:val="24"/>
          <w:szCs w:val="24"/>
        </w:rPr>
        <w:t>оценка</w:t>
      </w:r>
      <w:r w:rsidRPr="008C3960">
        <w:rPr>
          <w:rFonts w:ascii="Times New Roman" w:eastAsia="Times New Roman" w:hAnsi="Times New Roman" w:cs="Times New Roman"/>
          <w:b/>
          <w:bCs/>
          <w:sz w:val="24"/>
          <w:szCs w:val="24"/>
        </w:rPr>
        <w:t xml:space="preserve"> на риска </w:t>
      </w:r>
      <w:r w:rsidR="00A5236A" w:rsidRPr="008C3960">
        <w:rPr>
          <w:rFonts w:ascii="Times New Roman" w:eastAsia="Times New Roman" w:hAnsi="Times New Roman" w:cs="Times New Roman"/>
          <w:sz w:val="24"/>
          <w:szCs w:val="24"/>
        </w:rPr>
        <w:t>(1×1)</w:t>
      </w:r>
      <w:r w:rsidR="00A5236A">
        <w:rPr>
          <w:rFonts w:ascii="Times New Roman" w:eastAsia="Times New Roman" w:hAnsi="Times New Roman" w:cs="Times New Roman"/>
          <w:sz w:val="24"/>
          <w:szCs w:val="24"/>
        </w:rPr>
        <w:t xml:space="preserve"> </w:t>
      </w:r>
      <w:r w:rsidR="0078209E" w:rsidRPr="0078209E">
        <w:rPr>
          <w:rFonts w:ascii="Times New Roman" w:eastAsia="Times New Roman" w:hAnsi="Times New Roman" w:cs="Times New Roman"/>
          <w:b/>
          <w:bCs/>
          <w:sz w:val="24"/>
          <w:szCs w:val="24"/>
          <w:lang w:val="ru-RU"/>
        </w:rPr>
        <w:t xml:space="preserve">= </w:t>
      </w:r>
      <w:r w:rsidRPr="008C3960">
        <w:rPr>
          <w:rFonts w:ascii="Times New Roman" w:eastAsia="Times New Roman" w:hAnsi="Times New Roman" w:cs="Times New Roman"/>
          <w:b/>
          <w:bCs/>
          <w:sz w:val="24"/>
          <w:szCs w:val="24"/>
        </w:rPr>
        <w:t>1</w:t>
      </w:r>
      <w:r w:rsidRPr="008C3960">
        <w:rPr>
          <w:rFonts w:ascii="Times New Roman" w:eastAsia="Times New Roman" w:hAnsi="Times New Roman" w:cs="Times New Roman"/>
          <w:sz w:val="24"/>
          <w:szCs w:val="24"/>
        </w:rPr>
        <w:t>.</w:t>
      </w:r>
    </w:p>
    <w:p w14:paraId="360BFFE7" w14:textId="77777777" w:rsidR="00E16161" w:rsidRDefault="00E16161" w:rsidP="00E16161">
      <w:pPr>
        <w:spacing w:after="0" w:line="240" w:lineRule="auto"/>
        <w:ind w:firstLine="567"/>
        <w:jc w:val="both"/>
        <w:rPr>
          <w:rFonts w:ascii="Times New Roman" w:eastAsia="Times New Roman" w:hAnsi="Times New Roman" w:cs="Times New Roman"/>
          <w:bCs/>
          <w:sz w:val="24"/>
          <w:szCs w:val="24"/>
        </w:rPr>
      </w:pPr>
    </w:p>
    <w:p w14:paraId="056521F4" w14:textId="77777777" w:rsidR="00E16161" w:rsidRDefault="00E16161" w:rsidP="00E16161">
      <w:pPr>
        <w:spacing w:after="0" w:line="240" w:lineRule="auto"/>
        <w:ind w:firstLine="567"/>
        <w:jc w:val="both"/>
        <w:rPr>
          <w:rFonts w:ascii="Times New Roman" w:eastAsia="Times New Roman" w:hAnsi="Times New Roman" w:cs="Times New Roman"/>
          <w:i/>
          <w:iCs/>
          <w:sz w:val="24"/>
          <w:szCs w:val="24"/>
        </w:rPr>
      </w:pPr>
      <w:r w:rsidRPr="006E1C41">
        <w:rPr>
          <w:rFonts w:ascii="Times New Roman" w:eastAsia="Times New Roman" w:hAnsi="Times New Roman" w:cs="Times New Roman"/>
          <w:b/>
          <w:bCs/>
          <w:i/>
          <w:sz w:val="24"/>
          <w:szCs w:val="24"/>
        </w:rPr>
        <w:t>0.2. Отрицателни въздействия върху МСП:</w:t>
      </w:r>
      <w:r w:rsidRPr="006E1C41">
        <w:rPr>
          <w:rFonts w:ascii="Times New Roman" w:eastAsia="Times New Roman" w:hAnsi="Times New Roman" w:cs="Times New Roman"/>
          <w:b/>
          <w:i/>
          <w:sz w:val="24"/>
          <w:szCs w:val="24"/>
        </w:rPr>
        <w:t xml:space="preserve"> </w:t>
      </w:r>
      <w:r w:rsidRPr="006E1C41">
        <w:rPr>
          <w:rFonts w:ascii="Times New Roman" w:eastAsia="Times New Roman" w:hAnsi="Times New Roman" w:cs="Times New Roman"/>
          <w:b/>
          <w:i/>
          <w:iCs/>
          <w:sz w:val="24"/>
          <w:szCs w:val="24"/>
        </w:rPr>
        <w:t>Висок риск от продължаващо отрицателно въздействие върху МСП</w:t>
      </w:r>
    </w:p>
    <w:p w14:paraId="13D449BC"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r w:rsidRPr="008C3960">
        <w:rPr>
          <w:rFonts w:ascii="Times New Roman" w:eastAsia="Times New Roman" w:hAnsi="Times New Roman" w:cs="Times New Roman"/>
          <w:sz w:val="24"/>
          <w:szCs w:val="24"/>
        </w:rPr>
        <w:t xml:space="preserve">Статуквото оставя неконтролирани </w:t>
      </w:r>
      <w:r w:rsidRPr="00163F4D">
        <w:rPr>
          <w:rFonts w:ascii="Times New Roman" w:eastAsia="Times New Roman" w:hAnsi="Times New Roman" w:cs="Times New Roman"/>
          <w:bCs/>
          <w:sz w:val="24"/>
          <w:szCs w:val="24"/>
        </w:rPr>
        <w:t>дисбаланси</w:t>
      </w:r>
      <w:r w:rsidRPr="008C3960">
        <w:rPr>
          <w:rFonts w:ascii="Times New Roman" w:eastAsia="Times New Roman" w:hAnsi="Times New Roman" w:cs="Times New Roman"/>
          <w:b/>
          <w:bCs/>
          <w:sz w:val="24"/>
          <w:szCs w:val="24"/>
        </w:rPr>
        <w:t xml:space="preserve"> </w:t>
      </w:r>
      <w:r w:rsidRPr="008C3960">
        <w:rPr>
          <w:rFonts w:ascii="Times New Roman" w:eastAsia="Times New Roman" w:hAnsi="Times New Roman" w:cs="Times New Roman"/>
          <w:sz w:val="24"/>
          <w:szCs w:val="24"/>
        </w:rPr>
        <w:t xml:space="preserve">във веригата </w:t>
      </w:r>
      <w:r>
        <w:rPr>
          <w:rFonts w:ascii="Times New Roman" w:eastAsia="Times New Roman" w:hAnsi="Times New Roman" w:cs="Times New Roman"/>
          <w:sz w:val="24"/>
          <w:szCs w:val="24"/>
        </w:rPr>
        <w:t>н</w:t>
      </w:r>
      <w:r w:rsidRPr="008C3960">
        <w:rPr>
          <w:rFonts w:ascii="Times New Roman" w:eastAsia="Times New Roman" w:hAnsi="Times New Roman" w:cs="Times New Roman"/>
          <w:sz w:val="24"/>
          <w:szCs w:val="24"/>
        </w:rPr>
        <w:t>а доставки. Структурата на земеделските стопанства в България е силно фрагментирана</w:t>
      </w:r>
      <w:r>
        <w:rPr>
          <w:rFonts w:ascii="Times New Roman" w:eastAsia="Times New Roman" w:hAnsi="Times New Roman" w:cs="Times New Roman"/>
          <w:sz w:val="24"/>
          <w:szCs w:val="24"/>
        </w:rPr>
        <w:t>. Съществуват</w:t>
      </w:r>
      <w:r w:rsidRPr="008C3960">
        <w:rPr>
          <w:rFonts w:ascii="Times New Roman" w:eastAsia="Times New Roman" w:hAnsi="Times New Roman" w:cs="Times New Roman"/>
          <w:sz w:val="24"/>
          <w:szCs w:val="24"/>
        </w:rPr>
        <w:t xml:space="preserve"> ~132 000 стопанства, от които най-големите </w:t>
      </w:r>
      <w:r>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контрол</w:t>
      </w:r>
      <w:r>
        <w:rPr>
          <w:rFonts w:ascii="Times New Roman" w:eastAsia="Times New Roman" w:hAnsi="Times New Roman" w:cs="Times New Roman"/>
          <w:sz w:val="24"/>
          <w:szCs w:val="24"/>
        </w:rPr>
        <w:t>ират 85% от земеделската земя</w:t>
      </w:r>
      <w:r w:rsidRPr="008C3960">
        <w:rPr>
          <w:rFonts w:ascii="Times New Roman" w:eastAsia="Times New Roman" w:hAnsi="Times New Roman" w:cs="Times New Roman"/>
          <w:sz w:val="24"/>
          <w:szCs w:val="24"/>
        </w:rPr>
        <w:t xml:space="preserve">. По този начин много малки производители имат слаба сила при договаряне и остават уязвими към злоупотреби от </w:t>
      </w:r>
      <w:r>
        <w:rPr>
          <w:rFonts w:ascii="Times New Roman" w:eastAsia="Times New Roman" w:hAnsi="Times New Roman" w:cs="Times New Roman"/>
          <w:sz w:val="24"/>
          <w:szCs w:val="24"/>
        </w:rPr>
        <w:t>по-силните</w:t>
      </w:r>
      <w:r w:rsidRPr="008C3960">
        <w:rPr>
          <w:rFonts w:ascii="Times New Roman" w:eastAsia="Times New Roman" w:hAnsi="Times New Roman" w:cs="Times New Roman"/>
          <w:sz w:val="24"/>
          <w:szCs w:val="24"/>
        </w:rPr>
        <w:t xml:space="preserve"> купувачи. От страна на купувача пазарът е умерено концентриран (петте най-големи вериги за търговия на </w:t>
      </w:r>
      <w:r w:rsidRPr="008C3960">
        <w:rPr>
          <w:rFonts w:ascii="Times New Roman" w:eastAsia="Times New Roman" w:hAnsi="Times New Roman" w:cs="Times New Roman"/>
          <w:sz w:val="24"/>
          <w:szCs w:val="24"/>
        </w:rPr>
        <w:lastRenderedPageBreak/>
        <w:t>дребно с хранителни стоки представляват ~55% от п</w:t>
      </w:r>
      <w:r>
        <w:rPr>
          <w:rFonts w:ascii="Times New Roman" w:eastAsia="Times New Roman" w:hAnsi="Times New Roman" w:cs="Times New Roman"/>
          <w:sz w:val="24"/>
          <w:szCs w:val="24"/>
        </w:rPr>
        <w:t>родажбите на хранителни стоки</w:t>
      </w:r>
      <w:r>
        <w:rPr>
          <w:rStyle w:val="FootnoteReference"/>
          <w:rFonts w:ascii="Times New Roman" w:eastAsia="Times New Roman" w:hAnsi="Times New Roman" w:cs="Times New Roman"/>
          <w:sz w:val="24"/>
          <w:szCs w:val="24"/>
        </w:rPr>
        <w:footnoteReference w:id="45"/>
      </w:r>
      <w:r>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което дава на големите търговци на дребно значително </w:t>
      </w:r>
      <w:r>
        <w:rPr>
          <w:rFonts w:ascii="Times New Roman" w:eastAsia="Times New Roman" w:hAnsi="Times New Roman" w:cs="Times New Roman"/>
          <w:sz w:val="24"/>
          <w:szCs w:val="24"/>
        </w:rPr>
        <w:t>влияние над малките доставчици.</w:t>
      </w:r>
    </w:p>
    <w:p w14:paraId="521D7EB2" w14:textId="324D194C" w:rsidR="00E16161" w:rsidRDefault="00E16161" w:rsidP="00E161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Проучвания, правени</w:t>
      </w:r>
      <w:r w:rsidRPr="008C3960">
        <w:rPr>
          <w:rFonts w:ascii="Times New Roman" w:eastAsia="Times New Roman" w:hAnsi="Times New Roman" w:cs="Times New Roman"/>
          <w:sz w:val="24"/>
          <w:szCs w:val="24"/>
        </w:rPr>
        <w:t xml:space="preserve"> на ниво ЕС</w:t>
      </w:r>
      <w:r w:rsidR="00D13896">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отбелязват, че значителни</w:t>
      </w:r>
      <w:r>
        <w:rPr>
          <w:rFonts w:ascii="Times New Roman" w:eastAsia="Times New Roman" w:hAnsi="Times New Roman" w:cs="Times New Roman"/>
          <w:sz w:val="24"/>
          <w:szCs w:val="24"/>
        </w:rPr>
        <w:t>те</w:t>
      </w:r>
      <w:r w:rsidRPr="008C3960">
        <w:rPr>
          <w:rFonts w:ascii="Times New Roman" w:eastAsia="Times New Roman" w:hAnsi="Times New Roman" w:cs="Times New Roman"/>
          <w:sz w:val="24"/>
          <w:szCs w:val="24"/>
        </w:rPr>
        <w:t xml:space="preserve"> дисбаланси в договарянето водят до </w:t>
      </w:r>
      <w:r>
        <w:rPr>
          <w:rFonts w:ascii="Times New Roman" w:eastAsia="Times New Roman" w:hAnsi="Times New Roman" w:cs="Times New Roman"/>
          <w:sz w:val="24"/>
          <w:szCs w:val="24"/>
        </w:rPr>
        <w:t xml:space="preserve">това, че </w:t>
      </w:r>
      <w:r w:rsidRPr="008C3960">
        <w:rPr>
          <w:rFonts w:ascii="Times New Roman" w:eastAsia="Times New Roman" w:hAnsi="Times New Roman" w:cs="Times New Roman"/>
          <w:sz w:val="24"/>
          <w:szCs w:val="24"/>
        </w:rPr>
        <w:t xml:space="preserve">доставчиците </w:t>
      </w:r>
      <w:r>
        <w:rPr>
          <w:rFonts w:ascii="Times New Roman" w:eastAsia="Times New Roman" w:hAnsi="Times New Roman" w:cs="Times New Roman"/>
          <w:sz w:val="24"/>
          <w:szCs w:val="24"/>
        </w:rPr>
        <w:t xml:space="preserve">са принудени </w:t>
      </w:r>
      <w:r w:rsidRPr="008C3960">
        <w:rPr>
          <w:rFonts w:ascii="Times New Roman" w:eastAsia="Times New Roman" w:hAnsi="Times New Roman" w:cs="Times New Roman"/>
          <w:sz w:val="24"/>
          <w:szCs w:val="24"/>
        </w:rPr>
        <w:t>да приемат несправедл</w:t>
      </w:r>
      <w:r>
        <w:rPr>
          <w:rFonts w:ascii="Times New Roman" w:eastAsia="Times New Roman" w:hAnsi="Times New Roman" w:cs="Times New Roman"/>
          <w:sz w:val="24"/>
          <w:szCs w:val="24"/>
        </w:rPr>
        <w:t>иви условия</w:t>
      </w:r>
      <w:r w:rsidRPr="008C3960">
        <w:rPr>
          <w:rFonts w:ascii="Times New Roman" w:eastAsia="Times New Roman" w:hAnsi="Times New Roman" w:cs="Times New Roman"/>
          <w:sz w:val="24"/>
          <w:szCs w:val="24"/>
        </w:rPr>
        <w:t>. По този начин вероятността МСП да претърпят загуба на доходи или</w:t>
      </w:r>
      <w:r>
        <w:rPr>
          <w:rFonts w:ascii="Times New Roman" w:eastAsia="Times New Roman" w:hAnsi="Times New Roman" w:cs="Times New Roman"/>
          <w:sz w:val="24"/>
          <w:szCs w:val="24"/>
        </w:rPr>
        <w:t xml:space="preserve"> дори</w:t>
      </w:r>
      <w:r w:rsidRPr="008C3960">
        <w:rPr>
          <w:rFonts w:ascii="Times New Roman" w:eastAsia="Times New Roman" w:hAnsi="Times New Roman" w:cs="Times New Roman"/>
          <w:sz w:val="24"/>
          <w:szCs w:val="24"/>
        </w:rPr>
        <w:t xml:space="preserve"> фалит поради </w:t>
      </w:r>
      <w:r>
        <w:rPr>
          <w:rFonts w:ascii="Times New Roman" w:eastAsia="Times New Roman" w:hAnsi="Times New Roman" w:cs="Times New Roman"/>
          <w:sz w:val="24"/>
          <w:szCs w:val="24"/>
        </w:rPr>
        <w:t>наличието на нелоялни търговски практики</w:t>
      </w:r>
      <w:r w:rsidRPr="008C3960">
        <w:rPr>
          <w:rFonts w:ascii="Times New Roman" w:eastAsia="Times New Roman" w:hAnsi="Times New Roman" w:cs="Times New Roman"/>
          <w:sz w:val="24"/>
          <w:szCs w:val="24"/>
        </w:rPr>
        <w:t xml:space="preserve"> остава висока</w:t>
      </w:r>
      <w:r w:rsidR="00A5236A">
        <w:rPr>
          <w:rFonts w:ascii="Times New Roman" w:eastAsia="Times New Roman" w:hAnsi="Times New Roman" w:cs="Times New Roman"/>
          <w:sz w:val="24"/>
          <w:szCs w:val="24"/>
        </w:rPr>
        <w:t xml:space="preserve"> </w:t>
      </w:r>
      <w:r w:rsidR="00A5236A" w:rsidRPr="008C3960">
        <w:rPr>
          <w:rFonts w:ascii="Times New Roman" w:eastAsia="Times New Roman" w:hAnsi="Times New Roman" w:cs="Times New Roman"/>
          <w:sz w:val="24"/>
          <w:szCs w:val="24"/>
        </w:rPr>
        <w:t>(L=5)</w:t>
      </w:r>
      <w:r w:rsidRPr="008C3960">
        <w:rPr>
          <w:rFonts w:ascii="Times New Roman" w:eastAsia="Times New Roman" w:hAnsi="Times New Roman" w:cs="Times New Roman"/>
          <w:sz w:val="24"/>
          <w:szCs w:val="24"/>
        </w:rPr>
        <w:t>. Въздействието върху икономиката е умерено до високо</w:t>
      </w:r>
      <w:r w:rsidR="00A5236A">
        <w:rPr>
          <w:rFonts w:ascii="Times New Roman" w:eastAsia="Times New Roman" w:hAnsi="Times New Roman" w:cs="Times New Roman"/>
          <w:sz w:val="24"/>
          <w:szCs w:val="24"/>
        </w:rPr>
        <w:t xml:space="preserve"> </w:t>
      </w:r>
      <w:r w:rsidR="00A5236A" w:rsidRPr="008C3960">
        <w:rPr>
          <w:rFonts w:ascii="Times New Roman" w:eastAsia="Times New Roman" w:hAnsi="Times New Roman" w:cs="Times New Roman"/>
          <w:sz w:val="24"/>
          <w:szCs w:val="24"/>
        </w:rPr>
        <w:t>(I=4)</w:t>
      </w:r>
      <w:r w:rsidRPr="008C3960">
        <w:rPr>
          <w:rFonts w:ascii="Times New Roman" w:eastAsia="Times New Roman" w:hAnsi="Times New Roman" w:cs="Times New Roman"/>
          <w:sz w:val="24"/>
          <w:szCs w:val="24"/>
        </w:rPr>
        <w:t>, тъй като селското стопанство все още представля</w:t>
      </w:r>
      <w:r>
        <w:rPr>
          <w:rFonts w:ascii="Times New Roman" w:eastAsia="Times New Roman" w:hAnsi="Times New Roman" w:cs="Times New Roman"/>
          <w:sz w:val="24"/>
          <w:szCs w:val="24"/>
        </w:rPr>
        <w:t>ва около 6,5% от заетостта</w:t>
      </w:r>
      <w:hyperlink w:history="1"/>
      <w:r>
        <w:rPr>
          <w:rFonts w:ascii="Times New Roman" w:eastAsia="Times New Roman" w:hAnsi="Times New Roman" w:cs="Times New Roman"/>
          <w:sz w:val="24"/>
          <w:szCs w:val="24"/>
        </w:rPr>
        <w:t>, а в по-голяма степен</w:t>
      </w:r>
      <w:r w:rsidRPr="008C3960">
        <w:rPr>
          <w:rFonts w:ascii="Times New Roman" w:eastAsia="Times New Roman" w:hAnsi="Times New Roman" w:cs="Times New Roman"/>
          <w:sz w:val="24"/>
          <w:szCs w:val="24"/>
        </w:rPr>
        <w:t xml:space="preserve"> селско</w:t>
      </w:r>
      <w:r>
        <w:rPr>
          <w:rFonts w:ascii="Times New Roman" w:eastAsia="Times New Roman" w:hAnsi="Times New Roman" w:cs="Times New Roman"/>
          <w:sz w:val="24"/>
          <w:szCs w:val="24"/>
        </w:rPr>
        <w:t>то</w:t>
      </w:r>
      <w:r w:rsidRPr="008C3960">
        <w:rPr>
          <w:rFonts w:ascii="Times New Roman" w:eastAsia="Times New Roman" w:hAnsi="Times New Roman" w:cs="Times New Roman"/>
          <w:sz w:val="24"/>
          <w:szCs w:val="24"/>
        </w:rPr>
        <w:t xml:space="preserve"> население зависи от </w:t>
      </w:r>
      <w:r>
        <w:rPr>
          <w:rFonts w:ascii="Times New Roman" w:eastAsia="Times New Roman" w:hAnsi="Times New Roman" w:cs="Times New Roman"/>
          <w:sz w:val="24"/>
          <w:szCs w:val="24"/>
        </w:rPr>
        <w:t>честния</w:t>
      </w:r>
      <w:r w:rsidRPr="008C3960">
        <w:rPr>
          <w:rFonts w:ascii="Times New Roman" w:eastAsia="Times New Roman" w:hAnsi="Times New Roman" w:cs="Times New Roman"/>
          <w:sz w:val="24"/>
          <w:szCs w:val="24"/>
        </w:rPr>
        <w:t xml:space="preserve"> достъп до пазара. По същество, без предприемане на действия, </w:t>
      </w:r>
      <w:r w:rsidRPr="00163F4D">
        <w:rPr>
          <w:rFonts w:ascii="Times New Roman" w:eastAsia="Times New Roman" w:hAnsi="Times New Roman" w:cs="Times New Roman"/>
          <w:bCs/>
          <w:sz w:val="24"/>
          <w:szCs w:val="24"/>
        </w:rPr>
        <w:t xml:space="preserve">дребните </w:t>
      </w:r>
      <w:r w:rsidR="00D036B5">
        <w:rPr>
          <w:rFonts w:ascii="Times New Roman" w:eastAsia="Times New Roman" w:hAnsi="Times New Roman" w:cs="Times New Roman"/>
          <w:bCs/>
          <w:sz w:val="24"/>
          <w:szCs w:val="24"/>
        </w:rPr>
        <w:t>производители</w:t>
      </w:r>
      <w:r w:rsidRPr="00163F4D">
        <w:rPr>
          <w:rFonts w:ascii="Times New Roman" w:eastAsia="Times New Roman" w:hAnsi="Times New Roman" w:cs="Times New Roman"/>
          <w:bCs/>
          <w:sz w:val="24"/>
          <w:szCs w:val="24"/>
        </w:rPr>
        <w:t>, преработвателите и доставчиците на храни ще продължат да понасят финансови загуби</w:t>
      </w:r>
      <w:r w:rsidRPr="00163F4D">
        <w:rPr>
          <w:rFonts w:ascii="Times New Roman" w:eastAsia="Times New Roman" w:hAnsi="Times New Roman" w:cs="Times New Roman"/>
          <w:sz w:val="24"/>
          <w:szCs w:val="24"/>
        </w:rPr>
        <w:t xml:space="preserve">, </w:t>
      </w:r>
      <w:r w:rsidR="00906BF6">
        <w:rPr>
          <w:rFonts w:ascii="Times New Roman" w:eastAsia="Times New Roman" w:hAnsi="Times New Roman" w:cs="Times New Roman"/>
          <w:sz w:val="24"/>
          <w:szCs w:val="24"/>
        </w:rPr>
        <w:t>водещи до спад на</w:t>
      </w:r>
      <w:r w:rsidR="00906BF6" w:rsidRPr="00163F4D">
        <w:rPr>
          <w:rFonts w:ascii="Times New Roman" w:eastAsia="Times New Roman" w:hAnsi="Times New Roman" w:cs="Times New Roman"/>
          <w:sz w:val="24"/>
          <w:szCs w:val="24"/>
        </w:rPr>
        <w:t xml:space="preserve"> </w:t>
      </w:r>
      <w:r w:rsidRPr="00163F4D">
        <w:rPr>
          <w:rFonts w:ascii="Times New Roman" w:eastAsia="Times New Roman" w:hAnsi="Times New Roman" w:cs="Times New Roman"/>
          <w:sz w:val="24"/>
          <w:szCs w:val="24"/>
        </w:rPr>
        <w:t xml:space="preserve">доходите в селските райони и </w:t>
      </w:r>
      <w:r w:rsidR="00906BF6" w:rsidRPr="00906BF6">
        <w:rPr>
          <w:rFonts w:ascii="Times New Roman" w:eastAsia="Times New Roman" w:hAnsi="Times New Roman" w:cs="Times New Roman"/>
          <w:sz w:val="24"/>
          <w:szCs w:val="24"/>
        </w:rPr>
        <w:t>потенциално до отпадане на част от участниците от пазара</w:t>
      </w:r>
      <w:r w:rsidR="00D13896">
        <w:rPr>
          <w:rFonts w:ascii="Times New Roman" w:eastAsia="Times New Roman" w:hAnsi="Times New Roman" w:cs="Times New Roman"/>
          <w:sz w:val="24"/>
          <w:szCs w:val="24"/>
        </w:rPr>
        <w:t>. Т</w:t>
      </w:r>
      <w:r w:rsidR="001A4CEE">
        <w:rPr>
          <w:rFonts w:ascii="Times New Roman" w:eastAsia="Times New Roman" w:hAnsi="Times New Roman" w:cs="Times New Roman"/>
          <w:sz w:val="24"/>
          <w:szCs w:val="24"/>
        </w:rPr>
        <w:t xml:space="preserve">акава хипотеза </w:t>
      </w:r>
      <w:r w:rsidR="00906BF6">
        <w:rPr>
          <w:rFonts w:ascii="Times New Roman" w:eastAsia="Times New Roman" w:hAnsi="Times New Roman" w:cs="Times New Roman"/>
          <w:sz w:val="24"/>
          <w:szCs w:val="24"/>
        </w:rPr>
        <w:t>по своя х</w:t>
      </w:r>
      <w:r w:rsidR="00C91B3B">
        <w:rPr>
          <w:rFonts w:ascii="Times New Roman" w:eastAsia="Times New Roman" w:hAnsi="Times New Roman" w:cs="Times New Roman"/>
          <w:sz w:val="24"/>
          <w:szCs w:val="24"/>
        </w:rPr>
        <w:t>а</w:t>
      </w:r>
      <w:r w:rsidR="00906BF6">
        <w:rPr>
          <w:rFonts w:ascii="Times New Roman" w:eastAsia="Times New Roman" w:hAnsi="Times New Roman" w:cs="Times New Roman"/>
          <w:sz w:val="24"/>
          <w:szCs w:val="24"/>
        </w:rPr>
        <w:t>рактер</w:t>
      </w:r>
      <w:r w:rsidR="001A4CEE">
        <w:rPr>
          <w:rFonts w:ascii="Times New Roman" w:eastAsia="Times New Roman" w:hAnsi="Times New Roman" w:cs="Times New Roman"/>
          <w:sz w:val="24"/>
          <w:szCs w:val="24"/>
        </w:rPr>
        <w:t xml:space="preserve"> обаче</w:t>
      </w:r>
      <w:r w:rsidR="00D13896">
        <w:rPr>
          <w:rFonts w:ascii="Times New Roman" w:eastAsia="Times New Roman" w:hAnsi="Times New Roman" w:cs="Times New Roman"/>
          <w:sz w:val="24"/>
          <w:szCs w:val="24"/>
        </w:rPr>
        <w:t xml:space="preserve"> подкопава </w:t>
      </w:r>
      <w:r w:rsidR="00906BF6">
        <w:rPr>
          <w:rFonts w:ascii="Times New Roman" w:eastAsia="Times New Roman" w:hAnsi="Times New Roman" w:cs="Times New Roman"/>
          <w:sz w:val="24"/>
          <w:szCs w:val="24"/>
        </w:rPr>
        <w:t xml:space="preserve">реализирането на </w:t>
      </w:r>
      <w:r w:rsidRPr="00163F4D">
        <w:rPr>
          <w:rFonts w:ascii="Times New Roman" w:eastAsia="Times New Roman" w:hAnsi="Times New Roman" w:cs="Times New Roman"/>
          <w:sz w:val="24"/>
          <w:szCs w:val="24"/>
        </w:rPr>
        <w:t>целите за развитие на селските райони.</w:t>
      </w:r>
      <w:r w:rsidRPr="006E1C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Оттук в тази категория</w:t>
      </w:r>
      <w:r w:rsidR="0078209E">
        <w:rPr>
          <w:rFonts w:ascii="Times New Roman" w:eastAsia="Times New Roman" w:hAnsi="Times New Roman" w:cs="Times New Roman"/>
          <w:sz w:val="24"/>
          <w:szCs w:val="24"/>
          <w:lang w:val="ru-RU"/>
        </w:rPr>
        <w:t xml:space="preserve"> може</w:t>
      </w:r>
      <w:r w:rsidR="00D036B5">
        <w:rPr>
          <w:rFonts w:ascii="Times New Roman" w:eastAsia="Times New Roman" w:hAnsi="Times New Roman" w:cs="Times New Roman"/>
          <w:sz w:val="24"/>
          <w:szCs w:val="24"/>
          <w:lang w:val="ru-RU"/>
        </w:rPr>
        <w:t xml:space="preserve"> </w:t>
      </w:r>
      <w:r w:rsidR="0078209E">
        <w:rPr>
          <w:rFonts w:ascii="Times New Roman" w:eastAsia="Times New Roman" w:hAnsi="Times New Roman" w:cs="Times New Roman"/>
          <w:sz w:val="24"/>
          <w:szCs w:val="24"/>
          <w:lang w:val="ru-RU"/>
        </w:rPr>
        <w:t>да се определи</w:t>
      </w:r>
      <w:r>
        <w:rPr>
          <w:rFonts w:ascii="Times New Roman" w:eastAsia="Times New Roman" w:hAnsi="Times New Roman" w:cs="Times New Roman"/>
          <w:sz w:val="24"/>
          <w:szCs w:val="24"/>
        </w:rPr>
        <w:t xml:space="preserve"> </w:t>
      </w:r>
      <w:r w:rsidRPr="0078209E">
        <w:rPr>
          <w:rFonts w:ascii="Times New Roman" w:eastAsia="Times New Roman" w:hAnsi="Times New Roman" w:cs="Times New Roman"/>
          <w:b/>
          <w:sz w:val="24"/>
          <w:szCs w:val="24"/>
        </w:rPr>
        <w:t xml:space="preserve">обща </w:t>
      </w:r>
      <w:r w:rsidRPr="0078209E">
        <w:rPr>
          <w:rFonts w:ascii="Times New Roman" w:eastAsia="Times New Roman" w:hAnsi="Times New Roman" w:cs="Times New Roman"/>
          <w:b/>
          <w:bCs/>
          <w:sz w:val="24"/>
          <w:szCs w:val="24"/>
        </w:rPr>
        <w:t>оценка на риска</w:t>
      </w:r>
      <w:r w:rsidR="00A5236A">
        <w:rPr>
          <w:rFonts w:ascii="Times New Roman" w:eastAsia="Times New Roman" w:hAnsi="Times New Roman" w:cs="Times New Roman"/>
          <w:b/>
          <w:bCs/>
          <w:sz w:val="24"/>
          <w:szCs w:val="24"/>
        </w:rPr>
        <w:t xml:space="preserve"> </w:t>
      </w:r>
      <w:r w:rsidR="00A5236A" w:rsidRPr="006E1C41">
        <w:rPr>
          <w:rFonts w:ascii="Times New Roman" w:eastAsia="Times New Roman" w:hAnsi="Times New Roman" w:cs="Times New Roman"/>
          <w:bCs/>
          <w:sz w:val="24"/>
          <w:szCs w:val="24"/>
        </w:rPr>
        <w:t>(</w:t>
      </w:r>
      <w:r w:rsidR="00A5236A">
        <w:rPr>
          <w:rFonts w:ascii="Times New Roman" w:eastAsia="Times New Roman" w:hAnsi="Times New Roman" w:cs="Times New Roman"/>
          <w:bCs/>
          <w:sz w:val="24"/>
          <w:szCs w:val="24"/>
        </w:rPr>
        <w:t>5</w:t>
      </w:r>
      <w:r w:rsidR="00A5236A" w:rsidRPr="006E1C41">
        <w:rPr>
          <w:rFonts w:ascii="Times New Roman" w:eastAsia="Times New Roman" w:hAnsi="Times New Roman" w:cs="Times New Roman"/>
          <w:bCs/>
          <w:sz w:val="24"/>
          <w:szCs w:val="24"/>
        </w:rPr>
        <w:t>×</w:t>
      </w:r>
      <w:r w:rsidR="00A5236A">
        <w:rPr>
          <w:rFonts w:ascii="Times New Roman" w:eastAsia="Times New Roman" w:hAnsi="Times New Roman" w:cs="Times New Roman"/>
          <w:bCs/>
          <w:sz w:val="24"/>
          <w:szCs w:val="24"/>
        </w:rPr>
        <w:t>4</w:t>
      </w:r>
      <w:r w:rsidR="00A5236A" w:rsidRPr="006E1C41">
        <w:rPr>
          <w:rFonts w:ascii="Times New Roman" w:eastAsia="Times New Roman" w:hAnsi="Times New Roman" w:cs="Times New Roman"/>
          <w:bCs/>
          <w:sz w:val="24"/>
          <w:szCs w:val="24"/>
        </w:rPr>
        <w:t>)</w:t>
      </w:r>
      <w:r w:rsidR="0078209E" w:rsidRPr="0078209E">
        <w:rPr>
          <w:rFonts w:ascii="Times New Roman" w:eastAsia="Times New Roman" w:hAnsi="Times New Roman" w:cs="Times New Roman"/>
          <w:b/>
          <w:bCs/>
          <w:sz w:val="24"/>
          <w:szCs w:val="24"/>
        </w:rPr>
        <w:t xml:space="preserve"> =</w:t>
      </w:r>
      <w:r w:rsidRPr="0078209E">
        <w:rPr>
          <w:rFonts w:ascii="Times New Roman" w:eastAsia="Times New Roman" w:hAnsi="Times New Roman" w:cs="Times New Roman"/>
          <w:b/>
          <w:bCs/>
          <w:sz w:val="24"/>
          <w:szCs w:val="24"/>
        </w:rPr>
        <w:t xml:space="preserve"> 20</w:t>
      </w:r>
      <w:r w:rsidRPr="006E1C41">
        <w:rPr>
          <w:rFonts w:ascii="Times New Roman" w:eastAsia="Times New Roman" w:hAnsi="Times New Roman" w:cs="Times New Roman"/>
          <w:bCs/>
          <w:sz w:val="24"/>
          <w:szCs w:val="24"/>
        </w:rPr>
        <w:t>.</w:t>
      </w:r>
    </w:p>
    <w:p w14:paraId="509264DB"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p>
    <w:p w14:paraId="1B33F882" w14:textId="37E3C121" w:rsidR="00E16161" w:rsidRDefault="00E16161" w:rsidP="00E16161">
      <w:pPr>
        <w:spacing w:after="0" w:line="240" w:lineRule="auto"/>
        <w:ind w:firstLine="567"/>
        <w:jc w:val="both"/>
        <w:rPr>
          <w:rFonts w:ascii="Times New Roman" w:eastAsia="Times New Roman" w:hAnsi="Times New Roman" w:cs="Times New Roman"/>
          <w:i/>
          <w:iCs/>
          <w:sz w:val="24"/>
          <w:szCs w:val="24"/>
        </w:rPr>
      </w:pPr>
      <w:r w:rsidRPr="006E1C41">
        <w:rPr>
          <w:rFonts w:ascii="Times New Roman" w:eastAsia="Times New Roman" w:hAnsi="Times New Roman" w:cs="Times New Roman"/>
          <w:b/>
          <w:i/>
          <w:sz w:val="24"/>
          <w:szCs w:val="24"/>
        </w:rPr>
        <w:t xml:space="preserve">0.3. </w:t>
      </w:r>
      <w:r w:rsidRPr="006E1C41">
        <w:rPr>
          <w:rFonts w:ascii="Times New Roman" w:eastAsia="Times New Roman" w:hAnsi="Times New Roman" w:cs="Times New Roman"/>
          <w:b/>
          <w:bCs/>
          <w:i/>
          <w:sz w:val="24"/>
          <w:szCs w:val="24"/>
        </w:rPr>
        <w:t>Изкривявания на пазара/непредвидени последици:</w:t>
      </w:r>
      <w:r w:rsidRPr="006E1C41">
        <w:rPr>
          <w:rFonts w:ascii="Times New Roman" w:eastAsia="Times New Roman" w:hAnsi="Times New Roman" w:cs="Times New Roman"/>
          <w:b/>
          <w:i/>
          <w:sz w:val="24"/>
          <w:szCs w:val="24"/>
        </w:rPr>
        <w:t xml:space="preserve"> </w:t>
      </w:r>
      <w:r w:rsidRPr="006E1C41">
        <w:rPr>
          <w:rFonts w:ascii="Times New Roman" w:eastAsia="Times New Roman" w:hAnsi="Times New Roman" w:cs="Times New Roman"/>
          <w:b/>
          <w:i/>
          <w:iCs/>
          <w:sz w:val="24"/>
          <w:szCs w:val="24"/>
        </w:rPr>
        <w:t xml:space="preserve">Умерен риск от </w:t>
      </w:r>
      <w:r w:rsidR="0078209E">
        <w:rPr>
          <w:rFonts w:ascii="Times New Roman" w:eastAsia="Times New Roman" w:hAnsi="Times New Roman" w:cs="Times New Roman"/>
          <w:b/>
          <w:i/>
          <w:iCs/>
          <w:sz w:val="24"/>
          <w:szCs w:val="24"/>
        </w:rPr>
        <w:t>постоянна пазарна неефективност</w:t>
      </w:r>
      <w:r w:rsidRPr="008C3960">
        <w:rPr>
          <w:rFonts w:ascii="Times New Roman" w:eastAsia="Times New Roman" w:hAnsi="Times New Roman" w:cs="Times New Roman"/>
          <w:i/>
          <w:iCs/>
          <w:sz w:val="24"/>
          <w:szCs w:val="24"/>
        </w:rPr>
        <w:t xml:space="preserve"> </w:t>
      </w:r>
    </w:p>
    <w:p w14:paraId="33D149A0" w14:textId="0C8B1138" w:rsidR="00E16161" w:rsidRDefault="00E16161" w:rsidP="00E16161">
      <w:pPr>
        <w:spacing w:after="0" w:line="240" w:lineRule="auto"/>
        <w:ind w:firstLine="567"/>
        <w:jc w:val="both"/>
        <w:rPr>
          <w:rFonts w:ascii="Times New Roman" w:eastAsia="Times New Roman" w:hAnsi="Times New Roman" w:cs="Times New Roman"/>
          <w:sz w:val="24"/>
          <w:szCs w:val="24"/>
        </w:rPr>
      </w:pPr>
      <w:r w:rsidRPr="008C3960">
        <w:rPr>
          <w:rFonts w:ascii="Times New Roman" w:eastAsia="Times New Roman" w:hAnsi="Times New Roman" w:cs="Times New Roman"/>
          <w:sz w:val="24"/>
          <w:szCs w:val="24"/>
        </w:rPr>
        <w:t xml:space="preserve">Вариант 0 избягва въвеждането на нови регулаторни изкривявания, но </w:t>
      </w:r>
      <w:r w:rsidRPr="00163F4D">
        <w:rPr>
          <w:rFonts w:ascii="Times New Roman" w:eastAsia="Times New Roman" w:hAnsi="Times New Roman" w:cs="Times New Roman"/>
          <w:bCs/>
          <w:sz w:val="24"/>
          <w:szCs w:val="24"/>
        </w:rPr>
        <w:t xml:space="preserve">запазва съществуващите такива, причинени от </w:t>
      </w:r>
      <w:r w:rsidR="00906BF6">
        <w:rPr>
          <w:rFonts w:ascii="Times New Roman" w:eastAsia="Times New Roman" w:hAnsi="Times New Roman" w:cs="Times New Roman"/>
          <w:bCs/>
          <w:sz w:val="24"/>
          <w:szCs w:val="24"/>
        </w:rPr>
        <w:t>нелоялни търговски практики</w:t>
      </w:r>
      <w:r w:rsidRPr="008C3960">
        <w:rPr>
          <w:rFonts w:ascii="Times New Roman" w:eastAsia="Times New Roman" w:hAnsi="Times New Roman" w:cs="Times New Roman"/>
          <w:sz w:val="24"/>
          <w:szCs w:val="24"/>
        </w:rPr>
        <w:t>. Когато купувачи</w:t>
      </w:r>
      <w:r>
        <w:rPr>
          <w:rFonts w:ascii="Times New Roman" w:eastAsia="Times New Roman" w:hAnsi="Times New Roman" w:cs="Times New Roman"/>
          <w:sz w:val="24"/>
          <w:szCs w:val="24"/>
        </w:rPr>
        <w:t>те с по-голяма пазарна сила</w:t>
      </w:r>
      <w:r w:rsidRPr="008C3960">
        <w:rPr>
          <w:rFonts w:ascii="Times New Roman" w:eastAsia="Times New Roman" w:hAnsi="Times New Roman" w:cs="Times New Roman"/>
          <w:sz w:val="24"/>
          <w:szCs w:val="24"/>
        </w:rPr>
        <w:t xml:space="preserve"> налагат </w:t>
      </w:r>
      <w:r w:rsidR="0078209E">
        <w:rPr>
          <w:rFonts w:ascii="Times New Roman" w:eastAsia="Times New Roman" w:hAnsi="Times New Roman" w:cs="Times New Roman"/>
          <w:sz w:val="24"/>
          <w:szCs w:val="24"/>
        </w:rPr>
        <w:t>изгодни единствено за тях</w:t>
      </w:r>
      <w:r w:rsidRPr="008C3960">
        <w:rPr>
          <w:rFonts w:ascii="Times New Roman" w:eastAsia="Times New Roman" w:hAnsi="Times New Roman" w:cs="Times New Roman"/>
          <w:sz w:val="24"/>
          <w:szCs w:val="24"/>
        </w:rPr>
        <w:t xml:space="preserve"> условия, пазарният резултат не е </w:t>
      </w:r>
      <w:r>
        <w:rPr>
          <w:rFonts w:ascii="Times New Roman" w:eastAsia="Times New Roman" w:hAnsi="Times New Roman" w:cs="Times New Roman"/>
          <w:sz w:val="24"/>
          <w:szCs w:val="24"/>
        </w:rPr>
        <w:t>напълно</w:t>
      </w:r>
      <w:r w:rsidRPr="008C3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ефективен, като</w:t>
      </w:r>
      <w:r w:rsidRPr="008C3960">
        <w:rPr>
          <w:rFonts w:ascii="Times New Roman" w:eastAsia="Times New Roman" w:hAnsi="Times New Roman" w:cs="Times New Roman"/>
          <w:sz w:val="24"/>
          <w:szCs w:val="24"/>
        </w:rPr>
        <w:t xml:space="preserve"> разпределението на стойността е изкривено срещу производителите. Например, фермерите могат да бъдат принудени да продават на много ниски изходни цени под натиск, което да доведе до недостатъчно инвестиране в техните стопанства и по-ниска производителност. </w:t>
      </w:r>
      <w:r>
        <w:rPr>
          <w:rFonts w:ascii="Times New Roman" w:eastAsia="Times New Roman" w:hAnsi="Times New Roman" w:cs="Times New Roman"/>
          <w:sz w:val="24"/>
          <w:szCs w:val="24"/>
        </w:rPr>
        <w:t>П</w:t>
      </w:r>
      <w:r w:rsidRPr="008C3960">
        <w:rPr>
          <w:rFonts w:ascii="Times New Roman" w:eastAsia="Times New Roman" w:hAnsi="Times New Roman" w:cs="Times New Roman"/>
          <w:sz w:val="24"/>
          <w:szCs w:val="24"/>
        </w:rPr>
        <w:t>родължаващ</w:t>
      </w:r>
      <w:r>
        <w:rPr>
          <w:rFonts w:ascii="Times New Roman" w:eastAsia="Times New Roman" w:hAnsi="Times New Roman" w:cs="Times New Roman"/>
          <w:sz w:val="24"/>
          <w:szCs w:val="24"/>
        </w:rPr>
        <w:t>о</w:t>
      </w:r>
      <w:r w:rsidRPr="008C3960">
        <w:rPr>
          <w:rFonts w:ascii="Times New Roman" w:eastAsia="Times New Roman" w:hAnsi="Times New Roman" w:cs="Times New Roman"/>
          <w:sz w:val="24"/>
          <w:szCs w:val="24"/>
        </w:rPr>
        <w:t>т</w:t>
      </w:r>
      <w:r>
        <w:rPr>
          <w:rFonts w:ascii="Times New Roman" w:eastAsia="Times New Roman" w:hAnsi="Times New Roman" w:cs="Times New Roman"/>
          <w:sz w:val="24"/>
          <w:szCs w:val="24"/>
        </w:rPr>
        <w:t>о съществуване на нелоялни търговски практики</w:t>
      </w:r>
      <w:r w:rsidRPr="008C3960">
        <w:rPr>
          <w:rFonts w:ascii="Times New Roman" w:eastAsia="Times New Roman" w:hAnsi="Times New Roman" w:cs="Times New Roman"/>
          <w:sz w:val="24"/>
          <w:szCs w:val="24"/>
        </w:rPr>
        <w:t xml:space="preserve"> </w:t>
      </w:r>
      <w:r w:rsidR="0078209E">
        <w:rPr>
          <w:rFonts w:ascii="Times New Roman" w:eastAsia="Times New Roman" w:hAnsi="Times New Roman" w:cs="Times New Roman"/>
          <w:sz w:val="24"/>
          <w:szCs w:val="24"/>
        </w:rPr>
        <w:t>има</w:t>
      </w:r>
      <w:r w:rsidR="00906BF6">
        <w:rPr>
          <w:rFonts w:ascii="Times New Roman" w:eastAsia="Times New Roman" w:hAnsi="Times New Roman" w:cs="Times New Roman"/>
          <w:sz w:val="24"/>
          <w:szCs w:val="24"/>
        </w:rPr>
        <w:t xml:space="preserve"> потенциала да</w:t>
      </w:r>
      <w:r w:rsidRPr="008C3960">
        <w:rPr>
          <w:rFonts w:ascii="Times New Roman" w:eastAsia="Times New Roman" w:hAnsi="Times New Roman" w:cs="Times New Roman"/>
          <w:sz w:val="24"/>
          <w:szCs w:val="24"/>
        </w:rPr>
        <w:t xml:space="preserve"> </w:t>
      </w:r>
      <w:r w:rsidRPr="00163F4D">
        <w:rPr>
          <w:rFonts w:ascii="Times New Roman" w:eastAsia="Times New Roman" w:hAnsi="Times New Roman" w:cs="Times New Roman"/>
          <w:bCs/>
          <w:sz w:val="24"/>
          <w:szCs w:val="24"/>
        </w:rPr>
        <w:t>изкриви инвестиционните сигнали и конкуренцията</w:t>
      </w:r>
      <w:r w:rsidRPr="008C3960">
        <w:rPr>
          <w:rFonts w:ascii="Times New Roman" w:eastAsia="Times New Roman" w:hAnsi="Times New Roman" w:cs="Times New Roman"/>
          <w:b/>
          <w:bCs/>
          <w:sz w:val="24"/>
          <w:szCs w:val="24"/>
        </w:rPr>
        <w:t xml:space="preserve"> </w:t>
      </w:r>
      <w:r w:rsidRPr="008C3960">
        <w:rPr>
          <w:rFonts w:ascii="Times New Roman" w:eastAsia="Times New Roman" w:hAnsi="Times New Roman" w:cs="Times New Roman"/>
          <w:sz w:val="24"/>
          <w:szCs w:val="24"/>
        </w:rPr>
        <w:t>(</w:t>
      </w:r>
      <w:r w:rsidR="00906BF6">
        <w:rPr>
          <w:rFonts w:ascii="Times New Roman" w:eastAsia="Times New Roman" w:hAnsi="Times New Roman" w:cs="Times New Roman"/>
          <w:sz w:val="24"/>
          <w:szCs w:val="24"/>
        </w:rPr>
        <w:t>добросъвестните</w:t>
      </w:r>
      <w:r w:rsidR="00906BF6" w:rsidRPr="008C3960">
        <w:rPr>
          <w:rFonts w:ascii="Times New Roman" w:eastAsia="Times New Roman" w:hAnsi="Times New Roman" w:cs="Times New Roman"/>
          <w:sz w:val="24"/>
          <w:szCs w:val="24"/>
        </w:rPr>
        <w:t xml:space="preserve"> </w:t>
      </w:r>
      <w:r w:rsidRPr="008C3960">
        <w:rPr>
          <w:rFonts w:ascii="Times New Roman" w:eastAsia="Times New Roman" w:hAnsi="Times New Roman" w:cs="Times New Roman"/>
          <w:sz w:val="24"/>
          <w:szCs w:val="24"/>
        </w:rPr>
        <w:t xml:space="preserve">предприятия се санкционират, докато тези, които </w:t>
      </w:r>
      <w:r w:rsidR="00906BF6">
        <w:rPr>
          <w:rFonts w:ascii="Times New Roman" w:eastAsia="Times New Roman" w:hAnsi="Times New Roman" w:cs="Times New Roman"/>
          <w:sz w:val="24"/>
          <w:szCs w:val="24"/>
        </w:rPr>
        <w:t xml:space="preserve">си служат с нелоялни </w:t>
      </w:r>
      <w:r w:rsidRPr="008C3960">
        <w:rPr>
          <w:rFonts w:ascii="Times New Roman" w:eastAsia="Times New Roman" w:hAnsi="Times New Roman" w:cs="Times New Roman"/>
          <w:sz w:val="24"/>
          <w:szCs w:val="24"/>
        </w:rPr>
        <w:t xml:space="preserve">методи, печелят предимство). Въпреки това, тъй като във Вариант 0 не са </w:t>
      </w:r>
      <w:r w:rsidRPr="0078209E">
        <w:rPr>
          <w:rFonts w:ascii="Times New Roman" w:eastAsia="Times New Roman" w:hAnsi="Times New Roman" w:cs="Times New Roman"/>
          <w:sz w:val="24"/>
          <w:szCs w:val="24"/>
        </w:rPr>
        <w:t xml:space="preserve">добавени </w:t>
      </w:r>
      <w:r w:rsidRPr="0078209E">
        <w:rPr>
          <w:rFonts w:ascii="Times New Roman" w:eastAsia="Times New Roman" w:hAnsi="Times New Roman" w:cs="Times New Roman"/>
          <w:iCs/>
          <w:sz w:val="24"/>
          <w:szCs w:val="24"/>
        </w:rPr>
        <w:t xml:space="preserve">нови </w:t>
      </w:r>
      <w:r w:rsidRPr="0078209E">
        <w:rPr>
          <w:rFonts w:ascii="Times New Roman" w:eastAsia="Times New Roman" w:hAnsi="Times New Roman" w:cs="Times New Roman"/>
          <w:sz w:val="24"/>
          <w:szCs w:val="24"/>
        </w:rPr>
        <w:t>правила</w:t>
      </w:r>
      <w:r w:rsidRPr="008C3960">
        <w:rPr>
          <w:rFonts w:ascii="Times New Roman" w:eastAsia="Times New Roman" w:hAnsi="Times New Roman" w:cs="Times New Roman"/>
          <w:sz w:val="24"/>
          <w:szCs w:val="24"/>
        </w:rPr>
        <w:t xml:space="preserve">, изкривяванията, разглеждани тук, са </w:t>
      </w:r>
      <w:r w:rsidRPr="0078209E">
        <w:rPr>
          <w:rFonts w:ascii="Times New Roman" w:eastAsia="Times New Roman" w:hAnsi="Times New Roman" w:cs="Times New Roman"/>
          <w:iCs/>
          <w:sz w:val="24"/>
          <w:szCs w:val="24"/>
        </w:rPr>
        <w:t xml:space="preserve">косвен ефект </w:t>
      </w:r>
      <w:r w:rsidRPr="0078209E">
        <w:rPr>
          <w:rFonts w:ascii="Times New Roman" w:eastAsia="Times New Roman" w:hAnsi="Times New Roman" w:cs="Times New Roman"/>
          <w:sz w:val="24"/>
          <w:szCs w:val="24"/>
        </w:rPr>
        <w:t>от некоригирането на пазарен (и</w:t>
      </w:r>
      <w:r w:rsidR="0078209E">
        <w:rPr>
          <w:rFonts w:ascii="Times New Roman" w:eastAsia="Times New Roman" w:hAnsi="Times New Roman" w:cs="Times New Roman"/>
          <w:sz w:val="24"/>
          <w:szCs w:val="24"/>
        </w:rPr>
        <w:t>/или</w:t>
      </w:r>
      <w:r w:rsidRPr="0078209E">
        <w:rPr>
          <w:rFonts w:ascii="Times New Roman" w:eastAsia="Times New Roman" w:hAnsi="Times New Roman" w:cs="Times New Roman"/>
          <w:sz w:val="24"/>
          <w:szCs w:val="24"/>
        </w:rPr>
        <w:t xml:space="preserve"> регулаторен) провал</w:t>
      </w:r>
      <w:r w:rsidRPr="008C3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8C3960">
        <w:rPr>
          <w:rFonts w:ascii="Times New Roman" w:eastAsia="Times New Roman" w:hAnsi="Times New Roman" w:cs="Times New Roman"/>
          <w:sz w:val="24"/>
          <w:szCs w:val="24"/>
        </w:rPr>
        <w:t xml:space="preserve">ероятността от такива нежелани икономически последици </w:t>
      </w:r>
      <w:r>
        <w:rPr>
          <w:rFonts w:ascii="Times New Roman" w:eastAsia="Times New Roman" w:hAnsi="Times New Roman" w:cs="Times New Roman"/>
          <w:sz w:val="24"/>
          <w:szCs w:val="24"/>
        </w:rPr>
        <w:t>е</w:t>
      </w:r>
      <w:r w:rsidRPr="008C3960">
        <w:rPr>
          <w:rFonts w:ascii="Times New Roman" w:eastAsia="Times New Roman" w:hAnsi="Times New Roman" w:cs="Times New Roman"/>
          <w:sz w:val="24"/>
          <w:szCs w:val="24"/>
        </w:rPr>
        <w:t xml:space="preserve"> висока </w:t>
      </w:r>
      <w:r w:rsidRPr="006E1C41">
        <w:rPr>
          <w:rFonts w:ascii="Times New Roman" w:eastAsia="Times New Roman" w:hAnsi="Times New Roman" w:cs="Times New Roman"/>
          <w:sz w:val="24"/>
          <w:szCs w:val="24"/>
        </w:rPr>
        <w:t xml:space="preserve">(повечето от тези дисбаланси </w:t>
      </w:r>
      <w:r w:rsidRPr="006E1C41">
        <w:rPr>
          <w:rFonts w:ascii="Times New Roman" w:eastAsia="Times New Roman" w:hAnsi="Times New Roman" w:cs="Times New Roman"/>
          <w:bCs/>
          <w:sz w:val="24"/>
          <w:szCs w:val="24"/>
        </w:rPr>
        <w:t>ще продължат да съществуват по подразбиране</w:t>
      </w:r>
      <w:r w:rsidRPr="006E1C41">
        <w:rPr>
          <w:rFonts w:ascii="Times New Roman" w:eastAsia="Times New Roman" w:hAnsi="Times New Roman" w:cs="Times New Roman"/>
          <w:sz w:val="24"/>
          <w:szCs w:val="24"/>
        </w:rPr>
        <w:t xml:space="preserve">) </w:t>
      </w:r>
      <w:r w:rsidRPr="008C3960">
        <w:rPr>
          <w:rFonts w:ascii="Times New Roman" w:eastAsia="Times New Roman" w:hAnsi="Times New Roman" w:cs="Times New Roman"/>
          <w:sz w:val="24"/>
          <w:szCs w:val="24"/>
        </w:rPr>
        <w:t xml:space="preserve">с умерено въздействие върху цялостната пазарна ефективност (много МСП работят на ниски маржове, но потребителите може да не </w:t>
      </w:r>
      <w:r>
        <w:rPr>
          <w:rFonts w:ascii="Times New Roman" w:eastAsia="Times New Roman" w:hAnsi="Times New Roman" w:cs="Times New Roman"/>
          <w:sz w:val="24"/>
          <w:szCs w:val="24"/>
        </w:rPr>
        <w:t>усетят</w:t>
      </w:r>
      <w:r w:rsidRPr="008C3960">
        <w:rPr>
          <w:rFonts w:ascii="Times New Roman" w:eastAsia="Times New Roman" w:hAnsi="Times New Roman" w:cs="Times New Roman"/>
          <w:sz w:val="24"/>
          <w:szCs w:val="24"/>
        </w:rPr>
        <w:t xml:space="preserve"> веднага разликата). В дългосрочен план тези практики биха могли да намалят конкуренцията (ако достатъчно малки доставчици </w:t>
      </w:r>
      <w:r w:rsidR="00081BA1">
        <w:rPr>
          <w:rFonts w:ascii="Times New Roman" w:eastAsia="Times New Roman" w:hAnsi="Times New Roman" w:cs="Times New Roman"/>
          <w:sz w:val="24"/>
          <w:szCs w:val="24"/>
        </w:rPr>
        <w:t>излязат от пазара</w:t>
      </w:r>
      <w:r w:rsidRPr="008C3960">
        <w:rPr>
          <w:rFonts w:ascii="Times New Roman" w:eastAsia="Times New Roman" w:hAnsi="Times New Roman" w:cs="Times New Roman"/>
          <w:sz w:val="24"/>
          <w:szCs w:val="24"/>
        </w:rPr>
        <w:t>) и да навредят на качеството и иновациите на продуктите</w:t>
      </w:r>
      <w:r w:rsidR="00906BF6">
        <w:rPr>
          <w:rFonts w:ascii="Times New Roman" w:eastAsia="Times New Roman" w:hAnsi="Times New Roman" w:cs="Times New Roman"/>
          <w:sz w:val="24"/>
          <w:szCs w:val="24"/>
        </w:rPr>
        <w:t xml:space="preserve">. Това са </w:t>
      </w:r>
      <w:r w:rsidRPr="008C3960">
        <w:rPr>
          <w:rFonts w:ascii="Times New Roman" w:eastAsia="Times New Roman" w:hAnsi="Times New Roman" w:cs="Times New Roman"/>
          <w:sz w:val="24"/>
          <w:szCs w:val="24"/>
        </w:rPr>
        <w:t>фини изкривявания, които се натрупват с течение на времето.</w:t>
      </w:r>
      <w:r>
        <w:rPr>
          <w:rFonts w:ascii="Times New Roman" w:eastAsia="Times New Roman" w:hAnsi="Times New Roman" w:cs="Times New Roman"/>
          <w:sz w:val="24"/>
          <w:szCs w:val="24"/>
        </w:rPr>
        <w:t xml:space="preserve"> Поради </w:t>
      </w:r>
      <w:r w:rsidR="0078209E">
        <w:rPr>
          <w:rFonts w:ascii="Times New Roman" w:eastAsia="Times New Roman" w:hAnsi="Times New Roman" w:cs="Times New Roman"/>
          <w:sz w:val="24"/>
          <w:szCs w:val="24"/>
        </w:rPr>
        <w:t xml:space="preserve">тук може да се определи </w:t>
      </w:r>
      <w:r w:rsidRPr="00081BA1">
        <w:rPr>
          <w:rFonts w:ascii="Times New Roman" w:eastAsia="Times New Roman" w:hAnsi="Times New Roman" w:cs="Times New Roman"/>
          <w:b/>
          <w:sz w:val="24"/>
          <w:szCs w:val="24"/>
        </w:rPr>
        <w:t>обща оценка на риска</w:t>
      </w:r>
      <w:r w:rsidR="00A5236A">
        <w:rPr>
          <w:rFonts w:ascii="Times New Roman" w:eastAsia="Times New Roman" w:hAnsi="Times New Roman" w:cs="Times New Roman"/>
          <w:b/>
          <w:sz w:val="24"/>
          <w:szCs w:val="24"/>
        </w:rPr>
        <w:t xml:space="preserve"> </w:t>
      </w:r>
      <w:r w:rsidR="00A5236A" w:rsidRPr="006E1C41">
        <w:rPr>
          <w:rFonts w:ascii="Times New Roman" w:eastAsia="Times New Roman" w:hAnsi="Times New Roman" w:cs="Times New Roman"/>
          <w:bCs/>
          <w:sz w:val="24"/>
          <w:szCs w:val="24"/>
        </w:rPr>
        <w:t>(</w:t>
      </w:r>
      <w:r w:rsidR="00A5236A">
        <w:rPr>
          <w:rFonts w:ascii="Times New Roman" w:eastAsia="Times New Roman" w:hAnsi="Times New Roman" w:cs="Times New Roman"/>
          <w:bCs/>
          <w:sz w:val="24"/>
          <w:szCs w:val="24"/>
        </w:rPr>
        <w:t>4</w:t>
      </w:r>
      <w:r w:rsidR="00A5236A" w:rsidRPr="006E1C41">
        <w:rPr>
          <w:rFonts w:ascii="Times New Roman" w:eastAsia="Times New Roman" w:hAnsi="Times New Roman" w:cs="Times New Roman"/>
          <w:bCs/>
          <w:sz w:val="24"/>
          <w:szCs w:val="24"/>
        </w:rPr>
        <w:t>×</w:t>
      </w:r>
      <w:r w:rsidR="00A5236A">
        <w:rPr>
          <w:rFonts w:ascii="Times New Roman" w:eastAsia="Times New Roman" w:hAnsi="Times New Roman" w:cs="Times New Roman"/>
          <w:bCs/>
          <w:sz w:val="24"/>
          <w:szCs w:val="24"/>
        </w:rPr>
        <w:t>3</w:t>
      </w:r>
      <w:r w:rsidR="00A5236A">
        <w:rPr>
          <w:rFonts w:ascii="Times New Roman" w:eastAsia="Times New Roman" w:hAnsi="Times New Roman" w:cs="Times New Roman"/>
          <w:b/>
          <w:bCs/>
          <w:sz w:val="24"/>
          <w:szCs w:val="24"/>
        </w:rPr>
        <w:t>)</w:t>
      </w:r>
      <w:r w:rsidRPr="00081BA1">
        <w:rPr>
          <w:rFonts w:ascii="Times New Roman" w:eastAsia="Times New Roman" w:hAnsi="Times New Roman" w:cs="Times New Roman"/>
          <w:b/>
          <w:sz w:val="24"/>
          <w:szCs w:val="24"/>
        </w:rPr>
        <w:t xml:space="preserve"> </w:t>
      </w:r>
      <w:r w:rsidR="00081BA1" w:rsidRPr="00081BA1">
        <w:rPr>
          <w:rFonts w:ascii="Times New Roman" w:eastAsia="Times New Roman" w:hAnsi="Times New Roman" w:cs="Times New Roman"/>
          <w:b/>
          <w:bCs/>
          <w:sz w:val="24"/>
          <w:szCs w:val="24"/>
        </w:rPr>
        <w:t xml:space="preserve">= </w:t>
      </w:r>
      <w:r w:rsidRPr="00081BA1">
        <w:rPr>
          <w:rFonts w:ascii="Times New Roman" w:eastAsia="Times New Roman" w:hAnsi="Times New Roman" w:cs="Times New Roman"/>
          <w:b/>
          <w:bCs/>
          <w:sz w:val="24"/>
          <w:szCs w:val="24"/>
        </w:rPr>
        <w:t>12</w:t>
      </w:r>
      <w:r w:rsidRPr="00081BA1">
        <w:rPr>
          <w:rFonts w:ascii="Times New Roman" w:eastAsia="Times New Roman" w:hAnsi="Times New Roman" w:cs="Times New Roman"/>
          <w:bCs/>
          <w:sz w:val="24"/>
          <w:szCs w:val="24"/>
        </w:rPr>
        <w:t>.</w:t>
      </w:r>
    </w:p>
    <w:p w14:paraId="7F025404"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p>
    <w:p w14:paraId="175E15F1" w14:textId="77777777" w:rsidR="00E16161" w:rsidRDefault="00E16161" w:rsidP="00E16161">
      <w:pPr>
        <w:spacing w:after="0" w:line="240" w:lineRule="auto"/>
        <w:ind w:firstLine="567"/>
        <w:jc w:val="both"/>
        <w:rPr>
          <w:rFonts w:ascii="Times New Roman" w:eastAsia="Times New Roman" w:hAnsi="Times New Roman" w:cs="Times New Roman"/>
          <w:i/>
          <w:iCs/>
          <w:sz w:val="24"/>
          <w:szCs w:val="24"/>
        </w:rPr>
      </w:pPr>
      <w:r w:rsidRPr="006E1C41">
        <w:rPr>
          <w:rFonts w:ascii="Times New Roman" w:eastAsia="Times New Roman" w:hAnsi="Times New Roman" w:cs="Times New Roman"/>
          <w:b/>
          <w:i/>
          <w:sz w:val="24"/>
          <w:szCs w:val="24"/>
        </w:rPr>
        <w:lastRenderedPageBreak/>
        <w:t>0</w:t>
      </w:r>
      <w:r>
        <w:rPr>
          <w:rFonts w:ascii="Times New Roman" w:eastAsia="Times New Roman" w:hAnsi="Times New Roman" w:cs="Times New Roman"/>
          <w:b/>
          <w:i/>
          <w:sz w:val="24"/>
          <w:szCs w:val="24"/>
        </w:rPr>
        <w:t>.</w:t>
      </w:r>
      <w:r w:rsidRPr="006E1C41">
        <w:rPr>
          <w:rFonts w:ascii="Times New Roman" w:eastAsia="Times New Roman" w:hAnsi="Times New Roman" w:cs="Times New Roman"/>
          <w:b/>
          <w:i/>
          <w:sz w:val="24"/>
          <w:szCs w:val="24"/>
        </w:rPr>
        <w:t xml:space="preserve">4. </w:t>
      </w:r>
      <w:r w:rsidRPr="006E1C41">
        <w:rPr>
          <w:rFonts w:ascii="Times New Roman" w:eastAsia="Times New Roman" w:hAnsi="Times New Roman" w:cs="Times New Roman"/>
          <w:b/>
          <w:bCs/>
          <w:i/>
          <w:sz w:val="24"/>
          <w:szCs w:val="24"/>
        </w:rPr>
        <w:t>Неуспех в прилагането, водещ до липса на полза:</w:t>
      </w:r>
      <w:r w:rsidRPr="006E1C41">
        <w:rPr>
          <w:rFonts w:ascii="Times New Roman" w:eastAsia="Times New Roman" w:hAnsi="Times New Roman" w:cs="Times New Roman"/>
          <w:b/>
          <w:i/>
          <w:sz w:val="24"/>
          <w:szCs w:val="24"/>
        </w:rPr>
        <w:t xml:space="preserve"> </w:t>
      </w:r>
      <w:r>
        <w:rPr>
          <w:rFonts w:ascii="Times New Roman" w:eastAsia="Times New Roman" w:hAnsi="Times New Roman" w:cs="Times New Roman"/>
          <w:b/>
          <w:i/>
          <w:iCs/>
          <w:sz w:val="24"/>
          <w:szCs w:val="24"/>
        </w:rPr>
        <w:t>Висок риск по дефиниция</w:t>
      </w:r>
      <w:r w:rsidRPr="006E1C41">
        <w:rPr>
          <w:rFonts w:ascii="Times New Roman" w:eastAsia="Times New Roman" w:hAnsi="Times New Roman" w:cs="Times New Roman"/>
          <w:b/>
          <w:i/>
          <w:iCs/>
          <w:sz w:val="24"/>
          <w:szCs w:val="24"/>
        </w:rPr>
        <w:t>, тъй като не се прилага ново изпълнение</w:t>
      </w:r>
    </w:p>
    <w:p w14:paraId="0F7C7507" w14:textId="69B4248A" w:rsidR="00E16161" w:rsidRDefault="00E16161" w:rsidP="00E16161">
      <w:pPr>
        <w:spacing w:after="0" w:line="240" w:lineRule="auto"/>
        <w:ind w:firstLine="567"/>
        <w:jc w:val="both"/>
        <w:rPr>
          <w:rFonts w:ascii="Times New Roman" w:eastAsia="Times New Roman" w:hAnsi="Times New Roman" w:cs="Times New Roman"/>
          <w:sz w:val="24"/>
          <w:szCs w:val="24"/>
        </w:rPr>
      </w:pPr>
      <w:r w:rsidRPr="008C3960">
        <w:rPr>
          <w:rFonts w:ascii="Times New Roman" w:eastAsia="Times New Roman" w:hAnsi="Times New Roman" w:cs="Times New Roman"/>
          <w:sz w:val="24"/>
          <w:szCs w:val="24"/>
        </w:rPr>
        <w:t xml:space="preserve">При липса на действие </w:t>
      </w:r>
      <w:r w:rsidR="00906BF6" w:rsidRPr="008C3960">
        <w:rPr>
          <w:rFonts w:ascii="Times New Roman" w:eastAsia="Times New Roman" w:hAnsi="Times New Roman" w:cs="Times New Roman"/>
          <w:sz w:val="24"/>
          <w:szCs w:val="24"/>
        </w:rPr>
        <w:t>н</w:t>
      </w:r>
      <w:r w:rsidR="00906BF6">
        <w:rPr>
          <w:rFonts w:ascii="Times New Roman" w:eastAsia="Times New Roman" w:hAnsi="Times New Roman" w:cs="Times New Roman"/>
          <w:sz w:val="24"/>
          <w:szCs w:val="24"/>
        </w:rPr>
        <w:t xml:space="preserve">е </w:t>
      </w:r>
      <w:r w:rsidR="00081BA1">
        <w:rPr>
          <w:rFonts w:ascii="Times New Roman" w:eastAsia="Times New Roman" w:hAnsi="Times New Roman" w:cs="Times New Roman"/>
          <w:sz w:val="24"/>
          <w:szCs w:val="24"/>
        </w:rPr>
        <w:t>се въвежда</w:t>
      </w:r>
      <w:r w:rsidR="00906BF6" w:rsidRPr="008C3960">
        <w:rPr>
          <w:rFonts w:ascii="Times New Roman" w:eastAsia="Times New Roman" w:hAnsi="Times New Roman" w:cs="Times New Roman"/>
          <w:sz w:val="24"/>
          <w:szCs w:val="24"/>
        </w:rPr>
        <w:t xml:space="preserve"> </w:t>
      </w:r>
      <w:r w:rsidRPr="006E1C41">
        <w:rPr>
          <w:rFonts w:ascii="Times New Roman" w:eastAsia="Times New Roman" w:hAnsi="Times New Roman" w:cs="Times New Roman"/>
          <w:bCs/>
          <w:sz w:val="24"/>
          <w:szCs w:val="24"/>
        </w:rPr>
        <w:t>нов механизъм за прилагане</w:t>
      </w:r>
      <w:r w:rsidRPr="006E1C41">
        <w:rPr>
          <w:rFonts w:ascii="Times New Roman" w:eastAsia="Times New Roman" w:hAnsi="Times New Roman" w:cs="Times New Roman"/>
          <w:sz w:val="24"/>
          <w:szCs w:val="24"/>
        </w:rPr>
        <w:t xml:space="preserve">, а съществуващите правила имат </w:t>
      </w:r>
      <w:r w:rsidRPr="006E1C41">
        <w:rPr>
          <w:rFonts w:ascii="Times New Roman" w:eastAsia="Times New Roman" w:hAnsi="Times New Roman" w:cs="Times New Roman"/>
          <w:bCs/>
          <w:sz w:val="24"/>
          <w:szCs w:val="24"/>
        </w:rPr>
        <w:t>ограничена ефективност</w:t>
      </w:r>
      <w:r w:rsidRPr="006E1C41">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Според цитираните проучвания в ЕС, б</w:t>
      </w:r>
      <w:r w:rsidRPr="008C3960">
        <w:rPr>
          <w:rFonts w:ascii="Times New Roman" w:eastAsia="Times New Roman" w:hAnsi="Times New Roman" w:cs="Times New Roman"/>
          <w:sz w:val="24"/>
          <w:szCs w:val="24"/>
        </w:rPr>
        <w:t>лизо 65% от доставчиците в С</w:t>
      </w:r>
      <w:r>
        <w:rPr>
          <w:rFonts w:ascii="Times New Roman" w:eastAsia="Times New Roman" w:hAnsi="Times New Roman" w:cs="Times New Roman"/>
          <w:sz w:val="24"/>
          <w:szCs w:val="24"/>
        </w:rPr>
        <w:t>ъюза</w:t>
      </w:r>
      <w:r w:rsidRPr="008C3960">
        <w:rPr>
          <w:rFonts w:ascii="Times New Roman" w:eastAsia="Times New Roman" w:hAnsi="Times New Roman" w:cs="Times New Roman"/>
          <w:sz w:val="24"/>
          <w:szCs w:val="24"/>
        </w:rPr>
        <w:t xml:space="preserve"> не са предприели никакви действия срещу </w:t>
      </w:r>
      <w:r w:rsidR="00906BF6">
        <w:rPr>
          <w:rFonts w:ascii="Times New Roman" w:eastAsia="Times New Roman" w:hAnsi="Times New Roman" w:cs="Times New Roman"/>
          <w:sz w:val="24"/>
          <w:szCs w:val="24"/>
        </w:rPr>
        <w:t>нелоялни търговски практики</w:t>
      </w:r>
      <w:r w:rsidR="00906BF6" w:rsidRPr="008C3960">
        <w:rPr>
          <w:rFonts w:ascii="Times New Roman" w:eastAsia="Times New Roman" w:hAnsi="Times New Roman" w:cs="Times New Roman"/>
          <w:sz w:val="24"/>
          <w:szCs w:val="24"/>
        </w:rPr>
        <w:t xml:space="preserve"> </w:t>
      </w:r>
      <w:r w:rsidRPr="008C3960">
        <w:rPr>
          <w:rFonts w:ascii="Times New Roman" w:eastAsia="Times New Roman" w:hAnsi="Times New Roman" w:cs="Times New Roman"/>
          <w:sz w:val="24"/>
          <w:szCs w:val="24"/>
        </w:rPr>
        <w:t>конкретно поради страх от репресии от страна на купувачите, а 50% се съмняват, че властите ще</w:t>
      </w:r>
      <w:r w:rsidR="00081BA1">
        <w:rPr>
          <w:rFonts w:ascii="Times New Roman" w:eastAsia="Times New Roman" w:hAnsi="Times New Roman" w:cs="Times New Roman"/>
          <w:sz w:val="24"/>
          <w:szCs w:val="24"/>
        </w:rPr>
        <w:t xml:space="preserve"> могат да им</w:t>
      </w:r>
      <w:r w:rsidRPr="008C3960">
        <w:rPr>
          <w:rFonts w:ascii="Times New Roman" w:eastAsia="Times New Roman" w:hAnsi="Times New Roman" w:cs="Times New Roman"/>
          <w:sz w:val="24"/>
          <w:szCs w:val="24"/>
        </w:rPr>
        <w:t xml:space="preserve"> помогнат. Това предполага, че при </w:t>
      </w:r>
      <w:r>
        <w:rPr>
          <w:rFonts w:ascii="Times New Roman" w:eastAsia="Times New Roman" w:hAnsi="Times New Roman" w:cs="Times New Roman"/>
          <w:sz w:val="24"/>
          <w:szCs w:val="24"/>
        </w:rPr>
        <w:t xml:space="preserve">запазване на </w:t>
      </w:r>
      <w:r w:rsidRPr="006E1C41">
        <w:rPr>
          <w:rFonts w:ascii="Times New Roman" w:eastAsia="Times New Roman" w:hAnsi="Times New Roman" w:cs="Times New Roman"/>
          <w:sz w:val="24"/>
          <w:szCs w:val="24"/>
        </w:rPr>
        <w:t>статуквото</w:t>
      </w:r>
      <w:r w:rsidR="00D036B5">
        <w:rPr>
          <w:rFonts w:ascii="Times New Roman" w:eastAsia="Times New Roman" w:hAnsi="Times New Roman" w:cs="Times New Roman"/>
          <w:sz w:val="24"/>
          <w:szCs w:val="24"/>
        </w:rPr>
        <w:t>,</w:t>
      </w:r>
      <w:r w:rsidRPr="006E1C41">
        <w:rPr>
          <w:rFonts w:ascii="Times New Roman" w:eastAsia="Times New Roman" w:hAnsi="Times New Roman" w:cs="Times New Roman"/>
          <w:sz w:val="24"/>
          <w:szCs w:val="24"/>
        </w:rPr>
        <w:t xml:space="preserve"> </w:t>
      </w:r>
      <w:r w:rsidRPr="006E1C41">
        <w:rPr>
          <w:rFonts w:ascii="Times New Roman" w:eastAsia="Times New Roman" w:hAnsi="Times New Roman" w:cs="Times New Roman"/>
          <w:bCs/>
          <w:sz w:val="24"/>
          <w:szCs w:val="24"/>
        </w:rPr>
        <w:t>пропуските в прилагането</w:t>
      </w:r>
      <w:r w:rsidRPr="008C3960">
        <w:rPr>
          <w:rFonts w:ascii="Times New Roman" w:eastAsia="Times New Roman" w:hAnsi="Times New Roman" w:cs="Times New Roman"/>
          <w:b/>
          <w:bCs/>
          <w:sz w:val="24"/>
          <w:szCs w:val="24"/>
        </w:rPr>
        <w:t xml:space="preserve"> </w:t>
      </w:r>
      <w:r w:rsidRPr="008C3960">
        <w:rPr>
          <w:rFonts w:ascii="Times New Roman" w:eastAsia="Times New Roman" w:hAnsi="Times New Roman" w:cs="Times New Roman"/>
          <w:sz w:val="24"/>
          <w:szCs w:val="24"/>
        </w:rPr>
        <w:t>ще продължат: нарушенията се случват, но не се докладват или наказват. Следователно</w:t>
      </w:r>
      <w:r w:rsidR="00906BF6">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вероятността правоприлагането да остане неефективно е много висока (L=5). Въздействието също е голямо (I=4), тъй като без осигуряване на лоялна конкуренция и стабилност на доходите</w:t>
      </w:r>
      <w:r>
        <w:rPr>
          <w:rFonts w:ascii="Times New Roman" w:eastAsia="Times New Roman" w:hAnsi="Times New Roman" w:cs="Times New Roman"/>
          <w:sz w:val="24"/>
          <w:szCs w:val="24"/>
        </w:rPr>
        <w:t xml:space="preserve"> </w:t>
      </w:r>
      <w:r w:rsidRPr="008C3960">
        <w:rPr>
          <w:rFonts w:ascii="Times New Roman" w:eastAsia="Times New Roman" w:hAnsi="Times New Roman" w:cs="Times New Roman"/>
          <w:sz w:val="24"/>
          <w:szCs w:val="24"/>
        </w:rPr>
        <w:t>икономически</w:t>
      </w:r>
      <w:r>
        <w:rPr>
          <w:rFonts w:ascii="Times New Roman" w:eastAsia="Times New Roman" w:hAnsi="Times New Roman" w:cs="Times New Roman"/>
          <w:sz w:val="24"/>
          <w:szCs w:val="24"/>
        </w:rPr>
        <w:t>те</w:t>
      </w:r>
      <w:r w:rsidRPr="008C3960">
        <w:rPr>
          <w:rFonts w:ascii="Times New Roman" w:eastAsia="Times New Roman" w:hAnsi="Times New Roman" w:cs="Times New Roman"/>
          <w:sz w:val="24"/>
          <w:szCs w:val="24"/>
        </w:rPr>
        <w:t xml:space="preserve"> ползи са по същество нулеви. </w:t>
      </w:r>
      <w:r w:rsidRPr="006E1C41">
        <w:rPr>
          <w:rFonts w:ascii="Times New Roman" w:eastAsia="Times New Roman" w:hAnsi="Times New Roman" w:cs="Times New Roman"/>
          <w:sz w:val="24"/>
          <w:szCs w:val="24"/>
        </w:rPr>
        <w:t>На практика</w:t>
      </w:r>
      <w:r w:rsidR="00D036B5">
        <w:rPr>
          <w:rFonts w:ascii="Times New Roman" w:eastAsia="Times New Roman" w:hAnsi="Times New Roman" w:cs="Times New Roman"/>
          <w:sz w:val="24"/>
          <w:szCs w:val="24"/>
        </w:rPr>
        <w:t>,</w:t>
      </w:r>
      <w:r w:rsidRPr="006E1C41">
        <w:rPr>
          <w:rFonts w:ascii="Times New Roman" w:eastAsia="Times New Roman" w:hAnsi="Times New Roman" w:cs="Times New Roman"/>
          <w:sz w:val="24"/>
          <w:szCs w:val="24"/>
        </w:rPr>
        <w:t xml:space="preserve"> това означава, че </w:t>
      </w:r>
      <w:r w:rsidRPr="006E1C41">
        <w:rPr>
          <w:rFonts w:ascii="Times New Roman" w:eastAsia="Times New Roman" w:hAnsi="Times New Roman" w:cs="Times New Roman"/>
          <w:bCs/>
          <w:sz w:val="24"/>
          <w:szCs w:val="24"/>
        </w:rPr>
        <w:t>Вариант 0 не успява да осигури икономически ползи за производителите или обществото</w:t>
      </w:r>
      <w:r w:rsidRPr="006E1C41">
        <w:rPr>
          <w:rFonts w:ascii="Times New Roman" w:eastAsia="Times New Roman" w:hAnsi="Times New Roman" w:cs="Times New Roman"/>
          <w:sz w:val="24"/>
          <w:szCs w:val="24"/>
        </w:rPr>
        <w:t xml:space="preserve">, тъй като не </w:t>
      </w:r>
      <w:r>
        <w:rPr>
          <w:rFonts w:ascii="Times New Roman" w:eastAsia="Times New Roman" w:hAnsi="Times New Roman" w:cs="Times New Roman"/>
          <w:sz w:val="24"/>
          <w:szCs w:val="24"/>
        </w:rPr>
        <w:t xml:space="preserve">води до </w:t>
      </w:r>
      <w:r w:rsidRPr="006E1C41">
        <w:rPr>
          <w:rFonts w:ascii="Times New Roman" w:eastAsia="Times New Roman" w:hAnsi="Times New Roman" w:cs="Times New Roman"/>
          <w:sz w:val="24"/>
          <w:szCs w:val="24"/>
        </w:rPr>
        <w:t>постиг</w:t>
      </w:r>
      <w:r>
        <w:rPr>
          <w:rFonts w:ascii="Times New Roman" w:eastAsia="Times New Roman" w:hAnsi="Times New Roman" w:cs="Times New Roman"/>
          <w:sz w:val="24"/>
          <w:szCs w:val="24"/>
        </w:rPr>
        <w:t>а</w:t>
      </w:r>
      <w:r w:rsidRPr="006E1C41">
        <w:rPr>
          <w:rFonts w:ascii="Times New Roman" w:eastAsia="Times New Roman" w:hAnsi="Times New Roman" w:cs="Times New Roman"/>
          <w:sz w:val="24"/>
          <w:szCs w:val="24"/>
        </w:rPr>
        <w:t>не</w:t>
      </w:r>
      <w:r>
        <w:rPr>
          <w:rFonts w:ascii="Times New Roman" w:eastAsia="Times New Roman" w:hAnsi="Times New Roman" w:cs="Times New Roman"/>
          <w:sz w:val="24"/>
          <w:szCs w:val="24"/>
        </w:rPr>
        <w:t xml:space="preserve"> на нови и различни от досегашните</w:t>
      </w:r>
      <w:r w:rsidRPr="006E1C41">
        <w:rPr>
          <w:rFonts w:ascii="Times New Roman" w:eastAsia="Times New Roman" w:hAnsi="Times New Roman" w:cs="Times New Roman"/>
          <w:sz w:val="24"/>
          <w:szCs w:val="24"/>
        </w:rPr>
        <w:t xml:space="preserve"> резултати.</w:t>
      </w:r>
      <w:r>
        <w:rPr>
          <w:rFonts w:ascii="Times New Roman" w:eastAsia="Times New Roman" w:hAnsi="Times New Roman" w:cs="Times New Roman"/>
          <w:sz w:val="24"/>
          <w:szCs w:val="24"/>
        </w:rPr>
        <w:t xml:space="preserve"> Така </w:t>
      </w:r>
      <w:r w:rsidR="00081BA1">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т</w:t>
      </w:r>
      <w:r w:rsidR="00081BA1">
        <w:rPr>
          <w:rFonts w:ascii="Times New Roman" w:eastAsia="Times New Roman" w:hAnsi="Times New Roman" w:cs="Times New Roman"/>
          <w:sz w:val="24"/>
          <w:szCs w:val="24"/>
        </w:rPr>
        <w:t>а</w:t>
      </w:r>
      <w:r>
        <w:rPr>
          <w:rFonts w:ascii="Times New Roman" w:eastAsia="Times New Roman" w:hAnsi="Times New Roman" w:cs="Times New Roman"/>
          <w:sz w:val="24"/>
          <w:szCs w:val="24"/>
        </w:rPr>
        <w:t>зи критерий</w:t>
      </w:r>
      <w:r w:rsidRPr="008C3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би могло да се </w:t>
      </w:r>
      <w:r w:rsidR="00081BA1">
        <w:rPr>
          <w:rFonts w:ascii="Times New Roman" w:eastAsia="Times New Roman" w:hAnsi="Times New Roman" w:cs="Times New Roman"/>
          <w:sz w:val="24"/>
          <w:szCs w:val="24"/>
        </w:rPr>
        <w:t xml:space="preserve">определи </w:t>
      </w:r>
      <w:r w:rsidRPr="00081BA1">
        <w:rPr>
          <w:rFonts w:ascii="Times New Roman" w:eastAsia="Times New Roman" w:hAnsi="Times New Roman" w:cs="Times New Roman"/>
          <w:b/>
          <w:sz w:val="24"/>
          <w:szCs w:val="24"/>
        </w:rPr>
        <w:t xml:space="preserve">обща оценка </w:t>
      </w:r>
      <w:r w:rsidRPr="00081BA1">
        <w:rPr>
          <w:rFonts w:ascii="Times New Roman" w:eastAsia="Times New Roman" w:hAnsi="Times New Roman" w:cs="Times New Roman"/>
          <w:b/>
          <w:bCs/>
          <w:sz w:val="24"/>
          <w:szCs w:val="24"/>
        </w:rPr>
        <w:t xml:space="preserve">на риска </w:t>
      </w:r>
      <w:r w:rsidR="00A5236A" w:rsidRPr="006E1C41">
        <w:rPr>
          <w:rFonts w:ascii="Times New Roman" w:eastAsia="Times New Roman" w:hAnsi="Times New Roman" w:cs="Times New Roman"/>
          <w:bCs/>
          <w:sz w:val="24"/>
          <w:szCs w:val="24"/>
        </w:rPr>
        <w:t>(5×4)</w:t>
      </w:r>
      <w:r w:rsidR="00A5236A">
        <w:rPr>
          <w:rFonts w:ascii="Times New Roman" w:eastAsia="Times New Roman" w:hAnsi="Times New Roman" w:cs="Times New Roman"/>
          <w:bCs/>
          <w:sz w:val="24"/>
          <w:szCs w:val="24"/>
        </w:rPr>
        <w:t xml:space="preserve"> </w:t>
      </w:r>
      <w:r w:rsidR="00081BA1" w:rsidRPr="00081BA1">
        <w:rPr>
          <w:rFonts w:ascii="Times New Roman" w:eastAsia="Times New Roman" w:hAnsi="Times New Roman" w:cs="Times New Roman"/>
          <w:b/>
          <w:sz w:val="24"/>
          <w:szCs w:val="24"/>
        </w:rPr>
        <w:t>=</w:t>
      </w:r>
      <w:r w:rsidRPr="00081BA1">
        <w:rPr>
          <w:rFonts w:ascii="Times New Roman" w:eastAsia="Times New Roman" w:hAnsi="Times New Roman" w:cs="Times New Roman"/>
          <w:b/>
          <w:bCs/>
          <w:sz w:val="24"/>
          <w:szCs w:val="24"/>
        </w:rPr>
        <w:t xml:space="preserve"> 20</w:t>
      </w:r>
      <w:r w:rsidRPr="006E1C41">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w:t>
      </w:r>
    </w:p>
    <w:p w14:paraId="34A2430B" w14:textId="77777777" w:rsidR="00E16161" w:rsidRPr="006E1C41" w:rsidRDefault="00E16161" w:rsidP="00E16161">
      <w:pPr>
        <w:spacing w:after="0" w:line="240" w:lineRule="auto"/>
        <w:ind w:firstLine="567"/>
        <w:jc w:val="both"/>
        <w:rPr>
          <w:rFonts w:ascii="Times New Roman" w:eastAsia="Times New Roman" w:hAnsi="Times New Roman" w:cs="Times New Roman"/>
          <w:sz w:val="24"/>
          <w:szCs w:val="24"/>
        </w:rPr>
      </w:pPr>
    </w:p>
    <w:p w14:paraId="4FF2CAFF" w14:textId="77777777" w:rsidR="00E16161" w:rsidRPr="006E1C41" w:rsidRDefault="00E16161" w:rsidP="00E16161">
      <w:pPr>
        <w:spacing w:after="0" w:line="240" w:lineRule="auto"/>
        <w:ind w:firstLine="567"/>
        <w:jc w:val="both"/>
        <w:rPr>
          <w:rFonts w:ascii="Times New Roman" w:eastAsia="Times New Roman" w:hAnsi="Times New Roman" w:cs="Times New Roman"/>
          <w:b/>
          <w:i/>
          <w:iCs/>
          <w:sz w:val="24"/>
          <w:szCs w:val="24"/>
        </w:rPr>
      </w:pPr>
      <w:r w:rsidRPr="006E1C41">
        <w:rPr>
          <w:rFonts w:ascii="Times New Roman" w:eastAsia="Times New Roman" w:hAnsi="Times New Roman" w:cs="Times New Roman"/>
          <w:b/>
          <w:bCs/>
          <w:i/>
          <w:sz w:val="24"/>
          <w:szCs w:val="24"/>
        </w:rPr>
        <w:t>0.5. Ниско съответствие</w:t>
      </w:r>
      <w:r>
        <w:rPr>
          <w:rFonts w:ascii="Times New Roman" w:eastAsia="Times New Roman" w:hAnsi="Times New Roman" w:cs="Times New Roman"/>
          <w:b/>
          <w:bCs/>
          <w:i/>
          <w:sz w:val="24"/>
          <w:szCs w:val="24"/>
        </w:rPr>
        <w:t xml:space="preserve"> (</w:t>
      </w:r>
      <w:r w:rsidRPr="006E1C41">
        <w:rPr>
          <w:rFonts w:ascii="Times New Roman" w:eastAsia="Times New Roman" w:hAnsi="Times New Roman" w:cs="Times New Roman"/>
          <w:b/>
          <w:bCs/>
          <w:i/>
          <w:sz w:val="24"/>
          <w:szCs w:val="24"/>
        </w:rPr>
        <w:t>спазване) и липса на подобрение:</w:t>
      </w:r>
      <w:r w:rsidRPr="006E1C41">
        <w:rPr>
          <w:rFonts w:ascii="Times New Roman" w:eastAsia="Times New Roman" w:hAnsi="Times New Roman" w:cs="Times New Roman"/>
          <w:b/>
          <w:i/>
          <w:sz w:val="24"/>
          <w:szCs w:val="24"/>
        </w:rPr>
        <w:t xml:space="preserve"> </w:t>
      </w:r>
      <w:r w:rsidRPr="006E1C41">
        <w:rPr>
          <w:rFonts w:ascii="Times New Roman" w:eastAsia="Times New Roman" w:hAnsi="Times New Roman" w:cs="Times New Roman"/>
          <w:b/>
          <w:i/>
          <w:iCs/>
          <w:sz w:val="24"/>
          <w:szCs w:val="24"/>
        </w:rPr>
        <w:t>Висок риск от продължаващо неспазване на нормите за справедливост</w:t>
      </w:r>
    </w:p>
    <w:p w14:paraId="306275D9" w14:textId="52D04E2D" w:rsidR="00E16161" w:rsidRPr="008C3960" w:rsidRDefault="00E16161" w:rsidP="00BE3300">
      <w:pPr>
        <w:spacing w:after="0" w:line="240" w:lineRule="auto"/>
        <w:ind w:firstLine="567"/>
        <w:jc w:val="both"/>
        <w:rPr>
          <w:rFonts w:ascii="Times New Roman" w:eastAsia="Times New Roman" w:hAnsi="Times New Roman" w:cs="Times New Roman"/>
          <w:sz w:val="24"/>
          <w:szCs w:val="24"/>
        </w:rPr>
      </w:pPr>
      <w:r w:rsidRPr="008C3960">
        <w:rPr>
          <w:rFonts w:ascii="Times New Roman" w:eastAsia="Times New Roman" w:hAnsi="Times New Roman" w:cs="Times New Roman"/>
          <w:sz w:val="24"/>
          <w:szCs w:val="24"/>
        </w:rPr>
        <w:t xml:space="preserve">При липса на </w:t>
      </w:r>
      <w:r w:rsidR="00BE3300">
        <w:rPr>
          <w:rFonts w:ascii="Times New Roman" w:eastAsia="Times New Roman" w:hAnsi="Times New Roman" w:cs="Times New Roman"/>
          <w:sz w:val="24"/>
          <w:szCs w:val="24"/>
        </w:rPr>
        <w:t>външна намеса</w:t>
      </w:r>
      <w:r w:rsidRPr="006E1C41">
        <w:rPr>
          <w:rFonts w:ascii="Times New Roman" w:eastAsia="Times New Roman" w:hAnsi="Times New Roman" w:cs="Times New Roman"/>
          <w:sz w:val="24"/>
          <w:szCs w:val="24"/>
        </w:rPr>
        <w:t xml:space="preserve">, </w:t>
      </w:r>
      <w:r w:rsidRPr="006E1C41">
        <w:rPr>
          <w:rFonts w:ascii="Times New Roman" w:eastAsia="Times New Roman" w:hAnsi="Times New Roman" w:cs="Times New Roman"/>
          <w:bCs/>
          <w:sz w:val="24"/>
          <w:szCs w:val="24"/>
        </w:rPr>
        <w:t xml:space="preserve">спазването на принципите на честната търговия е чисто доброволно, а </w:t>
      </w:r>
      <w:r w:rsidRPr="008C3960">
        <w:rPr>
          <w:rFonts w:ascii="Times New Roman" w:eastAsia="Times New Roman" w:hAnsi="Times New Roman" w:cs="Times New Roman"/>
          <w:sz w:val="24"/>
          <w:szCs w:val="24"/>
        </w:rPr>
        <w:t xml:space="preserve">в момента има малък стимул за мощните купувачи да променят практиките си. При Вариант 0 големите купувачи вероятно ще продължат да максимизират предимствата си и всякакви инициативи за „етично снабдяване“ ще останат незадължителни и ограничени. </w:t>
      </w:r>
      <w:r>
        <w:rPr>
          <w:rFonts w:ascii="Times New Roman" w:eastAsia="Times New Roman" w:hAnsi="Times New Roman" w:cs="Times New Roman"/>
          <w:sz w:val="24"/>
          <w:szCs w:val="24"/>
        </w:rPr>
        <w:t>П</w:t>
      </w:r>
      <w:r w:rsidRPr="008C3960">
        <w:rPr>
          <w:rFonts w:ascii="Times New Roman" w:eastAsia="Times New Roman" w:hAnsi="Times New Roman" w:cs="Times New Roman"/>
          <w:sz w:val="24"/>
          <w:szCs w:val="24"/>
        </w:rPr>
        <w:t>очти сигурно</w:t>
      </w:r>
      <w:r>
        <w:rPr>
          <w:rFonts w:ascii="Times New Roman" w:eastAsia="Times New Roman" w:hAnsi="Times New Roman" w:cs="Times New Roman"/>
          <w:sz w:val="24"/>
          <w:szCs w:val="24"/>
        </w:rPr>
        <w:t xml:space="preserve"> е</w:t>
      </w:r>
      <w:r w:rsidRPr="008C3960">
        <w:rPr>
          <w:rFonts w:ascii="Times New Roman" w:eastAsia="Times New Roman" w:hAnsi="Times New Roman" w:cs="Times New Roman"/>
          <w:sz w:val="24"/>
          <w:szCs w:val="24"/>
        </w:rPr>
        <w:t xml:space="preserve">, че повечето участници на </w:t>
      </w:r>
      <w:r w:rsidRPr="006E1C41">
        <w:rPr>
          <w:rFonts w:ascii="Times New Roman" w:eastAsia="Times New Roman" w:hAnsi="Times New Roman" w:cs="Times New Roman"/>
          <w:sz w:val="24"/>
          <w:szCs w:val="24"/>
        </w:rPr>
        <w:t xml:space="preserve">пазара </w:t>
      </w:r>
      <w:r w:rsidRPr="006E1C41">
        <w:rPr>
          <w:rFonts w:ascii="Times New Roman" w:eastAsia="Times New Roman" w:hAnsi="Times New Roman" w:cs="Times New Roman"/>
          <w:bCs/>
          <w:sz w:val="24"/>
          <w:szCs w:val="24"/>
        </w:rPr>
        <w:t xml:space="preserve">няма да променят поведението </w:t>
      </w:r>
      <w:r w:rsidRPr="006C58D7">
        <w:rPr>
          <w:rFonts w:ascii="Times New Roman" w:eastAsia="Times New Roman" w:hAnsi="Times New Roman" w:cs="Times New Roman"/>
          <w:bCs/>
          <w:sz w:val="24"/>
          <w:szCs w:val="24"/>
        </w:rPr>
        <w:t xml:space="preserve">си </w:t>
      </w:r>
      <w:r w:rsidRPr="006C58D7">
        <w:rPr>
          <w:rFonts w:ascii="Times New Roman" w:eastAsia="Times New Roman" w:hAnsi="Times New Roman" w:cs="Times New Roman"/>
          <w:sz w:val="24"/>
          <w:szCs w:val="24"/>
        </w:rPr>
        <w:t xml:space="preserve">(L=5), ако не се предприемат действия. Въздействието на това несъответствие е умерено до високо (I=3). Това означава, че </w:t>
      </w:r>
      <w:r w:rsidRPr="006C58D7">
        <w:rPr>
          <w:rFonts w:ascii="Times New Roman" w:eastAsia="Times New Roman" w:hAnsi="Times New Roman" w:cs="Times New Roman"/>
          <w:bCs/>
          <w:sz w:val="24"/>
          <w:szCs w:val="24"/>
        </w:rPr>
        <w:t>проблемите със статуквото продължават</w:t>
      </w:r>
      <w:r w:rsidRPr="006C58D7">
        <w:rPr>
          <w:rFonts w:ascii="Times New Roman" w:eastAsia="Times New Roman" w:hAnsi="Times New Roman" w:cs="Times New Roman"/>
          <w:sz w:val="24"/>
          <w:szCs w:val="24"/>
        </w:rPr>
        <w:t>, като производителите и доста</w:t>
      </w:r>
      <w:r w:rsidR="00BE3300">
        <w:rPr>
          <w:rFonts w:ascii="Times New Roman" w:eastAsia="Times New Roman" w:hAnsi="Times New Roman" w:cs="Times New Roman"/>
          <w:sz w:val="24"/>
          <w:szCs w:val="24"/>
        </w:rPr>
        <w:t>вчиците продължават да са</w:t>
      </w:r>
      <w:r w:rsidRPr="006C58D7">
        <w:rPr>
          <w:rFonts w:ascii="Times New Roman" w:eastAsia="Times New Roman" w:hAnsi="Times New Roman" w:cs="Times New Roman"/>
          <w:sz w:val="24"/>
          <w:szCs w:val="24"/>
        </w:rPr>
        <w:t xml:space="preserve"> </w:t>
      </w:r>
      <w:r w:rsidR="00BE3300">
        <w:rPr>
          <w:rFonts w:ascii="Times New Roman" w:eastAsia="Times New Roman" w:hAnsi="Times New Roman" w:cs="Times New Roman"/>
          <w:sz w:val="24"/>
          <w:szCs w:val="24"/>
        </w:rPr>
        <w:t xml:space="preserve">в </w:t>
      </w:r>
      <w:r w:rsidRPr="006C58D7">
        <w:rPr>
          <w:rFonts w:ascii="Times New Roman" w:eastAsia="Times New Roman" w:hAnsi="Times New Roman" w:cs="Times New Roman"/>
          <w:sz w:val="24"/>
          <w:szCs w:val="24"/>
        </w:rPr>
        <w:t>не</w:t>
      </w:r>
      <w:r w:rsidR="00BE3300">
        <w:rPr>
          <w:rFonts w:ascii="Times New Roman" w:eastAsia="Times New Roman" w:hAnsi="Times New Roman" w:cs="Times New Roman"/>
          <w:sz w:val="24"/>
          <w:szCs w:val="24"/>
        </w:rPr>
        <w:t xml:space="preserve">равнопоставено положение, като има риск </w:t>
      </w:r>
      <w:r w:rsidRPr="006C58D7">
        <w:rPr>
          <w:rFonts w:ascii="Times New Roman" w:eastAsia="Times New Roman" w:hAnsi="Times New Roman" w:cs="Times New Roman"/>
          <w:sz w:val="24"/>
          <w:szCs w:val="24"/>
        </w:rPr>
        <w:t>и</w:t>
      </w:r>
      <w:r w:rsidR="00BE3300">
        <w:rPr>
          <w:rFonts w:ascii="Times New Roman" w:eastAsia="Times New Roman" w:hAnsi="Times New Roman" w:cs="Times New Roman"/>
          <w:sz w:val="24"/>
          <w:szCs w:val="24"/>
        </w:rPr>
        <w:t xml:space="preserve"> от</w:t>
      </w:r>
      <w:r w:rsidRPr="006C58D7">
        <w:rPr>
          <w:rFonts w:ascii="Times New Roman" w:eastAsia="Times New Roman" w:hAnsi="Times New Roman" w:cs="Times New Roman"/>
          <w:sz w:val="24"/>
          <w:szCs w:val="24"/>
        </w:rPr>
        <w:t xml:space="preserve"> потенциални странични ефекти</w:t>
      </w:r>
      <w:r w:rsidR="00BE3300">
        <w:rPr>
          <w:rFonts w:ascii="Times New Roman" w:eastAsia="Times New Roman" w:hAnsi="Times New Roman" w:cs="Times New Roman"/>
          <w:sz w:val="24"/>
          <w:szCs w:val="24"/>
        </w:rPr>
        <w:t xml:space="preserve">, като например </w:t>
      </w:r>
      <w:r w:rsidRPr="006C58D7">
        <w:rPr>
          <w:rFonts w:ascii="Times New Roman" w:eastAsia="Times New Roman" w:hAnsi="Times New Roman" w:cs="Times New Roman"/>
          <w:sz w:val="24"/>
          <w:szCs w:val="24"/>
        </w:rPr>
        <w:t>по-ниски и</w:t>
      </w:r>
      <w:r w:rsidR="00BE3300">
        <w:rPr>
          <w:rFonts w:ascii="Times New Roman" w:eastAsia="Times New Roman" w:hAnsi="Times New Roman" w:cs="Times New Roman"/>
          <w:sz w:val="24"/>
          <w:szCs w:val="24"/>
        </w:rPr>
        <w:t>нвестиции в земеделието и т.н.</w:t>
      </w:r>
      <w:r w:rsidRPr="006C58D7">
        <w:rPr>
          <w:rFonts w:ascii="Times New Roman" w:eastAsia="Times New Roman" w:hAnsi="Times New Roman" w:cs="Times New Roman"/>
          <w:sz w:val="24"/>
          <w:szCs w:val="24"/>
        </w:rPr>
        <w:t xml:space="preserve"> По същество</w:t>
      </w:r>
      <w:r w:rsidR="00D036B5">
        <w:rPr>
          <w:rFonts w:ascii="Times New Roman" w:eastAsia="Times New Roman" w:hAnsi="Times New Roman" w:cs="Times New Roman"/>
          <w:sz w:val="24"/>
          <w:szCs w:val="24"/>
        </w:rPr>
        <w:t>,</w:t>
      </w:r>
      <w:r w:rsidRPr="006C58D7">
        <w:rPr>
          <w:rFonts w:ascii="Times New Roman" w:eastAsia="Times New Roman" w:hAnsi="Times New Roman" w:cs="Times New Roman"/>
          <w:sz w:val="24"/>
          <w:szCs w:val="24"/>
        </w:rPr>
        <w:t xml:space="preserve"> </w:t>
      </w:r>
      <w:r w:rsidRPr="006C58D7">
        <w:rPr>
          <w:rFonts w:ascii="Times New Roman" w:eastAsia="Times New Roman" w:hAnsi="Times New Roman" w:cs="Times New Roman"/>
          <w:bCs/>
          <w:sz w:val="24"/>
          <w:szCs w:val="24"/>
        </w:rPr>
        <w:t>Вариант 0 включва много слабо спазване на стандартите за честна</w:t>
      </w:r>
      <w:r w:rsidR="00D036B5">
        <w:rPr>
          <w:rFonts w:ascii="Times New Roman" w:eastAsia="Times New Roman" w:hAnsi="Times New Roman" w:cs="Times New Roman"/>
          <w:bCs/>
          <w:sz w:val="24"/>
          <w:szCs w:val="24"/>
        </w:rPr>
        <w:t xml:space="preserve"> търговска</w:t>
      </w:r>
      <w:r w:rsidRPr="006C58D7">
        <w:rPr>
          <w:rFonts w:ascii="Times New Roman" w:eastAsia="Times New Roman" w:hAnsi="Times New Roman" w:cs="Times New Roman"/>
          <w:bCs/>
          <w:sz w:val="24"/>
          <w:szCs w:val="24"/>
        </w:rPr>
        <w:t xml:space="preserve"> практика, </w:t>
      </w:r>
      <w:r w:rsidRPr="006C58D7">
        <w:rPr>
          <w:rFonts w:ascii="Times New Roman" w:eastAsia="Times New Roman" w:hAnsi="Times New Roman" w:cs="Times New Roman"/>
          <w:sz w:val="24"/>
          <w:szCs w:val="24"/>
        </w:rPr>
        <w:t>тъй като тези стандарти не са задължителни – което води</w:t>
      </w:r>
      <w:r w:rsidR="00C91B3B" w:rsidRPr="00C91B3B">
        <w:rPr>
          <w:rFonts w:ascii="Times New Roman" w:eastAsia="Times New Roman" w:hAnsi="Times New Roman" w:cs="Times New Roman"/>
          <w:sz w:val="24"/>
          <w:szCs w:val="24"/>
        </w:rPr>
        <w:t xml:space="preserve"> само</w:t>
      </w:r>
      <w:r w:rsidRPr="006C58D7">
        <w:rPr>
          <w:rFonts w:ascii="Times New Roman" w:eastAsia="Times New Roman" w:hAnsi="Times New Roman" w:cs="Times New Roman"/>
          <w:sz w:val="24"/>
          <w:szCs w:val="24"/>
        </w:rPr>
        <w:t xml:space="preserve"> до продължаващ цикъл на </w:t>
      </w:r>
      <w:r w:rsidR="00D036B5">
        <w:rPr>
          <w:rFonts w:ascii="Times New Roman" w:eastAsia="Times New Roman" w:hAnsi="Times New Roman" w:cs="Times New Roman"/>
          <w:sz w:val="24"/>
          <w:szCs w:val="24"/>
        </w:rPr>
        <w:t>нелоялно</w:t>
      </w:r>
      <w:r w:rsidR="00D036B5" w:rsidRPr="006C58D7">
        <w:rPr>
          <w:rFonts w:ascii="Times New Roman" w:eastAsia="Times New Roman" w:hAnsi="Times New Roman" w:cs="Times New Roman"/>
          <w:sz w:val="24"/>
          <w:szCs w:val="24"/>
        </w:rPr>
        <w:t xml:space="preserve"> </w:t>
      </w:r>
      <w:r w:rsidRPr="006C58D7">
        <w:rPr>
          <w:rFonts w:ascii="Times New Roman" w:eastAsia="Times New Roman" w:hAnsi="Times New Roman" w:cs="Times New Roman"/>
          <w:sz w:val="24"/>
          <w:szCs w:val="24"/>
        </w:rPr>
        <w:t xml:space="preserve">поведение. </w:t>
      </w:r>
      <w:r w:rsidR="00BE3300">
        <w:rPr>
          <w:rFonts w:ascii="Times New Roman" w:eastAsia="Times New Roman" w:hAnsi="Times New Roman" w:cs="Times New Roman"/>
          <w:sz w:val="24"/>
          <w:szCs w:val="24"/>
        </w:rPr>
        <w:t xml:space="preserve">Това позволява в тази категория да се определи </w:t>
      </w:r>
      <w:r w:rsidR="00BE3300" w:rsidRPr="00BE3300">
        <w:rPr>
          <w:rFonts w:ascii="Times New Roman" w:eastAsia="Times New Roman" w:hAnsi="Times New Roman" w:cs="Times New Roman"/>
          <w:b/>
          <w:sz w:val="24"/>
          <w:szCs w:val="24"/>
        </w:rPr>
        <w:t>обща</w:t>
      </w:r>
      <w:r w:rsidRPr="00BE3300">
        <w:rPr>
          <w:rFonts w:ascii="Times New Roman" w:eastAsia="Times New Roman" w:hAnsi="Times New Roman" w:cs="Times New Roman"/>
          <w:b/>
          <w:sz w:val="24"/>
          <w:szCs w:val="24"/>
        </w:rPr>
        <w:t xml:space="preserve"> </w:t>
      </w:r>
      <w:r w:rsidR="00C91B3B" w:rsidRPr="00BE3300">
        <w:rPr>
          <w:rFonts w:ascii="Times New Roman" w:eastAsia="Times New Roman" w:hAnsi="Times New Roman" w:cs="Times New Roman"/>
          <w:b/>
          <w:sz w:val="24"/>
          <w:szCs w:val="24"/>
        </w:rPr>
        <w:t>о</w:t>
      </w:r>
      <w:r w:rsidRPr="00BE3300">
        <w:rPr>
          <w:rFonts w:ascii="Times New Roman" w:eastAsia="Times New Roman" w:hAnsi="Times New Roman" w:cs="Times New Roman"/>
          <w:b/>
          <w:sz w:val="24"/>
          <w:szCs w:val="24"/>
        </w:rPr>
        <w:t>ценка на риск</w:t>
      </w:r>
      <w:r w:rsidR="00BE3300" w:rsidRPr="00BE3300">
        <w:rPr>
          <w:rFonts w:ascii="Times New Roman" w:eastAsia="Times New Roman" w:hAnsi="Times New Roman" w:cs="Times New Roman"/>
          <w:b/>
          <w:sz w:val="24"/>
          <w:szCs w:val="24"/>
        </w:rPr>
        <w:t>а</w:t>
      </w:r>
      <w:r w:rsidR="00A5236A">
        <w:rPr>
          <w:rFonts w:ascii="Times New Roman" w:eastAsia="Times New Roman" w:hAnsi="Times New Roman" w:cs="Times New Roman"/>
          <w:b/>
          <w:sz w:val="24"/>
          <w:szCs w:val="24"/>
        </w:rPr>
        <w:t xml:space="preserve"> </w:t>
      </w:r>
      <w:r w:rsidR="00A5236A">
        <w:rPr>
          <w:rFonts w:ascii="Times New Roman" w:eastAsia="Times New Roman" w:hAnsi="Times New Roman" w:cs="Times New Roman"/>
          <w:bCs/>
          <w:sz w:val="24"/>
          <w:szCs w:val="24"/>
        </w:rPr>
        <w:t>(5×3)</w:t>
      </w:r>
      <w:r w:rsidRPr="00BE3300">
        <w:rPr>
          <w:rFonts w:ascii="Times New Roman" w:eastAsia="Times New Roman" w:hAnsi="Times New Roman" w:cs="Times New Roman"/>
          <w:b/>
          <w:sz w:val="24"/>
          <w:szCs w:val="24"/>
        </w:rPr>
        <w:t xml:space="preserve"> </w:t>
      </w:r>
      <w:r w:rsidR="00BE3300" w:rsidRPr="00BE3300">
        <w:rPr>
          <w:rFonts w:ascii="Times New Roman" w:eastAsia="Times New Roman" w:hAnsi="Times New Roman" w:cs="Times New Roman"/>
          <w:b/>
          <w:sz w:val="24"/>
          <w:szCs w:val="24"/>
        </w:rPr>
        <w:t>=</w:t>
      </w:r>
      <w:r w:rsidRPr="00BE3300">
        <w:rPr>
          <w:rFonts w:ascii="Times New Roman" w:eastAsia="Times New Roman" w:hAnsi="Times New Roman" w:cs="Times New Roman"/>
          <w:b/>
          <w:sz w:val="24"/>
          <w:szCs w:val="24"/>
        </w:rPr>
        <w:t xml:space="preserve"> </w:t>
      </w:r>
      <w:r w:rsidRPr="00BE3300">
        <w:rPr>
          <w:rFonts w:ascii="Times New Roman" w:eastAsia="Times New Roman" w:hAnsi="Times New Roman" w:cs="Times New Roman"/>
          <w:b/>
          <w:bCs/>
          <w:sz w:val="24"/>
          <w:szCs w:val="24"/>
        </w:rPr>
        <w:t>15</w:t>
      </w:r>
      <w:r w:rsidRPr="006C58D7">
        <w:rPr>
          <w:rFonts w:ascii="Times New Roman" w:eastAsia="Times New Roman" w:hAnsi="Times New Roman" w:cs="Times New Roman"/>
          <w:sz w:val="24"/>
          <w:szCs w:val="24"/>
        </w:rPr>
        <w:t>.</w:t>
      </w:r>
    </w:p>
    <w:p w14:paraId="4C4FDE2C" w14:textId="77777777" w:rsidR="00E16161" w:rsidRDefault="00E16161" w:rsidP="00E16161">
      <w:pPr>
        <w:spacing w:after="0" w:line="240" w:lineRule="auto"/>
        <w:ind w:firstLine="567"/>
        <w:jc w:val="both"/>
        <w:rPr>
          <w:rFonts w:ascii="Times New Roman" w:eastAsia="Times New Roman" w:hAnsi="Times New Roman" w:cs="Times New Roman"/>
          <w:b/>
          <w:bCs/>
          <w:sz w:val="24"/>
          <w:szCs w:val="24"/>
        </w:rPr>
      </w:pPr>
    </w:p>
    <w:p w14:paraId="2F0B1DBE" w14:textId="77777777" w:rsidR="00E16161" w:rsidRPr="006C58D7" w:rsidRDefault="00E16161" w:rsidP="00E16161">
      <w:pPr>
        <w:spacing w:after="0" w:line="240" w:lineRule="auto"/>
        <w:ind w:firstLine="567"/>
        <w:jc w:val="both"/>
        <w:rPr>
          <w:rFonts w:ascii="Times New Roman" w:eastAsia="Times New Roman" w:hAnsi="Times New Roman" w:cs="Times New Roman"/>
          <w:b/>
          <w:bCs/>
          <w:i/>
          <w:sz w:val="24"/>
          <w:szCs w:val="24"/>
        </w:rPr>
      </w:pPr>
      <w:r w:rsidRPr="006C58D7">
        <w:rPr>
          <w:rFonts w:ascii="Times New Roman" w:eastAsia="Times New Roman" w:hAnsi="Times New Roman" w:cs="Times New Roman"/>
          <w:b/>
          <w:bCs/>
          <w:i/>
          <w:sz w:val="24"/>
          <w:szCs w:val="24"/>
        </w:rPr>
        <w:t xml:space="preserve">Обобщение на оценката на риска </w:t>
      </w:r>
      <w:r>
        <w:rPr>
          <w:rFonts w:ascii="Times New Roman" w:eastAsia="Times New Roman" w:hAnsi="Times New Roman" w:cs="Times New Roman"/>
          <w:b/>
          <w:bCs/>
          <w:i/>
          <w:sz w:val="24"/>
          <w:szCs w:val="24"/>
        </w:rPr>
        <w:t>на</w:t>
      </w:r>
      <w:r w:rsidRPr="006C58D7">
        <w:rPr>
          <w:rFonts w:ascii="Times New Roman" w:eastAsia="Times New Roman" w:hAnsi="Times New Roman" w:cs="Times New Roman"/>
          <w:b/>
          <w:bCs/>
          <w:i/>
          <w:sz w:val="24"/>
          <w:szCs w:val="24"/>
        </w:rPr>
        <w:t xml:space="preserve"> Вариант 0</w:t>
      </w:r>
    </w:p>
    <w:p w14:paraId="5880E11B" w14:textId="135FC4C9" w:rsidR="00E16161" w:rsidRDefault="00BE3300" w:rsidP="00E161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16161" w:rsidRPr="008C3960">
        <w:rPr>
          <w:rFonts w:ascii="Times New Roman" w:eastAsia="Times New Roman" w:hAnsi="Times New Roman" w:cs="Times New Roman"/>
          <w:sz w:val="24"/>
          <w:szCs w:val="24"/>
        </w:rPr>
        <w:t>одход</w:t>
      </w:r>
      <w:r>
        <w:rPr>
          <w:rFonts w:ascii="Times New Roman" w:eastAsia="Times New Roman" w:hAnsi="Times New Roman" w:cs="Times New Roman"/>
          <w:sz w:val="24"/>
          <w:szCs w:val="24"/>
        </w:rPr>
        <w:t>ът</w:t>
      </w:r>
      <w:r w:rsidR="00E16161" w:rsidRPr="008C3960">
        <w:rPr>
          <w:rFonts w:ascii="Times New Roman" w:eastAsia="Times New Roman" w:hAnsi="Times New Roman" w:cs="Times New Roman"/>
          <w:sz w:val="24"/>
          <w:szCs w:val="24"/>
        </w:rPr>
        <w:t xml:space="preserve"> „не прави нищо“ носи </w:t>
      </w:r>
      <w:r w:rsidR="00E16161" w:rsidRPr="00BE3300">
        <w:rPr>
          <w:rFonts w:ascii="Times New Roman" w:eastAsia="Times New Roman" w:hAnsi="Times New Roman" w:cs="Times New Roman"/>
          <w:bCs/>
          <w:sz w:val="24"/>
          <w:szCs w:val="24"/>
        </w:rPr>
        <w:t>минимален риск от административни разходи</w:t>
      </w:r>
      <w:r w:rsidR="00E16161" w:rsidRPr="00BE3300">
        <w:rPr>
          <w:rFonts w:ascii="Times New Roman" w:eastAsia="Times New Roman" w:hAnsi="Times New Roman" w:cs="Times New Roman"/>
          <w:sz w:val="24"/>
          <w:szCs w:val="24"/>
        </w:rPr>
        <w:t xml:space="preserve">, но </w:t>
      </w:r>
      <w:r>
        <w:rPr>
          <w:rFonts w:ascii="Times New Roman" w:eastAsia="Times New Roman" w:hAnsi="Times New Roman" w:cs="Times New Roman"/>
          <w:sz w:val="24"/>
          <w:szCs w:val="24"/>
        </w:rPr>
        <w:t>твърде</w:t>
      </w:r>
      <w:r w:rsidR="00E16161" w:rsidRPr="00BE3300">
        <w:rPr>
          <w:rFonts w:ascii="Times New Roman" w:eastAsia="Times New Roman" w:hAnsi="Times New Roman" w:cs="Times New Roman"/>
          <w:sz w:val="24"/>
          <w:szCs w:val="24"/>
        </w:rPr>
        <w:t xml:space="preserve"> </w:t>
      </w:r>
      <w:r w:rsidR="00E16161" w:rsidRPr="00BE3300">
        <w:rPr>
          <w:rFonts w:ascii="Times New Roman" w:eastAsia="Times New Roman" w:hAnsi="Times New Roman" w:cs="Times New Roman"/>
          <w:bCs/>
          <w:sz w:val="24"/>
          <w:szCs w:val="24"/>
        </w:rPr>
        <w:t>висок риск от увреждане на МСП, непостигане на целите и продължаващ пазарен дисбаланс</w:t>
      </w:r>
      <w:r w:rsidR="00E16161" w:rsidRPr="00BE33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16161" w:rsidRPr="008C3960">
        <w:rPr>
          <w:rFonts w:ascii="Times New Roman" w:eastAsia="Times New Roman" w:hAnsi="Times New Roman" w:cs="Times New Roman"/>
          <w:sz w:val="24"/>
          <w:szCs w:val="24"/>
        </w:rPr>
        <w:t xml:space="preserve">Общата рискова експозиция е значителна, най-вече защото </w:t>
      </w:r>
      <w:r w:rsidR="00E16161">
        <w:rPr>
          <w:rFonts w:ascii="Times New Roman" w:eastAsia="Times New Roman" w:hAnsi="Times New Roman" w:cs="Times New Roman"/>
          <w:sz w:val="24"/>
          <w:szCs w:val="24"/>
        </w:rPr>
        <w:t>идентифицираните</w:t>
      </w:r>
      <w:r w:rsidR="00E16161" w:rsidRPr="008C3960">
        <w:rPr>
          <w:rFonts w:ascii="Times New Roman" w:eastAsia="Times New Roman" w:hAnsi="Times New Roman" w:cs="Times New Roman"/>
          <w:sz w:val="24"/>
          <w:szCs w:val="24"/>
        </w:rPr>
        <w:t xml:space="preserve"> проблеми ще останат нерешени. </w:t>
      </w:r>
      <w:r w:rsidR="00E16161" w:rsidRPr="00BE3300">
        <w:rPr>
          <w:rFonts w:ascii="Times New Roman" w:eastAsia="Times New Roman" w:hAnsi="Times New Roman" w:cs="Times New Roman"/>
          <w:sz w:val="24"/>
          <w:szCs w:val="24"/>
        </w:rPr>
        <w:t xml:space="preserve">Докато Вариант 0 избягва всякакви нови тежести, той създава условия за стимулиране на </w:t>
      </w:r>
      <w:r w:rsidR="00E16161" w:rsidRPr="00BE3300">
        <w:rPr>
          <w:rFonts w:ascii="Times New Roman" w:eastAsia="Times New Roman" w:hAnsi="Times New Roman" w:cs="Times New Roman"/>
          <w:bCs/>
          <w:sz w:val="24"/>
          <w:szCs w:val="24"/>
        </w:rPr>
        <w:t xml:space="preserve">икономическия риск от продължаващи нелоялни практики </w:t>
      </w:r>
      <w:r w:rsidR="00E16161" w:rsidRPr="00BE3300">
        <w:rPr>
          <w:rFonts w:ascii="Times New Roman" w:eastAsia="Times New Roman" w:hAnsi="Times New Roman" w:cs="Times New Roman"/>
          <w:sz w:val="24"/>
          <w:szCs w:val="24"/>
        </w:rPr>
        <w:t>– загубен доход</w:t>
      </w:r>
      <w:r w:rsidR="00E16161" w:rsidRPr="008C3960">
        <w:rPr>
          <w:rFonts w:ascii="Times New Roman" w:eastAsia="Times New Roman" w:hAnsi="Times New Roman" w:cs="Times New Roman"/>
          <w:sz w:val="24"/>
          <w:szCs w:val="24"/>
        </w:rPr>
        <w:t xml:space="preserve"> за фермерите, потенциални бизнес провали и ерозия на доверието в пазара.</w:t>
      </w:r>
      <w:r w:rsidR="00E16161">
        <w:rPr>
          <w:rFonts w:ascii="Times New Roman" w:eastAsia="Times New Roman" w:hAnsi="Times New Roman" w:cs="Times New Roman"/>
          <w:sz w:val="24"/>
          <w:szCs w:val="24"/>
        </w:rPr>
        <w:t xml:space="preserve"> (Вж. Фигура 3)</w:t>
      </w:r>
      <w:r>
        <w:rPr>
          <w:rFonts w:ascii="Times New Roman" w:eastAsia="Times New Roman" w:hAnsi="Times New Roman" w:cs="Times New Roman"/>
          <w:sz w:val="24"/>
          <w:szCs w:val="24"/>
        </w:rPr>
        <w:t>.</w:t>
      </w:r>
    </w:p>
    <w:p w14:paraId="6348B5E7"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p>
    <w:p w14:paraId="77774ABD" w14:textId="77777777" w:rsidR="00E16161" w:rsidRPr="00675B22" w:rsidRDefault="00E16161" w:rsidP="00E16161">
      <w:pPr>
        <w:spacing w:after="0" w:line="240" w:lineRule="auto"/>
        <w:ind w:firstLine="567"/>
        <w:jc w:val="center"/>
        <w:rPr>
          <w:rFonts w:ascii="Times New Roman" w:eastAsia="Times New Roman" w:hAnsi="Times New Roman" w:cs="Times New Roman"/>
          <w:sz w:val="24"/>
          <w:szCs w:val="24"/>
        </w:rPr>
      </w:pPr>
      <w:r>
        <w:rPr>
          <w:noProof/>
          <w:lang w:val="en-US"/>
        </w:rPr>
        <w:lastRenderedPageBreak/>
        <w:drawing>
          <wp:inline distT="0" distB="0" distL="0" distR="0" wp14:anchorId="1D41A1EE" wp14:editId="79EDD65D">
            <wp:extent cx="5775960" cy="3177540"/>
            <wp:effectExtent l="0" t="0" r="15240" b="3810"/>
            <wp:docPr id="3" name="Chart 3">
              <a:extLst xmlns:a="http://schemas.openxmlformats.org/drawingml/2006/main">
                <a:ext uri="{FF2B5EF4-FFF2-40B4-BE49-F238E27FC236}">
                  <a16:creationId xmlns:a16="http://schemas.microsoft.com/office/drawing/2014/main" id="{0178D376-C3DA-41FE-A527-19F461DF8AE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Chart 3">
                      <a:extLst>
                        <a:ext uri="{FF2B5EF4-FFF2-40B4-BE49-F238E27FC236}">
                          <a16:creationId xmlns:a16="http://schemas.microsoft.com/office/drawing/2014/main" id="{0178D376-C3DA-41FE-A527-19F461DF8AE1}"/>
                        </a:ext>
                      </a:extLst>
                    </pic:cNvPr>
                    <pic:cNvPicPr>
                      <a:picLocks noGrp="1" noRot="1" noChangeAspect="1" noMove="1" noResize="1" noEditPoints="1" noAdjustHandles="1" noChangeArrowheads="1" noChangeShapeType="1"/>
                    </pic:cNvPicPr>
                  </pic:nvPicPr>
                  <pic:blipFill>
                    <a:blip r:embed="rId17"/>
                    <a:stretch>
                      <a:fillRect/>
                    </a:stretch>
                  </pic:blipFill>
                  <pic:spPr>
                    <a:xfrm>
                      <a:off x="0" y="0"/>
                      <a:ext cx="5775960" cy="3177540"/>
                    </a:xfrm>
                    <a:prstGeom prst="rect">
                      <a:avLst/>
                    </a:prstGeom>
                  </pic:spPr>
                </pic:pic>
              </a:graphicData>
            </a:graphic>
          </wp:inline>
        </w:drawing>
      </w:r>
    </w:p>
    <w:p w14:paraId="367B1D1C" w14:textId="5512AAC9" w:rsidR="00E16161" w:rsidRDefault="00E16161" w:rsidP="00E16161">
      <w:pPr>
        <w:spacing w:after="0" w:line="240" w:lineRule="auto"/>
        <w:ind w:firstLine="567"/>
        <w:jc w:val="both"/>
        <w:rPr>
          <w:rFonts w:ascii="Times New Roman" w:eastAsia="Times New Roman" w:hAnsi="Times New Roman" w:cs="Times New Roman"/>
          <w:i/>
          <w:iCs/>
          <w:sz w:val="24"/>
          <w:szCs w:val="24"/>
        </w:rPr>
      </w:pPr>
      <w:r w:rsidRPr="001A73EC">
        <w:rPr>
          <w:rFonts w:ascii="Times New Roman" w:eastAsia="Times New Roman" w:hAnsi="Times New Roman" w:cs="Times New Roman"/>
          <w:b/>
          <w:sz w:val="24"/>
          <w:szCs w:val="24"/>
        </w:rPr>
        <w:t xml:space="preserve">Фигура </w:t>
      </w:r>
      <w:r>
        <w:rPr>
          <w:rFonts w:ascii="Times New Roman" w:eastAsia="Times New Roman" w:hAnsi="Times New Roman" w:cs="Times New Roman"/>
          <w:b/>
          <w:sz w:val="24"/>
          <w:szCs w:val="24"/>
        </w:rPr>
        <w:t>3</w:t>
      </w:r>
      <w:r w:rsidRPr="001A73EC">
        <w:rPr>
          <w:rFonts w:ascii="Times New Roman" w:eastAsia="Times New Roman" w:hAnsi="Times New Roman" w:cs="Times New Roman"/>
          <w:b/>
          <w:i/>
          <w:iCs/>
          <w:sz w:val="24"/>
          <w:szCs w:val="24"/>
        </w:rPr>
        <w:t>.</w:t>
      </w:r>
      <w:r w:rsidRPr="001A73EC">
        <w:rPr>
          <w:rFonts w:ascii="Times New Roman" w:eastAsia="Times New Roman" w:hAnsi="Times New Roman" w:cs="Times New Roman"/>
          <w:b/>
          <w:iCs/>
          <w:sz w:val="24"/>
          <w:szCs w:val="24"/>
        </w:rPr>
        <w:t xml:space="preserve"> Вариант 0 – Оценка на риска по категории</w:t>
      </w:r>
      <w:r w:rsidRPr="006C58D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а</w:t>
      </w:r>
      <w:r w:rsidRPr="006C58D7">
        <w:rPr>
          <w:rFonts w:ascii="Times New Roman" w:eastAsia="Times New Roman" w:hAnsi="Times New Roman" w:cs="Times New Roman"/>
          <w:iCs/>
          <w:sz w:val="24"/>
          <w:szCs w:val="24"/>
        </w:rPr>
        <w:t xml:space="preserve">дминистративни разходи </w:t>
      </w:r>
      <w:r>
        <w:rPr>
          <w:rFonts w:ascii="Times New Roman" w:eastAsia="Times New Roman" w:hAnsi="Times New Roman" w:cs="Times New Roman"/>
          <w:iCs/>
          <w:sz w:val="24"/>
          <w:szCs w:val="24"/>
        </w:rPr>
        <w:t xml:space="preserve">- </w:t>
      </w:r>
      <w:r w:rsidRPr="006C58D7">
        <w:rPr>
          <w:rFonts w:ascii="Times New Roman" w:eastAsia="Times New Roman" w:hAnsi="Times New Roman" w:cs="Times New Roman"/>
          <w:iCs/>
          <w:sz w:val="24"/>
          <w:szCs w:val="24"/>
        </w:rPr>
        <w:t xml:space="preserve">1; </w:t>
      </w:r>
      <w:r>
        <w:rPr>
          <w:rFonts w:ascii="Times New Roman" w:eastAsia="Times New Roman" w:hAnsi="Times New Roman" w:cs="Times New Roman"/>
          <w:iCs/>
          <w:sz w:val="24"/>
          <w:szCs w:val="24"/>
        </w:rPr>
        <w:t>в</w:t>
      </w:r>
      <w:r w:rsidRPr="006C58D7">
        <w:rPr>
          <w:rFonts w:ascii="Times New Roman" w:eastAsia="Times New Roman" w:hAnsi="Times New Roman" w:cs="Times New Roman"/>
          <w:iCs/>
          <w:sz w:val="24"/>
          <w:szCs w:val="24"/>
        </w:rPr>
        <w:t xml:space="preserve">ъздействие </w:t>
      </w:r>
      <w:r>
        <w:rPr>
          <w:rFonts w:ascii="Times New Roman" w:eastAsia="Times New Roman" w:hAnsi="Times New Roman" w:cs="Times New Roman"/>
          <w:iCs/>
          <w:sz w:val="24"/>
          <w:szCs w:val="24"/>
        </w:rPr>
        <w:t>спрямо</w:t>
      </w:r>
      <w:r w:rsidRPr="006C58D7">
        <w:rPr>
          <w:rFonts w:ascii="Times New Roman" w:eastAsia="Times New Roman" w:hAnsi="Times New Roman" w:cs="Times New Roman"/>
          <w:iCs/>
          <w:sz w:val="24"/>
          <w:szCs w:val="24"/>
        </w:rPr>
        <w:t xml:space="preserve"> МСП</w:t>
      </w:r>
      <w:r>
        <w:rPr>
          <w:rFonts w:ascii="Times New Roman" w:eastAsia="Times New Roman" w:hAnsi="Times New Roman" w:cs="Times New Roman"/>
          <w:iCs/>
          <w:sz w:val="24"/>
          <w:szCs w:val="24"/>
        </w:rPr>
        <w:t xml:space="preserve"> -</w:t>
      </w:r>
      <w:r w:rsidRPr="006C58D7">
        <w:rPr>
          <w:rFonts w:ascii="Times New Roman" w:eastAsia="Times New Roman" w:hAnsi="Times New Roman" w:cs="Times New Roman"/>
          <w:iCs/>
          <w:sz w:val="24"/>
          <w:szCs w:val="24"/>
        </w:rPr>
        <w:t xml:space="preserve"> 20; изкривяване на пазара </w:t>
      </w:r>
      <w:r>
        <w:rPr>
          <w:rFonts w:ascii="Times New Roman" w:eastAsia="Times New Roman" w:hAnsi="Times New Roman" w:cs="Times New Roman"/>
          <w:iCs/>
          <w:sz w:val="24"/>
          <w:szCs w:val="24"/>
        </w:rPr>
        <w:t xml:space="preserve">- </w:t>
      </w:r>
      <w:r w:rsidRPr="006C58D7">
        <w:rPr>
          <w:rFonts w:ascii="Times New Roman" w:eastAsia="Times New Roman" w:hAnsi="Times New Roman" w:cs="Times New Roman"/>
          <w:iCs/>
          <w:sz w:val="24"/>
          <w:szCs w:val="24"/>
        </w:rPr>
        <w:t xml:space="preserve">12; </w:t>
      </w:r>
      <w:r>
        <w:rPr>
          <w:rFonts w:ascii="Times New Roman" w:eastAsia="Times New Roman" w:hAnsi="Times New Roman" w:cs="Times New Roman"/>
          <w:iCs/>
          <w:sz w:val="24"/>
          <w:szCs w:val="24"/>
        </w:rPr>
        <w:t>н</w:t>
      </w:r>
      <w:r w:rsidRPr="006C58D7">
        <w:rPr>
          <w:rFonts w:ascii="Times New Roman" w:eastAsia="Times New Roman" w:hAnsi="Times New Roman" w:cs="Times New Roman"/>
          <w:iCs/>
          <w:sz w:val="24"/>
          <w:szCs w:val="24"/>
        </w:rPr>
        <w:t xml:space="preserve">еуспех </w:t>
      </w:r>
      <w:r>
        <w:rPr>
          <w:rFonts w:ascii="Times New Roman" w:eastAsia="Times New Roman" w:hAnsi="Times New Roman" w:cs="Times New Roman"/>
          <w:iCs/>
          <w:sz w:val="24"/>
          <w:szCs w:val="24"/>
        </w:rPr>
        <w:t>в</w:t>
      </w:r>
      <w:r w:rsidRPr="006C58D7">
        <w:rPr>
          <w:rFonts w:ascii="Times New Roman" w:eastAsia="Times New Roman" w:hAnsi="Times New Roman" w:cs="Times New Roman"/>
          <w:iCs/>
          <w:sz w:val="24"/>
          <w:szCs w:val="24"/>
        </w:rPr>
        <w:t xml:space="preserve"> правоприлагането 20; ниско</w:t>
      </w:r>
      <w:r w:rsidRPr="00474BC5">
        <w:rPr>
          <w:rFonts w:ascii="Times New Roman" w:eastAsia="Times New Roman" w:hAnsi="Times New Roman" w:cs="Times New Roman"/>
          <w:iCs/>
          <w:sz w:val="24"/>
          <w:szCs w:val="24"/>
        </w:rPr>
        <w:t xml:space="preserve"> </w:t>
      </w:r>
      <w:r w:rsidRPr="006C58D7">
        <w:rPr>
          <w:rFonts w:ascii="Times New Roman" w:eastAsia="Times New Roman" w:hAnsi="Times New Roman" w:cs="Times New Roman"/>
          <w:iCs/>
          <w:sz w:val="24"/>
          <w:szCs w:val="24"/>
        </w:rPr>
        <w:t xml:space="preserve">съответствие </w:t>
      </w:r>
      <w:r>
        <w:rPr>
          <w:rFonts w:ascii="Times New Roman" w:eastAsia="Times New Roman" w:hAnsi="Times New Roman" w:cs="Times New Roman"/>
          <w:iCs/>
          <w:sz w:val="24"/>
          <w:szCs w:val="24"/>
        </w:rPr>
        <w:t>(спазване)</w:t>
      </w:r>
      <w:r w:rsidRPr="006C58D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- 15.</w:t>
      </w:r>
    </w:p>
    <w:p w14:paraId="2C189D1B"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p>
    <w:p w14:paraId="1C53FED3" w14:textId="77777777" w:rsidR="007E3C03" w:rsidRDefault="007E3C03" w:rsidP="00E16161">
      <w:pPr>
        <w:spacing w:after="0" w:line="240" w:lineRule="auto"/>
        <w:ind w:firstLine="567"/>
        <w:jc w:val="both"/>
        <w:rPr>
          <w:rFonts w:ascii="Times New Roman" w:eastAsia="Times New Roman" w:hAnsi="Times New Roman" w:cs="Times New Roman"/>
          <w:sz w:val="24"/>
          <w:szCs w:val="24"/>
        </w:rPr>
      </w:pPr>
    </w:p>
    <w:p w14:paraId="474FD7CB" w14:textId="77777777" w:rsidR="00E16161" w:rsidRPr="00AD2DDA" w:rsidRDefault="00E16161" w:rsidP="00E16161">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Оценка на риска на </w:t>
      </w:r>
      <w:r w:rsidRPr="00AD2DDA">
        <w:rPr>
          <w:rFonts w:ascii="Times New Roman" w:eastAsia="Times New Roman" w:hAnsi="Times New Roman" w:cs="Times New Roman"/>
          <w:b/>
          <w:sz w:val="24"/>
          <w:szCs w:val="24"/>
        </w:rPr>
        <w:t>Вариант 1: „Нерегулаторен“</w:t>
      </w:r>
    </w:p>
    <w:p w14:paraId="5D166F6B" w14:textId="171DDDE9" w:rsidR="00E16161" w:rsidRDefault="00E16161" w:rsidP="00E16161">
      <w:pPr>
        <w:spacing w:after="0" w:line="240" w:lineRule="auto"/>
        <w:ind w:firstLine="567"/>
        <w:jc w:val="both"/>
        <w:rPr>
          <w:rFonts w:ascii="Times New Roman" w:eastAsia="Times New Roman" w:hAnsi="Times New Roman" w:cs="Times New Roman"/>
          <w:sz w:val="24"/>
          <w:szCs w:val="24"/>
        </w:rPr>
      </w:pPr>
      <w:r w:rsidRPr="008C3960">
        <w:rPr>
          <w:rFonts w:ascii="Times New Roman" w:eastAsia="Times New Roman" w:hAnsi="Times New Roman" w:cs="Times New Roman"/>
          <w:sz w:val="24"/>
          <w:szCs w:val="24"/>
        </w:rPr>
        <w:t xml:space="preserve">Вариант 1 би адресирал проблемите </w:t>
      </w:r>
      <w:r w:rsidR="00BE3300">
        <w:rPr>
          <w:rFonts w:ascii="Times New Roman" w:eastAsia="Times New Roman" w:hAnsi="Times New Roman" w:cs="Times New Roman"/>
          <w:sz w:val="24"/>
          <w:szCs w:val="24"/>
        </w:rPr>
        <w:t>по</w:t>
      </w:r>
      <w:r w:rsidRPr="008C3960">
        <w:rPr>
          <w:rFonts w:ascii="Times New Roman" w:eastAsia="Times New Roman" w:hAnsi="Times New Roman" w:cs="Times New Roman"/>
          <w:sz w:val="24"/>
          <w:szCs w:val="24"/>
        </w:rPr>
        <w:t xml:space="preserve"> веригата </w:t>
      </w:r>
      <w:r>
        <w:rPr>
          <w:rFonts w:ascii="Times New Roman" w:eastAsia="Times New Roman" w:hAnsi="Times New Roman" w:cs="Times New Roman"/>
          <w:sz w:val="24"/>
          <w:szCs w:val="24"/>
        </w:rPr>
        <w:t>на</w:t>
      </w:r>
      <w:r w:rsidRPr="008C3960">
        <w:rPr>
          <w:rFonts w:ascii="Times New Roman" w:eastAsia="Times New Roman" w:hAnsi="Times New Roman" w:cs="Times New Roman"/>
          <w:sz w:val="24"/>
          <w:szCs w:val="24"/>
        </w:rPr>
        <w:t xml:space="preserve"> доставки чрез </w:t>
      </w:r>
      <w:r w:rsidRPr="006C58D7">
        <w:rPr>
          <w:rFonts w:ascii="Times New Roman" w:eastAsia="Times New Roman" w:hAnsi="Times New Roman" w:cs="Times New Roman"/>
          <w:bCs/>
          <w:sz w:val="24"/>
          <w:szCs w:val="24"/>
        </w:rPr>
        <w:t>нерегулаторни средства</w:t>
      </w:r>
      <w:r>
        <w:rPr>
          <w:rFonts w:ascii="Times New Roman" w:eastAsia="Times New Roman" w:hAnsi="Times New Roman" w:cs="Times New Roman"/>
          <w:bCs/>
          <w:sz w:val="24"/>
          <w:szCs w:val="24"/>
        </w:rPr>
        <w:t>,</w:t>
      </w:r>
      <w:r w:rsidRPr="006C58D7">
        <w:rPr>
          <w:rFonts w:ascii="Times New Roman" w:eastAsia="Times New Roman" w:hAnsi="Times New Roman" w:cs="Times New Roman"/>
          <w:bCs/>
          <w:sz w:val="24"/>
          <w:szCs w:val="24"/>
        </w:rPr>
        <w:t xml:space="preserve"> </w:t>
      </w:r>
      <w:r w:rsidRPr="006C58D7">
        <w:rPr>
          <w:rFonts w:ascii="Times New Roman" w:eastAsia="Times New Roman" w:hAnsi="Times New Roman" w:cs="Times New Roman"/>
          <w:sz w:val="24"/>
          <w:szCs w:val="24"/>
        </w:rPr>
        <w:t>например</w:t>
      </w:r>
      <w:r w:rsidR="00C91B3B">
        <w:rPr>
          <w:rFonts w:ascii="Times New Roman" w:eastAsia="Times New Roman" w:hAnsi="Times New Roman" w:cs="Times New Roman"/>
          <w:sz w:val="24"/>
          <w:szCs w:val="24"/>
        </w:rPr>
        <w:t>,</w:t>
      </w:r>
      <w:r w:rsidRPr="006C58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чрез </w:t>
      </w:r>
      <w:r w:rsidRPr="006C58D7">
        <w:rPr>
          <w:rFonts w:ascii="Times New Roman" w:eastAsia="Times New Roman" w:hAnsi="Times New Roman" w:cs="Times New Roman"/>
          <w:sz w:val="24"/>
          <w:szCs w:val="24"/>
        </w:rPr>
        <w:t>насърчаване</w:t>
      </w:r>
      <w:r>
        <w:rPr>
          <w:rFonts w:ascii="Times New Roman" w:eastAsia="Times New Roman" w:hAnsi="Times New Roman" w:cs="Times New Roman"/>
          <w:sz w:val="24"/>
          <w:szCs w:val="24"/>
        </w:rPr>
        <w:t xml:space="preserve"> от държавата на приемането </w:t>
      </w:r>
      <w:r w:rsidRPr="006C58D7">
        <w:rPr>
          <w:rFonts w:ascii="Times New Roman" w:eastAsia="Times New Roman" w:hAnsi="Times New Roman" w:cs="Times New Roman"/>
          <w:sz w:val="24"/>
          <w:szCs w:val="24"/>
        </w:rPr>
        <w:t xml:space="preserve">на ръководени от </w:t>
      </w:r>
      <w:r>
        <w:rPr>
          <w:rFonts w:ascii="Times New Roman" w:eastAsia="Times New Roman" w:hAnsi="Times New Roman" w:cs="Times New Roman"/>
          <w:sz w:val="24"/>
          <w:szCs w:val="24"/>
        </w:rPr>
        <w:t xml:space="preserve">участниците в нея </w:t>
      </w:r>
      <w:r w:rsidRPr="006C58D7">
        <w:rPr>
          <w:rFonts w:ascii="Times New Roman" w:eastAsia="Times New Roman" w:hAnsi="Times New Roman" w:cs="Times New Roman"/>
          <w:sz w:val="24"/>
          <w:szCs w:val="24"/>
        </w:rPr>
        <w:t xml:space="preserve">кодекси за поведение, доброволни стандарти или споразумения, </w:t>
      </w:r>
      <w:r>
        <w:rPr>
          <w:rFonts w:ascii="Times New Roman" w:eastAsia="Times New Roman" w:hAnsi="Times New Roman" w:cs="Times New Roman"/>
          <w:sz w:val="24"/>
          <w:szCs w:val="24"/>
        </w:rPr>
        <w:t>които са</w:t>
      </w:r>
      <w:r w:rsidRPr="006C58D7">
        <w:rPr>
          <w:rFonts w:ascii="Times New Roman" w:eastAsia="Times New Roman" w:hAnsi="Times New Roman" w:cs="Times New Roman"/>
          <w:sz w:val="24"/>
          <w:szCs w:val="24"/>
        </w:rPr>
        <w:t xml:space="preserve"> </w:t>
      </w:r>
      <w:r w:rsidRPr="006C58D7">
        <w:rPr>
          <w:rFonts w:ascii="Times New Roman" w:eastAsia="Times New Roman" w:hAnsi="Times New Roman" w:cs="Times New Roman"/>
          <w:bCs/>
          <w:sz w:val="24"/>
          <w:szCs w:val="24"/>
        </w:rPr>
        <w:t xml:space="preserve">без </w:t>
      </w:r>
      <w:r w:rsidR="00C91B3B">
        <w:rPr>
          <w:rFonts w:ascii="Times New Roman" w:eastAsia="Times New Roman" w:hAnsi="Times New Roman" w:cs="Times New Roman"/>
          <w:bCs/>
          <w:sz w:val="24"/>
          <w:szCs w:val="24"/>
        </w:rPr>
        <w:t xml:space="preserve">задължителна </w:t>
      </w:r>
      <w:r w:rsidRPr="006C58D7">
        <w:rPr>
          <w:rFonts w:ascii="Times New Roman" w:eastAsia="Times New Roman" w:hAnsi="Times New Roman" w:cs="Times New Roman"/>
          <w:bCs/>
          <w:sz w:val="24"/>
          <w:szCs w:val="24"/>
        </w:rPr>
        <w:t>правна сила</w:t>
      </w:r>
      <w:r w:rsidRPr="008C3960">
        <w:rPr>
          <w:rFonts w:ascii="Times New Roman" w:eastAsia="Times New Roman" w:hAnsi="Times New Roman" w:cs="Times New Roman"/>
          <w:sz w:val="24"/>
          <w:szCs w:val="24"/>
        </w:rPr>
        <w:t xml:space="preserve">. Такъв подход може да включва морално убеждаване на търговците на дребно да се отнасят </w:t>
      </w:r>
      <w:r>
        <w:rPr>
          <w:rFonts w:ascii="Times New Roman" w:eastAsia="Times New Roman" w:hAnsi="Times New Roman" w:cs="Times New Roman"/>
          <w:sz w:val="24"/>
          <w:szCs w:val="24"/>
        </w:rPr>
        <w:t>честно</w:t>
      </w:r>
      <w:r w:rsidRPr="008C3960">
        <w:rPr>
          <w:rFonts w:ascii="Times New Roman" w:eastAsia="Times New Roman" w:hAnsi="Times New Roman" w:cs="Times New Roman"/>
          <w:sz w:val="24"/>
          <w:szCs w:val="24"/>
        </w:rPr>
        <w:t xml:space="preserve"> към доставчиците, установяване на харта за „добри практики“ или механизми за посредничество. Икономическите рискове </w:t>
      </w:r>
      <w:r>
        <w:rPr>
          <w:rFonts w:ascii="Times New Roman" w:eastAsia="Times New Roman" w:hAnsi="Times New Roman" w:cs="Times New Roman"/>
          <w:sz w:val="24"/>
          <w:szCs w:val="24"/>
        </w:rPr>
        <w:t>за Вариант 1 са оценени по-долу.</w:t>
      </w:r>
    </w:p>
    <w:p w14:paraId="40BD528F"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p>
    <w:p w14:paraId="3A150700" w14:textId="77777777" w:rsidR="00E16161" w:rsidRPr="006C58D7" w:rsidRDefault="00E16161" w:rsidP="00E16161">
      <w:pPr>
        <w:spacing w:after="0" w:line="240" w:lineRule="auto"/>
        <w:ind w:firstLine="567"/>
        <w:jc w:val="both"/>
        <w:rPr>
          <w:rFonts w:ascii="Times New Roman" w:eastAsia="Times New Roman" w:hAnsi="Times New Roman" w:cs="Times New Roman"/>
          <w:b/>
          <w:i/>
          <w:iCs/>
          <w:sz w:val="24"/>
          <w:szCs w:val="24"/>
        </w:rPr>
      </w:pPr>
      <w:r w:rsidRPr="006C58D7">
        <w:rPr>
          <w:rFonts w:ascii="Times New Roman" w:eastAsia="Times New Roman" w:hAnsi="Times New Roman" w:cs="Times New Roman"/>
          <w:b/>
          <w:i/>
          <w:sz w:val="24"/>
          <w:szCs w:val="24"/>
        </w:rPr>
        <w:t xml:space="preserve">1.1. </w:t>
      </w:r>
      <w:r w:rsidRPr="006C58D7">
        <w:rPr>
          <w:rFonts w:ascii="Times New Roman" w:eastAsia="Times New Roman" w:hAnsi="Times New Roman" w:cs="Times New Roman"/>
          <w:b/>
          <w:bCs/>
          <w:i/>
          <w:sz w:val="24"/>
          <w:szCs w:val="24"/>
        </w:rPr>
        <w:t>Ескалация на административните разходи:</w:t>
      </w:r>
      <w:r w:rsidRPr="006C58D7">
        <w:rPr>
          <w:rFonts w:ascii="Times New Roman" w:eastAsia="Times New Roman" w:hAnsi="Times New Roman" w:cs="Times New Roman"/>
          <w:b/>
          <w:i/>
          <w:sz w:val="24"/>
          <w:szCs w:val="24"/>
        </w:rPr>
        <w:t xml:space="preserve"> </w:t>
      </w:r>
      <w:r>
        <w:rPr>
          <w:rFonts w:ascii="Times New Roman" w:eastAsia="Times New Roman" w:hAnsi="Times New Roman" w:cs="Times New Roman"/>
          <w:b/>
          <w:i/>
          <w:iCs/>
          <w:sz w:val="24"/>
          <w:szCs w:val="24"/>
        </w:rPr>
        <w:t>Нисък риск</w:t>
      </w:r>
    </w:p>
    <w:p w14:paraId="53BA56AD" w14:textId="63A3EF8D" w:rsidR="00E16161" w:rsidRDefault="00E16161" w:rsidP="00E16161">
      <w:pPr>
        <w:spacing w:after="0" w:line="240" w:lineRule="auto"/>
        <w:ind w:firstLine="567"/>
        <w:jc w:val="both"/>
        <w:rPr>
          <w:rFonts w:ascii="Times New Roman" w:eastAsia="Times New Roman" w:hAnsi="Times New Roman" w:cs="Times New Roman"/>
          <w:sz w:val="24"/>
          <w:szCs w:val="24"/>
        </w:rPr>
      </w:pPr>
      <w:r w:rsidRPr="008C3960">
        <w:rPr>
          <w:rFonts w:ascii="Times New Roman" w:eastAsia="Times New Roman" w:hAnsi="Times New Roman" w:cs="Times New Roman"/>
          <w:sz w:val="24"/>
          <w:szCs w:val="24"/>
        </w:rPr>
        <w:t>Доброволният подход</w:t>
      </w:r>
      <w:r>
        <w:rPr>
          <w:rFonts w:ascii="Times New Roman" w:eastAsia="Times New Roman" w:hAnsi="Times New Roman" w:cs="Times New Roman"/>
          <w:sz w:val="24"/>
          <w:szCs w:val="24"/>
        </w:rPr>
        <w:t xml:space="preserve">, който е </w:t>
      </w:r>
      <w:r w:rsidRPr="008C3960">
        <w:rPr>
          <w:rFonts w:ascii="Times New Roman" w:eastAsia="Times New Roman" w:hAnsi="Times New Roman" w:cs="Times New Roman"/>
          <w:sz w:val="24"/>
          <w:szCs w:val="24"/>
        </w:rPr>
        <w:t xml:space="preserve">с незадължителна юридическа </w:t>
      </w:r>
      <w:r w:rsidRPr="006C58D7">
        <w:rPr>
          <w:rFonts w:ascii="Times New Roman" w:eastAsia="Times New Roman" w:hAnsi="Times New Roman" w:cs="Times New Roman"/>
          <w:sz w:val="24"/>
          <w:szCs w:val="24"/>
        </w:rPr>
        <w:t>сила</w:t>
      </w:r>
      <w:r w:rsidR="00C91B3B">
        <w:rPr>
          <w:rFonts w:ascii="Times New Roman" w:eastAsia="Times New Roman" w:hAnsi="Times New Roman" w:cs="Times New Roman"/>
          <w:sz w:val="24"/>
          <w:szCs w:val="24"/>
        </w:rPr>
        <w:t>,</w:t>
      </w:r>
      <w:r w:rsidRPr="006C58D7">
        <w:rPr>
          <w:rFonts w:ascii="Times New Roman" w:eastAsia="Times New Roman" w:hAnsi="Times New Roman" w:cs="Times New Roman"/>
          <w:sz w:val="24"/>
          <w:szCs w:val="24"/>
        </w:rPr>
        <w:t xml:space="preserve"> би довел до </w:t>
      </w:r>
      <w:r w:rsidRPr="006C58D7">
        <w:rPr>
          <w:rFonts w:ascii="Times New Roman" w:eastAsia="Times New Roman" w:hAnsi="Times New Roman" w:cs="Times New Roman"/>
          <w:bCs/>
          <w:sz w:val="24"/>
          <w:szCs w:val="24"/>
        </w:rPr>
        <w:t>минимални административни разходи</w:t>
      </w:r>
      <w:r w:rsidRPr="006C58D7">
        <w:rPr>
          <w:rFonts w:ascii="Times New Roman" w:eastAsia="Times New Roman" w:hAnsi="Times New Roman" w:cs="Times New Roman"/>
          <w:sz w:val="24"/>
          <w:szCs w:val="24"/>
        </w:rPr>
        <w:t xml:space="preserve">. Може да </w:t>
      </w:r>
      <w:r w:rsidR="000E2302">
        <w:rPr>
          <w:rFonts w:ascii="Times New Roman" w:eastAsia="Times New Roman" w:hAnsi="Times New Roman" w:cs="Times New Roman"/>
          <w:sz w:val="24"/>
          <w:szCs w:val="24"/>
        </w:rPr>
        <w:t>се налагат</w:t>
      </w:r>
      <w:r w:rsidRPr="006C58D7">
        <w:rPr>
          <w:rFonts w:ascii="Times New Roman" w:eastAsia="Times New Roman" w:hAnsi="Times New Roman" w:cs="Times New Roman"/>
          <w:sz w:val="24"/>
          <w:szCs w:val="24"/>
        </w:rPr>
        <w:t xml:space="preserve"> някои </w:t>
      </w:r>
      <w:r w:rsidRPr="006C58D7">
        <w:rPr>
          <w:rFonts w:ascii="Times New Roman" w:eastAsia="Times New Roman" w:hAnsi="Times New Roman" w:cs="Times New Roman"/>
          <w:bCs/>
          <w:sz w:val="24"/>
          <w:szCs w:val="24"/>
        </w:rPr>
        <w:t xml:space="preserve">организационни </w:t>
      </w:r>
      <w:r w:rsidRPr="000E2302">
        <w:rPr>
          <w:rFonts w:ascii="Times New Roman" w:eastAsia="Times New Roman" w:hAnsi="Times New Roman" w:cs="Times New Roman"/>
          <w:bCs/>
          <w:sz w:val="24"/>
          <w:szCs w:val="24"/>
        </w:rPr>
        <w:t>разходи</w:t>
      </w:r>
      <w:r w:rsidR="00D036B5">
        <w:rPr>
          <w:rFonts w:ascii="Times New Roman" w:eastAsia="Times New Roman" w:hAnsi="Times New Roman" w:cs="Times New Roman"/>
          <w:bCs/>
          <w:sz w:val="24"/>
          <w:szCs w:val="24"/>
        </w:rPr>
        <w:t>,</w:t>
      </w:r>
      <w:r w:rsidR="000E2302" w:rsidRPr="000E2302">
        <w:rPr>
          <w:rFonts w:ascii="Times New Roman" w:eastAsia="Times New Roman" w:hAnsi="Times New Roman" w:cs="Times New Roman"/>
          <w:bCs/>
          <w:sz w:val="24"/>
          <w:szCs w:val="24"/>
        </w:rPr>
        <w:t xml:space="preserve"> като</w:t>
      </w:r>
      <w:r w:rsidRPr="008C3960">
        <w:rPr>
          <w:rFonts w:ascii="Times New Roman" w:eastAsia="Times New Roman" w:hAnsi="Times New Roman" w:cs="Times New Roman"/>
          <w:sz w:val="24"/>
          <w:szCs w:val="24"/>
        </w:rPr>
        <w:t xml:space="preserve"> например</w:t>
      </w:r>
      <w:r w:rsidR="00C91B3B">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w:t>
      </w:r>
      <w:r w:rsidR="000E2302">
        <w:rPr>
          <w:rFonts w:ascii="Times New Roman" w:eastAsia="Times New Roman" w:hAnsi="Times New Roman" w:cs="Times New Roman"/>
          <w:sz w:val="24"/>
          <w:szCs w:val="24"/>
        </w:rPr>
        <w:t>създаване</w:t>
      </w:r>
      <w:r w:rsidRPr="008C3960">
        <w:rPr>
          <w:rFonts w:ascii="Times New Roman" w:eastAsia="Times New Roman" w:hAnsi="Times New Roman" w:cs="Times New Roman"/>
          <w:sz w:val="24"/>
          <w:szCs w:val="24"/>
        </w:rPr>
        <w:t xml:space="preserve"> на работни групи, изготвяне на доброволен кодекс или </w:t>
      </w:r>
      <w:r>
        <w:rPr>
          <w:rFonts w:ascii="Times New Roman" w:eastAsia="Times New Roman" w:hAnsi="Times New Roman" w:cs="Times New Roman"/>
          <w:sz w:val="24"/>
          <w:szCs w:val="24"/>
        </w:rPr>
        <w:t>форум за медиация,</w:t>
      </w:r>
      <w:r w:rsidRPr="008C3960">
        <w:rPr>
          <w:rFonts w:ascii="Times New Roman" w:eastAsia="Times New Roman" w:hAnsi="Times New Roman" w:cs="Times New Roman"/>
          <w:sz w:val="24"/>
          <w:szCs w:val="24"/>
        </w:rPr>
        <w:t xml:space="preserve"> но те са относително незначителни. Няма нужда от </w:t>
      </w:r>
      <w:r w:rsidR="000E2302">
        <w:rPr>
          <w:rFonts w:ascii="Times New Roman" w:eastAsia="Times New Roman" w:hAnsi="Times New Roman" w:cs="Times New Roman"/>
          <w:sz w:val="24"/>
          <w:szCs w:val="24"/>
        </w:rPr>
        <w:t xml:space="preserve">изграждането на </w:t>
      </w:r>
      <w:r w:rsidRPr="008C3960">
        <w:rPr>
          <w:rFonts w:ascii="Times New Roman" w:eastAsia="Times New Roman" w:hAnsi="Times New Roman" w:cs="Times New Roman"/>
          <w:sz w:val="24"/>
          <w:szCs w:val="24"/>
        </w:rPr>
        <w:t>нова</w:t>
      </w:r>
      <w:r w:rsidR="000E2302">
        <w:rPr>
          <w:rFonts w:ascii="Times New Roman" w:eastAsia="Times New Roman" w:hAnsi="Times New Roman" w:cs="Times New Roman"/>
          <w:sz w:val="24"/>
          <w:szCs w:val="24"/>
        </w:rPr>
        <w:t xml:space="preserve"> административна структура</w:t>
      </w:r>
      <w:r w:rsidRPr="008C3960">
        <w:rPr>
          <w:rFonts w:ascii="Times New Roman" w:eastAsia="Times New Roman" w:hAnsi="Times New Roman" w:cs="Times New Roman"/>
          <w:sz w:val="24"/>
          <w:szCs w:val="24"/>
        </w:rPr>
        <w:t xml:space="preserve"> </w:t>
      </w:r>
      <w:r w:rsidR="000E2302">
        <w:rPr>
          <w:rFonts w:ascii="Times New Roman" w:eastAsia="Times New Roman" w:hAnsi="Times New Roman" w:cs="Times New Roman"/>
          <w:sz w:val="24"/>
          <w:szCs w:val="24"/>
        </w:rPr>
        <w:t>(вътрешно звено или</w:t>
      </w:r>
      <w:r w:rsidRPr="008C3960">
        <w:rPr>
          <w:rFonts w:ascii="Times New Roman" w:eastAsia="Times New Roman" w:hAnsi="Times New Roman" w:cs="Times New Roman"/>
          <w:sz w:val="24"/>
          <w:szCs w:val="24"/>
        </w:rPr>
        <w:t xml:space="preserve"> </w:t>
      </w:r>
      <w:r w:rsidR="000E2302">
        <w:rPr>
          <w:rFonts w:ascii="Times New Roman" w:eastAsia="Times New Roman" w:hAnsi="Times New Roman" w:cs="Times New Roman"/>
          <w:sz w:val="24"/>
          <w:szCs w:val="24"/>
        </w:rPr>
        <w:t>отделна служба/</w:t>
      </w:r>
      <w:r w:rsidRPr="008C3960">
        <w:rPr>
          <w:rFonts w:ascii="Times New Roman" w:eastAsia="Times New Roman" w:hAnsi="Times New Roman" w:cs="Times New Roman"/>
          <w:sz w:val="24"/>
          <w:szCs w:val="24"/>
        </w:rPr>
        <w:t>агенция</w:t>
      </w:r>
      <w:r w:rsidR="000E2302">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или сложна ИТ система. Всякакви разходи за публичния сектор ще бъдат ограничени до усилия за достигане и координация, които вероятно могат да бъдат усвоени в рамките на съществуващите бюджети. </w:t>
      </w:r>
      <w:r w:rsidR="00D036B5">
        <w:rPr>
          <w:rFonts w:ascii="Times New Roman" w:eastAsia="Times New Roman" w:hAnsi="Times New Roman" w:cs="Times New Roman"/>
          <w:sz w:val="24"/>
          <w:szCs w:val="24"/>
        </w:rPr>
        <w:t>Р</w:t>
      </w:r>
      <w:r w:rsidRPr="008C3960">
        <w:rPr>
          <w:rFonts w:ascii="Times New Roman" w:eastAsia="Times New Roman" w:hAnsi="Times New Roman" w:cs="Times New Roman"/>
          <w:sz w:val="24"/>
          <w:szCs w:val="24"/>
        </w:rPr>
        <w:t>азработването на кодекс за поведение може да включва</w:t>
      </w:r>
      <w:r w:rsidR="00C91B3B">
        <w:rPr>
          <w:rFonts w:ascii="Times New Roman" w:eastAsia="Times New Roman" w:hAnsi="Times New Roman" w:cs="Times New Roman"/>
          <w:sz w:val="24"/>
          <w:szCs w:val="24"/>
        </w:rPr>
        <w:t xml:space="preserve"> провеждането на</w:t>
      </w:r>
      <w:r w:rsidRPr="008C3960">
        <w:rPr>
          <w:rFonts w:ascii="Times New Roman" w:eastAsia="Times New Roman" w:hAnsi="Times New Roman" w:cs="Times New Roman"/>
          <w:sz w:val="24"/>
          <w:szCs w:val="24"/>
        </w:rPr>
        <w:t xml:space="preserve"> няколко семинара </w:t>
      </w:r>
      <w:r w:rsidR="00C91B3B">
        <w:rPr>
          <w:rFonts w:ascii="Times New Roman" w:eastAsia="Times New Roman" w:hAnsi="Times New Roman" w:cs="Times New Roman"/>
          <w:sz w:val="24"/>
          <w:szCs w:val="24"/>
        </w:rPr>
        <w:t>или</w:t>
      </w:r>
      <w:r w:rsidRPr="008C3960">
        <w:rPr>
          <w:rFonts w:ascii="Times New Roman" w:eastAsia="Times New Roman" w:hAnsi="Times New Roman" w:cs="Times New Roman"/>
          <w:sz w:val="24"/>
          <w:szCs w:val="24"/>
        </w:rPr>
        <w:t xml:space="preserve"> рекламна кампания</w:t>
      </w:r>
      <w:r w:rsidR="00C91B3B">
        <w:rPr>
          <w:rFonts w:ascii="Times New Roman" w:eastAsia="Times New Roman" w:hAnsi="Times New Roman" w:cs="Times New Roman"/>
          <w:sz w:val="24"/>
          <w:szCs w:val="24"/>
        </w:rPr>
        <w:t xml:space="preserve">, които ще генерират </w:t>
      </w:r>
      <w:r w:rsidRPr="008C3960">
        <w:rPr>
          <w:rFonts w:ascii="Times New Roman" w:eastAsia="Times New Roman" w:hAnsi="Times New Roman" w:cs="Times New Roman"/>
          <w:sz w:val="24"/>
          <w:szCs w:val="24"/>
        </w:rPr>
        <w:t>нищожна сума в сравнение с разходите за</w:t>
      </w:r>
      <w:r>
        <w:rPr>
          <w:rFonts w:ascii="Times New Roman" w:eastAsia="Times New Roman" w:hAnsi="Times New Roman" w:cs="Times New Roman"/>
          <w:sz w:val="24"/>
          <w:szCs w:val="24"/>
        </w:rPr>
        <w:t xml:space="preserve"> правна</w:t>
      </w:r>
      <w:r w:rsidRPr="008C3960">
        <w:rPr>
          <w:rFonts w:ascii="Times New Roman" w:eastAsia="Times New Roman" w:hAnsi="Times New Roman" w:cs="Times New Roman"/>
          <w:sz w:val="24"/>
          <w:szCs w:val="24"/>
        </w:rPr>
        <w:t xml:space="preserve"> регулаторн</w:t>
      </w:r>
      <w:r>
        <w:rPr>
          <w:rFonts w:ascii="Times New Roman" w:eastAsia="Times New Roman" w:hAnsi="Times New Roman" w:cs="Times New Roman"/>
          <w:sz w:val="24"/>
          <w:szCs w:val="24"/>
        </w:rPr>
        <w:t>а</w:t>
      </w:r>
      <w:r w:rsidRPr="008C3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намеса</w:t>
      </w:r>
      <w:r w:rsidRPr="008C3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8C3960">
        <w:rPr>
          <w:rFonts w:ascii="Times New Roman" w:eastAsia="Times New Roman" w:hAnsi="Times New Roman" w:cs="Times New Roman"/>
          <w:sz w:val="24"/>
          <w:szCs w:val="24"/>
        </w:rPr>
        <w:t xml:space="preserve">ероятността от забележима ескалация на разходите </w:t>
      </w:r>
      <w:r>
        <w:rPr>
          <w:rFonts w:ascii="Times New Roman" w:eastAsia="Times New Roman" w:hAnsi="Times New Roman" w:cs="Times New Roman"/>
          <w:sz w:val="24"/>
          <w:szCs w:val="24"/>
        </w:rPr>
        <w:t>е</w:t>
      </w:r>
      <w:r w:rsidRPr="008C3960">
        <w:rPr>
          <w:rFonts w:ascii="Times New Roman" w:eastAsia="Times New Roman" w:hAnsi="Times New Roman" w:cs="Times New Roman"/>
          <w:sz w:val="24"/>
          <w:szCs w:val="24"/>
        </w:rPr>
        <w:t xml:space="preserve"> много ниска </w:t>
      </w:r>
      <w:r w:rsidRPr="008C3960">
        <w:rPr>
          <w:rFonts w:ascii="Times New Roman" w:eastAsia="Times New Roman" w:hAnsi="Times New Roman" w:cs="Times New Roman"/>
          <w:sz w:val="24"/>
          <w:szCs w:val="24"/>
        </w:rPr>
        <w:lastRenderedPageBreak/>
        <w:t>(L=2)</w:t>
      </w:r>
      <w:r>
        <w:rPr>
          <w:rFonts w:ascii="Times New Roman" w:eastAsia="Times New Roman" w:hAnsi="Times New Roman" w:cs="Times New Roman"/>
          <w:sz w:val="24"/>
          <w:szCs w:val="24"/>
        </w:rPr>
        <w:t>, както</w:t>
      </w:r>
      <w:r w:rsidRPr="008C3960">
        <w:rPr>
          <w:rFonts w:ascii="Times New Roman" w:eastAsia="Times New Roman" w:hAnsi="Times New Roman" w:cs="Times New Roman"/>
          <w:sz w:val="24"/>
          <w:szCs w:val="24"/>
        </w:rPr>
        <w:t xml:space="preserve"> и въздействието </w:t>
      </w:r>
      <w:r>
        <w:rPr>
          <w:rFonts w:ascii="Times New Roman" w:eastAsia="Times New Roman" w:hAnsi="Times New Roman" w:cs="Times New Roman"/>
          <w:sz w:val="24"/>
          <w:szCs w:val="24"/>
        </w:rPr>
        <w:t>е</w:t>
      </w:r>
      <w:r w:rsidRPr="008C3960">
        <w:rPr>
          <w:rFonts w:ascii="Times New Roman" w:eastAsia="Times New Roman" w:hAnsi="Times New Roman" w:cs="Times New Roman"/>
          <w:sz w:val="24"/>
          <w:szCs w:val="24"/>
        </w:rPr>
        <w:t xml:space="preserve"> много ниско (I=2). Това отразява очакването, че Вариант 1 на практика</w:t>
      </w:r>
      <w:r>
        <w:rPr>
          <w:rFonts w:ascii="Times New Roman" w:eastAsia="Times New Roman" w:hAnsi="Times New Roman" w:cs="Times New Roman"/>
          <w:sz w:val="24"/>
          <w:szCs w:val="24"/>
        </w:rPr>
        <w:t xml:space="preserve"> не води до</w:t>
      </w:r>
      <w:r w:rsidRPr="008C3960">
        <w:rPr>
          <w:rFonts w:ascii="Times New Roman" w:eastAsia="Times New Roman" w:hAnsi="Times New Roman" w:cs="Times New Roman"/>
          <w:sz w:val="24"/>
          <w:szCs w:val="24"/>
        </w:rPr>
        <w:t xml:space="preserve"> никакви разходи и вероятно няма измерима полза според предишни изчисления на въздействието</w:t>
      </w:r>
      <w:r>
        <w:rPr>
          <w:rFonts w:ascii="Times New Roman" w:eastAsia="Times New Roman" w:hAnsi="Times New Roman" w:cs="Times New Roman"/>
          <w:sz w:val="24"/>
          <w:szCs w:val="24"/>
        </w:rPr>
        <w:t>, като</w:t>
      </w:r>
      <w:r w:rsidRPr="008C3960">
        <w:rPr>
          <w:rFonts w:ascii="Times New Roman" w:eastAsia="Times New Roman" w:hAnsi="Times New Roman" w:cs="Times New Roman"/>
          <w:sz w:val="24"/>
          <w:szCs w:val="24"/>
        </w:rPr>
        <w:t xml:space="preserve"> финансово той е почти неутрален.</w:t>
      </w:r>
      <w:r w:rsidRPr="006C58D7">
        <w:rPr>
          <w:rFonts w:ascii="Times New Roman" w:eastAsia="Times New Roman" w:hAnsi="Times New Roman" w:cs="Times New Roman"/>
          <w:b/>
          <w:bCs/>
          <w:sz w:val="24"/>
          <w:szCs w:val="24"/>
        </w:rPr>
        <w:t xml:space="preserve"> </w:t>
      </w:r>
      <w:r w:rsidRPr="006C58D7">
        <w:rPr>
          <w:rFonts w:ascii="Times New Roman" w:eastAsia="Times New Roman" w:hAnsi="Times New Roman" w:cs="Times New Roman"/>
          <w:bCs/>
          <w:sz w:val="24"/>
          <w:szCs w:val="24"/>
        </w:rPr>
        <w:t>О</w:t>
      </w:r>
      <w:r w:rsidR="000E2302">
        <w:rPr>
          <w:rFonts w:ascii="Times New Roman" w:eastAsia="Times New Roman" w:hAnsi="Times New Roman" w:cs="Times New Roman"/>
          <w:bCs/>
          <w:sz w:val="24"/>
          <w:szCs w:val="24"/>
        </w:rPr>
        <w:t xml:space="preserve">ттук може да се определи по тази категория обща </w:t>
      </w:r>
      <w:r w:rsidR="000E2302" w:rsidRPr="000E2302">
        <w:rPr>
          <w:rFonts w:ascii="Times New Roman" w:eastAsia="Times New Roman" w:hAnsi="Times New Roman" w:cs="Times New Roman"/>
          <w:b/>
          <w:bCs/>
          <w:sz w:val="24"/>
          <w:szCs w:val="24"/>
        </w:rPr>
        <w:t>о</w:t>
      </w:r>
      <w:r w:rsidRPr="000E2302">
        <w:rPr>
          <w:rFonts w:ascii="Times New Roman" w:eastAsia="Times New Roman" w:hAnsi="Times New Roman" w:cs="Times New Roman"/>
          <w:b/>
          <w:bCs/>
          <w:sz w:val="24"/>
          <w:szCs w:val="24"/>
        </w:rPr>
        <w:t>ценка на риска</w:t>
      </w:r>
      <w:r w:rsidR="00A5236A">
        <w:rPr>
          <w:rFonts w:ascii="Times New Roman" w:eastAsia="Times New Roman" w:hAnsi="Times New Roman" w:cs="Times New Roman"/>
          <w:b/>
          <w:bCs/>
          <w:sz w:val="24"/>
          <w:szCs w:val="24"/>
        </w:rPr>
        <w:t xml:space="preserve"> </w:t>
      </w:r>
      <w:r w:rsidR="00A5236A" w:rsidRPr="006C58D7">
        <w:rPr>
          <w:rFonts w:ascii="Times New Roman" w:eastAsia="Times New Roman" w:hAnsi="Times New Roman" w:cs="Times New Roman"/>
          <w:bCs/>
          <w:sz w:val="24"/>
          <w:szCs w:val="24"/>
        </w:rPr>
        <w:t>(2×2)</w:t>
      </w:r>
      <w:r w:rsidRPr="000E2302">
        <w:rPr>
          <w:rFonts w:ascii="Times New Roman" w:eastAsia="Times New Roman" w:hAnsi="Times New Roman" w:cs="Times New Roman"/>
          <w:b/>
          <w:bCs/>
          <w:sz w:val="24"/>
          <w:szCs w:val="24"/>
        </w:rPr>
        <w:t xml:space="preserve"> </w:t>
      </w:r>
      <w:r w:rsidR="000E2302" w:rsidRPr="000E2302">
        <w:rPr>
          <w:rFonts w:ascii="Times New Roman" w:eastAsia="Times New Roman" w:hAnsi="Times New Roman" w:cs="Times New Roman"/>
          <w:b/>
          <w:sz w:val="24"/>
          <w:szCs w:val="24"/>
        </w:rPr>
        <w:t xml:space="preserve">= </w:t>
      </w:r>
      <w:r w:rsidRPr="000E2302">
        <w:rPr>
          <w:rFonts w:ascii="Times New Roman" w:eastAsia="Times New Roman" w:hAnsi="Times New Roman" w:cs="Times New Roman"/>
          <w:b/>
          <w:bCs/>
          <w:sz w:val="24"/>
          <w:szCs w:val="24"/>
        </w:rPr>
        <w:t>4</w:t>
      </w:r>
      <w:r w:rsidRPr="006C58D7">
        <w:rPr>
          <w:rFonts w:ascii="Times New Roman" w:eastAsia="Times New Roman" w:hAnsi="Times New Roman" w:cs="Times New Roman"/>
          <w:bCs/>
          <w:sz w:val="24"/>
          <w:szCs w:val="24"/>
        </w:rPr>
        <w:t>.</w:t>
      </w:r>
    </w:p>
    <w:p w14:paraId="2E9C1639"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p>
    <w:p w14:paraId="350D4759" w14:textId="77777777" w:rsidR="00E16161" w:rsidRDefault="00E16161" w:rsidP="00E16161">
      <w:pPr>
        <w:spacing w:after="0" w:line="240" w:lineRule="auto"/>
        <w:ind w:firstLine="567"/>
        <w:jc w:val="both"/>
        <w:rPr>
          <w:rFonts w:ascii="Times New Roman" w:eastAsia="Times New Roman" w:hAnsi="Times New Roman" w:cs="Times New Roman"/>
          <w:i/>
          <w:iCs/>
          <w:sz w:val="24"/>
          <w:szCs w:val="24"/>
        </w:rPr>
      </w:pPr>
      <w:r w:rsidRPr="006C58D7">
        <w:rPr>
          <w:rFonts w:ascii="Times New Roman" w:eastAsia="Times New Roman" w:hAnsi="Times New Roman" w:cs="Times New Roman"/>
          <w:b/>
          <w:i/>
          <w:sz w:val="24"/>
          <w:szCs w:val="24"/>
        </w:rPr>
        <w:t xml:space="preserve">1.2. </w:t>
      </w:r>
      <w:r w:rsidRPr="006C58D7">
        <w:rPr>
          <w:rFonts w:ascii="Times New Roman" w:eastAsia="Times New Roman" w:hAnsi="Times New Roman" w:cs="Times New Roman"/>
          <w:b/>
          <w:bCs/>
          <w:i/>
          <w:sz w:val="24"/>
          <w:szCs w:val="24"/>
        </w:rPr>
        <w:t>Отрицателни въздействия върху МСП:</w:t>
      </w:r>
      <w:r w:rsidRPr="006C58D7">
        <w:rPr>
          <w:rFonts w:ascii="Times New Roman" w:eastAsia="Times New Roman" w:hAnsi="Times New Roman" w:cs="Times New Roman"/>
          <w:b/>
          <w:i/>
          <w:sz w:val="24"/>
          <w:szCs w:val="24"/>
        </w:rPr>
        <w:t xml:space="preserve"> </w:t>
      </w:r>
      <w:r w:rsidRPr="006C58D7">
        <w:rPr>
          <w:rFonts w:ascii="Times New Roman" w:eastAsia="Times New Roman" w:hAnsi="Times New Roman" w:cs="Times New Roman"/>
          <w:b/>
          <w:i/>
          <w:iCs/>
          <w:sz w:val="24"/>
          <w:szCs w:val="24"/>
        </w:rPr>
        <w:t>Висок риск от ли</w:t>
      </w:r>
      <w:r>
        <w:rPr>
          <w:rFonts w:ascii="Times New Roman" w:eastAsia="Times New Roman" w:hAnsi="Times New Roman" w:cs="Times New Roman"/>
          <w:b/>
          <w:i/>
          <w:iCs/>
          <w:sz w:val="24"/>
          <w:szCs w:val="24"/>
        </w:rPr>
        <w:t>пса на достатъчна защита на МСП</w:t>
      </w:r>
    </w:p>
    <w:p w14:paraId="5976F57A" w14:textId="1748BCAD" w:rsidR="00E16161" w:rsidRDefault="00E16161" w:rsidP="00B920D8">
      <w:pPr>
        <w:spacing w:after="0" w:line="240" w:lineRule="auto"/>
        <w:ind w:firstLine="567"/>
        <w:jc w:val="both"/>
        <w:rPr>
          <w:rFonts w:ascii="Times New Roman" w:eastAsia="Times New Roman" w:hAnsi="Times New Roman" w:cs="Times New Roman"/>
          <w:sz w:val="24"/>
          <w:szCs w:val="24"/>
        </w:rPr>
      </w:pPr>
      <w:r w:rsidRPr="008C3960">
        <w:rPr>
          <w:rFonts w:ascii="Times New Roman" w:eastAsia="Times New Roman" w:hAnsi="Times New Roman" w:cs="Times New Roman"/>
          <w:sz w:val="24"/>
          <w:szCs w:val="24"/>
        </w:rPr>
        <w:t xml:space="preserve">Въпреки че Вариант 1 има за цел да подобри условията чрез сътрудничество, неговият </w:t>
      </w:r>
      <w:r>
        <w:rPr>
          <w:rFonts w:ascii="Times New Roman" w:eastAsia="Times New Roman" w:hAnsi="Times New Roman" w:cs="Times New Roman"/>
          <w:sz w:val="24"/>
          <w:szCs w:val="24"/>
        </w:rPr>
        <w:t xml:space="preserve">правно </w:t>
      </w:r>
      <w:r w:rsidRPr="008C3960">
        <w:rPr>
          <w:rFonts w:ascii="Times New Roman" w:eastAsia="Times New Roman" w:hAnsi="Times New Roman" w:cs="Times New Roman"/>
          <w:sz w:val="24"/>
          <w:szCs w:val="24"/>
        </w:rPr>
        <w:t xml:space="preserve">необвързващ характер означава, </w:t>
      </w:r>
      <w:r w:rsidRPr="006C58D7">
        <w:rPr>
          <w:rFonts w:ascii="Times New Roman" w:eastAsia="Times New Roman" w:hAnsi="Times New Roman" w:cs="Times New Roman"/>
          <w:sz w:val="24"/>
          <w:szCs w:val="24"/>
        </w:rPr>
        <w:t xml:space="preserve">че </w:t>
      </w:r>
      <w:r w:rsidRPr="006C58D7">
        <w:rPr>
          <w:rFonts w:ascii="Times New Roman" w:eastAsia="Times New Roman" w:hAnsi="Times New Roman" w:cs="Times New Roman"/>
          <w:bCs/>
          <w:sz w:val="24"/>
          <w:szCs w:val="24"/>
        </w:rPr>
        <w:t xml:space="preserve">МСП ще продължат да понасят ефектите от нелоялни търговски практики </w:t>
      </w:r>
      <w:r w:rsidRPr="008C3960">
        <w:rPr>
          <w:rFonts w:ascii="Times New Roman" w:eastAsia="Times New Roman" w:hAnsi="Times New Roman" w:cs="Times New Roman"/>
          <w:sz w:val="24"/>
          <w:szCs w:val="24"/>
        </w:rPr>
        <w:t>почти толкова, колкото и при Вариант 0. Големите купувачи могат да избират дали да се придържат към доброволните стандарти</w:t>
      </w:r>
      <w:r w:rsidR="00D036B5">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или не. Дори ако големите вериги за търговия на дребно публично се ангажират с</w:t>
      </w:r>
      <w:r w:rsidR="00C041DA">
        <w:rPr>
          <w:rFonts w:ascii="Times New Roman" w:eastAsia="Times New Roman" w:hAnsi="Times New Roman" w:cs="Times New Roman"/>
          <w:sz w:val="24"/>
          <w:szCs w:val="24"/>
        </w:rPr>
        <w:t xml:space="preserve"> придържане единствено към</w:t>
      </w:r>
      <w:r w:rsidRPr="008C3960">
        <w:rPr>
          <w:rFonts w:ascii="Times New Roman" w:eastAsia="Times New Roman" w:hAnsi="Times New Roman" w:cs="Times New Roman"/>
          <w:sz w:val="24"/>
          <w:szCs w:val="24"/>
        </w:rPr>
        <w:t xml:space="preserve"> </w:t>
      </w:r>
      <w:r w:rsidR="00C041DA">
        <w:rPr>
          <w:rFonts w:ascii="Times New Roman" w:eastAsia="Times New Roman" w:hAnsi="Times New Roman" w:cs="Times New Roman"/>
          <w:sz w:val="24"/>
          <w:szCs w:val="24"/>
        </w:rPr>
        <w:t>добросъвестни</w:t>
      </w:r>
      <w:r w:rsidRPr="008C3960">
        <w:rPr>
          <w:rFonts w:ascii="Times New Roman" w:eastAsia="Times New Roman" w:hAnsi="Times New Roman" w:cs="Times New Roman"/>
          <w:sz w:val="24"/>
          <w:szCs w:val="24"/>
        </w:rPr>
        <w:t xml:space="preserve"> сделки, </w:t>
      </w:r>
      <w:r w:rsidR="00B920D8">
        <w:rPr>
          <w:rFonts w:ascii="Times New Roman" w:eastAsia="Times New Roman" w:hAnsi="Times New Roman" w:cs="Times New Roman"/>
          <w:sz w:val="24"/>
          <w:szCs w:val="24"/>
        </w:rPr>
        <w:t>това положение не е общовалидно и лесно може да се променя</w:t>
      </w:r>
      <w:r w:rsidRPr="008C3960">
        <w:rPr>
          <w:rFonts w:ascii="Times New Roman" w:eastAsia="Times New Roman" w:hAnsi="Times New Roman" w:cs="Times New Roman"/>
          <w:sz w:val="24"/>
          <w:szCs w:val="24"/>
        </w:rPr>
        <w:t xml:space="preserve">. Миналият опит в ЕС показва, че доброволните инициативи имат </w:t>
      </w:r>
      <w:r w:rsidRPr="006C58D7">
        <w:rPr>
          <w:rFonts w:ascii="Times New Roman" w:eastAsia="Times New Roman" w:hAnsi="Times New Roman" w:cs="Times New Roman"/>
          <w:bCs/>
          <w:sz w:val="24"/>
          <w:szCs w:val="24"/>
        </w:rPr>
        <w:t>ограничена ефективност</w:t>
      </w:r>
      <w:r>
        <w:rPr>
          <w:rFonts w:ascii="Times New Roman" w:eastAsia="Times New Roman" w:hAnsi="Times New Roman" w:cs="Times New Roman"/>
          <w:sz w:val="24"/>
          <w:szCs w:val="24"/>
        </w:rPr>
        <w:t xml:space="preserve">. </w:t>
      </w:r>
      <w:r w:rsidRPr="008C3960">
        <w:rPr>
          <w:rFonts w:ascii="Times New Roman" w:eastAsia="Times New Roman" w:hAnsi="Times New Roman" w:cs="Times New Roman"/>
          <w:sz w:val="24"/>
          <w:szCs w:val="24"/>
        </w:rPr>
        <w:t>Европейската комисия отбеляз</w:t>
      </w:r>
      <w:r w:rsidR="00C041DA">
        <w:rPr>
          <w:rFonts w:ascii="Times New Roman" w:eastAsia="Times New Roman" w:hAnsi="Times New Roman" w:cs="Times New Roman"/>
          <w:sz w:val="24"/>
          <w:szCs w:val="24"/>
        </w:rPr>
        <w:t>в</w:t>
      </w:r>
      <w:r w:rsidRPr="008C3960">
        <w:rPr>
          <w:rFonts w:ascii="Times New Roman" w:eastAsia="Times New Roman" w:hAnsi="Times New Roman" w:cs="Times New Roman"/>
          <w:sz w:val="24"/>
          <w:szCs w:val="24"/>
        </w:rPr>
        <w:t xml:space="preserve">а, че чисто доброволните рамки не премахват </w:t>
      </w:r>
      <w:r w:rsidR="00C041DA">
        <w:rPr>
          <w:rFonts w:ascii="Times New Roman" w:eastAsia="Times New Roman" w:hAnsi="Times New Roman" w:cs="Times New Roman"/>
          <w:sz w:val="24"/>
          <w:szCs w:val="24"/>
        </w:rPr>
        <w:t>нелоялните търговски практики</w:t>
      </w:r>
      <w:r>
        <w:rPr>
          <w:rFonts w:ascii="Times New Roman" w:eastAsia="Times New Roman" w:hAnsi="Times New Roman" w:cs="Times New Roman"/>
          <w:sz w:val="24"/>
          <w:szCs w:val="24"/>
        </w:rPr>
        <w:t>, тъй като не всички участници ги приемат</w:t>
      </w:r>
      <w:r w:rsidR="00C041DA">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w:t>
      </w:r>
      <w:r w:rsidR="00C041DA">
        <w:rPr>
          <w:rFonts w:ascii="Times New Roman" w:eastAsia="Times New Roman" w:hAnsi="Times New Roman" w:cs="Times New Roman"/>
          <w:sz w:val="24"/>
          <w:szCs w:val="24"/>
        </w:rPr>
        <w:t>а</w:t>
      </w:r>
      <w:r w:rsidRPr="008C3960">
        <w:rPr>
          <w:rFonts w:ascii="Times New Roman" w:eastAsia="Times New Roman" w:hAnsi="Times New Roman" w:cs="Times New Roman"/>
          <w:sz w:val="24"/>
          <w:szCs w:val="24"/>
        </w:rPr>
        <w:t xml:space="preserve"> прилагането </w:t>
      </w:r>
      <w:r w:rsidR="00C041DA">
        <w:rPr>
          <w:rFonts w:ascii="Times New Roman" w:eastAsia="Times New Roman" w:hAnsi="Times New Roman" w:cs="Times New Roman"/>
          <w:sz w:val="24"/>
          <w:szCs w:val="24"/>
        </w:rPr>
        <w:t>остава</w:t>
      </w:r>
      <w:r w:rsidR="00C041DA" w:rsidRPr="008C3960">
        <w:rPr>
          <w:rFonts w:ascii="Times New Roman" w:eastAsia="Times New Roman" w:hAnsi="Times New Roman" w:cs="Times New Roman"/>
          <w:sz w:val="24"/>
          <w:szCs w:val="24"/>
        </w:rPr>
        <w:t xml:space="preserve"> </w:t>
      </w:r>
      <w:r w:rsidRPr="008C3960">
        <w:rPr>
          <w:rFonts w:ascii="Times New Roman" w:eastAsia="Times New Roman" w:hAnsi="Times New Roman" w:cs="Times New Roman"/>
          <w:sz w:val="24"/>
          <w:szCs w:val="24"/>
        </w:rPr>
        <w:t>слабо. Следователно</w:t>
      </w:r>
      <w:r w:rsidR="00C041DA">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w:t>
      </w:r>
      <w:r w:rsidRPr="006C58D7">
        <w:rPr>
          <w:rFonts w:ascii="Times New Roman" w:eastAsia="Times New Roman" w:hAnsi="Times New Roman" w:cs="Times New Roman"/>
          <w:bCs/>
          <w:sz w:val="24"/>
          <w:szCs w:val="24"/>
        </w:rPr>
        <w:t>вероятността</w:t>
      </w:r>
      <w:r w:rsidRPr="008C3960">
        <w:rPr>
          <w:rFonts w:ascii="Times New Roman" w:eastAsia="Times New Roman" w:hAnsi="Times New Roman" w:cs="Times New Roman"/>
          <w:b/>
          <w:bCs/>
          <w:sz w:val="24"/>
          <w:szCs w:val="24"/>
        </w:rPr>
        <w:t xml:space="preserve"> </w:t>
      </w:r>
      <w:r w:rsidRPr="008C3960">
        <w:rPr>
          <w:rFonts w:ascii="Times New Roman" w:eastAsia="Times New Roman" w:hAnsi="Times New Roman" w:cs="Times New Roman"/>
          <w:sz w:val="24"/>
          <w:szCs w:val="24"/>
        </w:rPr>
        <w:t>МСП да продължат да се сблъскват с</w:t>
      </w:r>
      <w:r>
        <w:rPr>
          <w:rFonts w:ascii="Times New Roman" w:eastAsia="Times New Roman" w:hAnsi="Times New Roman" w:cs="Times New Roman"/>
          <w:sz w:val="24"/>
          <w:szCs w:val="24"/>
        </w:rPr>
        <w:t xml:space="preserve"> идентифицираните проблеми </w:t>
      </w:r>
      <w:r w:rsidRPr="008C3960">
        <w:rPr>
          <w:rFonts w:ascii="Times New Roman" w:eastAsia="Times New Roman" w:hAnsi="Times New Roman" w:cs="Times New Roman"/>
          <w:sz w:val="24"/>
          <w:szCs w:val="24"/>
        </w:rPr>
        <w:t>е висока (L=4). Въздействието остава</w:t>
      </w:r>
      <w:r w:rsidR="00D036B5">
        <w:rPr>
          <w:rFonts w:ascii="Times New Roman" w:eastAsia="Times New Roman" w:hAnsi="Times New Roman" w:cs="Times New Roman"/>
          <w:sz w:val="24"/>
          <w:szCs w:val="24"/>
        </w:rPr>
        <w:t xml:space="preserve"> също</w:t>
      </w:r>
      <w:r w:rsidRPr="008C3960">
        <w:rPr>
          <w:rFonts w:ascii="Times New Roman" w:eastAsia="Times New Roman" w:hAnsi="Times New Roman" w:cs="Times New Roman"/>
          <w:sz w:val="24"/>
          <w:szCs w:val="24"/>
        </w:rPr>
        <w:t xml:space="preserve"> високо (I=4), тъй като засегнатите МСП могат да изпитат сериоз</w:t>
      </w:r>
      <w:r>
        <w:rPr>
          <w:rFonts w:ascii="Times New Roman" w:eastAsia="Times New Roman" w:hAnsi="Times New Roman" w:cs="Times New Roman"/>
          <w:sz w:val="24"/>
          <w:szCs w:val="24"/>
        </w:rPr>
        <w:t>е</w:t>
      </w:r>
      <w:r w:rsidRPr="008C3960">
        <w:rPr>
          <w:rFonts w:ascii="Times New Roman" w:eastAsia="Times New Roman" w:hAnsi="Times New Roman" w:cs="Times New Roman"/>
          <w:sz w:val="24"/>
          <w:szCs w:val="24"/>
        </w:rPr>
        <w:t>н финансов на</w:t>
      </w:r>
      <w:r>
        <w:rPr>
          <w:rFonts w:ascii="Times New Roman" w:eastAsia="Times New Roman" w:hAnsi="Times New Roman" w:cs="Times New Roman"/>
          <w:sz w:val="24"/>
          <w:szCs w:val="24"/>
        </w:rPr>
        <w:t>тиск</w:t>
      </w:r>
      <w:r w:rsidR="00B920D8">
        <w:rPr>
          <w:rFonts w:ascii="Times New Roman" w:eastAsia="Times New Roman" w:hAnsi="Times New Roman" w:cs="Times New Roman"/>
          <w:sz w:val="24"/>
          <w:szCs w:val="24"/>
        </w:rPr>
        <w:t xml:space="preserve"> (например</w:t>
      </w:r>
      <w:r w:rsidRPr="008C3960">
        <w:rPr>
          <w:rFonts w:ascii="Times New Roman" w:eastAsia="Times New Roman" w:hAnsi="Times New Roman" w:cs="Times New Roman"/>
          <w:sz w:val="24"/>
          <w:szCs w:val="24"/>
        </w:rPr>
        <w:t xml:space="preserve"> забавени плащания, оказващи влияние върху паричния поток, или да бъдат принудени да приемат по-ниски цени, което подкопава техните маржове на печалба</w:t>
      </w:r>
      <w:r w:rsidRPr="006C58D7">
        <w:rPr>
          <w:rFonts w:ascii="Times New Roman" w:eastAsia="Times New Roman" w:hAnsi="Times New Roman" w:cs="Times New Roman"/>
          <w:sz w:val="24"/>
          <w:szCs w:val="24"/>
        </w:rPr>
        <w:t>)</w:t>
      </w:r>
      <w:r w:rsidRPr="006C58D7">
        <w:rPr>
          <w:rFonts w:ascii="Times New Roman" w:eastAsia="Times New Roman" w:hAnsi="Times New Roman" w:cs="Times New Roman"/>
          <w:bCs/>
          <w:sz w:val="24"/>
          <w:szCs w:val="24"/>
        </w:rPr>
        <w:t>.</w:t>
      </w:r>
      <w:r w:rsidRPr="008C3960">
        <w:rPr>
          <w:rFonts w:ascii="Times New Roman" w:eastAsia="Times New Roman" w:hAnsi="Times New Roman" w:cs="Times New Roman"/>
          <w:b/>
          <w:bCs/>
          <w:sz w:val="24"/>
          <w:szCs w:val="24"/>
        </w:rPr>
        <w:t xml:space="preserve"> </w:t>
      </w:r>
      <w:r w:rsidRPr="008C3960">
        <w:rPr>
          <w:rFonts w:ascii="Times New Roman" w:eastAsia="Times New Roman" w:hAnsi="Times New Roman" w:cs="Times New Roman"/>
          <w:sz w:val="24"/>
          <w:szCs w:val="24"/>
        </w:rPr>
        <w:t>Над 40% от земеделските стопанства в България са много малки (под 2 хектара) и работят на натурално или полупазарно ниво</w:t>
      </w:r>
      <w:r>
        <w:rPr>
          <w:rFonts w:ascii="Times New Roman" w:eastAsia="Times New Roman" w:hAnsi="Times New Roman" w:cs="Times New Roman"/>
          <w:sz w:val="24"/>
          <w:szCs w:val="24"/>
        </w:rPr>
        <w:t xml:space="preserve">. </w:t>
      </w:r>
      <w:r w:rsidRPr="008C3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8C3960">
        <w:rPr>
          <w:rFonts w:ascii="Times New Roman" w:eastAsia="Times New Roman" w:hAnsi="Times New Roman" w:cs="Times New Roman"/>
          <w:sz w:val="24"/>
          <w:szCs w:val="24"/>
        </w:rPr>
        <w:t xml:space="preserve">ези субекти са изключително уязвими към всякакви неблагоприятни търговски условия. Вариант 1 </w:t>
      </w:r>
      <w:r>
        <w:rPr>
          <w:rFonts w:ascii="Times New Roman" w:eastAsia="Times New Roman" w:hAnsi="Times New Roman" w:cs="Times New Roman"/>
          <w:sz w:val="24"/>
          <w:szCs w:val="24"/>
        </w:rPr>
        <w:t>създава минимални промени, които</w:t>
      </w:r>
      <w:r w:rsidRPr="008C3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не могат </w:t>
      </w:r>
      <w:r w:rsidRPr="008C3960">
        <w:rPr>
          <w:rFonts w:ascii="Times New Roman" w:eastAsia="Times New Roman" w:hAnsi="Times New Roman" w:cs="Times New Roman"/>
          <w:sz w:val="24"/>
          <w:szCs w:val="24"/>
        </w:rPr>
        <w:t>осезаемо</w:t>
      </w:r>
      <w:r>
        <w:rPr>
          <w:rFonts w:ascii="Times New Roman" w:eastAsia="Times New Roman" w:hAnsi="Times New Roman" w:cs="Times New Roman"/>
          <w:sz w:val="24"/>
          <w:szCs w:val="24"/>
        </w:rPr>
        <w:t xml:space="preserve"> да</w:t>
      </w:r>
      <w:r w:rsidRPr="008C3960">
        <w:rPr>
          <w:rFonts w:ascii="Times New Roman" w:eastAsia="Times New Roman" w:hAnsi="Times New Roman" w:cs="Times New Roman"/>
          <w:sz w:val="24"/>
          <w:szCs w:val="24"/>
        </w:rPr>
        <w:t xml:space="preserve"> подобря</w:t>
      </w:r>
      <w:r>
        <w:rPr>
          <w:rFonts w:ascii="Times New Roman" w:eastAsia="Times New Roman" w:hAnsi="Times New Roman" w:cs="Times New Roman"/>
          <w:sz w:val="24"/>
          <w:szCs w:val="24"/>
        </w:rPr>
        <w:t>т</w:t>
      </w:r>
      <w:r w:rsidR="00B920D8">
        <w:rPr>
          <w:rFonts w:ascii="Times New Roman" w:eastAsia="Times New Roman" w:hAnsi="Times New Roman" w:cs="Times New Roman"/>
          <w:sz w:val="24"/>
          <w:szCs w:val="24"/>
        </w:rPr>
        <w:t xml:space="preserve"> тяхното положение.</w:t>
      </w:r>
      <w:r w:rsidRPr="006C58D7">
        <w:rPr>
          <w:rFonts w:ascii="Times New Roman" w:eastAsia="Times New Roman" w:hAnsi="Times New Roman" w:cs="Times New Roman"/>
          <w:sz w:val="24"/>
          <w:szCs w:val="24"/>
        </w:rPr>
        <w:t xml:space="preserve"> </w:t>
      </w:r>
      <w:r w:rsidRPr="006C58D7">
        <w:rPr>
          <w:rFonts w:ascii="Times New Roman" w:eastAsia="Times New Roman" w:hAnsi="Times New Roman" w:cs="Times New Roman"/>
          <w:bCs/>
          <w:sz w:val="24"/>
          <w:szCs w:val="24"/>
        </w:rPr>
        <w:t xml:space="preserve">МСП биха получили само слаба защита </w:t>
      </w:r>
      <w:r w:rsidRPr="006C58D7">
        <w:rPr>
          <w:rFonts w:ascii="Times New Roman" w:eastAsia="Times New Roman" w:hAnsi="Times New Roman" w:cs="Times New Roman"/>
          <w:sz w:val="24"/>
          <w:szCs w:val="24"/>
        </w:rPr>
        <w:t xml:space="preserve">при доброволни мерки, запазвайки висок </w:t>
      </w:r>
      <w:r w:rsidR="00D036B5" w:rsidRPr="006C58D7">
        <w:rPr>
          <w:rFonts w:ascii="Times New Roman" w:eastAsia="Times New Roman" w:hAnsi="Times New Roman" w:cs="Times New Roman"/>
          <w:sz w:val="24"/>
          <w:szCs w:val="24"/>
        </w:rPr>
        <w:t>риск</w:t>
      </w:r>
      <w:r w:rsidR="00D036B5">
        <w:rPr>
          <w:rFonts w:ascii="Times New Roman" w:eastAsia="Times New Roman" w:hAnsi="Times New Roman" w:cs="Times New Roman"/>
          <w:sz w:val="24"/>
          <w:szCs w:val="24"/>
        </w:rPr>
        <w:t>а</w:t>
      </w:r>
      <w:r w:rsidR="00D036B5" w:rsidRPr="006C58D7">
        <w:rPr>
          <w:rFonts w:ascii="Times New Roman" w:eastAsia="Times New Roman" w:hAnsi="Times New Roman" w:cs="Times New Roman"/>
          <w:sz w:val="24"/>
          <w:szCs w:val="24"/>
        </w:rPr>
        <w:t xml:space="preserve"> </w:t>
      </w:r>
      <w:r w:rsidRPr="006C58D7">
        <w:rPr>
          <w:rFonts w:ascii="Times New Roman" w:eastAsia="Times New Roman" w:hAnsi="Times New Roman" w:cs="Times New Roman"/>
          <w:sz w:val="24"/>
          <w:szCs w:val="24"/>
        </w:rPr>
        <w:t>положението им във веригата на доставки да остане несигурн</w:t>
      </w:r>
      <w:r>
        <w:rPr>
          <w:rFonts w:ascii="Times New Roman" w:eastAsia="Times New Roman" w:hAnsi="Times New Roman" w:cs="Times New Roman"/>
          <w:sz w:val="24"/>
          <w:szCs w:val="24"/>
        </w:rPr>
        <w:t>о</w:t>
      </w:r>
      <w:r w:rsidRPr="006C58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575AF">
        <w:rPr>
          <w:rFonts w:ascii="Times New Roman" w:eastAsia="Times New Roman" w:hAnsi="Times New Roman" w:cs="Times New Roman"/>
          <w:sz w:val="24"/>
          <w:szCs w:val="24"/>
        </w:rPr>
        <w:t>Оттук</w:t>
      </w:r>
      <w:r w:rsidR="00D036B5">
        <w:rPr>
          <w:rFonts w:ascii="Times New Roman" w:eastAsia="Times New Roman" w:hAnsi="Times New Roman" w:cs="Times New Roman"/>
          <w:sz w:val="24"/>
          <w:szCs w:val="24"/>
        </w:rPr>
        <w:t>,</w:t>
      </w:r>
      <w:r w:rsidRPr="002575AF">
        <w:rPr>
          <w:rFonts w:ascii="Times New Roman" w:eastAsia="Times New Roman" w:hAnsi="Times New Roman" w:cs="Times New Roman"/>
          <w:sz w:val="24"/>
          <w:szCs w:val="24"/>
        </w:rPr>
        <w:t xml:space="preserve"> </w:t>
      </w:r>
      <w:r w:rsidR="00B920D8">
        <w:rPr>
          <w:rFonts w:ascii="Times New Roman" w:eastAsia="Times New Roman" w:hAnsi="Times New Roman" w:cs="Times New Roman"/>
          <w:sz w:val="24"/>
          <w:szCs w:val="24"/>
        </w:rPr>
        <w:t xml:space="preserve">може да се определи, че по тази категория вариантът е с </w:t>
      </w:r>
      <w:r w:rsidR="00B920D8" w:rsidRPr="00B920D8">
        <w:rPr>
          <w:rFonts w:ascii="Times New Roman" w:eastAsia="Times New Roman" w:hAnsi="Times New Roman" w:cs="Times New Roman"/>
          <w:b/>
          <w:sz w:val="24"/>
          <w:szCs w:val="24"/>
        </w:rPr>
        <w:t xml:space="preserve">общ </w:t>
      </w:r>
      <w:r w:rsidRPr="00B920D8">
        <w:rPr>
          <w:rFonts w:ascii="Times New Roman" w:eastAsia="Times New Roman" w:hAnsi="Times New Roman" w:cs="Times New Roman"/>
          <w:b/>
          <w:sz w:val="24"/>
          <w:szCs w:val="24"/>
        </w:rPr>
        <w:t>рисков рейтинг</w:t>
      </w:r>
      <w:r w:rsidR="00A5236A">
        <w:rPr>
          <w:rFonts w:ascii="Times New Roman" w:eastAsia="Times New Roman" w:hAnsi="Times New Roman" w:cs="Times New Roman"/>
          <w:b/>
          <w:sz w:val="24"/>
          <w:szCs w:val="24"/>
        </w:rPr>
        <w:t xml:space="preserve"> </w:t>
      </w:r>
      <w:r w:rsidR="00A5236A">
        <w:rPr>
          <w:rFonts w:ascii="Times New Roman" w:eastAsia="Times New Roman" w:hAnsi="Times New Roman" w:cs="Times New Roman"/>
          <w:sz w:val="24"/>
          <w:szCs w:val="24"/>
        </w:rPr>
        <w:t>(4×4)</w:t>
      </w:r>
      <w:r w:rsidRPr="00B920D8">
        <w:rPr>
          <w:rFonts w:ascii="Times New Roman" w:eastAsia="Times New Roman" w:hAnsi="Times New Roman" w:cs="Times New Roman"/>
          <w:b/>
          <w:sz w:val="24"/>
          <w:szCs w:val="24"/>
        </w:rPr>
        <w:t xml:space="preserve"> </w:t>
      </w:r>
      <w:r w:rsidR="00B920D8" w:rsidRPr="00B920D8">
        <w:rPr>
          <w:rFonts w:ascii="Times New Roman" w:eastAsia="Times New Roman" w:hAnsi="Times New Roman" w:cs="Times New Roman"/>
          <w:b/>
          <w:sz w:val="24"/>
          <w:szCs w:val="24"/>
        </w:rPr>
        <w:t xml:space="preserve">= </w:t>
      </w:r>
      <w:r w:rsidRPr="00B920D8">
        <w:rPr>
          <w:rFonts w:ascii="Times New Roman" w:eastAsia="Times New Roman" w:hAnsi="Times New Roman" w:cs="Times New Roman"/>
          <w:b/>
          <w:sz w:val="24"/>
          <w:szCs w:val="24"/>
        </w:rPr>
        <w:t>16</w:t>
      </w:r>
      <w:r w:rsidRPr="002575AF">
        <w:rPr>
          <w:rFonts w:ascii="Times New Roman" w:eastAsia="Times New Roman" w:hAnsi="Times New Roman" w:cs="Times New Roman"/>
          <w:sz w:val="24"/>
          <w:szCs w:val="24"/>
        </w:rPr>
        <w:t>.</w:t>
      </w:r>
    </w:p>
    <w:p w14:paraId="723D6E74" w14:textId="77777777" w:rsidR="00DD69D5" w:rsidRDefault="00DD69D5" w:rsidP="00E16161">
      <w:pPr>
        <w:spacing w:after="0" w:line="240" w:lineRule="auto"/>
        <w:ind w:firstLine="567"/>
        <w:jc w:val="both"/>
        <w:rPr>
          <w:rFonts w:ascii="Times New Roman" w:eastAsia="Times New Roman" w:hAnsi="Times New Roman" w:cs="Times New Roman"/>
          <w:sz w:val="24"/>
          <w:szCs w:val="24"/>
        </w:rPr>
      </w:pPr>
    </w:p>
    <w:p w14:paraId="43B4227C" w14:textId="336596A6" w:rsidR="00E16161" w:rsidRPr="002575AF" w:rsidRDefault="00E16161" w:rsidP="00E16161">
      <w:pPr>
        <w:spacing w:after="0" w:line="240" w:lineRule="auto"/>
        <w:ind w:firstLine="567"/>
        <w:jc w:val="both"/>
        <w:rPr>
          <w:rFonts w:ascii="Times New Roman" w:eastAsia="Times New Roman" w:hAnsi="Times New Roman" w:cs="Times New Roman"/>
          <w:b/>
          <w:i/>
          <w:iCs/>
          <w:sz w:val="24"/>
          <w:szCs w:val="24"/>
        </w:rPr>
      </w:pPr>
      <w:r w:rsidRPr="002575AF">
        <w:rPr>
          <w:rFonts w:ascii="Times New Roman" w:eastAsia="Times New Roman" w:hAnsi="Times New Roman" w:cs="Times New Roman"/>
          <w:b/>
          <w:i/>
          <w:sz w:val="24"/>
          <w:szCs w:val="24"/>
        </w:rPr>
        <w:t xml:space="preserve">1.3. </w:t>
      </w:r>
      <w:r w:rsidR="00B920D8">
        <w:rPr>
          <w:rFonts w:ascii="Times New Roman" w:eastAsia="Times New Roman" w:hAnsi="Times New Roman" w:cs="Times New Roman"/>
          <w:b/>
          <w:bCs/>
          <w:i/>
          <w:sz w:val="24"/>
          <w:szCs w:val="24"/>
        </w:rPr>
        <w:t>Изкривявания на пазара/</w:t>
      </w:r>
      <w:r w:rsidRPr="002575AF">
        <w:rPr>
          <w:rFonts w:ascii="Times New Roman" w:eastAsia="Times New Roman" w:hAnsi="Times New Roman" w:cs="Times New Roman"/>
          <w:b/>
          <w:bCs/>
          <w:i/>
          <w:sz w:val="24"/>
          <w:szCs w:val="24"/>
        </w:rPr>
        <w:t>непредвидени последици:</w:t>
      </w:r>
      <w:r w:rsidRPr="002575AF">
        <w:rPr>
          <w:rFonts w:ascii="Times New Roman" w:eastAsia="Times New Roman" w:hAnsi="Times New Roman" w:cs="Times New Roman"/>
          <w:b/>
          <w:i/>
          <w:sz w:val="24"/>
          <w:szCs w:val="24"/>
        </w:rPr>
        <w:t xml:space="preserve"> </w:t>
      </w:r>
      <w:r w:rsidRPr="002575AF">
        <w:rPr>
          <w:rFonts w:ascii="Times New Roman" w:eastAsia="Times New Roman" w:hAnsi="Times New Roman" w:cs="Times New Roman"/>
          <w:b/>
          <w:i/>
          <w:iCs/>
          <w:sz w:val="24"/>
          <w:szCs w:val="24"/>
        </w:rPr>
        <w:t>Много н</w:t>
      </w:r>
      <w:r>
        <w:rPr>
          <w:rFonts w:ascii="Times New Roman" w:eastAsia="Times New Roman" w:hAnsi="Times New Roman" w:cs="Times New Roman"/>
          <w:b/>
          <w:i/>
          <w:iCs/>
          <w:sz w:val="24"/>
          <w:szCs w:val="24"/>
        </w:rPr>
        <w:t>исък риск от нови изкривявания</w:t>
      </w:r>
    </w:p>
    <w:p w14:paraId="709BCEBA" w14:textId="21EDF1F5" w:rsidR="00E16161" w:rsidRDefault="00E16161" w:rsidP="00E16161">
      <w:pPr>
        <w:spacing w:after="0" w:line="240" w:lineRule="auto"/>
        <w:ind w:firstLine="567"/>
        <w:jc w:val="both"/>
        <w:rPr>
          <w:rFonts w:ascii="Times New Roman" w:eastAsia="Times New Roman" w:hAnsi="Times New Roman" w:cs="Times New Roman"/>
          <w:sz w:val="24"/>
          <w:szCs w:val="24"/>
        </w:rPr>
      </w:pPr>
      <w:r w:rsidRPr="008C3960">
        <w:rPr>
          <w:rFonts w:ascii="Times New Roman" w:eastAsia="Times New Roman" w:hAnsi="Times New Roman" w:cs="Times New Roman"/>
          <w:sz w:val="24"/>
          <w:szCs w:val="24"/>
        </w:rPr>
        <w:t xml:space="preserve">Тъй като </w:t>
      </w:r>
      <w:r w:rsidR="00B920D8" w:rsidRPr="008C3960">
        <w:rPr>
          <w:rFonts w:ascii="Times New Roman" w:eastAsia="Times New Roman" w:hAnsi="Times New Roman" w:cs="Times New Roman"/>
          <w:sz w:val="24"/>
          <w:szCs w:val="24"/>
        </w:rPr>
        <w:t xml:space="preserve">Вариант </w:t>
      </w:r>
      <w:r w:rsidRPr="008C3960">
        <w:rPr>
          <w:rFonts w:ascii="Times New Roman" w:eastAsia="Times New Roman" w:hAnsi="Times New Roman" w:cs="Times New Roman"/>
          <w:sz w:val="24"/>
          <w:szCs w:val="24"/>
        </w:rPr>
        <w:t xml:space="preserve">1 не налага обвързващи правила, той </w:t>
      </w:r>
      <w:r w:rsidRPr="002575AF">
        <w:rPr>
          <w:rFonts w:ascii="Times New Roman" w:eastAsia="Times New Roman" w:hAnsi="Times New Roman" w:cs="Times New Roman"/>
          <w:bCs/>
          <w:sz w:val="24"/>
          <w:szCs w:val="24"/>
        </w:rPr>
        <w:t xml:space="preserve">не въвежда регулаторни изкривявания </w:t>
      </w:r>
      <w:r w:rsidRPr="002575AF">
        <w:rPr>
          <w:rFonts w:ascii="Times New Roman" w:eastAsia="Times New Roman" w:hAnsi="Times New Roman" w:cs="Times New Roman"/>
          <w:sz w:val="24"/>
          <w:szCs w:val="24"/>
        </w:rPr>
        <w:t xml:space="preserve">в цените или </w:t>
      </w:r>
      <w:r w:rsidR="00B920D8">
        <w:rPr>
          <w:rFonts w:ascii="Times New Roman" w:eastAsia="Times New Roman" w:hAnsi="Times New Roman" w:cs="Times New Roman"/>
          <w:sz w:val="24"/>
          <w:szCs w:val="24"/>
        </w:rPr>
        <w:t xml:space="preserve">при </w:t>
      </w:r>
      <w:r w:rsidRPr="002575AF">
        <w:rPr>
          <w:rFonts w:ascii="Times New Roman" w:eastAsia="Times New Roman" w:hAnsi="Times New Roman" w:cs="Times New Roman"/>
          <w:sz w:val="24"/>
          <w:szCs w:val="24"/>
        </w:rPr>
        <w:t>навлизането на пазара. По същество</w:t>
      </w:r>
      <w:r w:rsidR="00C041DA">
        <w:rPr>
          <w:rFonts w:ascii="Times New Roman" w:eastAsia="Times New Roman" w:hAnsi="Times New Roman" w:cs="Times New Roman"/>
          <w:sz w:val="24"/>
          <w:szCs w:val="24"/>
        </w:rPr>
        <w:t>,</w:t>
      </w:r>
      <w:r w:rsidRPr="002575AF">
        <w:rPr>
          <w:rFonts w:ascii="Times New Roman" w:eastAsia="Times New Roman" w:hAnsi="Times New Roman" w:cs="Times New Roman"/>
          <w:sz w:val="24"/>
          <w:szCs w:val="24"/>
        </w:rPr>
        <w:t xml:space="preserve"> няма </w:t>
      </w:r>
      <w:r w:rsidRPr="002575AF">
        <w:rPr>
          <w:rFonts w:ascii="Times New Roman" w:eastAsia="Times New Roman" w:hAnsi="Times New Roman" w:cs="Times New Roman"/>
          <w:bCs/>
          <w:sz w:val="24"/>
          <w:szCs w:val="24"/>
        </w:rPr>
        <w:t>промяна в пазарната структура или условията на конкуренцията</w:t>
      </w:r>
      <w:r w:rsidRPr="002575AF">
        <w:rPr>
          <w:rFonts w:ascii="Times New Roman" w:eastAsia="Times New Roman" w:hAnsi="Times New Roman" w:cs="Times New Roman"/>
          <w:sz w:val="24"/>
          <w:szCs w:val="24"/>
        </w:rPr>
        <w:t xml:space="preserve">. </w:t>
      </w:r>
      <w:r w:rsidRPr="008C3960">
        <w:rPr>
          <w:rFonts w:ascii="Times New Roman" w:eastAsia="Times New Roman" w:hAnsi="Times New Roman" w:cs="Times New Roman"/>
          <w:sz w:val="24"/>
          <w:szCs w:val="24"/>
        </w:rPr>
        <w:t xml:space="preserve">Ако не друго, до степента, в която някои големи играчи доброволно ограничават определени </w:t>
      </w:r>
      <w:r>
        <w:rPr>
          <w:rFonts w:ascii="Times New Roman" w:eastAsia="Times New Roman" w:hAnsi="Times New Roman" w:cs="Times New Roman"/>
          <w:sz w:val="24"/>
          <w:szCs w:val="24"/>
        </w:rPr>
        <w:t>нелоялни</w:t>
      </w:r>
      <w:r w:rsidRPr="008C3960">
        <w:rPr>
          <w:rFonts w:ascii="Times New Roman" w:eastAsia="Times New Roman" w:hAnsi="Times New Roman" w:cs="Times New Roman"/>
          <w:sz w:val="24"/>
          <w:szCs w:val="24"/>
        </w:rPr>
        <w:t xml:space="preserve"> практики, пазарът може незначително </w:t>
      </w:r>
      <w:r w:rsidRPr="002575AF">
        <w:rPr>
          <w:rFonts w:ascii="Times New Roman" w:eastAsia="Times New Roman" w:hAnsi="Times New Roman" w:cs="Times New Roman"/>
          <w:bCs/>
          <w:sz w:val="24"/>
          <w:szCs w:val="24"/>
        </w:rPr>
        <w:t xml:space="preserve">да коригира съществуващите изкривявания </w:t>
      </w:r>
      <w:r w:rsidRPr="002575AF">
        <w:rPr>
          <w:rFonts w:ascii="Times New Roman" w:eastAsia="Times New Roman" w:hAnsi="Times New Roman" w:cs="Times New Roman"/>
          <w:sz w:val="24"/>
          <w:szCs w:val="24"/>
        </w:rPr>
        <w:t>(макар и вероятно само леко</w:t>
      </w:r>
      <w:r w:rsidRPr="008C3960">
        <w:rPr>
          <w:rFonts w:ascii="Times New Roman" w:eastAsia="Times New Roman" w:hAnsi="Times New Roman" w:cs="Times New Roman"/>
          <w:sz w:val="24"/>
          <w:szCs w:val="24"/>
        </w:rPr>
        <w:t>). Тъй като въпросът тук е</w:t>
      </w:r>
      <w:r>
        <w:rPr>
          <w:rFonts w:ascii="Times New Roman" w:eastAsia="Times New Roman" w:hAnsi="Times New Roman" w:cs="Times New Roman"/>
          <w:sz w:val="24"/>
          <w:szCs w:val="24"/>
        </w:rPr>
        <w:t xml:space="preserve"> съществува ли</w:t>
      </w:r>
      <w:r w:rsidRPr="008C3960">
        <w:rPr>
          <w:rFonts w:ascii="Times New Roman" w:eastAsia="Times New Roman" w:hAnsi="Times New Roman" w:cs="Times New Roman"/>
          <w:sz w:val="24"/>
          <w:szCs w:val="24"/>
        </w:rPr>
        <w:t xml:space="preserve"> риск от негативни</w:t>
      </w:r>
      <w:r w:rsidR="00B920D8">
        <w:rPr>
          <w:rFonts w:ascii="Times New Roman" w:eastAsia="Times New Roman" w:hAnsi="Times New Roman" w:cs="Times New Roman"/>
          <w:sz w:val="24"/>
          <w:szCs w:val="24"/>
        </w:rPr>
        <w:t xml:space="preserve">, включително </w:t>
      </w:r>
      <w:r w:rsidRPr="008C3960">
        <w:rPr>
          <w:rFonts w:ascii="Times New Roman" w:eastAsia="Times New Roman" w:hAnsi="Times New Roman" w:cs="Times New Roman"/>
          <w:sz w:val="24"/>
          <w:szCs w:val="24"/>
        </w:rPr>
        <w:t xml:space="preserve">непреднамерени изкривявания, </w:t>
      </w:r>
      <w:r w:rsidRPr="002575AF">
        <w:rPr>
          <w:rFonts w:ascii="Times New Roman" w:eastAsia="Times New Roman" w:hAnsi="Times New Roman" w:cs="Times New Roman"/>
          <w:iCs/>
          <w:sz w:val="24"/>
          <w:szCs w:val="24"/>
        </w:rPr>
        <w:t>причинени от разглеждания вариант на политиката</w:t>
      </w:r>
      <w:r w:rsidRPr="002575AF">
        <w:rPr>
          <w:rFonts w:ascii="Times New Roman" w:eastAsia="Times New Roman" w:hAnsi="Times New Roman" w:cs="Times New Roman"/>
          <w:sz w:val="24"/>
          <w:szCs w:val="24"/>
        </w:rPr>
        <w:t>, Вариант 1 е доста безопасен в тази посока</w:t>
      </w:r>
      <w:r w:rsidRPr="008C3960">
        <w:rPr>
          <w:rFonts w:ascii="Times New Roman" w:eastAsia="Times New Roman" w:hAnsi="Times New Roman" w:cs="Times New Roman"/>
          <w:sz w:val="24"/>
          <w:szCs w:val="24"/>
        </w:rPr>
        <w:t>. Вероятността за изкривяващ резултат е минимална (L=1) и въздей</w:t>
      </w:r>
      <w:r>
        <w:rPr>
          <w:rFonts w:ascii="Times New Roman" w:eastAsia="Times New Roman" w:hAnsi="Times New Roman" w:cs="Times New Roman"/>
          <w:sz w:val="24"/>
          <w:szCs w:val="24"/>
        </w:rPr>
        <w:t xml:space="preserve">ствието би било минимално (I=1). </w:t>
      </w:r>
      <w:r w:rsidRPr="002575AF">
        <w:rPr>
          <w:rFonts w:ascii="Times New Roman" w:eastAsia="Times New Roman" w:hAnsi="Times New Roman" w:cs="Times New Roman"/>
          <w:sz w:val="24"/>
          <w:szCs w:val="24"/>
        </w:rPr>
        <w:t>О</w:t>
      </w:r>
      <w:r w:rsidRPr="002575AF">
        <w:rPr>
          <w:rFonts w:ascii="Times New Roman" w:eastAsia="Times New Roman" w:hAnsi="Times New Roman" w:cs="Times New Roman"/>
          <w:bCs/>
          <w:sz w:val="24"/>
          <w:szCs w:val="24"/>
        </w:rPr>
        <w:t>сновният нежелан резултат може да бъде, че нищо не се променя</w:t>
      </w:r>
      <w:r w:rsidRPr="002575AF">
        <w:rPr>
          <w:rFonts w:ascii="Times New Roman" w:eastAsia="Times New Roman" w:hAnsi="Times New Roman" w:cs="Times New Roman"/>
          <w:sz w:val="24"/>
          <w:szCs w:val="24"/>
        </w:rPr>
        <w:t>, но това попада повече в</w:t>
      </w:r>
      <w:r w:rsidR="00C041DA">
        <w:rPr>
          <w:rFonts w:ascii="Times New Roman" w:eastAsia="Times New Roman" w:hAnsi="Times New Roman" w:cs="Times New Roman"/>
          <w:sz w:val="24"/>
          <w:szCs w:val="24"/>
        </w:rPr>
        <w:t xml:space="preserve"> категорията</w:t>
      </w:r>
      <w:r w:rsidRPr="002575AF">
        <w:rPr>
          <w:rFonts w:ascii="Times New Roman" w:eastAsia="Times New Roman" w:hAnsi="Times New Roman" w:cs="Times New Roman"/>
          <w:sz w:val="24"/>
          <w:szCs w:val="24"/>
        </w:rPr>
        <w:t xml:space="preserve"> „провал на правоприлагането“, отколкото в икономическо изкривяване. По отношение на функционирането на пазара, доброволните кодекси няма да повишат по </w:t>
      </w:r>
      <w:r w:rsidRPr="002575AF">
        <w:rPr>
          <w:rFonts w:ascii="Times New Roman" w:eastAsia="Times New Roman" w:hAnsi="Times New Roman" w:cs="Times New Roman"/>
          <w:sz w:val="24"/>
          <w:szCs w:val="24"/>
        </w:rPr>
        <w:lastRenderedPageBreak/>
        <w:t>невнимание ц</w:t>
      </w:r>
      <w:r>
        <w:rPr>
          <w:rFonts w:ascii="Times New Roman" w:eastAsia="Times New Roman" w:hAnsi="Times New Roman" w:cs="Times New Roman"/>
          <w:sz w:val="24"/>
          <w:szCs w:val="24"/>
        </w:rPr>
        <w:t>ените или да създадат бариери. Те до голяма степен</w:t>
      </w:r>
      <w:r w:rsidRPr="002575AF">
        <w:rPr>
          <w:rFonts w:ascii="Times New Roman" w:eastAsia="Times New Roman" w:hAnsi="Times New Roman" w:cs="Times New Roman"/>
          <w:bCs/>
          <w:sz w:val="24"/>
          <w:szCs w:val="24"/>
        </w:rPr>
        <w:t xml:space="preserve"> оставят пазара такъв</w:t>
      </w:r>
      <w:r w:rsidR="00D036B5">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w:t>
      </w:r>
      <w:r w:rsidRPr="002575AF">
        <w:rPr>
          <w:rFonts w:ascii="Times New Roman" w:eastAsia="Times New Roman" w:hAnsi="Times New Roman" w:cs="Times New Roman"/>
          <w:sz w:val="24"/>
          <w:szCs w:val="24"/>
        </w:rPr>
        <w:t>какъвто е</w:t>
      </w:r>
      <w:r w:rsidRPr="008C39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575AF">
        <w:rPr>
          <w:rFonts w:ascii="Times New Roman" w:eastAsia="Times New Roman" w:hAnsi="Times New Roman" w:cs="Times New Roman"/>
          <w:sz w:val="24"/>
          <w:szCs w:val="24"/>
        </w:rPr>
        <w:t xml:space="preserve">Оттук </w:t>
      </w:r>
      <w:r w:rsidR="00B920D8">
        <w:rPr>
          <w:rFonts w:ascii="Times New Roman" w:eastAsia="Times New Roman" w:hAnsi="Times New Roman" w:cs="Times New Roman"/>
          <w:sz w:val="24"/>
          <w:szCs w:val="24"/>
        </w:rPr>
        <w:t xml:space="preserve">може да се определи, че в тази категория вариантът е с </w:t>
      </w:r>
      <w:r w:rsidR="00B920D8" w:rsidRPr="00B920D8">
        <w:rPr>
          <w:rFonts w:ascii="Times New Roman" w:eastAsia="Times New Roman" w:hAnsi="Times New Roman" w:cs="Times New Roman"/>
          <w:b/>
          <w:sz w:val="24"/>
          <w:szCs w:val="24"/>
        </w:rPr>
        <w:t xml:space="preserve">общ </w:t>
      </w:r>
      <w:r w:rsidRPr="00B920D8">
        <w:rPr>
          <w:rFonts w:ascii="Times New Roman" w:eastAsia="Times New Roman" w:hAnsi="Times New Roman" w:cs="Times New Roman"/>
          <w:b/>
          <w:sz w:val="24"/>
          <w:szCs w:val="24"/>
        </w:rPr>
        <w:t>р</w:t>
      </w:r>
      <w:r w:rsidRPr="00B920D8">
        <w:rPr>
          <w:rFonts w:ascii="Times New Roman" w:eastAsia="Times New Roman" w:hAnsi="Times New Roman" w:cs="Times New Roman"/>
          <w:b/>
          <w:bCs/>
          <w:sz w:val="24"/>
          <w:szCs w:val="24"/>
        </w:rPr>
        <w:t>исков рейтинг</w:t>
      </w:r>
      <w:r w:rsidR="00A5236A">
        <w:rPr>
          <w:rFonts w:ascii="Times New Roman" w:eastAsia="Times New Roman" w:hAnsi="Times New Roman" w:cs="Times New Roman"/>
          <w:b/>
          <w:bCs/>
          <w:sz w:val="24"/>
          <w:szCs w:val="24"/>
        </w:rPr>
        <w:t xml:space="preserve"> </w:t>
      </w:r>
      <w:r w:rsidR="00A5236A" w:rsidRPr="00A5236A">
        <w:rPr>
          <w:rFonts w:ascii="Times New Roman" w:eastAsia="Times New Roman" w:hAnsi="Times New Roman" w:cs="Times New Roman"/>
          <w:bCs/>
          <w:sz w:val="24"/>
          <w:szCs w:val="24"/>
        </w:rPr>
        <w:t>(1×1)</w:t>
      </w:r>
      <w:r w:rsidRPr="00B920D8">
        <w:rPr>
          <w:rFonts w:ascii="Times New Roman" w:eastAsia="Times New Roman" w:hAnsi="Times New Roman" w:cs="Times New Roman"/>
          <w:b/>
          <w:bCs/>
          <w:sz w:val="24"/>
          <w:szCs w:val="24"/>
        </w:rPr>
        <w:t xml:space="preserve"> </w:t>
      </w:r>
      <w:r w:rsidR="00B920D8" w:rsidRPr="00B920D8">
        <w:rPr>
          <w:rFonts w:ascii="Times New Roman" w:eastAsia="Times New Roman" w:hAnsi="Times New Roman" w:cs="Times New Roman"/>
          <w:b/>
          <w:sz w:val="24"/>
          <w:szCs w:val="24"/>
        </w:rPr>
        <w:t xml:space="preserve">= </w:t>
      </w:r>
      <w:r w:rsidRPr="00B920D8">
        <w:rPr>
          <w:rFonts w:ascii="Times New Roman" w:eastAsia="Times New Roman" w:hAnsi="Times New Roman" w:cs="Times New Roman"/>
          <w:b/>
          <w:bCs/>
          <w:sz w:val="24"/>
          <w:szCs w:val="24"/>
        </w:rPr>
        <w:t>1</w:t>
      </w:r>
      <w:r w:rsidRPr="008C3960">
        <w:rPr>
          <w:rFonts w:ascii="Times New Roman" w:eastAsia="Times New Roman" w:hAnsi="Times New Roman" w:cs="Times New Roman"/>
          <w:sz w:val="24"/>
          <w:szCs w:val="24"/>
        </w:rPr>
        <w:t>.</w:t>
      </w:r>
    </w:p>
    <w:p w14:paraId="51769E87" w14:textId="77777777" w:rsidR="001906F0" w:rsidRDefault="001906F0" w:rsidP="00E16161">
      <w:pPr>
        <w:spacing w:after="0" w:line="240" w:lineRule="auto"/>
        <w:ind w:firstLine="567"/>
        <w:jc w:val="both"/>
        <w:rPr>
          <w:rFonts w:ascii="Times New Roman" w:eastAsia="Times New Roman" w:hAnsi="Times New Roman" w:cs="Times New Roman"/>
          <w:sz w:val="24"/>
          <w:szCs w:val="24"/>
        </w:rPr>
      </w:pPr>
    </w:p>
    <w:p w14:paraId="2D462194" w14:textId="77777777" w:rsidR="00E16161" w:rsidRDefault="00E16161" w:rsidP="00E16161">
      <w:pPr>
        <w:spacing w:after="0" w:line="240" w:lineRule="auto"/>
        <w:ind w:firstLine="567"/>
        <w:jc w:val="both"/>
        <w:rPr>
          <w:rFonts w:ascii="Times New Roman" w:eastAsia="Times New Roman" w:hAnsi="Times New Roman" w:cs="Times New Roman"/>
          <w:i/>
          <w:iCs/>
          <w:sz w:val="24"/>
          <w:szCs w:val="24"/>
        </w:rPr>
      </w:pPr>
      <w:r w:rsidRPr="002575AF">
        <w:rPr>
          <w:rFonts w:ascii="Times New Roman" w:eastAsia="Times New Roman" w:hAnsi="Times New Roman" w:cs="Times New Roman"/>
          <w:b/>
          <w:i/>
          <w:sz w:val="24"/>
          <w:szCs w:val="24"/>
        </w:rPr>
        <w:t xml:space="preserve">1.4. </w:t>
      </w:r>
      <w:r w:rsidRPr="002575AF">
        <w:rPr>
          <w:rFonts w:ascii="Times New Roman" w:eastAsia="Times New Roman" w:hAnsi="Times New Roman" w:cs="Times New Roman"/>
          <w:b/>
          <w:bCs/>
          <w:i/>
          <w:sz w:val="24"/>
          <w:szCs w:val="24"/>
        </w:rPr>
        <w:t>Неуспех на правоприлагането (без икономическа изгода):</w:t>
      </w:r>
      <w:r w:rsidRPr="002575AF">
        <w:rPr>
          <w:rFonts w:ascii="Times New Roman" w:eastAsia="Times New Roman" w:hAnsi="Times New Roman" w:cs="Times New Roman"/>
          <w:b/>
          <w:i/>
          <w:sz w:val="24"/>
          <w:szCs w:val="24"/>
        </w:rPr>
        <w:t xml:space="preserve"> </w:t>
      </w:r>
      <w:r w:rsidRPr="002575AF">
        <w:rPr>
          <w:rFonts w:ascii="Times New Roman" w:eastAsia="Times New Roman" w:hAnsi="Times New Roman" w:cs="Times New Roman"/>
          <w:b/>
          <w:i/>
          <w:iCs/>
          <w:sz w:val="24"/>
          <w:szCs w:val="24"/>
        </w:rPr>
        <w:t>Висок риск поради липса на механизми за прилагане</w:t>
      </w:r>
    </w:p>
    <w:p w14:paraId="7682EFD9" w14:textId="197833E2" w:rsidR="00E16161" w:rsidRDefault="00E16161" w:rsidP="00E16161">
      <w:pPr>
        <w:spacing w:after="0" w:line="240" w:lineRule="auto"/>
        <w:ind w:firstLine="567"/>
        <w:jc w:val="both"/>
        <w:rPr>
          <w:rFonts w:ascii="Times New Roman" w:eastAsia="Times New Roman" w:hAnsi="Times New Roman" w:cs="Times New Roman"/>
          <w:b/>
          <w:sz w:val="24"/>
          <w:szCs w:val="24"/>
        </w:rPr>
      </w:pPr>
      <w:r w:rsidRPr="008C3960">
        <w:rPr>
          <w:rFonts w:ascii="Times New Roman" w:eastAsia="Times New Roman" w:hAnsi="Times New Roman" w:cs="Times New Roman"/>
          <w:sz w:val="24"/>
          <w:szCs w:val="24"/>
        </w:rPr>
        <w:t>По дефиниция</w:t>
      </w:r>
      <w:r w:rsidR="00C041DA">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Pr="008C3960">
        <w:rPr>
          <w:rFonts w:ascii="Times New Roman" w:eastAsia="Times New Roman" w:hAnsi="Times New Roman" w:cs="Times New Roman"/>
          <w:sz w:val="24"/>
          <w:szCs w:val="24"/>
        </w:rPr>
        <w:t xml:space="preserve"> нерегулаторн</w:t>
      </w:r>
      <w:r>
        <w:rPr>
          <w:rFonts w:ascii="Times New Roman" w:eastAsia="Times New Roman" w:hAnsi="Times New Roman" w:cs="Times New Roman"/>
          <w:sz w:val="24"/>
          <w:szCs w:val="24"/>
        </w:rPr>
        <w:t>ите</w:t>
      </w:r>
      <w:r w:rsidRPr="008C3960">
        <w:rPr>
          <w:rFonts w:ascii="Times New Roman" w:eastAsia="Times New Roman" w:hAnsi="Times New Roman" w:cs="Times New Roman"/>
          <w:sz w:val="24"/>
          <w:szCs w:val="24"/>
        </w:rPr>
        <w:t xml:space="preserve"> подход</w:t>
      </w:r>
      <w:r>
        <w:rPr>
          <w:rFonts w:ascii="Times New Roman" w:eastAsia="Times New Roman" w:hAnsi="Times New Roman" w:cs="Times New Roman"/>
          <w:sz w:val="24"/>
          <w:szCs w:val="24"/>
        </w:rPr>
        <w:t>и</w:t>
      </w:r>
      <w:r w:rsidRPr="008C3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8C3960">
        <w:rPr>
          <w:rFonts w:ascii="Times New Roman" w:eastAsia="Times New Roman" w:hAnsi="Times New Roman" w:cs="Times New Roman"/>
          <w:sz w:val="24"/>
          <w:szCs w:val="24"/>
        </w:rPr>
        <w:t xml:space="preserve">яма </w:t>
      </w:r>
      <w:r w:rsidRPr="002575AF">
        <w:rPr>
          <w:rFonts w:ascii="Times New Roman" w:eastAsia="Times New Roman" w:hAnsi="Times New Roman" w:cs="Times New Roman"/>
          <w:bCs/>
          <w:sz w:val="24"/>
          <w:szCs w:val="24"/>
        </w:rPr>
        <w:t>законови са</w:t>
      </w:r>
      <w:r>
        <w:rPr>
          <w:rFonts w:ascii="Times New Roman" w:eastAsia="Times New Roman" w:hAnsi="Times New Roman" w:cs="Times New Roman"/>
          <w:bCs/>
          <w:sz w:val="24"/>
          <w:szCs w:val="24"/>
        </w:rPr>
        <w:t>нкции или обвързващи задължения</w:t>
      </w:r>
      <w:r w:rsidRPr="002575AF">
        <w:rPr>
          <w:rFonts w:ascii="Times New Roman" w:eastAsia="Times New Roman" w:hAnsi="Times New Roman" w:cs="Times New Roman"/>
          <w:sz w:val="24"/>
          <w:szCs w:val="24"/>
        </w:rPr>
        <w:t xml:space="preserve">, които да гарантират спазването на </w:t>
      </w:r>
      <w:r w:rsidR="00B920D8">
        <w:rPr>
          <w:rFonts w:ascii="Times New Roman" w:eastAsia="Times New Roman" w:hAnsi="Times New Roman" w:cs="Times New Roman"/>
          <w:sz w:val="24"/>
          <w:szCs w:val="24"/>
        </w:rPr>
        <w:t>един кодекс</w:t>
      </w:r>
      <w:r w:rsidRPr="002575AF">
        <w:rPr>
          <w:rFonts w:ascii="Times New Roman" w:eastAsia="Times New Roman" w:hAnsi="Times New Roman" w:cs="Times New Roman"/>
          <w:sz w:val="24"/>
          <w:szCs w:val="24"/>
        </w:rPr>
        <w:t xml:space="preserve"> за поведение</w:t>
      </w:r>
      <w:r>
        <w:rPr>
          <w:rFonts w:ascii="Times New Roman" w:eastAsia="Times New Roman" w:hAnsi="Times New Roman" w:cs="Times New Roman"/>
          <w:sz w:val="24"/>
          <w:szCs w:val="24"/>
        </w:rPr>
        <w:t xml:space="preserve"> или доброволно споразумение</w:t>
      </w:r>
      <w:r w:rsidRPr="002575AF">
        <w:rPr>
          <w:rFonts w:ascii="Times New Roman" w:eastAsia="Times New Roman" w:hAnsi="Times New Roman" w:cs="Times New Roman"/>
          <w:sz w:val="24"/>
          <w:szCs w:val="24"/>
        </w:rPr>
        <w:t>. В резултат на това</w:t>
      </w:r>
      <w:r w:rsidR="00C041DA">
        <w:rPr>
          <w:rFonts w:ascii="Times New Roman" w:eastAsia="Times New Roman" w:hAnsi="Times New Roman" w:cs="Times New Roman"/>
          <w:sz w:val="24"/>
          <w:szCs w:val="24"/>
        </w:rPr>
        <w:t>,</w:t>
      </w:r>
      <w:r w:rsidRPr="002575AF">
        <w:rPr>
          <w:rFonts w:ascii="Times New Roman" w:eastAsia="Times New Roman" w:hAnsi="Times New Roman" w:cs="Times New Roman"/>
          <w:sz w:val="24"/>
          <w:szCs w:val="24"/>
        </w:rPr>
        <w:t xml:space="preserve"> </w:t>
      </w:r>
      <w:r w:rsidRPr="002575AF">
        <w:rPr>
          <w:rFonts w:ascii="Times New Roman" w:eastAsia="Times New Roman" w:hAnsi="Times New Roman" w:cs="Times New Roman"/>
          <w:bCs/>
          <w:sz w:val="24"/>
          <w:szCs w:val="24"/>
        </w:rPr>
        <w:t>шансовете този вариант да не успее да осигури осезаеми икономически ползи са много високи</w:t>
      </w:r>
      <w:r w:rsidRPr="002575AF">
        <w:rPr>
          <w:rFonts w:ascii="Times New Roman" w:eastAsia="Times New Roman" w:hAnsi="Times New Roman" w:cs="Times New Roman"/>
          <w:sz w:val="24"/>
          <w:szCs w:val="24"/>
        </w:rPr>
        <w:t>. Много участници</w:t>
      </w:r>
      <w:r w:rsidRPr="008C3960">
        <w:rPr>
          <w:rFonts w:ascii="Times New Roman" w:eastAsia="Times New Roman" w:hAnsi="Times New Roman" w:cs="Times New Roman"/>
          <w:sz w:val="24"/>
          <w:szCs w:val="24"/>
        </w:rPr>
        <w:t xml:space="preserve"> може просто да г</w:t>
      </w:r>
      <w:r>
        <w:rPr>
          <w:rFonts w:ascii="Times New Roman" w:eastAsia="Times New Roman" w:hAnsi="Times New Roman" w:cs="Times New Roman"/>
          <w:sz w:val="24"/>
          <w:szCs w:val="24"/>
        </w:rPr>
        <w:t>и приемат, но</w:t>
      </w:r>
      <w:r w:rsidR="00C041DA">
        <w:rPr>
          <w:rFonts w:ascii="Times New Roman" w:eastAsia="Times New Roman" w:hAnsi="Times New Roman" w:cs="Times New Roman"/>
          <w:sz w:val="24"/>
          <w:szCs w:val="24"/>
        </w:rPr>
        <w:t xml:space="preserve"> това да е</w:t>
      </w:r>
      <w:r>
        <w:rPr>
          <w:rFonts w:ascii="Times New Roman" w:eastAsia="Times New Roman" w:hAnsi="Times New Roman" w:cs="Times New Roman"/>
          <w:sz w:val="24"/>
          <w:szCs w:val="24"/>
        </w:rPr>
        <w:t xml:space="preserve"> </w:t>
      </w:r>
      <w:r w:rsidR="00C041DA">
        <w:rPr>
          <w:rFonts w:ascii="Times New Roman" w:eastAsia="Times New Roman" w:hAnsi="Times New Roman" w:cs="Times New Roman"/>
          <w:sz w:val="24"/>
          <w:szCs w:val="24"/>
        </w:rPr>
        <w:t>привидно</w:t>
      </w:r>
      <w:r w:rsidRPr="008C3960">
        <w:rPr>
          <w:rFonts w:ascii="Times New Roman" w:eastAsia="Times New Roman" w:hAnsi="Times New Roman" w:cs="Times New Roman"/>
          <w:sz w:val="24"/>
          <w:szCs w:val="24"/>
        </w:rPr>
        <w:t xml:space="preserve">. Успехът на Вариант 1 ще зависи </w:t>
      </w:r>
      <w:r w:rsidRPr="001715B5">
        <w:rPr>
          <w:rFonts w:ascii="Times New Roman" w:eastAsia="Times New Roman" w:hAnsi="Times New Roman" w:cs="Times New Roman"/>
          <w:sz w:val="24"/>
          <w:szCs w:val="24"/>
        </w:rPr>
        <w:t xml:space="preserve">от </w:t>
      </w:r>
      <w:r w:rsidRPr="001715B5">
        <w:rPr>
          <w:rFonts w:ascii="Times New Roman" w:eastAsia="Times New Roman" w:hAnsi="Times New Roman" w:cs="Times New Roman"/>
          <w:bCs/>
          <w:sz w:val="24"/>
          <w:szCs w:val="24"/>
        </w:rPr>
        <w:t>добрата воля и партньорския натиск</w:t>
      </w:r>
      <w:r>
        <w:rPr>
          <w:rFonts w:ascii="Times New Roman" w:eastAsia="Times New Roman" w:hAnsi="Times New Roman" w:cs="Times New Roman"/>
          <w:sz w:val="24"/>
          <w:szCs w:val="24"/>
        </w:rPr>
        <w:t>, кой</w:t>
      </w:r>
      <w:r w:rsidRPr="001715B5">
        <w:rPr>
          <w:rFonts w:ascii="Times New Roman" w:eastAsia="Times New Roman" w:hAnsi="Times New Roman" w:cs="Times New Roman"/>
          <w:sz w:val="24"/>
          <w:szCs w:val="24"/>
        </w:rPr>
        <w:t>то</w:t>
      </w:r>
      <w:r>
        <w:rPr>
          <w:rFonts w:ascii="Times New Roman" w:eastAsia="Times New Roman" w:hAnsi="Times New Roman" w:cs="Times New Roman"/>
          <w:sz w:val="24"/>
          <w:szCs w:val="24"/>
        </w:rPr>
        <w:t xml:space="preserve"> исторически, както е </w:t>
      </w:r>
      <w:r w:rsidRPr="001715B5">
        <w:rPr>
          <w:rFonts w:ascii="Times New Roman" w:eastAsia="Times New Roman" w:hAnsi="Times New Roman" w:cs="Times New Roman"/>
          <w:sz w:val="24"/>
          <w:szCs w:val="24"/>
        </w:rPr>
        <w:t>известн</w:t>
      </w:r>
      <w:r>
        <w:rPr>
          <w:rFonts w:ascii="Times New Roman" w:eastAsia="Times New Roman" w:hAnsi="Times New Roman" w:cs="Times New Roman"/>
          <w:sz w:val="24"/>
          <w:szCs w:val="24"/>
        </w:rPr>
        <w:t>о, се е доказал</w:t>
      </w:r>
      <w:r w:rsidRPr="001715B5">
        <w:rPr>
          <w:rFonts w:ascii="Times New Roman" w:eastAsia="Times New Roman" w:hAnsi="Times New Roman" w:cs="Times New Roman"/>
          <w:sz w:val="24"/>
          <w:szCs w:val="24"/>
        </w:rPr>
        <w:t xml:space="preserve"> като недостатъч</w:t>
      </w:r>
      <w:r>
        <w:rPr>
          <w:rFonts w:ascii="Times New Roman" w:eastAsia="Times New Roman" w:hAnsi="Times New Roman" w:cs="Times New Roman"/>
          <w:sz w:val="24"/>
          <w:szCs w:val="24"/>
        </w:rPr>
        <w:t>е</w:t>
      </w:r>
      <w:r w:rsidRPr="001715B5">
        <w:rPr>
          <w:rFonts w:ascii="Times New Roman" w:eastAsia="Times New Roman" w:hAnsi="Times New Roman" w:cs="Times New Roman"/>
          <w:sz w:val="24"/>
          <w:szCs w:val="24"/>
        </w:rPr>
        <w:t>н за ограничаване на злоупотреби, които са печеливши за</w:t>
      </w:r>
      <w:r w:rsidRPr="008C3960">
        <w:rPr>
          <w:rFonts w:ascii="Times New Roman" w:eastAsia="Times New Roman" w:hAnsi="Times New Roman" w:cs="Times New Roman"/>
          <w:sz w:val="24"/>
          <w:szCs w:val="24"/>
        </w:rPr>
        <w:t xml:space="preserve"> по-силната страна. Почти сигурно е, че значителен дял от купувачите няма да се придържат напълно, ако това противоречи на техните крат</w:t>
      </w:r>
      <w:r>
        <w:rPr>
          <w:rFonts w:ascii="Times New Roman" w:eastAsia="Times New Roman" w:hAnsi="Times New Roman" w:cs="Times New Roman"/>
          <w:sz w:val="24"/>
          <w:szCs w:val="24"/>
        </w:rPr>
        <w:t>косрочни икономически интереси.</w:t>
      </w:r>
      <w:r w:rsidRPr="008C3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8C3960">
        <w:rPr>
          <w:rFonts w:ascii="Times New Roman" w:eastAsia="Times New Roman" w:hAnsi="Times New Roman" w:cs="Times New Roman"/>
          <w:sz w:val="24"/>
          <w:szCs w:val="24"/>
        </w:rPr>
        <w:t>ледователно</w:t>
      </w:r>
      <w:r w:rsidR="00C041DA">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вероятността</w:t>
      </w:r>
      <w:r>
        <w:rPr>
          <w:rFonts w:ascii="Times New Roman" w:eastAsia="Times New Roman" w:hAnsi="Times New Roman" w:cs="Times New Roman"/>
          <w:sz w:val="24"/>
          <w:szCs w:val="24"/>
        </w:rPr>
        <w:t xml:space="preserve"> от настъпването на този</w:t>
      </w:r>
      <w:r w:rsidRPr="008C3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риск може да се определи като</w:t>
      </w:r>
      <w:r w:rsidRPr="008C3960">
        <w:rPr>
          <w:rFonts w:ascii="Times New Roman" w:eastAsia="Times New Roman" w:hAnsi="Times New Roman" w:cs="Times New Roman"/>
          <w:sz w:val="24"/>
          <w:szCs w:val="24"/>
        </w:rPr>
        <w:t xml:space="preserve"> максимална (L=5). Въздействието на този провал би било, че </w:t>
      </w:r>
      <w:r w:rsidRPr="001715B5">
        <w:rPr>
          <w:rFonts w:ascii="Times New Roman" w:eastAsia="Times New Roman" w:hAnsi="Times New Roman" w:cs="Times New Roman"/>
          <w:bCs/>
          <w:sz w:val="24"/>
          <w:szCs w:val="24"/>
        </w:rPr>
        <w:t>планираните подобрения (по-честни условия, по-добри доходи за производителите) не се материализират</w:t>
      </w:r>
      <w:r w:rsidRPr="008C3960">
        <w:rPr>
          <w:rFonts w:ascii="Times New Roman" w:eastAsia="Times New Roman" w:hAnsi="Times New Roman" w:cs="Times New Roman"/>
          <w:sz w:val="24"/>
          <w:szCs w:val="24"/>
        </w:rPr>
        <w:t>, оставяйки сектора</w:t>
      </w:r>
      <w:r>
        <w:rPr>
          <w:rFonts w:ascii="Times New Roman" w:eastAsia="Times New Roman" w:hAnsi="Times New Roman" w:cs="Times New Roman"/>
          <w:sz w:val="24"/>
          <w:szCs w:val="24"/>
        </w:rPr>
        <w:t xml:space="preserve"> на земеделските производители и доставчиците на храни</w:t>
      </w:r>
      <w:r w:rsidRPr="008C3960">
        <w:rPr>
          <w:rFonts w:ascii="Times New Roman" w:eastAsia="Times New Roman" w:hAnsi="Times New Roman" w:cs="Times New Roman"/>
          <w:sz w:val="24"/>
          <w:szCs w:val="24"/>
        </w:rPr>
        <w:t xml:space="preserve"> в не по-добро положение от </w:t>
      </w:r>
      <w:r>
        <w:rPr>
          <w:rFonts w:ascii="Times New Roman" w:eastAsia="Times New Roman" w:hAnsi="Times New Roman" w:cs="Times New Roman"/>
          <w:sz w:val="24"/>
          <w:szCs w:val="24"/>
        </w:rPr>
        <w:t>настоящото</w:t>
      </w:r>
      <w:r w:rsidRPr="008C3960">
        <w:rPr>
          <w:rFonts w:ascii="Times New Roman" w:eastAsia="Times New Roman" w:hAnsi="Times New Roman" w:cs="Times New Roman"/>
          <w:sz w:val="24"/>
          <w:szCs w:val="24"/>
        </w:rPr>
        <w:t xml:space="preserve">. Това е силно въздействие по отношение на пропуснатите възможности за положителна промяна (I=3 до 4). </w:t>
      </w:r>
      <w:r>
        <w:rPr>
          <w:rFonts w:ascii="Times New Roman" w:eastAsia="Times New Roman" w:hAnsi="Times New Roman" w:cs="Times New Roman"/>
          <w:sz w:val="24"/>
          <w:szCs w:val="24"/>
        </w:rPr>
        <w:t>Затова въздействието тук може да се оцени по този начин</w:t>
      </w:r>
      <w:r w:rsidRPr="008C3960">
        <w:rPr>
          <w:rFonts w:ascii="Times New Roman" w:eastAsia="Times New Roman" w:hAnsi="Times New Roman" w:cs="Times New Roman"/>
          <w:sz w:val="24"/>
          <w:szCs w:val="24"/>
        </w:rPr>
        <w:t xml:space="preserve"> </w:t>
      </w:r>
      <w:r w:rsidRPr="001715B5">
        <w:rPr>
          <w:rFonts w:ascii="Times New Roman" w:eastAsia="Times New Roman" w:hAnsi="Times New Roman" w:cs="Times New Roman"/>
          <w:bCs/>
          <w:sz w:val="24"/>
          <w:szCs w:val="24"/>
        </w:rPr>
        <w:t>I=3</w:t>
      </w:r>
      <w:r w:rsidRPr="001715B5">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отразявайки, че макар резултатът да е основно продължаване на вредата от статуквото</w:t>
      </w:r>
      <w:r>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което е сериозно за засегнатите</w:t>
      </w:r>
      <w:r w:rsidR="00C041DA">
        <w:rPr>
          <w:rFonts w:ascii="Times New Roman" w:eastAsia="Times New Roman" w:hAnsi="Times New Roman" w:cs="Times New Roman"/>
          <w:sz w:val="24"/>
          <w:szCs w:val="24"/>
        </w:rPr>
        <w:t xml:space="preserve"> страни</w:t>
      </w:r>
      <w:r w:rsidRPr="008C3960">
        <w:rPr>
          <w:rFonts w:ascii="Times New Roman" w:eastAsia="Times New Roman" w:hAnsi="Times New Roman" w:cs="Times New Roman"/>
          <w:sz w:val="24"/>
          <w:szCs w:val="24"/>
        </w:rPr>
        <w:t xml:space="preserve">, икономиката не се влошава непременно, тя просто не се подобрява. </w:t>
      </w:r>
      <w:r w:rsidRPr="001715B5">
        <w:rPr>
          <w:rFonts w:ascii="Times New Roman" w:eastAsia="Times New Roman" w:hAnsi="Times New Roman" w:cs="Times New Roman"/>
          <w:sz w:val="24"/>
          <w:szCs w:val="24"/>
        </w:rPr>
        <w:t xml:space="preserve">На практика </w:t>
      </w:r>
      <w:r w:rsidRPr="001715B5">
        <w:rPr>
          <w:rFonts w:ascii="Times New Roman" w:eastAsia="Times New Roman" w:hAnsi="Times New Roman" w:cs="Times New Roman"/>
          <w:bCs/>
          <w:sz w:val="24"/>
          <w:szCs w:val="24"/>
        </w:rPr>
        <w:t>Вариант 1 крие висок риск да бъде неефективен</w:t>
      </w:r>
      <w:r w:rsidRPr="001715B5">
        <w:rPr>
          <w:rFonts w:ascii="Times New Roman" w:eastAsia="Times New Roman" w:hAnsi="Times New Roman" w:cs="Times New Roman"/>
          <w:sz w:val="24"/>
          <w:szCs w:val="24"/>
        </w:rPr>
        <w:t>, давайки незначителна икономическа полза, както се вижда в други държави, където доброволните „инициативи за веригата на доставки“ трябваше да бъдат заменени от регулация поради неизпълнение.</w:t>
      </w:r>
      <w:r>
        <w:rPr>
          <w:rFonts w:ascii="Times New Roman" w:eastAsia="Times New Roman" w:hAnsi="Times New Roman" w:cs="Times New Roman"/>
          <w:sz w:val="24"/>
          <w:szCs w:val="24"/>
        </w:rPr>
        <w:t xml:space="preserve"> </w:t>
      </w:r>
      <w:r w:rsidRPr="001715B5">
        <w:rPr>
          <w:rFonts w:ascii="Times New Roman" w:eastAsia="Times New Roman" w:hAnsi="Times New Roman" w:cs="Times New Roman"/>
          <w:sz w:val="24"/>
          <w:szCs w:val="24"/>
        </w:rPr>
        <w:t xml:space="preserve">Така </w:t>
      </w:r>
      <w:r w:rsidR="00B920D8">
        <w:rPr>
          <w:rFonts w:ascii="Times New Roman" w:eastAsia="Times New Roman" w:hAnsi="Times New Roman" w:cs="Times New Roman"/>
          <w:sz w:val="24"/>
          <w:szCs w:val="24"/>
        </w:rPr>
        <w:t xml:space="preserve">в тази категория може да се определи </w:t>
      </w:r>
      <w:r w:rsidRPr="00B920D8">
        <w:rPr>
          <w:rFonts w:ascii="Times New Roman" w:eastAsia="Times New Roman" w:hAnsi="Times New Roman" w:cs="Times New Roman"/>
          <w:b/>
          <w:bCs/>
          <w:sz w:val="24"/>
          <w:szCs w:val="24"/>
        </w:rPr>
        <w:t xml:space="preserve">обща оценка на риска </w:t>
      </w:r>
      <w:r w:rsidR="00A5236A" w:rsidRPr="001715B5">
        <w:rPr>
          <w:rFonts w:ascii="Times New Roman" w:eastAsia="Times New Roman" w:hAnsi="Times New Roman" w:cs="Times New Roman"/>
          <w:bCs/>
          <w:sz w:val="24"/>
          <w:szCs w:val="24"/>
        </w:rPr>
        <w:t>(5×3)</w:t>
      </w:r>
      <w:r w:rsidR="00A5236A">
        <w:rPr>
          <w:rFonts w:ascii="Times New Roman" w:eastAsia="Times New Roman" w:hAnsi="Times New Roman" w:cs="Times New Roman"/>
          <w:bCs/>
          <w:sz w:val="24"/>
          <w:szCs w:val="24"/>
        </w:rPr>
        <w:t xml:space="preserve"> </w:t>
      </w:r>
      <w:r w:rsidR="00B920D8" w:rsidRPr="00B920D8">
        <w:rPr>
          <w:rFonts w:ascii="Times New Roman" w:eastAsia="Times New Roman" w:hAnsi="Times New Roman" w:cs="Times New Roman"/>
          <w:b/>
          <w:sz w:val="24"/>
          <w:szCs w:val="24"/>
        </w:rPr>
        <w:t xml:space="preserve">= </w:t>
      </w:r>
      <w:r w:rsidRPr="00B920D8">
        <w:rPr>
          <w:rFonts w:ascii="Times New Roman" w:eastAsia="Times New Roman" w:hAnsi="Times New Roman" w:cs="Times New Roman"/>
          <w:b/>
          <w:bCs/>
          <w:sz w:val="24"/>
          <w:szCs w:val="24"/>
        </w:rPr>
        <w:t>15</w:t>
      </w:r>
      <w:r w:rsidRPr="001715B5">
        <w:rPr>
          <w:rFonts w:ascii="Times New Roman" w:eastAsia="Times New Roman" w:hAnsi="Times New Roman" w:cs="Times New Roman"/>
          <w:bCs/>
          <w:sz w:val="24"/>
          <w:szCs w:val="24"/>
        </w:rPr>
        <w:t>.</w:t>
      </w:r>
    </w:p>
    <w:p w14:paraId="183843CE" w14:textId="77777777" w:rsidR="00E16161" w:rsidRDefault="00E16161" w:rsidP="00E16161">
      <w:pPr>
        <w:spacing w:after="0" w:line="240" w:lineRule="auto"/>
        <w:ind w:firstLine="567"/>
        <w:jc w:val="both"/>
        <w:rPr>
          <w:rFonts w:ascii="Times New Roman" w:eastAsia="Times New Roman" w:hAnsi="Times New Roman" w:cs="Times New Roman"/>
          <w:b/>
          <w:sz w:val="24"/>
          <w:szCs w:val="24"/>
        </w:rPr>
      </w:pPr>
    </w:p>
    <w:p w14:paraId="418E05EF" w14:textId="77777777" w:rsidR="00E16161" w:rsidRDefault="00E16161" w:rsidP="00E16161">
      <w:pPr>
        <w:spacing w:after="0" w:line="240" w:lineRule="auto"/>
        <w:ind w:firstLine="567"/>
        <w:jc w:val="both"/>
        <w:rPr>
          <w:rFonts w:ascii="Times New Roman" w:eastAsia="Times New Roman" w:hAnsi="Times New Roman" w:cs="Times New Roman"/>
          <w:i/>
          <w:iCs/>
          <w:sz w:val="24"/>
          <w:szCs w:val="24"/>
        </w:rPr>
      </w:pPr>
      <w:r w:rsidRPr="000B3079">
        <w:rPr>
          <w:rFonts w:ascii="Times New Roman" w:eastAsia="Times New Roman" w:hAnsi="Times New Roman" w:cs="Times New Roman"/>
          <w:b/>
          <w:i/>
          <w:sz w:val="24"/>
          <w:szCs w:val="24"/>
        </w:rPr>
        <w:t xml:space="preserve">1.5. </w:t>
      </w:r>
      <w:r w:rsidRPr="000B3079">
        <w:rPr>
          <w:rFonts w:ascii="Times New Roman" w:eastAsia="Times New Roman" w:hAnsi="Times New Roman" w:cs="Times New Roman"/>
          <w:b/>
          <w:bCs/>
          <w:i/>
          <w:sz w:val="24"/>
          <w:szCs w:val="24"/>
        </w:rPr>
        <w:t>Ниско съответствие (спазване):</w:t>
      </w:r>
      <w:r w:rsidRPr="000B3079">
        <w:rPr>
          <w:rFonts w:ascii="Times New Roman" w:eastAsia="Times New Roman" w:hAnsi="Times New Roman" w:cs="Times New Roman"/>
          <w:b/>
          <w:i/>
          <w:sz w:val="24"/>
          <w:szCs w:val="24"/>
        </w:rPr>
        <w:t xml:space="preserve"> </w:t>
      </w:r>
      <w:r w:rsidRPr="000B3079">
        <w:rPr>
          <w:rFonts w:ascii="Times New Roman" w:eastAsia="Times New Roman" w:hAnsi="Times New Roman" w:cs="Times New Roman"/>
          <w:b/>
          <w:i/>
          <w:iCs/>
          <w:sz w:val="24"/>
          <w:szCs w:val="24"/>
        </w:rPr>
        <w:t>Висок риск от несъответст</w:t>
      </w:r>
      <w:r>
        <w:rPr>
          <w:rFonts w:ascii="Times New Roman" w:eastAsia="Times New Roman" w:hAnsi="Times New Roman" w:cs="Times New Roman"/>
          <w:b/>
          <w:i/>
          <w:iCs/>
          <w:sz w:val="24"/>
          <w:szCs w:val="24"/>
        </w:rPr>
        <w:t>вие, тъй като всичко е по избор</w:t>
      </w:r>
    </w:p>
    <w:p w14:paraId="00868256" w14:textId="3EEEE74A" w:rsidR="00E16161" w:rsidRDefault="00E16161" w:rsidP="00E16161">
      <w:pPr>
        <w:spacing w:after="0" w:line="240" w:lineRule="auto"/>
        <w:ind w:firstLine="567"/>
        <w:jc w:val="both"/>
        <w:rPr>
          <w:rFonts w:ascii="Times New Roman" w:eastAsia="Times New Roman" w:hAnsi="Times New Roman" w:cs="Times New Roman"/>
          <w:bCs/>
          <w:sz w:val="24"/>
          <w:szCs w:val="24"/>
        </w:rPr>
      </w:pPr>
      <w:r w:rsidRPr="008C3960">
        <w:rPr>
          <w:rFonts w:ascii="Times New Roman" w:eastAsia="Times New Roman" w:hAnsi="Times New Roman" w:cs="Times New Roman"/>
          <w:sz w:val="24"/>
          <w:szCs w:val="24"/>
        </w:rPr>
        <w:t xml:space="preserve">Спазването на Вариант 1 е доброволно </w:t>
      </w:r>
      <w:r>
        <w:rPr>
          <w:rFonts w:ascii="Times New Roman" w:eastAsia="Times New Roman" w:hAnsi="Times New Roman" w:cs="Times New Roman"/>
          <w:sz w:val="24"/>
          <w:szCs w:val="24"/>
        </w:rPr>
        <w:t>и</w:t>
      </w:r>
      <w:r w:rsidRPr="008C3960">
        <w:rPr>
          <w:rFonts w:ascii="Times New Roman" w:eastAsia="Times New Roman" w:hAnsi="Times New Roman" w:cs="Times New Roman"/>
          <w:sz w:val="24"/>
          <w:szCs w:val="24"/>
        </w:rPr>
        <w:t xml:space="preserve"> не може да се очаква еднакво приемане. </w:t>
      </w:r>
      <w:r w:rsidR="00061571">
        <w:rPr>
          <w:rFonts w:ascii="Times New Roman" w:eastAsia="Times New Roman" w:hAnsi="Times New Roman" w:cs="Times New Roman"/>
          <w:sz w:val="24"/>
          <w:szCs w:val="24"/>
        </w:rPr>
        <w:t>Търговски дружества</w:t>
      </w:r>
      <w:r w:rsidR="00061571" w:rsidRPr="008C3960">
        <w:rPr>
          <w:rFonts w:ascii="Times New Roman" w:eastAsia="Times New Roman" w:hAnsi="Times New Roman" w:cs="Times New Roman"/>
          <w:sz w:val="24"/>
          <w:szCs w:val="24"/>
        </w:rPr>
        <w:t xml:space="preserve"> </w:t>
      </w:r>
      <w:r w:rsidRPr="008C3960">
        <w:rPr>
          <w:rFonts w:ascii="Times New Roman" w:eastAsia="Times New Roman" w:hAnsi="Times New Roman" w:cs="Times New Roman"/>
          <w:sz w:val="24"/>
          <w:szCs w:val="24"/>
        </w:rPr>
        <w:t>със значителна сила при договаряне може да сметнат, че е против техния интерес да се съобразяват с препоръ</w:t>
      </w:r>
      <w:r>
        <w:rPr>
          <w:rFonts w:ascii="Times New Roman" w:eastAsia="Times New Roman" w:hAnsi="Times New Roman" w:cs="Times New Roman"/>
          <w:sz w:val="24"/>
          <w:szCs w:val="24"/>
        </w:rPr>
        <w:t>чителни схеми и уговорки</w:t>
      </w:r>
      <w:r w:rsidRPr="008C3960">
        <w:rPr>
          <w:rFonts w:ascii="Times New Roman" w:eastAsia="Times New Roman" w:hAnsi="Times New Roman" w:cs="Times New Roman"/>
          <w:sz w:val="24"/>
          <w:szCs w:val="24"/>
        </w:rPr>
        <w:t xml:space="preserve">. Дори тези, които първоначално се </w:t>
      </w:r>
      <w:r>
        <w:rPr>
          <w:rFonts w:ascii="Times New Roman" w:eastAsia="Times New Roman" w:hAnsi="Times New Roman" w:cs="Times New Roman"/>
          <w:sz w:val="24"/>
          <w:szCs w:val="24"/>
        </w:rPr>
        <w:t xml:space="preserve">съгласят с </w:t>
      </w:r>
      <w:r w:rsidR="00061571">
        <w:rPr>
          <w:rFonts w:ascii="Times New Roman" w:eastAsia="Times New Roman" w:hAnsi="Times New Roman" w:cs="Times New Roman"/>
          <w:sz w:val="24"/>
          <w:szCs w:val="24"/>
        </w:rPr>
        <w:t>тях</w:t>
      </w:r>
      <w:r w:rsidRPr="008C3960">
        <w:rPr>
          <w:rFonts w:ascii="Times New Roman" w:eastAsia="Times New Roman" w:hAnsi="Times New Roman" w:cs="Times New Roman"/>
          <w:sz w:val="24"/>
          <w:szCs w:val="24"/>
        </w:rPr>
        <w:t xml:space="preserve">, може да не прилагат последователно </w:t>
      </w:r>
      <w:r>
        <w:rPr>
          <w:rFonts w:ascii="Times New Roman" w:eastAsia="Times New Roman" w:hAnsi="Times New Roman" w:cs="Times New Roman"/>
          <w:sz w:val="24"/>
          <w:szCs w:val="24"/>
        </w:rPr>
        <w:t xml:space="preserve">доброволните правила </w:t>
      </w:r>
      <w:r w:rsidR="00061571">
        <w:rPr>
          <w:rFonts w:ascii="Times New Roman" w:eastAsia="Times New Roman" w:hAnsi="Times New Roman" w:cs="Times New Roman"/>
          <w:sz w:val="24"/>
          <w:szCs w:val="24"/>
        </w:rPr>
        <w:t xml:space="preserve">и </w:t>
      </w:r>
      <w:r w:rsidRPr="008C3960">
        <w:rPr>
          <w:rFonts w:ascii="Times New Roman" w:eastAsia="Times New Roman" w:hAnsi="Times New Roman" w:cs="Times New Roman"/>
          <w:sz w:val="24"/>
          <w:szCs w:val="24"/>
        </w:rPr>
        <w:t>принципите, особено ако наблюдението</w:t>
      </w:r>
      <w:r w:rsidR="00B37C24">
        <w:rPr>
          <w:rFonts w:ascii="Times New Roman" w:eastAsia="Times New Roman" w:hAnsi="Times New Roman" w:cs="Times New Roman"/>
          <w:sz w:val="24"/>
          <w:szCs w:val="24"/>
        </w:rPr>
        <w:t xml:space="preserve"> за спазването им</w:t>
      </w:r>
      <w:r w:rsidRPr="008C3960">
        <w:rPr>
          <w:rFonts w:ascii="Times New Roman" w:eastAsia="Times New Roman" w:hAnsi="Times New Roman" w:cs="Times New Roman"/>
          <w:sz w:val="24"/>
          <w:szCs w:val="24"/>
        </w:rPr>
        <w:t xml:space="preserve"> е слабо. </w:t>
      </w:r>
      <w:r w:rsidRPr="000B3079">
        <w:rPr>
          <w:rFonts w:ascii="Times New Roman" w:eastAsia="Times New Roman" w:hAnsi="Times New Roman" w:cs="Times New Roman"/>
          <w:sz w:val="24"/>
          <w:szCs w:val="24"/>
        </w:rPr>
        <w:t xml:space="preserve">Вероятността </w:t>
      </w:r>
      <w:r w:rsidRPr="000B3079">
        <w:rPr>
          <w:rFonts w:ascii="Times New Roman" w:eastAsia="Times New Roman" w:hAnsi="Times New Roman" w:cs="Times New Roman"/>
          <w:bCs/>
          <w:sz w:val="24"/>
          <w:szCs w:val="24"/>
        </w:rPr>
        <w:t>за ниско съ</w:t>
      </w:r>
      <w:r>
        <w:rPr>
          <w:rFonts w:ascii="Times New Roman" w:eastAsia="Times New Roman" w:hAnsi="Times New Roman" w:cs="Times New Roman"/>
          <w:bCs/>
          <w:sz w:val="24"/>
          <w:szCs w:val="24"/>
        </w:rPr>
        <w:t>ответствие е много висока (L=5). О</w:t>
      </w:r>
      <w:r w:rsidRPr="000B3079">
        <w:rPr>
          <w:rFonts w:ascii="Times New Roman" w:eastAsia="Times New Roman" w:hAnsi="Times New Roman" w:cs="Times New Roman"/>
          <w:sz w:val="24"/>
          <w:szCs w:val="24"/>
        </w:rPr>
        <w:t xml:space="preserve">питът показва, че без правно задължение много участници </w:t>
      </w:r>
      <w:r w:rsidRPr="000B3079">
        <w:rPr>
          <w:rFonts w:ascii="Times New Roman" w:eastAsia="Times New Roman" w:hAnsi="Times New Roman" w:cs="Times New Roman"/>
          <w:bCs/>
          <w:sz w:val="24"/>
          <w:szCs w:val="24"/>
        </w:rPr>
        <w:t>няма да променят установените практики</w:t>
      </w:r>
      <w:r w:rsidRPr="000B3079">
        <w:rPr>
          <w:rFonts w:ascii="Times New Roman" w:eastAsia="Times New Roman" w:hAnsi="Times New Roman" w:cs="Times New Roman"/>
          <w:sz w:val="24"/>
          <w:szCs w:val="24"/>
        </w:rPr>
        <w:t xml:space="preserve">. Въздействието на това широко разпространено неспазване е, че </w:t>
      </w:r>
      <w:r w:rsidRPr="000B3079">
        <w:rPr>
          <w:rFonts w:ascii="Times New Roman" w:eastAsia="Times New Roman" w:hAnsi="Times New Roman" w:cs="Times New Roman"/>
          <w:bCs/>
          <w:sz w:val="24"/>
          <w:szCs w:val="24"/>
        </w:rPr>
        <w:t xml:space="preserve">полезните </w:t>
      </w:r>
      <w:r w:rsidRPr="00474BC5">
        <w:rPr>
          <w:rFonts w:ascii="Times New Roman" w:eastAsia="Times New Roman" w:hAnsi="Times New Roman" w:cs="Times New Roman"/>
          <w:iCs/>
          <w:sz w:val="24"/>
          <w:szCs w:val="24"/>
        </w:rPr>
        <w:t>ефекти от този вариант на политиката са до голяма степен загубени</w:t>
      </w:r>
      <w:r w:rsidRPr="00474BC5">
        <w:rPr>
          <w:rFonts w:ascii="Times New Roman" w:eastAsia="Times New Roman" w:hAnsi="Times New Roman" w:cs="Times New Roman"/>
          <w:sz w:val="24"/>
          <w:szCs w:val="24"/>
        </w:rPr>
        <w:t xml:space="preserve">. Някои </w:t>
      </w:r>
      <w:r w:rsidR="00061571">
        <w:rPr>
          <w:rFonts w:ascii="Times New Roman" w:eastAsia="Times New Roman" w:hAnsi="Times New Roman" w:cs="Times New Roman"/>
          <w:sz w:val="24"/>
          <w:szCs w:val="24"/>
        </w:rPr>
        <w:t>търговци</w:t>
      </w:r>
      <w:r w:rsidR="00061571" w:rsidRPr="00474BC5">
        <w:rPr>
          <w:rFonts w:ascii="Times New Roman" w:eastAsia="Times New Roman" w:hAnsi="Times New Roman" w:cs="Times New Roman"/>
          <w:sz w:val="24"/>
          <w:szCs w:val="24"/>
        </w:rPr>
        <w:t xml:space="preserve"> </w:t>
      </w:r>
      <w:r w:rsidRPr="00474BC5">
        <w:rPr>
          <w:rFonts w:ascii="Times New Roman" w:eastAsia="Times New Roman" w:hAnsi="Times New Roman" w:cs="Times New Roman"/>
          <w:sz w:val="24"/>
          <w:szCs w:val="24"/>
        </w:rPr>
        <w:t>може да се придържат (може би за да подобрят публичния си имидж или поради ангажименти</w:t>
      </w:r>
      <w:r w:rsidRPr="008C3960">
        <w:rPr>
          <w:rFonts w:ascii="Times New Roman" w:eastAsia="Times New Roman" w:hAnsi="Times New Roman" w:cs="Times New Roman"/>
          <w:sz w:val="24"/>
          <w:szCs w:val="24"/>
        </w:rPr>
        <w:t xml:space="preserve"> за корпоративна социална отговорност), но други </w:t>
      </w:r>
      <w:r>
        <w:rPr>
          <w:rFonts w:ascii="Times New Roman" w:eastAsia="Times New Roman" w:hAnsi="Times New Roman" w:cs="Times New Roman"/>
          <w:sz w:val="24"/>
          <w:szCs w:val="24"/>
        </w:rPr>
        <w:t xml:space="preserve">няма да </w:t>
      </w:r>
      <w:r w:rsidRPr="008C3960">
        <w:rPr>
          <w:rFonts w:ascii="Times New Roman" w:eastAsia="Times New Roman" w:hAnsi="Times New Roman" w:cs="Times New Roman"/>
          <w:sz w:val="24"/>
          <w:szCs w:val="24"/>
        </w:rPr>
        <w:t xml:space="preserve"> го правят, което </w:t>
      </w:r>
      <w:r>
        <w:rPr>
          <w:rFonts w:ascii="Times New Roman" w:eastAsia="Times New Roman" w:hAnsi="Times New Roman" w:cs="Times New Roman"/>
          <w:sz w:val="24"/>
          <w:szCs w:val="24"/>
        </w:rPr>
        <w:t>ще до</w:t>
      </w:r>
      <w:r w:rsidRPr="008C3960">
        <w:rPr>
          <w:rFonts w:ascii="Times New Roman" w:eastAsia="Times New Roman" w:hAnsi="Times New Roman" w:cs="Times New Roman"/>
          <w:sz w:val="24"/>
          <w:szCs w:val="24"/>
        </w:rPr>
        <w:t>в</w:t>
      </w:r>
      <w:r>
        <w:rPr>
          <w:rFonts w:ascii="Times New Roman" w:eastAsia="Times New Roman" w:hAnsi="Times New Roman" w:cs="Times New Roman"/>
          <w:sz w:val="24"/>
          <w:szCs w:val="24"/>
        </w:rPr>
        <w:t>е</w:t>
      </w:r>
      <w:r w:rsidRPr="008C3960">
        <w:rPr>
          <w:rFonts w:ascii="Times New Roman" w:eastAsia="Times New Roman" w:hAnsi="Times New Roman" w:cs="Times New Roman"/>
          <w:sz w:val="24"/>
          <w:szCs w:val="24"/>
        </w:rPr>
        <w:t>д</w:t>
      </w:r>
      <w:r>
        <w:rPr>
          <w:rFonts w:ascii="Times New Roman" w:eastAsia="Times New Roman" w:hAnsi="Times New Roman" w:cs="Times New Roman"/>
          <w:sz w:val="24"/>
          <w:szCs w:val="24"/>
        </w:rPr>
        <w:t>е</w:t>
      </w:r>
      <w:r w:rsidRPr="008C3960">
        <w:rPr>
          <w:rFonts w:ascii="Times New Roman" w:eastAsia="Times New Roman" w:hAnsi="Times New Roman" w:cs="Times New Roman"/>
          <w:sz w:val="24"/>
          <w:szCs w:val="24"/>
        </w:rPr>
        <w:t xml:space="preserve"> до неравнопоставени условия на </w:t>
      </w:r>
      <w:r>
        <w:rPr>
          <w:rFonts w:ascii="Times New Roman" w:eastAsia="Times New Roman" w:hAnsi="Times New Roman" w:cs="Times New Roman"/>
          <w:sz w:val="24"/>
          <w:szCs w:val="24"/>
        </w:rPr>
        <w:t>пазара</w:t>
      </w:r>
      <w:r w:rsidRPr="008C3960">
        <w:rPr>
          <w:rFonts w:ascii="Times New Roman" w:eastAsia="Times New Roman" w:hAnsi="Times New Roman" w:cs="Times New Roman"/>
          <w:sz w:val="24"/>
          <w:szCs w:val="24"/>
        </w:rPr>
        <w:t>. Като цяло</w:t>
      </w:r>
      <w:r w:rsidR="00061571">
        <w:rPr>
          <w:rFonts w:ascii="Times New Roman" w:eastAsia="Times New Roman" w:hAnsi="Times New Roman" w:cs="Times New Roman"/>
          <w:sz w:val="24"/>
          <w:szCs w:val="24"/>
        </w:rPr>
        <w:t>, това означава, че</w:t>
      </w:r>
      <w:r w:rsidRPr="008C3960">
        <w:rPr>
          <w:rFonts w:ascii="Times New Roman" w:eastAsia="Times New Roman" w:hAnsi="Times New Roman" w:cs="Times New Roman"/>
          <w:sz w:val="24"/>
          <w:szCs w:val="24"/>
        </w:rPr>
        <w:t xml:space="preserve"> проблемите в сектора </w:t>
      </w:r>
      <w:r>
        <w:rPr>
          <w:rFonts w:ascii="Times New Roman" w:eastAsia="Times New Roman" w:hAnsi="Times New Roman" w:cs="Times New Roman"/>
          <w:sz w:val="24"/>
          <w:szCs w:val="24"/>
        </w:rPr>
        <w:t xml:space="preserve">ще </w:t>
      </w:r>
      <w:r w:rsidRPr="008C3960">
        <w:rPr>
          <w:rFonts w:ascii="Times New Roman" w:eastAsia="Times New Roman" w:hAnsi="Times New Roman" w:cs="Times New Roman"/>
          <w:sz w:val="24"/>
          <w:szCs w:val="24"/>
        </w:rPr>
        <w:t>продължават да съществуват при повечето сделки. О</w:t>
      </w:r>
      <w:r>
        <w:rPr>
          <w:rFonts w:ascii="Times New Roman" w:eastAsia="Times New Roman" w:hAnsi="Times New Roman" w:cs="Times New Roman"/>
          <w:sz w:val="24"/>
          <w:szCs w:val="24"/>
        </w:rPr>
        <w:t>ттук</w:t>
      </w:r>
      <w:r w:rsidR="000615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C3960">
        <w:rPr>
          <w:rFonts w:ascii="Times New Roman" w:eastAsia="Times New Roman" w:hAnsi="Times New Roman" w:cs="Times New Roman"/>
          <w:sz w:val="24"/>
          <w:szCs w:val="24"/>
        </w:rPr>
        <w:t>въздействието</w:t>
      </w:r>
      <w:r>
        <w:rPr>
          <w:rFonts w:ascii="Times New Roman" w:eastAsia="Times New Roman" w:hAnsi="Times New Roman" w:cs="Times New Roman"/>
          <w:sz w:val="24"/>
          <w:szCs w:val="24"/>
        </w:rPr>
        <w:t xml:space="preserve"> на този </w:t>
      </w:r>
      <w:r>
        <w:rPr>
          <w:rFonts w:ascii="Times New Roman" w:eastAsia="Times New Roman" w:hAnsi="Times New Roman" w:cs="Times New Roman"/>
          <w:sz w:val="24"/>
          <w:szCs w:val="24"/>
        </w:rPr>
        <w:lastRenderedPageBreak/>
        <w:t>риск може да бъде оценено</w:t>
      </w:r>
      <w:r w:rsidRPr="008C3960">
        <w:rPr>
          <w:rFonts w:ascii="Times New Roman" w:eastAsia="Times New Roman" w:hAnsi="Times New Roman" w:cs="Times New Roman"/>
          <w:sz w:val="24"/>
          <w:szCs w:val="24"/>
        </w:rPr>
        <w:t xml:space="preserve"> като умерено </w:t>
      </w:r>
      <w:r w:rsidRPr="00474BC5">
        <w:rPr>
          <w:rFonts w:ascii="Times New Roman" w:eastAsia="Times New Roman" w:hAnsi="Times New Roman" w:cs="Times New Roman"/>
          <w:sz w:val="24"/>
          <w:szCs w:val="24"/>
        </w:rPr>
        <w:t>(I=3</w:t>
      </w:r>
      <w:r w:rsidR="00061571">
        <w:rPr>
          <w:rFonts w:ascii="Times New Roman" w:eastAsia="Times New Roman" w:hAnsi="Times New Roman" w:cs="Times New Roman"/>
          <w:sz w:val="24"/>
          <w:szCs w:val="24"/>
        </w:rPr>
        <w:t>)</w:t>
      </w:r>
      <w:r w:rsidRPr="00474BC5">
        <w:rPr>
          <w:rFonts w:ascii="Times New Roman" w:eastAsia="Times New Roman" w:hAnsi="Times New Roman" w:cs="Times New Roman"/>
          <w:bCs/>
          <w:sz w:val="24"/>
          <w:szCs w:val="24"/>
        </w:rPr>
        <w:t xml:space="preserve">. </w:t>
      </w:r>
      <w:r w:rsidRPr="00474BC5">
        <w:rPr>
          <w:rFonts w:ascii="Times New Roman" w:eastAsia="Times New Roman" w:hAnsi="Times New Roman" w:cs="Times New Roman"/>
          <w:sz w:val="24"/>
          <w:szCs w:val="24"/>
        </w:rPr>
        <w:t>По същество</w:t>
      </w:r>
      <w:r w:rsidR="00061571">
        <w:rPr>
          <w:rFonts w:ascii="Times New Roman" w:eastAsia="Times New Roman" w:hAnsi="Times New Roman" w:cs="Times New Roman"/>
          <w:sz w:val="24"/>
          <w:szCs w:val="24"/>
        </w:rPr>
        <w:t>,</w:t>
      </w:r>
      <w:r w:rsidRPr="00474BC5">
        <w:rPr>
          <w:rFonts w:ascii="Times New Roman" w:eastAsia="Times New Roman" w:hAnsi="Times New Roman" w:cs="Times New Roman"/>
          <w:sz w:val="24"/>
          <w:szCs w:val="24"/>
        </w:rPr>
        <w:t xml:space="preserve"> </w:t>
      </w:r>
      <w:r w:rsidRPr="00474BC5">
        <w:rPr>
          <w:rFonts w:ascii="Times New Roman" w:eastAsia="Times New Roman" w:hAnsi="Times New Roman" w:cs="Times New Roman"/>
          <w:bCs/>
          <w:sz w:val="24"/>
          <w:szCs w:val="24"/>
        </w:rPr>
        <w:t>спазването на юридически незадължителен вариант на политика се очаква да бъде твърде ниско, за да генерира широки икономически ползи</w:t>
      </w:r>
      <w:r w:rsidRPr="00474BC5">
        <w:rPr>
          <w:rFonts w:ascii="Times New Roman" w:eastAsia="Times New Roman" w:hAnsi="Times New Roman" w:cs="Times New Roman"/>
          <w:sz w:val="24"/>
          <w:szCs w:val="24"/>
        </w:rPr>
        <w:t>, което засилва риска от провал на прилагането, описан по-горе.</w:t>
      </w:r>
      <w:r>
        <w:rPr>
          <w:rFonts w:ascii="Times New Roman" w:eastAsia="Times New Roman" w:hAnsi="Times New Roman" w:cs="Times New Roman"/>
          <w:sz w:val="24"/>
          <w:szCs w:val="24"/>
        </w:rPr>
        <w:t xml:space="preserve"> </w:t>
      </w:r>
      <w:r w:rsidR="00B37C24">
        <w:rPr>
          <w:rFonts w:ascii="Times New Roman" w:eastAsia="Times New Roman" w:hAnsi="Times New Roman" w:cs="Times New Roman"/>
          <w:bCs/>
          <w:sz w:val="24"/>
          <w:szCs w:val="24"/>
        </w:rPr>
        <w:t xml:space="preserve">По тази категория вариантът получава </w:t>
      </w:r>
      <w:r w:rsidR="00B37C24" w:rsidRPr="00B37C24">
        <w:rPr>
          <w:rFonts w:ascii="Times New Roman" w:eastAsia="Times New Roman" w:hAnsi="Times New Roman" w:cs="Times New Roman"/>
          <w:b/>
          <w:bCs/>
          <w:sz w:val="24"/>
          <w:szCs w:val="24"/>
        </w:rPr>
        <w:t>о</w:t>
      </w:r>
      <w:r w:rsidRPr="00B37C24">
        <w:rPr>
          <w:rFonts w:ascii="Times New Roman" w:eastAsia="Times New Roman" w:hAnsi="Times New Roman" w:cs="Times New Roman"/>
          <w:b/>
          <w:sz w:val="24"/>
          <w:szCs w:val="24"/>
        </w:rPr>
        <w:t xml:space="preserve">бща </w:t>
      </w:r>
      <w:r w:rsidRPr="00B37C24">
        <w:rPr>
          <w:rFonts w:ascii="Times New Roman" w:eastAsia="Times New Roman" w:hAnsi="Times New Roman" w:cs="Times New Roman"/>
          <w:b/>
          <w:bCs/>
          <w:sz w:val="24"/>
          <w:szCs w:val="24"/>
        </w:rPr>
        <w:t xml:space="preserve">оценка на риска </w:t>
      </w:r>
      <w:r w:rsidR="00A5236A" w:rsidRPr="00474BC5">
        <w:rPr>
          <w:rFonts w:ascii="Times New Roman" w:eastAsia="Times New Roman" w:hAnsi="Times New Roman" w:cs="Times New Roman"/>
          <w:bCs/>
          <w:sz w:val="24"/>
          <w:szCs w:val="24"/>
        </w:rPr>
        <w:t>(5×3)</w:t>
      </w:r>
      <w:r w:rsidR="00A5236A">
        <w:rPr>
          <w:rFonts w:ascii="Times New Roman" w:eastAsia="Times New Roman" w:hAnsi="Times New Roman" w:cs="Times New Roman"/>
          <w:bCs/>
          <w:sz w:val="24"/>
          <w:szCs w:val="24"/>
        </w:rPr>
        <w:t xml:space="preserve"> </w:t>
      </w:r>
      <w:r w:rsidR="00B37C24" w:rsidRPr="00B37C24">
        <w:rPr>
          <w:rFonts w:ascii="Times New Roman" w:eastAsia="Times New Roman" w:hAnsi="Times New Roman" w:cs="Times New Roman"/>
          <w:b/>
          <w:sz w:val="24"/>
          <w:szCs w:val="24"/>
        </w:rPr>
        <w:t xml:space="preserve">= </w:t>
      </w:r>
      <w:r w:rsidRPr="00B37C24">
        <w:rPr>
          <w:rFonts w:ascii="Times New Roman" w:eastAsia="Times New Roman" w:hAnsi="Times New Roman" w:cs="Times New Roman"/>
          <w:b/>
          <w:bCs/>
          <w:sz w:val="24"/>
          <w:szCs w:val="24"/>
        </w:rPr>
        <w:t>15</w:t>
      </w:r>
      <w:r>
        <w:rPr>
          <w:rFonts w:ascii="Times New Roman" w:eastAsia="Times New Roman" w:hAnsi="Times New Roman" w:cs="Times New Roman"/>
          <w:bCs/>
          <w:sz w:val="24"/>
          <w:szCs w:val="24"/>
        </w:rPr>
        <w:t>.</w:t>
      </w:r>
    </w:p>
    <w:p w14:paraId="6E73848F" w14:textId="77777777" w:rsidR="00D036B5" w:rsidRDefault="00D036B5" w:rsidP="00E16161">
      <w:pPr>
        <w:spacing w:after="0" w:line="240" w:lineRule="auto"/>
        <w:ind w:firstLine="567"/>
        <w:jc w:val="both"/>
        <w:rPr>
          <w:rFonts w:ascii="Times New Roman" w:eastAsia="Times New Roman" w:hAnsi="Times New Roman" w:cs="Times New Roman"/>
          <w:bCs/>
          <w:sz w:val="24"/>
          <w:szCs w:val="24"/>
        </w:rPr>
      </w:pPr>
    </w:p>
    <w:p w14:paraId="7508F79E" w14:textId="77777777" w:rsidR="00E16161" w:rsidRDefault="00E16161" w:rsidP="00E16161">
      <w:pPr>
        <w:spacing w:after="0" w:line="240" w:lineRule="auto"/>
        <w:ind w:firstLine="567"/>
        <w:jc w:val="both"/>
        <w:rPr>
          <w:rFonts w:ascii="Times New Roman" w:eastAsia="Times New Roman" w:hAnsi="Times New Roman" w:cs="Times New Roman"/>
          <w:b/>
          <w:bCs/>
          <w:sz w:val="24"/>
          <w:szCs w:val="24"/>
        </w:rPr>
      </w:pPr>
      <w:r w:rsidRPr="006C58D7">
        <w:rPr>
          <w:rFonts w:ascii="Times New Roman" w:eastAsia="Times New Roman" w:hAnsi="Times New Roman" w:cs="Times New Roman"/>
          <w:b/>
          <w:bCs/>
          <w:i/>
          <w:sz w:val="24"/>
          <w:szCs w:val="24"/>
        </w:rPr>
        <w:t xml:space="preserve">Обобщение на оценката на риска </w:t>
      </w:r>
      <w:r>
        <w:rPr>
          <w:rFonts w:ascii="Times New Roman" w:eastAsia="Times New Roman" w:hAnsi="Times New Roman" w:cs="Times New Roman"/>
          <w:b/>
          <w:bCs/>
          <w:i/>
          <w:sz w:val="24"/>
          <w:szCs w:val="24"/>
        </w:rPr>
        <w:t>на</w:t>
      </w:r>
      <w:r w:rsidRPr="006C58D7">
        <w:rPr>
          <w:rFonts w:ascii="Times New Roman" w:eastAsia="Times New Roman" w:hAnsi="Times New Roman" w:cs="Times New Roman"/>
          <w:b/>
          <w:bCs/>
          <w:i/>
          <w:sz w:val="24"/>
          <w:szCs w:val="24"/>
        </w:rPr>
        <w:t xml:space="preserve"> В</w:t>
      </w:r>
      <w:r>
        <w:rPr>
          <w:rFonts w:ascii="Times New Roman" w:eastAsia="Times New Roman" w:hAnsi="Times New Roman" w:cs="Times New Roman"/>
          <w:b/>
          <w:bCs/>
          <w:i/>
          <w:sz w:val="24"/>
          <w:szCs w:val="24"/>
        </w:rPr>
        <w:t>ариант 1</w:t>
      </w:r>
      <w:r w:rsidRPr="008C3960">
        <w:rPr>
          <w:rFonts w:ascii="Times New Roman" w:eastAsia="Times New Roman" w:hAnsi="Times New Roman" w:cs="Times New Roman"/>
          <w:b/>
          <w:bCs/>
          <w:sz w:val="24"/>
          <w:szCs w:val="24"/>
        </w:rPr>
        <w:t xml:space="preserve"> </w:t>
      </w:r>
    </w:p>
    <w:p w14:paraId="7410636E" w14:textId="6975A187" w:rsidR="00E16161" w:rsidRPr="00B37C24" w:rsidRDefault="00E16161" w:rsidP="00E16161">
      <w:pPr>
        <w:spacing w:after="0" w:line="240" w:lineRule="auto"/>
        <w:ind w:firstLine="567"/>
        <w:jc w:val="both"/>
        <w:rPr>
          <w:rFonts w:ascii="Times New Roman" w:eastAsia="Times New Roman" w:hAnsi="Times New Roman" w:cs="Times New Roman"/>
          <w:bCs/>
          <w:i/>
          <w:sz w:val="24"/>
          <w:szCs w:val="24"/>
        </w:rPr>
      </w:pPr>
      <w:r w:rsidRPr="008C3960">
        <w:rPr>
          <w:rFonts w:ascii="Times New Roman" w:eastAsia="Times New Roman" w:hAnsi="Times New Roman" w:cs="Times New Roman"/>
          <w:sz w:val="24"/>
          <w:szCs w:val="24"/>
        </w:rPr>
        <w:t xml:space="preserve">Нерегулаторният подход е </w:t>
      </w:r>
      <w:r w:rsidRPr="00B37C24">
        <w:rPr>
          <w:rFonts w:ascii="Times New Roman" w:eastAsia="Times New Roman" w:hAnsi="Times New Roman" w:cs="Times New Roman"/>
          <w:bCs/>
          <w:sz w:val="24"/>
          <w:szCs w:val="24"/>
        </w:rPr>
        <w:t>евтин и избягва нови изкривявания на пазара</w:t>
      </w:r>
      <w:r w:rsidRPr="00B37C24">
        <w:rPr>
          <w:rFonts w:ascii="Times New Roman" w:eastAsia="Times New Roman" w:hAnsi="Times New Roman" w:cs="Times New Roman"/>
          <w:sz w:val="24"/>
          <w:szCs w:val="24"/>
        </w:rPr>
        <w:t xml:space="preserve">, но носи </w:t>
      </w:r>
      <w:r w:rsidRPr="00B37C24">
        <w:rPr>
          <w:rFonts w:ascii="Times New Roman" w:eastAsia="Times New Roman" w:hAnsi="Times New Roman" w:cs="Times New Roman"/>
          <w:bCs/>
          <w:sz w:val="24"/>
          <w:szCs w:val="24"/>
        </w:rPr>
        <w:t>висок риск от неуспех при постигането на целите му</w:t>
      </w:r>
      <w:r w:rsidRPr="00B37C24">
        <w:rPr>
          <w:rFonts w:ascii="Times New Roman" w:eastAsia="Times New Roman" w:hAnsi="Times New Roman" w:cs="Times New Roman"/>
          <w:sz w:val="24"/>
          <w:szCs w:val="24"/>
        </w:rPr>
        <w:t>. МСП вероятно ще видят малко облекчение (сравнимо с Вариант 0), тъй като не може</w:t>
      </w:r>
      <w:r w:rsidRPr="008C3960">
        <w:rPr>
          <w:rFonts w:ascii="Times New Roman" w:eastAsia="Times New Roman" w:hAnsi="Times New Roman" w:cs="Times New Roman"/>
          <w:sz w:val="24"/>
          <w:szCs w:val="24"/>
        </w:rPr>
        <w:t xml:space="preserve"> да се гарантира спазването на изискванията от </w:t>
      </w:r>
      <w:r>
        <w:rPr>
          <w:rFonts w:ascii="Times New Roman" w:eastAsia="Times New Roman" w:hAnsi="Times New Roman" w:cs="Times New Roman"/>
          <w:sz w:val="24"/>
          <w:szCs w:val="24"/>
        </w:rPr>
        <w:t xml:space="preserve">пазарно по-силни </w:t>
      </w:r>
      <w:r w:rsidRPr="008C3960">
        <w:rPr>
          <w:rFonts w:ascii="Times New Roman" w:eastAsia="Times New Roman" w:hAnsi="Times New Roman" w:cs="Times New Roman"/>
          <w:sz w:val="24"/>
          <w:szCs w:val="24"/>
        </w:rPr>
        <w:t xml:space="preserve"> купувачи. Основният плюс на Вариант 1 е, че той не налага нови тежести (оттук </w:t>
      </w:r>
      <w:r>
        <w:rPr>
          <w:rFonts w:ascii="Times New Roman" w:eastAsia="Times New Roman" w:hAnsi="Times New Roman" w:cs="Times New Roman"/>
          <w:sz w:val="24"/>
          <w:szCs w:val="24"/>
        </w:rPr>
        <w:t xml:space="preserve">следва </w:t>
      </w:r>
      <w:r w:rsidRPr="008C3960">
        <w:rPr>
          <w:rFonts w:ascii="Times New Roman" w:eastAsia="Times New Roman" w:hAnsi="Times New Roman" w:cs="Times New Roman"/>
          <w:sz w:val="24"/>
          <w:szCs w:val="24"/>
        </w:rPr>
        <w:t>и ниск</w:t>
      </w:r>
      <w:r>
        <w:rPr>
          <w:rFonts w:ascii="Times New Roman" w:eastAsia="Times New Roman" w:hAnsi="Times New Roman" w:cs="Times New Roman"/>
          <w:sz w:val="24"/>
          <w:szCs w:val="24"/>
        </w:rPr>
        <w:t>ият</w:t>
      </w:r>
      <w:r w:rsidRPr="008C3960">
        <w:rPr>
          <w:rFonts w:ascii="Times New Roman" w:eastAsia="Times New Roman" w:hAnsi="Times New Roman" w:cs="Times New Roman"/>
          <w:sz w:val="24"/>
          <w:szCs w:val="24"/>
        </w:rPr>
        <w:t xml:space="preserve"> риск за административни разходи</w:t>
      </w:r>
      <w:r>
        <w:rPr>
          <w:rFonts w:ascii="Times New Roman" w:eastAsia="Times New Roman" w:hAnsi="Times New Roman" w:cs="Times New Roman"/>
          <w:sz w:val="24"/>
          <w:szCs w:val="24"/>
        </w:rPr>
        <w:t xml:space="preserve"> при него</w:t>
      </w:r>
      <w:r w:rsidRPr="008C3960">
        <w:rPr>
          <w:rFonts w:ascii="Times New Roman" w:eastAsia="Times New Roman" w:hAnsi="Times New Roman" w:cs="Times New Roman"/>
          <w:sz w:val="24"/>
          <w:szCs w:val="24"/>
        </w:rPr>
        <w:t xml:space="preserve">), но това се компенсира от недостатъка, че вероятно </w:t>
      </w:r>
      <w:r w:rsidRPr="00B37C24">
        <w:rPr>
          <w:rFonts w:ascii="Times New Roman" w:eastAsia="Times New Roman" w:hAnsi="Times New Roman" w:cs="Times New Roman"/>
          <w:bCs/>
          <w:sz w:val="24"/>
          <w:szCs w:val="24"/>
        </w:rPr>
        <w:t>не води до значително подобрение на текущото състояние</w:t>
      </w:r>
      <w:r w:rsidRPr="00B37C24">
        <w:rPr>
          <w:rFonts w:ascii="Times New Roman" w:eastAsia="Times New Roman" w:hAnsi="Times New Roman" w:cs="Times New Roman"/>
          <w:sz w:val="24"/>
          <w:szCs w:val="24"/>
        </w:rPr>
        <w:t xml:space="preserve">. Като цяло рисковият профил показва </w:t>
      </w:r>
      <w:r w:rsidRPr="00B37C24">
        <w:rPr>
          <w:rFonts w:ascii="Times New Roman" w:eastAsia="Times New Roman" w:hAnsi="Times New Roman" w:cs="Times New Roman"/>
          <w:bCs/>
          <w:sz w:val="24"/>
          <w:szCs w:val="24"/>
        </w:rPr>
        <w:t>нисък пряк икономически риск, но висок риск от неефективност на варианта на политиката</w:t>
      </w:r>
      <w:r w:rsidRPr="00B37C24">
        <w:rPr>
          <w:rFonts w:ascii="Times New Roman" w:eastAsia="Times New Roman" w:hAnsi="Times New Roman" w:cs="Times New Roman"/>
          <w:sz w:val="24"/>
          <w:szCs w:val="24"/>
        </w:rPr>
        <w:t>, което означава, че настоящата неефективност остава. (Вж. Фигура 4)</w:t>
      </w:r>
      <w:r w:rsidR="00B37C24">
        <w:rPr>
          <w:rFonts w:ascii="Times New Roman" w:eastAsia="Times New Roman" w:hAnsi="Times New Roman" w:cs="Times New Roman"/>
          <w:sz w:val="24"/>
          <w:szCs w:val="24"/>
        </w:rPr>
        <w:t>.</w:t>
      </w:r>
    </w:p>
    <w:p w14:paraId="33C356B1"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p>
    <w:p w14:paraId="67E19525" w14:textId="77777777" w:rsidR="00E16161" w:rsidRPr="00675B22" w:rsidRDefault="00E16161" w:rsidP="00E16161">
      <w:pPr>
        <w:spacing w:after="0" w:line="240" w:lineRule="auto"/>
        <w:ind w:firstLine="567"/>
        <w:jc w:val="both"/>
        <w:rPr>
          <w:rFonts w:ascii="Times New Roman" w:eastAsia="Times New Roman" w:hAnsi="Times New Roman" w:cs="Times New Roman"/>
          <w:sz w:val="24"/>
          <w:szCs w:val="24"/>
        </w:rPr>
      </w:pPr>
      <w:r>
        <w:rPr>
          <w:noProof/>
          <w:lang w:val="en-US"/>
        </w:rPr>
        <w:drawing>
          <wp:inline distT="0" distB="0" distL="0" distR="0" wp14:anchorId="3445A2C0" wp14:editId="6E81680E">
            <wp:extent cx="5966460" cy="2743200"/>
            <wp:effectExtent l="0" t="0" r="15240" b="0"/>
            <wp:docPr id="4" name="Chart 4">
              <a:extLst xmlns:a="http://schemas.openxmlformats.org/drawingml/2006/main">
                <a:ext uri="{FF2B5EF4-FFF2-40B4-BE49-F238E27FC236}">
                  <a16:creationId xmlns:a16="http://schemas.microsoft.com/office/drawing/2014/main" id="{D653088C-4838-46F8-B8B2-6A12FB47F39D}"/>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Chart 4">
                      <a:extLst>
                        <a:ext uri="{FF2B5EF4-FFF2-40B4-BE49-F238E27FC236}">
                          <a16:creationId xmlns:a16="http://schemas.microsoft.com/office/drawing/2014/main" id="{D653088C-4838-46F8-B8B2-6A12FB47F39D}"/>
                        </a:ext>
                      </a:extLst>
                    </pic:cNvPr>
                    <pic:cNvPicPr>
                      <a:picLocks noGrp="1" noRot="1" noChangeAspect="1" noMove="1" noResize="1" noEditPoints="1" noAdjustHandles="1" noChangeArrowheads="1" noChangeShapeType="1"/>
                    </pic:cNvPicPr>
                  </pic:nvPicPr>
                  <pic:blipFill>
                    <a:blip r:embed="rId18"/>
                    <a:stretch>
                      <a:fillRect/>
                    </a:stretch>
                  </pic:blipFill>
                  <pic:spPr>
                    <a:xfrm>
                      <a:off x="0" y="0"/>
                      <a:ext cx="5966460" cy="2743200"/>
                    </a:xfrm>
                    <a:prstGeom prst="rect">
                      <a:avLst/>
                    </a:prstGeom>
                  </pic:spPr>
                </pic:pic>
              </a:graphicData>
            </a:graphic>
          </wp:inline>
        </w:drawing>
      </w:r>
    </w:p>
    <w:p w14:paraId="5423AC45" w14:textId="11313213" w:rsidR="00E16161" w:rsidRDefault="00E16161" w:rsidP="00E16161">
      <w:pPr>
        <w:spacing w:after="0" w:line="240" w:lineRule="auto"/>
        <w:ind w:firstLine="567"/>
        <w:jc w:val="both"/>
        <w:rPr>
          <w:rFonts w:ascii="Times New Roman" w:eastAsia="Times New Roman" w:hAnsi="Times New Roman" w:cs="Times New Roman"/>
          <w:i/>
          <w:iCs/>
          <w:sz w:val="24"/>
          <w:szCs w:val="24"/>
        </w:rPr>
      </w:pPr>
      <w:r w:rsidRPr="001A73EC">
        <w:rPr>
          <w:rFonts w:ascii="Times New Roman" w:eastAsia="Times New Roman" w:hAnsi="Times New Roman" w:cs="Times New Roman"/>
          <w:b/>
          <w:sz w:val="24"/>
          <w:szCs w:val="24"/>
        </w:rPr>
        <w:t xml:space="preserve">Фигура </w:t>
      </w:r>
      <w:r>
        <w:rPr>
          <w:rFonts w:ascii="Times New Roman" w:eastAsia="Times New Roman" w:hAnsi="Times New Roman" w:cs="Times New Roman"/>
          <w:b/>
          <w:sz w:val="24"/>
          <w:szCs w:val="24"/>
        </w:rPr>
        <w:t>4</w:t>
      </w:r>
      <w:r w:rsidRPr="001A73EC">
        <w:rPr>
          <w:rFonts w:ascii="Times New Roman" w:eastAsia="Times New Roman" w:hAnsi="Times New Roman" w:cs="Times New Roman"/>
          <w:b/>
          <w:i/>
          <w:iCs/>
          <w:sz w:val="24"/>
          <w:szCs w:val="24"/>
        </w:rPr>
        <w:t>.</w:t>
      </w:r>
      <w:r w:rsidRPr="001A73EC">
        <w:rPr>
          <w:rFonts w:ascii="Times New Roman" w:eastAsia="Times New Roman" w:hAnsi="Times New Roman" w:cs="Times New Roman"/>
          <w:b/>
          <w:iCs/>
          <w:sz w:val="24"/>
          <w:szCs w:val="24"/>
        </w:rPr>
        <w:t xml:space="preserve"> Вариант 1 – Оценка на риска по категории</w:t>
      </w:r>
      <w:r w:rsidRPr="006C58D7">
        <w:rPr>
          <w:rFonts w:ascii="Times New Roman" w:eastAsia="Times New Roman" w:hAnsi="Times New Roman" w:cs="Times New Roman"/>
          <w:iCs/>
          <w:sz w:val="24"/>
          <w:szCs w:val="24"/>
        </w:rPr>
        <w:t xml:space="preserve">: </w:t>
      </w:r>
      <w:r w:rsidRPr="00474BC5">
        <w:rPr>
          <w:rFonts w:ascii="Times New Roman" w:eastAsia="Times New Roman" w:hAnsi="Times New Roman" w:cs="Times New Roman"/>
          <w:iCs/>
          <w:sz w:val="24"/>
          <w:szCs w:val="24"/>
        </w:rPr>
        <w:t>административни разходи</w:t>
      </w:r>
      <w:r>
        <w:rPr>
          <w:rFonts w:ascii="Times New Roman" w:eastAsia="Times New Roman" w:hAnsi="Times New Roman" w:cs="Times New Roman"/>
          <w:iCs/>
          <w:sz w:val="24"/>
          <w:szCs w:val="24"/>
        </w:rPr>
        <w:t xml:space="preserve"> -</w:t>
      </w:r>
      <w:r w:rsidRPr="00474BC5">
        <w:rPr>
          <w:rFonts w:ascii="Times New Roman" w:eastAsia="Times New Roman" w:hAnsi="Times New Roman" w:cs="Times New Roman"/>
          <w:iCs/>
          <w:sz w:val="24"/>
          <w:szCs w:val="24"/>
        </w:rPr>
        <w:t xml:space="preserve"> 4; въздействие на МСП</w:t>
      </w:r>
      <w:r>
        <w:rPr>
          <w:rFonts w:ascii="Times New Roman" w:eastAsia="Times New Roman" w:hAnsi="Times New Roman" w:cs="Times New Roman"/>
          <w:iCs/>
          <w:sz w:val="24"/>
          <w:szCs w:val="24"/>
        </w:rPr>
        <w:t xml:space="preserve"> -</w:t>
      </w:r>
      <w:r w:rsidRPr="00474BC5">
        <w:rPr>
          <w:rFonts w:ascii="Times New Roman" w:eastAsia="Times New Roman" w:hAnsi="Times New Roman" w:cs="Times New Roman"/>
          <w:iCs/>
          <w:sz w:val="24"/>
          <w:szCs w:val="24"/>
        </w:rPr>
        <w:t xml:space="preserve"> 16; изкривяване на пазара</w:t>
      </w:r>
      <w:r>
        <w:rPr>
          <w:rFonts w:ascii="Times New Roman" w:eastAsia="Times New Roman" w:hAnsi="Times New Roman" w:cs="Times New Roman"/>
          <w:iCs/>
          <w:sz w:val="24"/>
          <w:szCs w:val="24"/>
        </w:rPr>
        <w:t xml:space="preserve"> -</w:t>
      </w:r>
      <w:r w:rsidRPr="00474BC5">
        <w:rPr>
          <w:rFonts w:ascii="Times New Roman" w:eastAsia="Times New Roman" w:hAnsi="Times New Roman" w:cs="Times New Roman"/>
          <w:iCs/>
          <w:sz w:val="24"/>
          <w:szCs w:val="24"/>
        </w:rPr>
        <w:t xml:space="preserve"> 1; неуспех на правоприлагането </w:t>
      </w:r>
      <w:r>
        <w:rPr>
          <w:rFonts w:ascii="Times New Roman" w:eastAsia="Times New Roman" w:hAnsi="Times New Roman" w:cs="Times New Roman"/>
          <w:iCs/>
          <w:sz w:val="24"/>
          <w:szCs w:val="24"/>
        </w:rPr>
        <w:t xml:space="preserve">- </w:t>
      </w:r>
      <w:r w:rsidRPr="00474BC5">
        <w:rPr>
          <w:rFonts w:ascii="Times New Roman" w:eastAsia="Times New Roman" w:hAnsi="Times New Roman" w:cs="Times New Roman"/>
          <w:iCs/>
          <w:sz w:val="24"/>
          <w:szCs w:val="24"/>
        </w:rPr>
        <w:t>15; ниско съответствие</w:t>
      </w:r>
      <w:r>
        <w:rPr>
          <w:rFonts w:ascii="Times New Roman" w:eastAsia="Times New Roman" w:hAnsi="Times New Roman" w:cs="Times New Roman"/>
          <w:iCs/>
          <w:sz w:val="24"/>
          <w:szCs w:val="24"/>
        </w:rPr>
        <w:t xml:space="preserve"> -</w:t>
      </w:r>
      <w:r w:rsidRPr="00474BC5">
        <w:rPr>
          <w:rFonts w:ascii="Times New Roman" w:eastAsia="Times New Roman" w:hAnsi="Times New Roman" w:cs="Times New Roman"/>
          <w:iCs/>
          <w:sz w:val="24"/>
          <w:szCs w:val="24"/>
        </w:rPr>
        <w:t xml:space="preserve"> 15</w:t>
      </w:r>
      <w:r>
        <w:rPr>
          <w:rFonts w:ascii="Times New Roman" w:eastAsia="Times New Roman" w:hAnsi="Times New Roman" w:cs="Times New Roman"/>
          <w:iCs/>
          <w:sz w:val="24"/>
          <w:szCs w:val="24"/>
        </w:rPr>
        <w:t>.</w:t>
      </w:r>
    </w:p>
    <w:p w14:paraId="7794A842" w14:textId="77777777" w:rsidR="00E16161" w:rsidRDefault="00E16161" w:rsidP="00E16161">
      <w:pPr>
        <w:spacing w:after="0" w:line="240" w:lineRule="auto"/>
        <w:ind w:firstLine="567"/>
        <w:jc w:val="both"/>
        <w:rPr>
          <w:rFonts w:ascii="Times New Roman" w:eastAsia="Times New Roman" w:hAnsi="Times New Roman" w:cs="Times New Roman"/>
          <w:b/>
          <w:bCs/>
          <w:sz w:val="24"/>
          <w:szCs w:val="24"/>
        </w:rPr>
      </w:pPr>
    </w:p>
    <w:p w14:paraId="1D07D9F9" w14:textId="77777777" w:rsidR="00E16161" w:rsidRDefault="00E16161" w:rsidP="00E16161">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Оценка на риска на</w:t>
      </w:r>
      <w:r w:rsidRPr="00987376">
        <w:rPr>
          <w:rFonts w:ascii="Times New Roman" w:eastAsia="Times New Roman" w:hAnsi="Times New Roman" w:cs="Times New Roman"/>
          <w:b/>
          <w:bCs/>
          <w:sz w:val="24"/>
          <w:szCs w:val="24"/>
        </w:rPr>
        <w:t xml:space="preserve"> Вариант 2: „Регулаторен - промени в действащата правна уредба“</w:t>
      </w:r>
    </w:p>
    <w:p w14:paraId="5141F1CF" w14:textId="285C5535" w:rsidR="00E16161" w:rsidRDefault="00E16161" w:rsidP="00E16161">
      <w:pPr>
        <w:spacing w:after="0" w:line="240" w:lineRule="auto"/>
        <w:ind w:firstLine="567"/>
        <w:jc w:val="both"/>
        <w:rPr>
          <w:rFonts w:ascii="Times New Roman" w:eastAsia="Times New Roman" w:hAnsi="Times New Roman" w:cs="Times New Roman"/>
          <w:sz w:val="24"/>
          <w:szCs w:val="24"/>
        </w:rPr>
      </w:pPr>
      <w:r w:rsidRPr="00474BC5">
        <w:rPr>
          <w:rFonts w:ascii="Times New Roman" w:eastAsia="Times New Roman" w:hAnsi="Times New Roman" w:cs="Times New Roman"/>
          <w:sz w:val="24"/>
          <w:szCs w:val="24"/>
        </w:rPr>
        <w:t xml:space="preserve">Вариант 2 включва регулаторна интервенция </w:t>
      </w:r>
      <w:r w:rsidRPr="00474BC5">
        <w:rPr>
          <w:rFonts w:ascii="Times New Roman" w:eastAsia="Times New Roman" w:hAnsi="Times New Roman" w:cs="Times New Roman"/>
          <w:bCs/>
          <w:sz w:val="24"/>
          <w:szCs w:val="24"/>
        </w:rPr>
        <w:t>в рамките на съществуващото законодателство</w:t>
      </w:r>
      <w:r w:rsidRPr="00474BC5">
        <w:rPr>
          <w:rFonts w:ascii="Times New Roman" w:eastAsia="Times New Roman" w:hAnsi="Times New Roman" w:cs="Times New Roman"/>
          <w:sz w:val="24"/>
          <w:szCs w:val="24"/>
        </w:rPr>
        <w:t xml:space="preserve">. Това може да означава изменение на </w:t>
      </w:r>
      <w:r w:rsidRPr="00474BC5">
        <w:rPr>
          <w:rFonts w:ascii="Times New Roman" w:eastAsia="Times New Roman" w:hAnsi="Times New Roman" w:cs="Times New Roman"/>
          <w:bCs/>
          <w:sz w:val="24"/>
          <w:szCs w:val="24"/>
        </w:rPr>
        <w:t>ЗЗК</w:t>
      </w:r>
      <w:r w:rsidRPr="00474BC5">
        <w:rPr>
          <w:rFonts w:ascii="Times New Roman" w:eastAsia="Times New Roman" w:hAnsi="Times New Roman" w:cs="Times New Roman"/>
          <w:sz w:val="24"/>
          <w:szCs w:val="24"/>
        </w:rPr>
        <w:t>, за да се прецизира</w:t>
      </w:r>
      <w:r w:rsidR="00061571">
        <w:rPr>
          <w:rFonts w:ascii="Times New Roman" w:eastAsia="Times New Roman" w:hAnsi="Times New Roman" w:cs="Times New Roman"/>
          <w:sz w:val="24"/>
          <w:szCs w:val="24"/>
        </w:rPr>
        <w:t>т текстовете от</w:t>
      </w:r>
      <w:r w:rsidRPr="00474BC5">
        <w:rPr>
          <w:rFonts w:ascii="Times New Roman" w:eastAsia="Times New Roman" w:hAnsi="Times New Roman" w:cs="Times New Roman"/>
          <w:sz w:val="24"/>
          <w:szCs w:val="24"/>
        </w:rPr>
        <w:t xml:space="preserve"> </w:t>
      </w:r>
      <w:r w:rsidR="00061571">
        <w:rPr>
          <w:rFonts w:ascii="Times New Roman" w:eastAsia="Times New Roman" w:hAnsi="Times New Roman" w:cs="Times New Roman"/>
          <w:sz w:val="24"/>
          <w:szCs w:val="24"/>
        </w:rPr>
        <w:t>главата</w:t>
      </w:r>
      <w:r w:rsidR="00061571" w:rsidRPr="00474BC5">
        <w:rPr>
          <w:rFonts w:ascii="Times New Roman" w:eastAsia="Times New Roman" w:hAnsi="Times New Roman" w:cs="Times New Roman"/>
          <w:sz w:val="24"/>
          <w:szCs w:val="24"/>
        </w:rPr>
        <w:t xml:space="preserve"> </w:t>
      </w:r>
      <w:r w:rsidRPr="00474BC5">
        <w:rPr>
          <w:rFonts w:ascii="Times New Roman" w:eastAsia="Times New Roman" w:hAnsi="Times New Roman" w:cs="Times New Roman"/>
          <w:sz w:val="24"/>
          <w:szCs w:val="24"/>
        </w:rPr>
        <w:t>за нелоялни</w:t>
      </w:r>
      <w:r w:rsidR="00061571">
        <w:rPr>
          <w:rFonts w:ascii="Times New Roman" w:eastAsia="Times New Roman" w:hAnsi="Times New Roman" w:cs="Times New Roman"/>
          <w:sz w:val="24"/>
          <w:szCs w:val="24"/>
        </w:rPr>
        <w:t>те</w:t>
      </w:r>
      <w:r w:rsidRPr="00474BC5">
        <w:rPr>
          <w:rFonts w:ascii="Times New Roman" w:eastAsia="Times New Roman" w:hAnsi="Times New Roman" w:cs="Times New Roman"/>
          <w:sz w:val="24"/>
          <w:szCs w:val="24"/>
        </w:rPr>
        <w:t xml:space="preserve"> търговски практики</w:t>
      </w:r>
      <w:r w:rsidR="00061571">
        <w:rPr>
          <w:rFonts w:ascii="Times New Roman" w:eastAsia="Times New Roman" w:hAnsi="Times New Roman" w:cs="Times New Roman"/>
          <w:sz w:val="24"/>
          <w:szCs w:val="24"/>
        </w:rPr>
        <w:t xml:space="preserve"> по веригата за доставки на селскостопански и хранителни продукти</w:t>
      </w:r>
      <w:r w:rsidRPr="00474BC5">
        <w:rPr>
          <w:rFonts w:ascii="Times New Roman" w:eastAsia="Times New Roman" w:hAnsi="Times New Roman" w:cs="Times New Roman"/>
          <w:sz w:val="24"/>
          <w:szCs w:val="24"/>
        </w:rPr>
        <w:t xml:space="preserve">, или коригиране на </w:t>
      </w:r>
      <w:r w:rsidRPr="00474BC5">
        <w:rPr>
          <w:rFonts w:ascii="Times New Roman" w:eastAsia="Times New Roman" w:hAnsi="Times New Roman" w:cs="Times New Roman"/>
          <w:bCs/>
          <w:sz w:val="24"/>
          <w:szCs w:val="24"/>
        </w:rPr>
        <w:t xml:space="preserve">Закона за храните </w:t>
      </w:r>
      <w:r w:rsidRPr="00474BC5">
        <w:rPr>
          <w:rFonts w:ascii="Times New Roman" w:eastAsia="Times New Roman" w:hAnsi="Times New Roman" w:cs="Times New Roman"/>
          <w:sz w:val="24"/>
          <w:szCs w:val="24"/>
        </w:rPr>
        <w:t xml:space="preserve">или свързаните с него </w:t>
      </w:r>
      <w:r w:rsidR="00061571">
        <w:rPr>
          <w:rFonts w:ascii="Times New Roman" w:eastAsia="Times New Roman" w:hAnsi="Times New Roman" w:cs="Times New Roman"/>
          <w:sz w:val="24"/>
          <w:szCs w:val="24"/>
        </w:rPr>
        <w:t>нормативни актове</w:t>
      </w:r>
      <w:r w:rsidRPr="00474BC5">
        <w:rPr>
          <w:rFonts w:ascii="Times New Roman" w:eastAsia="Times New Roman" w:hAnsi="Times New Roman" w:cs="Times New Roman"/>
          <w:sz w:val="24"/>
          <w:szCs w:val="24"/>
        </w:rPr>
        <w:t>, за да се покрият всички пропуски. Вариант 2 може да  предвижда</w:t>
      </w:r>
      <w:r w:rsidR="00061571">
        <w:rPr>
          <w:rFonts w:ascii="Times New Roman" w:eastAsia="Times New Roman" w:hAnsi="Times New Roman" w:cs="Times New Roman"/>
          <w:sz w:val="24"/>
          <w:szCs w:val="24"/>
        </w:rPr>
        <w:t xml:space="preserve">, </w:t>
      </w:r>
      <w:r w:rsidRPr="00474BC5">
        <w:rPr>
          <w:rFonts w:ascii="Times New Roman" w:eastAsia="Times New Roman" w:hAnsi="Times New Roman" w:cs="Times New Roman"/>
          <w:sz w:val="24"/>
          <w:szCs w:val="24"/>
        </w:rPr>
        <w:t>например</w:t>
      </w:r>
      <w:r w:rsidR="00061571">
        <w:rPr>
          <w:rFonts w:ascii="Times New Roman" w:eastAsia="Times New Roman" w:hAnsi="Times New Roman" w:cs="Times New Roman"/>
          <w:sz w:val="24"/>
          <w:szCs w:val="24"/>
        </w:rPr>
        <w:t>,</w:t>
      </w:r>
      <w:r w:rsidRPr="00474BC5">
        <w:rPr>
          <w:rFonts w:ascii="Times New Roman" w:eastAsia="Times New Roman" w:hAnsi="Times New Roman" w:cs="Times New Roman"/>
          <w:sz w:val="24"/>
          <w:szCs w:val="24"/>
        </w:rPr>
        <w:t xml:space="preserve"> разширяване на списъка със забранени практики, </w:t>
      </w:r>
      <w:r w:rsidRPr="00474BC5">
        <w:rPr>
          <w:rFonts w:ascii="Times New Roman" w:eastAsia="Times New Roman" w:hAnsi="Times New Roman" w:cs="Times New Roman"/>
          <w:sz w:val="24"/>
          <w:szCs w:val="24"/>
        </w:rPr>
        <w:lastRenderedPageBreak/>
        <w:t xml:space="preserve">засилване на изискванията </w:t>
      </w:r>
      <w:r w:rsidR="00F40BBA">
        <w:rPr>
          <w:rFonts w:ascii="Times New Roman" w:eastAsia="Times New Roman" w:hAnsi="Times New Roman" w:cs="Times New Roman"/>
          <w:sz w:val="24"/>
          <w:szCs w:val="24"/>
        </w:rPr>
        <w:t>за</w:t>
      </w:r>
      <w:r w:rsidR="00F40BBA" w:rsidRPr="00474BC5">
        <w:rPr>
          <w:rFonts w:ascii="Times New Roman" w:eastAsia="Times New Roman" w:hAnsi="Times New Roman" w:cs="Times New Roman"/>
          <w:sz w:val="24"/>
          <w:szCs w:val="24"/>
        </w:rPr>
        <w:t xml:space="preserve"> </w:t>
      </w:r>
      <w:r w:rsidRPr="00474BC5">
        <w:rPr>
          <w:rFonts w:ascii="Times New Roman" w:eastAsia="Times New Roman" w:hAnsi="Times New Roman" w:cs="Times New Roman"/>
          <w:sz w:val="24"/>
          <w:szCs w:val="24"/>
        </w:rPr>
        <w:t xml:space="preserve">писмени договори или </w:t>
      </w:r>
      <w:r w:rsidR="00061571">
        <w:rPr>
          <w:rFonts w:ascii="Times New Roman" w:eastAsia="Times New Roman" w:hAnsi="Times New Roman" w:cs="Times New Roman"/>
          <w:sz w:val="24"/>
          <w:szCs w:val="24"/>
        </w:rPr>
        <w:t xml:space="preserve">разширяване на </w:t>
      </w:r>
      <w:r w:rsidRPr="00474BC5">
        <w:rPr>
          <w:rFonts w:ascii="Times New Roman" w:eastAsia="Times New Roman" w:hAnsi="Times New Roman" w:cs="Times New Roman"/>
          <w:sz w:val="24"/>
          <w:szCs w:val="24"/>
        </w:rPr>
        <w:t>правомощия</w:t>
      </w:r>
      <w:r w:rsidR="00061571">
        <w:rPr>
          <w:rFonts w:ascii="Times New Roman" w:eastAsia="Times New Roman" w:hAnsi="Times New Roman" w:cs="Times New Roman"/>
          <w:sz w:val="24"/>
          <w:szCs w:val="24"/>
        </w:rPr>
        <w:t>та</w:t>
      </w:r>
      <w:r w:rsidRPr="00474BC5">
        <w:rPr>
          <w:rFonts w:ascii="Times New Roman" w:eastAsia="Times New Roman" w:hAnsi="Times New Roman" w:cs="Times New Roman"/>
          <w:sz w:val="24"/>
          <w:szCs w:val="24"/>
        </w:rPr>
        <w:t xml:space="preserve"> на </w:t>
      </w:r>
      <w:r w:rsidR="00061571" w:rsidRPr="00474BC5">
        <w:rPr>
          <w:rFonts w:ascii="Times New Roman" w:eastAsia="Times New Roman" w:hAnsi="Times New Roman" w:cs="Times New Roman"/>
          <w:sz w:val="24"/>
          <w:szCs w:val="24"/>
        </w:rPr>
        <w:t>правоприлагащи</w:t>
      </w:r>
      <w:r w:rsidR="00061571">
        <w:rPr>
          <w:rFonts w:ascii="Times New Roman" w:eastAsia="Times New Roman" w:hAnsi="Times New Roman" w:cs="Times New Roman"/>
          <w:sz w:val="24"/>
          <w:szCs w:val="24"/>
        </w:rPr>
        <w:t>те</w:t>
      </w:r>
      <w:r w:rsidR="00061571" w:rsidRPr="00474BC5">
        <w:rPr>
          <w:rFonts w:ascii="Times New Roman" w:eastAsia="Times New Roman" w:hAnsi="Times New Roman" w:cs="Times New Roman"/>
          <w:sz w:val="24"/>
          <w:szCs w:val="24"/>
        </w:rPr>
        <w:t xml:space="preserve"> </w:t>
      </w:r>
      <w:r w:rsidRPr="00474BC5">
        <w:rPr>
          <w:rFonts w:ascii="Times New Roman" w:eastAsia="Times New Roman" w:hAnsi="Times New Roman" w:cs="Times New Roman"/>
          <w:sz w:val="24"/>
          <w:szCs w:val="24"/>
        </w:rPr>
        <w:t>орган</w:t>
      </w:r>
      <w:r w:rsidR="00061571">
        <w:rPr>
          <w:rFonts w:ascii="Times New Roman" w:eastAsia="Times New Roman" w:hAnsi="Times New Roman" w:cs="Times New Roman"/>
          <w:sz w:val="24"/>
          <w:szCs w:val="24"/>
        </w:rPr>
        <w:t>и</w:t>
      </w:r>
      <w:r w:rsidRPr="00474BC5">
        <w:rPr>
          <w:rFonts w:ascii="Times New Roman" w:eastAsia="Times New Roman" w:hAnsi="Times New Roman" w:cs="Times New Roman"/>
          <w:sz w:val="24"/>
          <w:szCs w:val="24"/>
        </w:rPr>
        <w:t xml:space="preserve">. </w:t>
      </w:r>
    </w:p>
    <w:p w14:paraId="69E66F8F"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p>
    <w:p w14:paraId="4852A73A" w14:textId="77777777" w:rsidR="00E16161" w:rsidRDefault="00E16161" w:rsidP="00E16161">
      <w:pPr>
        <w:spacing w:after="0" w:line="240" w:lineRule="auto"/>
        <w:ind w:firstLine="567"/>
        <w:jc w:val="both"/>
        <w:rPr>
          <w:rFonts w:ascii="Times New Roman" w:eastAsia="Times New Roman" w:hAnsi="Times New Roman" w:cs="Times New Roman"/>
          <w:i/>
          <w:iCs/>
          <w:sz w:val="24"/>
          <w:szCs w:val="24"/>
        </w:rPr>
      </w:pPr>
      <w:r w:rsidRPr="00474BC5">
        <w:rPr>
          <w:rFonts w:ascii="Times New Roman" w:eastAsia="Times New Roman" w:hAnsi="Times New Roman" w:cs="Times New Roman"/>
          <w:b/>
          <w:i/>
          <w:sz w:val="24"/>
          <w:szCs w:val="24"/>
        </w:rPr>
        <w:t xml:space="preserve">2.1. </w:t>
      </w:r>
      <w:r w:rsidRPr="00474BC5">
        <w:rPr>
          <w:rFonts w:ascii="Times New Roman" w:eastAsia="Times New Roman" w:hAnsi="Times New Roman" w:cs="Times New Roman"/>
          <w:b/>
          <w:bCs/>
          <w:i/>
          <w:sz w:val="24"/>
          <w:szCs w:val="24"/>
        </w:rPr>
        <w:t>Ескалация на административните разходи:</w:t>
      </w:r>
      <w:r w:rsidRPr="00474BC5">
        <w:rPr>
          <w:rFonts w:ascii="Times New Roman" w:eastAsia="Times New Roman" w:hAnsi="Times New Roman" w:cs="Times New Roman"/>
          <w:b/>
          <w:i/>
          <w:sz w:val="24"/>
          <w:szCs w:val="24"/>
        </w:rPr>
        <w:t xml:space="preserve"> </w:t>
      </w:r>
      <w:r w:rsidRPr="00474BC5">
        <w:rPr>
          <w:rFonts w:ascii="Times New Roman" w:eastAsia="Times New Roman" w:hAnsi="Times New Roman" w:cs="Times New Roman"/>
          <w:b/>
          <w:i/>
          <w:iCs/>
          <w:sz w:val="24"/>
          <w:szCs w:val="24"/>
        </w:rPr>
        <w:t>У</w:t>
      </w:r>
      <w:r>
        <w:rPr>
          <w:rFonts w:ascii="Times New Roman" w:eastAsia="Times New Roman" w:hAnsi="Times New Roman" w:cs="Times New Roman"/>
          <w:b/>
          <w:i/>
          <w:iCs/>
          <w:sz w:val="24"/>
          <w:szCs w:val="24"/>
        </w:rPr>
        <w:t>мерен риск (управляеми разходи)</w:t>
      </w:r>
      <w:r w:rsidRPr="008C3960">
        <w:rPr>
          <w:rFonts w:ascii="Times New Roman" w:eastAsia="Times New Roman" w:hAnsi="Times New Roman" w:cs="Times New Roman"/>
          <w:i/>
          <w:iCs/>
          <w:sz w:val="24"/>
          <w:szCs w:val="24"/>
        </w:rPr>
        <w:t xml:space="preserve"> </w:t>
      </w:r>
    </w:p>
    <w:p w14:paraId="25E63397" w14:textId="0E83BC17" w:rsidR="00E16161" w:rsidRDefault="00E16161" w:rsidP="00E16161">
      <w:pPr>
        <w:spacing w:after="0" w:line="240" w:lineRule="auto"/>
        <w:ind w:firstLine="567"/>
        <w:jc w:val="both"/>
        <w:rPr>
          <w:rFonts w:ascii="Times New Roman" w:eastAsia="Times New Roman" w:hAnsi="Times New Roman" w:cs="Times New Roman"/>
          <w:sz w:val="24"/>
          <w:szCs w:val="24"/>
        </w:rPr>
      </w:pPr>
      <w:r w:rsidRPr="00474BC5">
        <w:rPr>
          <w:rFonts w:ascii="Times New Roman" w:eastAsia="Times New Roman" w:hAnsi="Times New Roman" w:cs="Times New Roman"/>
          <w:sz w:val="24"/>
          <w:szCs w:val="24"/>
        </w:rPr>
        <w:t xml:space="preserve">Промяната на съществуващите закони обикновено включва </w:t>
      </w:r>
      <w:r w:rsidRPr="00474BC5">
        <w:rPr>
          <w:rFonts w:ascii="Times New Roman" w:eastAsia="Times New Roman" w:hAnsi="Times New Roman" w:cs="Times New Roman"/>
          <w:bCs/>
          <w:sz w:val="24"/>
          <w:szCs w:val="24"/>
        </w:rPr>
        <w:t xml:space="preserve">използване на настоящи институционални структури, </w:t>
      </w:r>
      <w:r w:rsidRPr="00474BC5">
        <w:rPr>
          <w:rFonts w:ascii="Times New Roman" w:eastAsia="Times New Roman" w:hAnsi="Times New Roman" w:cs="Times New Roman"/>
          <w:sz w:val="24"/>
          <w:szCs w:val="24"/>
        </w:rPr>
        <w:t>а не създаване на нови</w:t>
      </w:r>
      <w:r w:rsidR="007B0A86">
        <w:rPr>
          <w:rFonts w:ascii="Times New Roman" w:eastAsia="Times New Roman" w:hAnsi="Times New Roman" w:cs="Times New Roman"/>
          <w:sz w:val="24"/>
          <w:szCs w:val="24"/>
        </w:rPr>
        <w:t xml:space="preserve"> такива</w:t>
      </w:r>
      <w:r w:rsidRPr="00474BC5">
        <w:rPr>
          <w:rFonts w:ascii="Times New Roman" w:eastAsia="Times New Roman" w:hAnsi="Times New Roman" w:cs="Times New Roman"/>
          <w:sz w:val="24"/>
          <w:szCs w:val="24"/>
        </w:rPr>
        <w:t>. Административната тежест по правоприлагането вероятно ще</w:t>
      </w:r>
      <w:r w:rsidRPr="008C3960">
        <w:rPr>
          <w:rFonts w:ascii="Times New Roman" w:eastAsia="Times New Roman" w:hAnsi="Times New Roman" w:cs="Times New Roman"/>
          <w:sz w:val="24"/>
          <w:szCs w:val="24"/>
        </w:rPr>
        <w:t xml:space="preserve"> падне върху </w:t>
      </w:r>
      <w:r w:rsidRPr="00474BC5">
        <w:rPr>
          <w:rFonts w:ascii="Times New Roman" w:eastAsia="Times New Roman" w:hAnsi="Times New Roman" w:cs="Times New Roman"/>
          <w:sz w:val="24"/>
          <w:szCs w:val="24"/>
        </w:rPr>
        <w:t xml:space="preserve">съществуващ орган, например КЗК, която вече има задачата да контролира </w:t>
      </w:r>
      <w:r w:rsidR="00061571">
        <w:rPr>
          <w:rFonts w:ascii="Times New Roman" w:eastAsia="Times New Roman" w:hAnsi="Times New Roman" w:cs="Times New Roman"/>
          <w:sz w:val="24"/>
          <w:szCs w:val="24"/>
        </w:rPr>
        <w:t>нелоялните търговски практики</w:t>
      </w:r>
      <w:r w:rsidR="00061571" w:rsidRPr="00474BC5">
        <w:rPr>
          <w:rFonts w:ascii="Times New Roman" w:eastAsia="Times New Roman" w:hAnsi="Times New Roman" w:cs="Times New Roman"/>
          <w:sz w:val="24"/>
          <w:szCs w:val="24"/>
        </w:rPr>
        <w:t xml:space="preserve"> </w:t>
      </w:r>
      <w:r w:rsidRPr="00474BC5">
        <w:rPr>
          <w:rFonts w:ascii="Times New Roman" w:eastAsia="Times New Roman" w:hAnsi="Times New Roman" w:cs="Times New Roman"/>
          <w:sz w:val="24"/>
          <w:szCs w:val="24"/>
        </w:rPr>
        <w:t xml:space="preserve">съгласно сегашния закон. Ще има и някои </w:t>
      </w:r>
      <w:r w:rsidRPr="00474BC5">
        <w:rPr>
          <w:rFonts w:ascii="Times New Roman" w:eastAsia="Times New Roman" w:hAnsi="Times New Roman" w:cs="Times New Roman"/>
          <w:bCs/>
          <w:sz w:val="24"/>
          <w:szCs w:val="24"/>
        </w:rPr>
        <w:t>допълнителни разходи</w:t>
      </w:r>
      <w:r w:rsidRPr="00474BC5">
        <w:rPr>
          <w:rFonts w:ascii="Times New Roman" w:eastAsia="Times New Roman" w:hAnsi="Times New Roman" w:cs="Times New Roman"/>
          <w:sz w:val="24"/>
          <w:szCs w:val="24"/>
        </w:rPr>
        <w:t>. КЗК или съответното министерство може да се нуждае от допълнително обучение на персонала</w:t>
      </w:r>
      <w:r>
        <w:rPr>
          <w:rFonts w:ascii="Times New Roman" w:eastAsia="Times New Roman" w:hAnsi="Times New Roman" w:cs="Times New Roman"/>
          <w:sz w:val="24"/>
          <w:szCs w:val="24"/>
        </w:rPr>
        <w:t xml:space="preserve"> </w:t>
      </w:r>
      <w:r w:rsidRPr="00474BC5">
        <w:rPr>
          <w:rFonts w:ascii="Times New Roman" w:eastAsia="Times New Roman" w:hAnsi="Times New Roman" w:cs="Times New Roman"/>
          <w:sz w:val="24"/>
          <w:szCs w:val="24"/>
        </w:rPr>
        <w:t>или от допълнителен бюджет за разглеждане</w:t>
      </w:r>
      <w:r w:rsidRPr="008C3960">
        <w:rPr>
          <w:rFonts w:ascii="Times New Roman" w:eastAsia="Times New Roman" w:hAnsi="Times New Roman" w:cs="Times New Roman"/>
          <w:sz w:val="24"/>
          <w:szCs w:val="24"/>
        </w:rPr>
        <w:t xml:space="preserve"> на жалби (разследвания, съдебни производства и т.н.). Въпреки това се очаква тези разходи да бъдат </w:t>
      </w:r>
      <w:r w:rsidR="00B83A67">
        <w:rPr>
          <w:rFonts w:ascii="Times New Roman" w:eastAsia="Times New Roman" w:hAnsi="Times New Roman" w:cs="Times New Roman"/>
          <w:sz w:val="24"/>
          <w:szCs w:val="24"/>
        </w:rPr>
        <w:t>незначителни.</w:t>
      </w:r>
      <w:r w:rsidRPr="008C3960">
        <w:rPr>
          <w:rFonts w:ascii="Times New Roman" w:eastAsia="Times New Roman" w:hAnsi="Times New Roman" w:cs="Times New Roman"/>
          <w:sz w:val="24"/>
          <w:szCs w:val="24"/>
        </w:rPr>
        <w:t xml:space="preserve"> Т</w:t>
      </w:r>
      <w:r>
        <w:rPr>
          <w:rFonts w:ascii="Times New Roman" w:eastAsia="Times New Roman" w:hAnsi="Times New Roman" w:cs="Times New Roman"/>
          <w:sz w:val="24"/>
          <w:szCs w:val="24"/>
        </w:rPr>
        <w:t>е</w:t>
      </w:r>
      <w:r w:rsidRPr="008C3960">
        <w:rPr>
          <w:rFonts w:ascii="Times New Roman" w:eastAsia="Times New Roman" w:hAnsi="Times New Roman" w:cs="Times New Roman"/>
          <w:sz w:val="24"/>
          <w:szCs w:val="24"/>
        </w:rPr>
        <w:t xml:space="preserve"> ще </w:t>
      </w:r>
      <w:r>
        <w:rPr>
          <w:rFonts w:ascii="Times New Roman" w:eastAsia="Times New Roman" w:hAnsi="Times New Roman" w:cs="Times New Roman"/>
          <w:sz w:val="24"/>
          <w:szCs w:val="24"/>
        </w:rPr>
        <w:t xml:space="preserve">следва да </w:t>
      </w:r>
      <w:r w:rsidRPr="008C3960">
        <w:rPr>
          <w:rFonts w:ascii="Times New Roman" w:eastAsia="Times New Roman" w:hAnsi="Times New Roman" w:cs="Times New Roman"/>
          <w:sz w:val="24"/>
          <w:szCs w:val="24"/>
        </w:rPr>
        <w:t>покри</w:t>
      </w:r>
      <w:r>
        <w:rPr>
          <w:rFonts w:ascii="Times New Roman" w:eastAsia="Times New Roman" w:hAnsi="Times New Roman" w:cs="Times New Roman"/>
          <w:sz w:val="24"/>
          <w:szCs w:val="24"/>
        </w:rPr>
        <w:t xml:space="preserve">ят </w:t>
      </w:r>
      <w:r w:rsidRPr="008C3960">
        <w:rPr>
          <w:rFonts w:ascii="Times New Roman" w:eastAsia="Times New Roman" w:hAnsi="Times New Roman" w:cs="Times New Roman"/>
          <w:sz w:val="24"/>
          <w:szCs w:val="24"/>
        </w:rPr>
        <w:t xml:space="preserve">администрирането на изменените правила. </w:t>
      </w:r>
      <w:r w:rsidRPr="00474BC5">
        <w:rPr>
          <w:rFonts w:ascii="Times New Roman" w:eastAsia="Times New Roman" w:hAnsi="Times New Roman" w:cs="Times New Roman"/>
          <w:sz w:val="24"/>
          <w:szCs w:val="24"/>
        </w:rPr>
        <w:t>Оттук</w:t>
      </w:r>
      <w:r w:rsidR="00C64E89">
        <w:rPr>
          <w:rFonts w:ascii="Times New Roman" w:eastAsia="Times New Roman" w:hAnsi="Times New Roman" w:cs="Times New Roman"/>
          <w:sz w:val="24"/>
          <w:szCs w:val="24"/>
        </w:rPr>
        <w:t xml:space="preserve"> е</w:t>
      </w:r>
      <w:r w:rsidRPr="00474BC5">
        <w:rPr>
          <w:rFonts w:ascii="Times New Roman" w:eastAsia="Times New Roman" w:hAnsi="Times New Roman" w:cs="Times New Roman"/>
          <w:sz w:val="24"/>
          <w:szCs w:val="24"/>
        </w:rPr>
        <w:t xml:space="preserve"> величината за </w:t>
      </w:r>
      <w:r w:rsidR="007B0A86" w:rsidRPr="00474BC5">
        <w:rPr>
          <w:rFonts w:ascii="Times New Roman" w:eastAsia="Times New Roman" w:hAnsi="Times New Roman" w:cs="Times New Roman"/>
          <w:bCs/>
          <w:sz w:val="24"/>
          <w:szCs w:val="24"/>
        </w:rPr>
        <w:t xml:space="preserve">вероятност </w:t>
      </w:r>
      <w:r w:rsidR="007B0A86">
        <w:rPr>
          <w:rFonts w:ascii="Times New Roman" w:eastAsia="Times New Roman" w:hAnsi="Times New Roman" w:cs="Times New Roman"/>
          <w:bCs/>
          <w:sz w:val="24"/>
          <w:szCs w:val="24"/>
        </w:rPr>
        <w:t>(L=3)</w:t>
      </w:r>
      <w:r w:rsidRPr="00474BC5">
        <w:rPr>
          <w:rFonts w:ascii="Times New Roman" w:eastAsia="Times New Roman" w:hAnsi="Times New Roman" w:cs="Times New Roman"/>
          <w:bCs/>
          <w:sz w:val="24"/>
          <w:szCs w:val="24"/>
        </w:rPr>
        <w:t xml:space="preserve"> </w:t>
      </w:r>
      <w:r w:rsidR="007B0A86">
        <w:rPr>
          <w:rFonts w:ascii="Times New Roman" w:eastAsia="Times New Roman" w:hAnsi="Times New Roman" w:cs="Times New Roman"/>
          <w:bCs/>
          <w:sz w:val="24"/>
          <w:szCs w:val="24"/>
        </w:rPr>
        <w:t xml:space="preserve">- </w:t>
      </w:r>
      <w:r w:rsidRPr="00474BC5">
        <w:rPr>
          <w:rFonts w:ascii="Times New Roman" w:eastAsia="Times New Roman" w:hAnsi="Times New Roman" w:cs="Times New Roman"/>
          <w:sz w:val="24"/>
          <w:szCs w:val="24"/>
        </w:rPr>
        <w:t>вероятни са някои допълнителни разходи, напр</w:t>
      </w:r>
      <w:r w:rsidR="00F40BBA">
        <w:rPr>
          <w:rFonts w:ascii="Times New Roman" w:eastAsia="Times New Roman" w:hAnsi="Times New Roman" w:cs="Times New Roman"/>
          <w:sz w:val="24"/>
          <w:szCs w:val="24"/>
        </w:rPr>
        <w:t xml:space="preserve">имер, </w:t>
      </w:r>
      <w:r w:rsidRPr="00474BC5">
        <w:rPr>
          <w:rFonts w:ascii="Times New Roman" w:eastAsia="Times New Roman" w:hAnsi="Times New Roman" w:cs="Times New Roman"/>
          <w:sz w:val="24"/>
          <w:szCs w:val="24"/>
        </w:rPr>
        <w:t>финансиране на няколко позиции на пълен работен ден и</w:t>
      </w:r>
      <w:r w:rsidR="007B0A86">
        <w:rPr>
          <w:rFonts w:ascii="Times New Roman" w:eastAsia="Times New Roman" w:hAnsi="Times New Roman" w:cs="Times New Roman"/>
          <w:sz w:val="24"/>
          <w:szCs w:val="24"/>
        </w:rPr>
        <w:t xml:space="preserve"> може би информационна кампания</w:t>
      </w:r>
      <w:r w:rsidRPr="00474BC5">
        <w:rPr>
          <w:rFonts w:ascii="Times New Roman" w:eastAsia="Times New Roman" w:hAnsi="Times New Roman" w:cs="Times New Roman"/>
          <w:sz w:val="24"/>
          <w:szCs w:val="24"/>
        </w:rPr>
        <w:t xml:space="preserve"> и</w:t>
      </w:r>
      <w:r w:rsidR="007B0A86">
        <w:rPr>
          <w:rFonts w:ascii="Times New Roman" w:eastAsia="Times New Roman" w:hAnsi="Times New Roman" w:cs="Times New Roman"/>
          <w:sz w:val="24"/>
          <w:szCs w:val="24"/>
        </w:rPr>
        <w:t xml:space="preserve"> съответно</w:t>
      </w:r>
      <w:r w:rsidR="00C64E89">
        <w:rPr>
          <w:rFonts w:ascii="Times New Roman" w:eastAsia="Times New Roman" w:hAnsi="Times New Roman" w:cs="Times New Roman"/>
          <w:sz w:val="24"/>
          <w:szCs w:val="24"/>
        </w:rPr>
        <w:t xml:space="preserve"> за</w:t>
      </w:r>
      <w:r w:rsidRPr="00474BC5">
        <w:rPr>
          <w:rFonts w:ascii="Times New Roman" w:eastAsia="Times New Roman" w:hAnsi="Times New Roman" w:cs="Times New Roman"/>
          <w:sz w:val="24"/>
          <w:szCs w:val="24"/>
        </w:rPr>
        <w:t xml:space="preserve"> </w:t>
      </w:r>
      <w:r w:rsidR="007B0A86" w:rsidRPr="00474BC5">
        <w:rPr>
          <w:rFonts w:ascii="Times New Roman" w:eastAsia="Times New Roman" w:hAnsi="Times New Roman" w:cs="Times New Roman"/>
          <w:bCs/>
          <w:sz w:val="24"/>
          <w:szCs w:val="24"/>
        </w:rPr>
        <w:t xml:space="preserve">въздействие </w:t>
      </w:r>
      <w:r w:rsidR="007B0A86" w:rsidRPr="007B0A86">
        <w:rPr>
          <w:rFonts w:ascii="Times New Roman" w:eastAsia="Times New Roman" w:hAnsi="Times New Roman" w:cs="Times New Roman"/>
          <w:bCs/>
          <w:sz w:val="24"/>
          <w:szCs w:val="24"/>
          <w:lang w:val="ru-RU"/>
        </w:rPr>
        <w:t>(</w:t>
      </w:r>
      <w:r w:rsidR="007B0A86">
        <w:rPr>
          <w:rFonts w:ascii="Times New Roman" w:eastAsia="Times New Roman" w:hAnsi="Times New Roman" w:cs="Times New Roman"/>
          <w:bCs/>
          <w:sz w:val="24"/>
          <w:szCs w:val="24"/>
          <w:lang w:val="en-US"/>
        </w:rPr>
        <w:t>I</w:t>
      </w:r>
      <w:r w:rsidRPr="00474BC5">
        <w:rPr>
          <w:rFonts w:ascii="Times New Roman" w:eastAsia="Times New Roman" w:hAnsi="Times New Roman" w:cs="Times New Roman"/>
          <w:bCs/>
          <w:sz w:val="24"/>
          <w:szCs w:val="24"/>
        </w:rPr>
        <w:t>=2</w:t>
      </w:r>
      <w:r w:rsidR="007B0A86" w:rsidRPr="007B0A86">
        <w:rPr>
          <w:rFonts w:ascii="Times New Roman" w:eastAsia="Times New Roman" w:hAnsi="Times New Roman" w:cs="Times New Roman"/>
          <w:bCs/>
          <w:sz w:val="24"/>
          <w:szCs w:val="24"/>
          <w:lang w:val="ru-RU"/>
        </w:rPr>
        <w:t>)</w:t>
      </w:r>
      <w:r w:rsidR="00903C2F">
        <w:rPr>
          <w:rFonts w:ascii="Times New Roman" w:eastAsia="Times New Roman" w:hAnsi="Times New Roman" w:cs="Times New Roman"/>
          <w:bCs/>
          <w:sz w:val="24"/>
          <w:szCs w:val="24"/>
        </w:rPr>
        <w:t>, т.к.</w:t>
      </w:r>
      <w:r w:rsidR="007B0A86">
        <w:rPr>
          <w:rFonts w:ascii="Times New Roman" w:eastAsia="Times New Roman" w:hAnsi="Times New Roman" w:cs="Times New Roman"/>
          <w:sz w:val="24"/>
          <w:szCs w:val="24"/>
        </w:rPr>
        <w:t xml:space="preserve"> </w:t>
      </w:r>
      <w:r w:rsidR="00903C2F">
        <w:rPr>
          <w:rFonts w:ascii="Times New Roman" w:eastAsia="Times New Roman" w:hAnsi="Times New Roman" w:cs="Times New Roman"/>
          <w:sz w:val="24"/>
          <w:szCs w:val="24"/>
        </w:rPr>
        <w:t>мащабът на разходите е нисък. Н</w:t>
      </w:r>
      <w:r w:rsidRPr="00474BC5">
        <w:rPr>
          <w:rFonts w:ascii="Times New Roman" w:eastAsia="Times New Roman" w:hAnsi="Times New Roman" w:cs="Times New Roman"/>
          <w:sz w:val="24"/>
          <w:szCs w:val="24"/>
        </w:rPr>
        <w:t>апример</w:t>
      </w:r>
      <w:r w:rsidR="00C64E89">
        <w:rPr>
          <w:rFonts w:ascii="Times New Roman" w:eastAsia="Times New Roman" w:hAnsi="Times New Roman" w:cs="Times New Roman"/>
          <w:sz w:val="24"/>
          <w:szCs w:val="24"/>
        </w:rPr>
        <w:t>,</w:t>
      </w:r>
      <w:r w:rsidRPr="00474BC5">
        <w:rPr>
          <w:rFonts w:ascii="Times New Roman" w:eastAsia="Times New Roman" w:hAnsi="Times New Roman" w:cs="Times New Roman"/>
          <w:sz w:val="24"/>
          <w:szCs w:val="24"/>
        </w:rPr>
        <w:t xml:space="preserve"> налагането на санкции за </w:t>
      </w:r>
      <w:r w:rsidR="00C64E89">
        <w:rPr>
          <w:rFonts w:ascii="Times New Roman" w:eastAsia="Times New Roman" w:hAnsi="Times New Roman" w:cs="Times New Roman"/>
          <w:sz w:val="24"/>
          <w:szCs w:val="24"/>
        </w:rPr>
        <w:t>нелоялни търговски практики</w:t>
      </w:r>
      <w:r w:rsidR="00C64E89" w:rsidRPr="00474BC5">
        <w:rPr>
          <w:rFonts w:ascii="Times New Roman" w:eastAsia="Times New Roman" w:hAnsi="Times New Roman" w:cs="Times New Roman"/>
          <w:sz w:val="24"/>
          <w:szCs w:val="24"/>
        </w:rPr>
        <w:t xml:space="preserve"> </w:t>
      </w:r>
      <w:r w:rsidRPr="00474BC5">
        <w:rPr>
          <w:rFonts w:ascii="Times New Roman" w:eastAsia="Times New Roman" w:hAnsi="Times New Roman" w:cs="Times New Roman"/>
          <w:sz w:val="24"/>
          <w:szCs w:val="24"/>
        </w:rPr>
        <w:t xml:space="preserve">от КЗК може да изисква допълнителни оперативни разходи, </w:t>
      </w:r>
      <w:r w:rsidR="00F40BBA">
        <w:rPr>
          <w:rFonts w:ascii="Times New Roman" w:eastAsia="Times New Roman" w:hAnsi="Times New Roman" w:cs="Times New Roman"/>
          <w:sz w:val="24"/>
          <w:szCs w:val="24"/>
        </w:rPr>
        <w:t>но това да е</w:t>
      </w:r>
      <w:r w:rsidRPr="00474BC5">
        <w:rPr>
          <w:rFonts w:ascii="Times New Roman" w:eastAsia="Times New Roman" w:hAnsi="Times New Roman" w:cs="Times New Roman"/>
          <w:sz w:val="24"/>
          <w:szCs w:val="24"/>
        </w:rPr>
        <w:t xml:space="preserve"> незначително. </w:t>
      </w:r>
      <w:r w:rsidRPr="008C3960">
        <w:rPr>
          <w:rFonts w:ascii="Times New Roman" w:eastAsia="Times New Roman" w:hAnsi="Times New Roman" w:cs="Times New Roman"/>
          <w:sz w:val="24"/>
          <w:szCs w:val="24"/>
        </w:rPr>
        <w:t>Тези разходи биха могли потенциално да бъдат покрити чрез преразпределяне на съществуващи ресурси или</w:t>
      </w:r>
      <w:r w:rsidR="001C549F">
        <w:rPr>
          <w:rFonts w:ascii="Times New Roman" w:eastAsia="Times New Roman" w:hAnsi="Times New Roman" w:cs="Times New Roman"/>
          <w:sz w:val="24"/>
          <w:szCs w:val="24"/>
        </w:rPr>
        <w:t xml:space="preserve"> с незначителни </w:t>
      </w:r>
      <w:r w:rsidRPr="008C3960">
        <w:rPr>
          <w:rFonts w:ascii="Times New Roman" w:eastAsia="Times New Roman" w:hAnsi="Times New Roman" w:cs="Times New Roman"/>
          <w:sz w:val="24"/>
          <w:szCs w:val="24"/>
        </w:rPr>
        <w:t xml:space="preserve">увеличения на бюджета. Важно е, че при Вариант 2 не е задължително да се </w:t>
      </w:r>
      <w:r>
        <w:rPr>
          <w:rFonts w:ascii="Times New Roman" w:eastAsia="Times New Roman" w:hAnsi="Times New Roman" w:cs="Times New Roman"/>
          <w:sz w:val="24"/>
          <w:szCs w:val="24"/>
        </w:rPr>
        <w:t>въвежда</w:t>
      </w:r>
      <w:r w:rsidRPr="008C3960">
        <w:rPr>
          <w:rFonts w:ascii="Times New Roman" w:eastAsia="Times New Roman" w:hAnsi="Times New Roman" w:cs="Times New Roman"/>
          <w:sz w:val="24"/>
          <w:szCs w:val="24"/>
        </w:rPr>
        <w:t xml:space="preserve"> нова инфраструктура (като персонализирана ИТ платформа), тъй като правоприлагането може </w:t>
      </w:r>
      <w:r w:rsidRPr="00474BC5">
        <w:rPr>
          <w:rFonts w:ascii="Times New Roman" w:eastAsia="Times New Roman" w:hAnsi="Times New Roman" w:cs="Times New Roman"/>
          <w:sz w:val="24"/>
          <w:szCs w:val="24"/>
        </w:rPr>
        <w:t>да използва съществуващите канали и механизми за надзор. Като цяло</w:t>
      </w:r>
      <w:r w:rsidR="00C64E89">
        <w:rPr>
          <w:rFonts w:ascii="Times New Roman" w:eastAsia="Times New Roman" w:hAnsi="Times New Roman" w:cs="Times New Roman"/>
          <w:sz w:val="24"/>
          <w:szCs w:val="24"/>
        </w:rPr>
        <w:t>,</w:t>
      </w:r>
      <w:r w:rsidRPr="00474BC5">
        <w:rPr>
          <w:rFonts w:ascii="Times New Roman" w:eastAsia="Times New Roman" w:hAnsi="Times New Roman" w:cs="Times New Roman"/>
          <w:sz w:val="24"/>
          <w:szCs w:val="24"/>
        </w:rPr>
        <w:t xml:space="preserve"> </w:t>
      </w:r>
      <w:r w:rsidRPr="00474BC5">
        <w:rPr>
          <w:rFonts w:ascii="Times New Roman" w:eastAsia="Times New Roman" w:hAnsi="Times New Roman" w:cs="Times New Roman"/>
          <w:bCs/>
          <w:sz w:val="24"/>
          <w:szCs w:val="24"/>
        </w:rPr>
        <w:t>рискът от административни разходи е нисък до умерен и добре ограничен</w:t>
      </w:r>
      <w:r w:rsidRPr="00474B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74BC5">
        <w:rPr>
          <w:rFonts w:ascii="Times New Roman" w:eastAsia="Times New Roman" w:hAnsi="Times New Roman" w:cs="Times New Roman"/>
          <w:bCs/>
          <w:sz w:val="24"/>
          <w:szCs w:val="24"/>
        </w:rPr>
        <w:t>О</w:t>
      </w:r>
      <w:r w:rsidR="007B0A86">
        <w:rPr>
          <w:rFonts w:ascii="Times New Roman" w:eastAsia="Times New Roman" w:hAnsi="Times New Roman" w:cs="Times New Roman"/>
          <w:bCs/>
          <w:sz w:val="24"/>
          <w:szCs w:val="24"/>
        </w:rPr>
        <w:t>ттук</w:t>
      </w:r>
      <w:r w:rsidR="00B877DF">
        <w:rPr>
          <w:rFonts w:ascii="Times New Roman" w:eastAsia="Times New Roman" w:hAnsi="Times New Roman" w:cs="Times New Roman"/>
          <w:bCs/>
          <w:sz w:val="24"/>
          <w:szCs w:val="24"/>
        </w:rPr>
        <w:t>,</w:t>
      </w:r>
      <w:r w:rsidR="007B0A86">
        <w:rPr>
          <w:rFonts w:ascii="Times New Roman" w:eastAsia="Times New Roman" w:hAnsi="Times New Roman" w:cs="Times New Roman"/>
          <w:bCs/>
          <w:sz w:val="24"/>
          <w:szCs w:val="24"/>
        </w:rPr>
        <w:t xml:space="preserve"> по тази категория</w:t>
      </w:r>
      <w:r w:rsidR="007B0A86" w:rsidRPr="007B0A86">
        <w:rPr>
          <w:rFonts w:ascii="Times New Roman" w:eastAsia="Times New Roman" w:hAnsi="Times New Roman" w:cs="Times New Roman"/>
          <w:bCs/>
          <w:sz w:val="24"/>
          <w:szCs w:val="24"/>
        </w:rPr>
        <w:t xml:space="preserve"> </w:t>
      </w:r>
      <w:r w:rsidR="007B0A86">
        <w:rPr>
          <w:rFonts w:ascii="Times New Roman" w:eastAsia="Times New Roman" w:hAnsi="Times New Roman" w:cs="Times New Roman"/>
          <w:bCs/>
          <w:sz w:val="24"/>
          <w:szCs w:val="24"/>
        </w:rPr>
        <w:t>з</w:t>
      </w:r>
      <w:r w:rsidR="007B0A86" w:rsidRPr="00474BC5">
        <w:rPr>
          <w:rFonts w:ascii="Times New Roman" w:eastAsia="Times New Roman" w:hAnsi="Times New Roman" w:cs="Times New Roman"/>
          <w:bCs/>
          <w:sz w:val="24"/>
          <w:szCs w:val="24"/>
        </w:rPr>
        <w:t>а варианта</w:t>
      </w:r>
      <w:r w:rsidR="007B0A86">
        <w:rPr>
          <w:rFonts w:ascii="Times New Roman" w:eastAsia="Times New Roman" w:hAnsi="Times New Roman" w:cs="Times New Roman"/>
          <w:bCs/>
          <w:sz w:val="24"/>
          <w:szCs w:val="24"/>
        </w:rPr>
        <w:t xml:space="preserve"> може да се определи </w:t>
      </w:r>
      <w:r w:rsidR="007B0A86" w:rsidRPr="007B0A86">
        <w:rPr>
          <w:rFonts w:ascii="Times New Roman" w:eastAsia="Times New Roman" w:hAnsi="Times New Roman" w:cs="Times New Roman"/>
          <w:b/>
          <w:bCs/>
          <w:sz w:val="24"/>
          <w:szCs w:val="24"/>
        </w:rPr>
        <w:t>о</w:t>
      </w:r>
      <w:r w:rsidRPr="007B0A86">
        <w:rPr>
          <w:rFonts w:ascii="Times New Roman" w:eastAsia="Times New Roman" w:hAnsi="Times New Roman" w:cs="Times New Roman"/>
          <w:b/>
          <w:bCs/>
          <w:sz w:val="24"/>
          <w:szCs w:val="24"/>
        </w:rPr>
        <w:t>бща оценка на риска</w:t>
      </w:r>
      <w:r w:rsidR="00A5236A">
        <w:rPr>
          <w:rFonts w:ascii="Times New Roman" w:eastAsia="Times New Roman" w:hAnsi="Times New Roman" w:cs="Times New Roman"/>
          <w:b/>
          <w:bCs/>
          <w:sz w:val="24"/>
          <w:szCs w:val="24"/>
        </w:rPr>
        <w:t xml:space="preserve"> </w:t>
      </w:r>
      <w:r w:rsidR="00A5236A" w:rsidRPr="00474BC5">
        <w:rPr>
          <w:rFonts w:ascii="Times New Roman" w:eastAsia="Times New Roman" w:hAnsi="Times New Roman" w:cs="Times New Roman"/>
          <w:bCs/>
          <w:sz w:val="24"/>
          <w:szCs w:val="24"/>
        </w:rPr>
        <w:t>(3×2)</w:t>
      </w:r>
      <w:r w:rsidRPr="007B0A86">
        <w:rPr>
          <w:rFonts w:ascii="Times New Roman" w:eastAsia="Times New Roman" w:hAnsi="Times New Roman" w:cs="Times New Roman"/>
          <w:b/>
          <w:bCs/>
          <w:sz w:val="24"/>
          <w:szCs w:val="24"/>
        </w:rPr>
        <w:t xml:space="preserve"> </w:t>
      </w:r>
      <w:r w:rsidR="007B0A86" w:rsidRPr="007B0A86">
        <w:rPr>
          <w:rFonts w:ascii="Times New Roman" w:eastAsia="Times New Roman" w:hAnsi="Times New Roman" w:cs="Times New Roman"/>
          <w:b/>
          <w:bCs/>
          <w:sz w:val="24"/>
          <w:szCs w:val="24"/>
        </w:rPr>
        <w:t>=</w:t>
      </w:r>
      <w:r w:rsidRPr="007B0A86">
        <w:rPr>
          <w:rFonts w:ascii="Times New Roman" w:eastAsia="Times New Roman" w:hAnsi="Times New Roman" w:cs="Times New Roman"/>
          <w:b/>
          <w:bCs/>
          <w:sz w:val="24"/>
          <w:szCs w:val="24"/>
        </w:rPr>
        <w:t xml:space="preserve"> 6</w:t>
      </w:r>
      <w:r w:rsidRPr="00474BC5">
        <w:rPr>
          <w:rFonts w:ascii="Times New Roman" w:eastAsia="Times New Roman" w:hAnsi="Times New Roman" w:cs="Times New Roman"/>
          <w:bCs/>
          <w:sz w:val="24"/>
          <w:szCs w:val="24"/>
        </w:rPr>
        <w:t>.</w:t>
      </w:r>
    </w:p>
    <w:p w14:paraId="0B55E154"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p>
    <w:p w14:paraId="78B21334" w14:textId="77777777" w:rsidR="00E16161" w:rsidRDefault="00E16161" w:rsidP="00E16161">
      <w:pPr>
        <w:spacing w:after="0" w:line="240" w:lineRule="auto"/>
        <w:ind w:firstLine="567"/>
        <w:jc w:val="both"/>
        <w:rPr>
          <w:rFonts w:ascii="Times New Roman" w:eastAsia="Times New Roman" w:hAnsi="Times New Roman" w:cs="Times New Roman"/>
          <w:i/>
          <w:iCs/>
          <w:sz w:val="24"/>
          <w:szCs w:val="24"/>
        </w:rPr>
      </w:pPr>
      <w:r w:rsidRPr="00474BC5">
        <w:rPr>
          <w:rFonts w:ascii="Times New Roman" w:eastAsia="Times New Roman" w:hAnsi="Times New Roman" w:cs="Times New Roman"/>
          <w:b/>
          <w:i/>
          <w:sz w:val="24"/>
          <w:szCs w:val="24"/>
        </w:rPr>
        <w:t xml:space="preserve">2.2. </w:t>
      </w:r>
      <w:r w:rsidRPr="00474BC5">
        <w:rPr>
          <w:rFonts w:ascii="Times New Roman" w:eastAsia="Times New Roman" w:hAnsi="Times New Roman" w:cs="Times New Roman"/>
          <w:b/>
          <w:bCs/>
          <w:i/>
          <w:sz w:val="24"/>
          <w:szCs w:val="24"/>
        </w:rPr>
        <w:t>Отрицателни въздействия върху МСП:</w:t>
      </w:r>
      <w:r w:rsidRPr="00474BC5">
        <w:rPr>
          <w:rFonts w:ascii="Times New Roman" w:eastAsia="Times New Roman" w:hAnsi="Times New Roman" w:cs="Times New Roman"/>
          <w:b/>
          <w:i/>
          <w:sz w:val="24"/>
          <w:szCs w:val="24"/>
        </w:rPr>
        <w:t xml:space="preserve"> </w:t>
      </w:r>
      <w:r w:rsidRPr="00474BC5">
        <w:rPr>
          <w:rFonts w:ascii="Times New Roman" w:eastAsia="Times New Roman" w:hAnsi="Times New Roman" w:cs="Times New Roman"/>
          <w:b/>
          <w:i/>
          <w:iCs/>
          <w:sz w:val="24"/>
          <w:szCs w:val="24"/>
        </w:rPr>
        <w:t xml:space="preserve">Нисък риск от </w:t>
      </w:r>
      <w:r>
        <w:rPr>
          <w:rFonts w:ascii="Times New Roman" w:eastAsia="Times New Roman" w:hAnsi="Times New Roman" w:cs="Times New Roman"/>
          <w:b/>
          <w:i/>
          <w:iCs/>
          <w:sz w:val="24"/>
          <w:szCs w:val="24"/>
        </w:rPr>
        <w:t>непреднамерено увреждане на МСП и</w:t>
      </w:r>
      <w:r w:rsidRPr="00474BC5">
        <w:rPr>
          <w:rFonts w:ascii="Times New Roman" w:eastAsia="Times New Roman" w:hAnsi="Times New Roman" w:cs="Times New Roman"/>
          <w:b/>
          <w:i/>
          <w:iCs/>
          <w:sz w:val="24"/>
          <w:szCs w:val="24"/>
        </w:rPr>
        <w:t xml:space="preserve"> вероятни положителни ефекти вместо това</w:t>
      </w:r>
    </w:p>
    <w:p w14:paraId="62979ADD" w14:textId="76FAA42C" w:rsidR="00E16161" w:rsidRDefault="00E16161" w:rsidP="00E16161">
      <w:pPr>
        <w:spacing w:after="0" w:line="240" w:lineRule="auto"/>
        <w:ind w:firstLine="567"/>
        <w:jc w:val="both"/>
        <w:rPr>
          <w:rFonts w:ascii="Times New Roman" w:eastAsia="Times New Roman" w:hAnsi="Times New Roman" w:cs="Times New Roman"/>
          <w:sz w:val="24"/>
          <w:szCs w:val="24"/>
        </w:rPr>
      </w:pPr>
      <w:r w:rsidRPr="008C3960">
        <w:rPr>
          <w:rFonts w:ascii="Times New Roman" w:eastAsia="Times New Roman" w:hAnsi="Times New Roman" w:cs="Times New Roman"/>
          <w:sz w:val="24"/>
          <w:szCs w:val="24"/>
        </w:rPr>
        <w:t xml:space="preserve">Регулаторните промени </w:t>
      </w:r>
      <w:r w:rsidRPr="00474BC5">
        <w:rPr>
          <w:rFonts w:ascii="Times New Roman" w:eastAsia="Times New Roman" w:hAnsi="Times New Roman" w:cs="Times New Roman"/>
          <w:sz w:val="24"/>
          <w:szCs w:val="24"/>
        </w:rPr>
        <w:t xml:space="preserve">са </w:t>
      </w:r>
      <w:r w:rsidRPr="00474BC5">
        <w:rPr>
          <w:rFonts w:ascii="Times New Roman" w:eastAsia="Times New Roman" w:hAnsi="Times New Roman" w:cs="Times New Roman"/>
          <w:bCs/>
          <w:sz w:val="24"/>
          <w:szCs w:val="24"/>
        </w:rPr>
        <w:t>предназначени да защитят по-малките доставчици</w:t>
      </w:r>
      <w:r w:rsidRPr="00474BC5">
        <w:rPr>
          <w:rFonts w:ascii="Times New Roman" w:eastAsia="Times New Roman" w:hAnsi="Times New Roman" w:cs="Times New Roman"/>
          <w:sz w:val="24"/>
          <w:szCs w:val="24"/>
        </w:rPr>
        <w:t>, така че не се очакват негативни иконо</w:t>
      </w:r>
      <w:r>
        <w:rPr>
          <w:rFonts w:ascii="Times New Roman" w:eastAsia="Times New Roman" w:hAnsi="Times New Roman" w:cs="Times New Roman"/>
          <w:sz w:val="24"/>
          <w:szCs w:val="24"/>
        </w:rPr>
        <w:t xml:space="preserve">мически въздействия </w:t>
      </w:r>
      <w:r w:rsidR="007B0A86">
        <w:rPr>
          <w:rFonts w:ascii="Times New Roman" w:eastAsia="Times New Roman" w:hAnsi="Times New Roman" w:cs="Times New Roman"/>
          <w:sz w:val="24"/>
          <w:szCs w:val="24"/>
        </w:rPr>
        <w:t>спрямо</w:t>
      </w:r>
      <w:r>
        <w:rPr>
          <w:rFonts w:ascii="Times New Roman" w:eastAsia="Times New Roman" w:hAnsi="Times New Roman" w:cs="Times New Roman"/>
          <w:sz w:val="24"/>
          <w:szCs w:val="24"/>
        </w:rPr>
        <w:t xml:space="preserve"> тях. Н</w:t>
      </w:r>
      <w:r w:rsidRPr="00474BC5">
        <w:rPr>
          <w:rFonts w:ascii="Times New Roman" w:eastAsia="Times New Roman" w:hAnsi="Times New Roman" w:cs="Times New Roman"/>
          <w:sz w:val="24"/>
          <w:szCs w:val="24"/>
        </w:rPr>
        <w:t xml:space="preserve">апротив, МСП ще могат да се възползват. Единствените потенциални рискове тук биха били, ако измененията по невнимание наложат известна тежест за спазване на малките производители или търговци. Например, ако едно изменение изисква </w:t>
      </w:r>
      <w:r w:rsidRPr="00474BC5">
        <w:rPr>
          <w:rFonts w:ascii="Times New Roman" w:eastAsia="Times New Roman" w:hAnsi="Times New Roman" w:cs="Times New Roman"/>
          <w:bCs/>
          <w:sz w:val="24"/>
          <w:szCs w:val="24"/>
        </w:rPr>
        <w:t>всички договори за покупка на селскостопански продукти да бъдат в писмена форма</w:t>
      </w:r>
      <w:r w:rsidRPr="00474BC5">
        <w:rPr>
          <w:rFonts w:ascii="Times New Roman" w:eastAsia="Times New Roman" w:hAnsi="Times New Roman" w:cs="Times New Roman"/>
          <w:sz w:val="24"/>
          <w:szCs w:val="24"/>
        </w:rPr>
        <w:t>, дребните</w:t>
      </w:r>
      <w:r w:rsidRPr="008C3960">
        <w:rPr>
          <w:rFonts w:ascii="Times New Roman" w:eastAsia="Times New Roman" w:hAnsi="Times New Roman" w:cs="Times New Roman"/>
          <w:sz w:val="24"/>
          <w:szCs w:val="24"/>
        </w:rPr>
        <w:t xml:space="preserve"> </w:t>
      </w:r>
      <w:r w:rsidR="00B877DF">
        <w:rPr>
          <w:rFonts w:ascii="Times New Roman" w:eastAsia="Times New Roman" w:hAnsi="Times New Roman" w:cs="Times New Roman"/>
          <w:sz w:val="24"/>
          <w:szCs w:val="24"/>
        </w:rPr>
        <w:t>земеделски производители</w:t>
      </w:r>
      <w:r w:rsidR="00B877DF" w:rsidRPr="008C3960">
        <w:rPr>
          <w:rFonts w:ascii="Times New Roman" w:eastAsia="Times New Roman" w:hAnsi="Times New Roman" w:cs="Times New Roman"/>
          <w:sz w:val="24"/>
          <w:szCs w:val="24"/>
        </w:rPr>
        <w:t xml:space="preserve"> </w:t>
      </w:r>
      <w:r w:rsidRPr="008C3960">
        <w:rPr>
          <w:rFonts w:ascii="Times New Roman" w:eastAsia="Times New Roman" w:hAnsi="Times New Roman" w:cs="Times New Roman"/>
          <w:sz w:val="24"/>
          <w:szCs w:val="24"/>
        </w:rPr>
        <w:t>или местните посредници, които са свикнали с</w:t>
      </w:r>
      <w:r w:rsidR="00C64E89">
        <w:rPr>
          <w:rFonts w:ascii="Times New Roman" w:eastAsia="Times New Roman" w:hAnsi="Times New Roman" w:cs="Times New Roman"/>
          <w:sz w:val="24"/>
          <w:szCs w:val="24"/>
        </w:rPr>
        <w:t>ъс</w:t>
      </w:r>
      <w:r w:rsidRPr="008C3960">
        <w:rPr>
          <w:rFonts w:ascii="Times New Roman" w:eastAsia="Times New Roman" w:hAnsi="Times New Roman" w:cs="Times New Roman"/>
          <w:sz w:val="24"/>
          <w:szCs w:val="24"/>
        </w:rPr>
        <w:t xml:space="preserve"> сделки</w:t>
      </w:r>
      <w:r w:rsidR="00C64E89">
        <w:rPr>
          <w:rFonts w:ascii="Times New Roman" w:eastAsia="Times New Roman" w:hAnsi="Times New Roman" w:cs="Times New Roman"/>
          <w:sz w:val="24"/>
          <w:szCs w:val="24"/>
        </w:rPr>
        <w:t xml:space="preserve"> в устна форма</w:t>
      </w:r>
      <w:r w:rsidRPr="008C3960">
        <w:rPr>
          <w:rFonts w:ascii="Times New Roman" w:eastAsia="Times New Roman" w:hAnsi="Times New Roman" w:cs="Times New Roman"/>
          <w:sz w:val="24"/>
          <w:szCs w:val="24"/>
        </w:rPr>
        <w:t>, може да сметнат това за обременително в началото. Въпреки това, такива изиск</w:t>
      </w:r>
      <w:r>
        <w:rPr>
          <w:rFonts w:ascii="Times New Roman" w:eastAsia="Times New Roman" w:hAnsi="Times New Roman" w:cs="Times New Roman"/>
          <w:sz w:val="24"/>
          <w:szCs w:val="24"/>
        </w:rPr>
        <w:t>вания обикновено са управляеми,</w:t>
      </w:r>
      <w:r w:rsidR="00C64E89">
        <w:rPr>
          <w:rFonts w:ascii="Times New Roman" w:eastAsia="Times New Roman" w:hAnsi="Times New Roman" w:cs="Times New Roman"/>
          <w:sz w:val="24"/>
          <w:szCs w:val="24"/>
        </w:rPr>
        <w:t xml:space="preserve"> например,</w:t>
      </w:r>
      <w:r>
        <w:rPr>
          <w:rFonts w:ascii="Times New Roman" w:eastAsia="Times New Roman" w:hAnsi="Times New Roman" w:cs="Times New Roman"/>
          <w:sz w:val="24"/>
          <w:szCs w:val="24"/>
        </w:rPr>
        <w:t xml:space="preserve"> </w:t>
      </w:r>
      <w:r w:rsidR="00C64E89">
        <w:rPr>
          <w:rFonts w:ascii="Times New Roman" w:eastAsia="Times New Roman" w:hAnsi="Times New Roman" w:cs="Times New Roman"/>
          <w:sz w:val="24"/>
          <w:szCs w:val="24"/>
        </w:rPr>
        <w:t xml:space="preserve">като </w:t>
      </w:r>
      <w:r w:rsidRPr="008C3960">
        <w:rPr>
          <w:rFonts w:ascii="Times New Roman" w:eastAsia="Times New Roman" w:hAnsi="Times New Roman" w:cs="Times New Roman"/>
          <w:sz w:val="24"/>
          <w:szCs w:val="24"/>
        </w:rPr>
        <w:t>се предоставят стандартни образци на договори. Друго възможно незначително въздействие е, че някои много маргинални оператори могат да изберат да спрат официално продажбите, ако не могат или не искат да спазват формалности</w:t>
      </w:r>
      <w:r w:rsidR="00C64E89">
        <w:rPr>
          <w:rFonts w:ascii="Times New Roman" w:eastAsia="Times New Roman" w:hAnsi="Times New Roman" w:cs="Times New Roman"/>
          <w:sz w:val="24"/>
          <w:szCs w:val="24"/>
        </w:rPr>
        <w:t>те</w:t>
      </w:r>
      <w:r w:rsidRPr="008C3960">
        <w:rPr>
          <w:rFonts w:ascii="Times New Roman" w:eastAsia="Times New Roman" w:hAnsi="Times New Roman" w:cs="Times New Roman"/>
          <w:sz w:val="24"/>
          <w:szCs w:val="24"/>
        </w:rPr>
        <w:t xml:space="preserve"> (избирайки транзакции на сивия пазар), но това се очаква да бъде минимално. </w:t>
      </w:r>
    </w:p>
    <w:p w14:paraId="6D1CFC8E" w14:textId="5B3B3502" w:rsidR="00E16161" w:rsidRDefault="00E16161" w:rsidP="00E16161">
      <w:pPr>
        <w:spacing w:after="0" w:line="240" w:lineRule="auto"/>
        <w:ind w:firstLine="567"/>
        <w:jc w:val="both"/>
        <w:rPr>
          <w:rFonts w:ascii="Times New Roman" w:eastAsia="Times New Roman" w:hAnsi="Times New Roman" w:cs="Times New Roman"/>
          <w:sz w:val="24"/>
          <w:szCs w:val="24"/>
        </w:rPr>
      </w:pPr>
      <w:r w:rsidRPr="00BC5A42">
        <w:rPr>
          <w:rFonts w:ascii="Times New Roman" w:eastAsia="Times New Roman" w:hAnsi="Times New Roman" w:cs="Times New Roman"/>
          <w:sz w:val="24"/>
          <w:szCs w:val="24"/>
        </w:rPr>
        <w:t>Като цяло</w:t>
      </w:r>
      <w:r w:rsidR="00C64E89">
        <w:rPr>
          <w:rFonts w:ascii="Times New Roman" w:eastAsia="Times New Roman" w:hAnsi="Times New Roman" w:cs="Times New Roman"/>
          <w:sz w:val="24"/>
          <w:szCs w:val="24"/>
        </w:rPr>
        <w:t>,</w:t>
      </w:r>
      <w:r w:rsidRPr="00BC5A42">
        <w:rPr>
          <w:rFonts w:ascii="Times New Roman" w:eastAsia="Times New Roman" w:hAnsi="Times New Roman" w:cs="Times New Roman"/>
          <w:sz w:val="24"/>
          <w:szCs w:val="24"/>
        </w:rPr>
        <w:t xml:space="preserve"> </w:t>
      </w:r>
      <w:r w:rsidRPr="00BC5A42">
        <w:rPr>
          <w:rFonts w:ascii="Times New Roman" w:eastAsia="Times New Roman" w:hAnsi="Times New Roman" w:cs="Times New Roman"/>
          <w:bCs/>
          <w:sz w:val="24"/>
          <w:szCs w:val="24"/>
        </w:rPr>
        <w:t>вероятността от значително отрицателно въздействие върху МСП е ниска (L=2). П</w:t>
      </w:r>
      <w:r w:rsidRPr="008C3960">
        <w:rPr>
          <w:rFonts w:ascii="Times New Roman" w:eastAsia="Times New Roman" w:hAnsi="Times New Roman" w:cs="Times New Roman"/>
          <w:sz w:val="24"/>
          <w:szCs w:val="24"/>
        </w:rPr>
        <w:t xml:space="preserve">ромените в закона са насочени най-вече към поведението на купувачите </w:t>
      </w:r>
      <w:r w:rsidRPr="008C3960">
        <w:rPr>
          <w:rFonts w:ascii="Times New Roman" w:eastAsia="Times New Roman" w:hAnsi="Times New Roman" w:cs="Times New Roman"/>
          <w:sz w:val="24"/>
          <w:szCs w:val="24"/>
        </w:rPr>
        <w:lastRenderedPageBreak/>
        <w:t>(напр. забрана за забавяне на плащания над 30 дни, забрана за анулиране на поръчки при кратко предизвестие и т.н.), които не налагат разходи на МСП, а по-скоро ги защитават. Въздействието</w:t>
      </w:r>
      <w:r w:rsidRPr="00BC5A42">
        <w:rPr>
          <w:rFonts w:ascii="Times New Roman" w:eastAsia="Times New Roman" w:hAnsi="Times New Roman" w:cs="Times New Roman"/>
          <w:sz w:val="24"/>
          <w:szCs w:val="24"/>
        </w:rPr>
        <w:t xml:space="preserve">, </w:t>
      </w:r>
      <w:r w:rsidRPr="00BC5A42">
        <w:rPr>
          <w:rFonts w:ascii="Times New Roman" w:eastAsia="Times New Roman" w:hAnsi="Times New Roman" w:cs="Times New Roman"/>
          <w:bCs/>
          <w:sz w:val="24"/>
          <w:szCs w:val="24"/>
        </w:rPr>
        <w:t xml:space="preserve">ако </w:t>
      </w:r>
      <w:r w:rsidRPr="00BC5A42">
        <w:rPr>
          <w:rFonts w:ascii="Times New Roman" w:eastAsia="Times New Roman" w:hAnsi="Times New Roman" w:cs="Times New Roman"/>
          <w:sz w:val="24"/>
          <w:szCs w:val="24"/>
        </w:rPr>
        <w:t xml:space="preserve">има такова, също би било ниско (I=2), </w:t>
      </w:r>
      <w:r w:rsidRPr="008C3960">
        <w:rPr>
          <w:rFonts w:ascii="Times New Roman" w:eastAsia="Times New Roman" w:hAnsi="Times New Roman" w:cs="Times New Roman"/>
          <w:sz w:val="24"/>
          <w:szCs w:val="24"/>
        </w:rPr>
        <w:t xml:space="preserve">вероятно ограничено </w:t>
      </w:r>
      <w:r w:rsidRPr="00BC5A42">
        <w:rPr>
          <w:rFonts w:ascii="Times New Roman" w:eastAsia="Times New Roman" w:hAnsi="Times New Roman" w:cs="Times New Roman"/>
          <w:sz w:val="24"/>
          <w:szCs w:val="24"/>
        </w:rPr>
        <w:t xml:space="preserve">до </w:t>
      </w:r>
      <w:r w:rsidRPr="00BC5A42">
        <w:rPr>
          <w:rFonts w:ascii="Times New Roman" w:eastAsia="Times New Roman" w:hAnsi="Times New Roman" w:cs="Times New Roman"/>
          <w:iCs/>
          <w:sz w:val="24"/>
          <w:szCs w:val="24"/>
        </w:rPr>
        <w:t>преходни</w:t>
      </w:r>
      <w:r w:rsidRPr="008C3960">
        <w:rPr>
          <w:rFonts w:ascii="Times New Roman" w:eastAsia="Times New Roman" w:hAnsi="Times New Roman" w:cs="Times New Roman"/>
          <w:i/>
          <w:iCs/>
          <w:sz w:val="24"/>
          <w:szCs w:val="24"/>
        </w:rPr>
        <w:t xml:space="preserve"> </w:t>
      </w:r>
      <w:r w:rsidRPr="008C3960">
        <w:rPr>
          <w:rFonts w:ascii="Times New Roman" w:eastAsia="Times New Roman" w:hAnsi="Times New Roman" w:cs="Times New Roman"/>
          <w:sz w:val="24"/>
          <w:szCs w:val="24"/>
        </w:rPr>
        <w:t xml:space="preserve">корекции (научаване на нови правила, </w:t>
      </w:r>
      <w:r w:rsidR="00C64E89">
        <w:rPr>
          <w:rFonts w:ascii="Times New Roman" w:eastAsia="Times New Roman" w:hAnsi="Times New Roman" w:cs="Times New Roman"/>
          <w:sz w:val="24"/>
          <w:szCs w:val="24"/>
        </w:rPr>
        <w:t>изготвяне на</w:t>
      </w:r>
      <w:r w:rsidRPr="008C3960">
        <w:rPr>
          <w:rFonts w:ascii="Times New Roman" w:eastAsia="Times New Roman" w:hAnsi="Times New Roman" w:cs="Times New Roman"/>
          <w:sz w:val="24"/>
          <w:szCs w:val="24"/>
        </w:rPr>
        <w:t xml:space="preserve"> малк</w:t>
      </w:r>
      <w:r>
        <w:rPr>
          <w:rFonts w:ascii="Times New Roman" w:eastAsia="Times New Roman" w:hAnsi="Times New Roman" w:cs="Times New Roman"/>
          <w:sz w:val="24"/>
          <w:szCs w:val="24"/>
        </w:rPr>
        <w:t xml:space="preserve">о повече документи). </w:t>
      </w:r>
      <w:r w:rsidRPr="00BC5A42">
        <w:rPr>
          <w:rFonts w:ascii="Times New Roman" w:eastAsia="Times New Roman" w:hAnsi="Times New Roman" w:cs="Times New Roman"/>
          <w:sz w:val="24"/>
          <w:szCs w:val="24"/>
        </w:rPr>
        <w:t>Всъщност</w:t>
      </w:r>
      <w:r w:rsidR="00C64E89">
        <w:rPr>
          <w:rFonts w:ascii="Times New Roman" w:eastAsia="Times New Roman" w:hAnsi="Times New Roman" w:cs="Times New Roman"/>
          <w:sz w:val="24"/>
          <w:szCs w:val="24"/>
        </w:rPr>
        <w:t>,</w:t>
      </w:r>
      <w:r w:rsidRPr="00BC5A42">
        <w:rPr>
          <w:rFonts w:ascii="Times New Roman" w:eastAsia="Times New Roman" w:hAnsi="Times New Roman" w:cs="Times New Roman"/>
          <w:sz w:val="24"/>
          <w:szCs w:val="24"/>
        </w:rPr>
        <w:t xml:space="preserve"> доказателствата сочат, че Вариант 2 би </w:t>
      </w:r>
      <w:r w:rsidRPr="00BC5A42">
        <w:rPr>
          <w:rFonts w:ascii="Times New Roman" w:eastAsia="Times New Roman" w:hAnsi="Times New Roman" w:cs="Times New Roman"/>
          <w:bCs/>
          <w:sz w:val="24"/>
          <w:szCs w:val="24"/>
        </w:rPr>
        <w:t xml:space="preserve">увеличил </w:t>
      </w:r>
      <w:r w:rsidRPr="00BC5A42">
        <w:rPr>
          <w:rFonts w:ascii="Times New Roman" w:eastAsia="Times New Roman" w:hAnsi="Times New Roman" w:cs="Times New Roman"/>
          <w:sz w:val="24"/>
          <w:szCs w:val="24"/>
        </w:rPr>
        <w:t>умерено приходите на М</w:t>
      </w:r>
      <w:r w:rsidRPr="008C3960">
        <w:rPr>
          <w:rFonts w:ascii="Times New Roman" w:eastAsia="Times New Roman" w:hAnsi="Times New Roman" w:cs="Times New Roman"/>
          <w:sz w:val="24"/>
          <w:szCs w:val="24"/>
        </w:rPr>
        <w:t>СП чрез ограничаване на нелоялните</w:t>
      </w:r>
      <w:r w:rsidR="007B0A86">
        <w:rPr>
          <w:rFonts w:ascii="Times New Roman" w:eastAsia="Times New Roman" w:hAnsi="Times New Roman" w:cs="Times New Roman"/>
          <w:sz w:val="24"/>
          <w:szCs w:val="24"/>
        </w:rPr>
        <w:t xml:space="preserve"> търговски</w:t>
      </w:r>
      <w:r w:rsidRPr="008C3960">
        <w:rPr>
          <w:rFonts w:ascii="Times New Roman" w:eastAsia="Times New Roman" w:hAnsi="Times New Roman" w:cs="Times New Roman"/>
          <w:sz w:val="24"/>
          <w:szCs w:val="24"/>
        </w:rPr>
        <w:t xml:space="preserve"> </w:t>
      </w:r>
      <w:r w:rsidRPr="007B0A86">
        <w:rPr>
          <w:rFonts w:ascii="Times New Roman" w:eastAsia="Times New Roman" w:hAnsi="Times New Roman" w:cs="Times New Roman"/>
          <w:sz w:val="24"/>
          <w:szCs w:val="24"/>
        </w:rPr>
        <w:t>практики</w:t>
      </w:r>
      <w:r w:rsidR="007B0A86" w:rsidRPr="007B0A86">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Това показва нетни положителни ефекти. Поради това</w:t>
      </w:r>
      <w:r w:rsidR="00C64E89">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тази рискова категория не е съществен проблем за Вариант 2</w:t>
      </w:r>
      <w:r>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w:t>
      </w:r>
      <w:r w:rsidRPr="00BC5A42">
        <w:rPr>
          <w:rFonts w:ascii="Times New Roman" w:eastAsia="Times New Roman" w:hAnsi="Times New Roman" w:cs="Times New Roman"/>
          <w:bCs/>
          <w:sz w:val="24"/>
          <w:szCs w:val="24"/>
        </w:rPr>
        <w:t>Малко вероятно е МСП да бъдат ощетени от този вариант на политиката и най-вероятно</w:t>
      </w:r>
      <w:r w:rsidR="00C64E89">
        <w:rPr>
          <w:rFonts w:ascii="Times New Roman" w:eastAsia="Times New Roman" w:hAnsi="Times New Roman" w:cs="Times New Roman"/>
          <w:bCs/>
          <w:sz w:val="24"/>
          <w:szCs w:val="24"/>
        </w:rPr>
        <w:t>,</w:t>
      </w:r>
      <w:r w:rsidRPr="00BC5A42">
        <w:rPr>
          <w:rFonts w:ascii="Times New Roman" w:eastAsia="Times New Roman" w:hAnsi="Times New Roman" w:cs="Times New Roman"/>
          <w:bCs/>
          <w:sz w:val="24"/>
          <w:szCs w:val="24"/>
        </w:rPr>
        <w:t xml:space="preserve"> </w:t>
      </w:r>
      <w:r w:rsidR="007B0A86">
        <w:rPr>
          <w:rFonts w:ascii="Times New Roman" w:eastAsia="Times New Roman" w:hAnsi="Times New Roman" w:cs="Times New Roman"/>
          <w:bCs/>
          <w:sz w:val="24"/>
          <w:szCs w:val="24"/>
        </w:rPr>
        <w:t xml:space="preserve">по-скоро </w:t>
      </w:r>
      <w:r w:rsidRPr="00BC5A42">
        <w:rPr>
          <w:rFonts w:ascii="Times New Roman" w:eastAsia="Times New Roman" w:hAnsi="Times New Roman" w:cs="Times New Roman"/>
          <w:bCs/>
          <w:sz w:val="24"/>
          <w:szCs w:val="24"/>
        </w:rPr>
        <w:t>те печелят</w:t>
      </w:r>
      <w:r w:rsidRPr="00BC5A42">
        <w:rPr>
          <w:rFonts w:ascii="Times New Roman" w:eastAsia="Times New Roman" w:hAnsi="Times New Roman" w:cs="Times New Roman"/>
          <w:sz w:val="24"/>
          <w:szCs w:val="24"/>
        </w:rPr>
        <w:t xml:space="preserve">. Този резултат отразява само риск от непредвидено отрицателно въздействие – </w:t>
      </w:r>
      <w:r w:rsidRPr="00BC5A42">
        <w:rPr>
          <w:rFonts w:ascii="Times New Roman" w:eastAsia="Times New Roman" w:hAnsi="Times New Roman" w:cs="Times New Roman"/>
          <w:iCs/>
          <w:sz w:val="24"/>
          <w:szCs w:val="24"/>
        </w:rPr>
        <w:t>планираното</w:t>
      </w:r>
      <w:r w:rsidRPr="00BC5A42">
        <w:rPr>
          <w:rFonts w:ascii="Times New Roman" w:eastAsia="Times New Roman" w:hAnsi="Times New Roman" w:cs="Times New Roman"/>
          <w:i/>
          <w:iCs/>
          <w:sz w:val="24"/>
          <w:szCs w:val="24"/>
        </w:rPr>
        <w:t xml:space="preserve"> </w:t>
      </w:r>
      <w:r w:rsidRPr="00BC5A42">
        <w:rPr>
          <w:rFonts w:ascii="Times New Roman" w:eastAsia="Times New Roman" w:hAnsi="Times New Roman" w:cs="Times New Roman"/>
          <w:sz w:val="24"/>
          <w:szCs w:val="24"/>
        </w:rPr>
        <w:t>въздействие е положително.</w:t>
      </w:r>
      <w:r>
        <w:rPr>
          <w:rFonts w:ascii="Times New Roman" w:eastAsia="Times New Roman" w:hAnsi="Times New Roman" w:cs="Times New Roman"/>
          <w:sz w:val="24"/>
          <w:szCs w:val="24"/>
        </w:rPr>
        <w:t xml:space="preserve"> </w:t>
      </w:r>
      <w:r w:rsidRPr="00BC5A42">
        <w:rPr>
          <w:rFonts w:ascii="Times New Roman" w:eastAsia="Times New Roman" w:hAnsi="Times New Roman" w:cs="Times New Roman"/>
          <w:sz w:val="24"/>
          <w:szCs w:val="24"/>
        </w:rPr>
        <w:t>Оттук</w:t>
      </w:r>
      <w:r w:rsidR="00C64E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B0A86">
        <w:rPr>
          <w:rFonts w:ascii="Times New Roman" w:eastAsia="Times New Roman" w:hAnsi="Times New Roman" w:cs="Times New Roman"/>
          <w:sz w:val="24"/>
          <w:szCs w:val="24"/>
        </w:rPr>
        <w:t xml:space="preserve">за варианта по тази категория може да се определи </w:t>
      </w:r>
      <w:r w:rsidRPr="007B0A86">
        <w:rPr>
          <w:rFonts w:ascii="Times New Roman" w:eastAsia="Times New Roman" w:hAnsi="Times New Roman" w:cs="Times New Roman"/>
          <w:b/>
          <w:sz w:val="24"/>
          <w:szCs w:val="24"/>
        </w:rPr>
        <w:t xml:space="preserve">обща оценка на риска </w:t>
      </w:r>
      <w:r w:rsidR="00A5236A" w:rsidRPr="00BC5A42">
        <w:rPr>
          <w:rFonts w:ascii="Times New Roman" w:eastAsia="Times New Roman" w:hAnsi="Times New Roman" w:cs="Times New Roman"/>
          <w:sz w:val="24"/>
          <w:szCs w:val="24"/>
        </w:rPr>
        <w:t>(2×2)</w:t>
      </w:r>
      <w:r w:rsidR="00A5236A">
        <w:rPr>
          <w:rFonts w:ascii="Times New Roman" w:eastAsia="Times New Roman" w:hAnsi="Times New Roman" w:cs="Times New Roman"/>
          <w:sz w:val="24"/>
          <w:szCs w:val="24"/>
        </w:rPr>
        <w:t xml:space="preserve"> </w:t>
      </w:r>
      <w:r w:rsidR="007B0A86" w:rsidRPr="007B0A86">
        <w:rPr>
          <w:rFonts w:ascii="Times New Roman" w:eastAsia="Times New Roman" w:hAnsi="Times New Roman" w:cs="Times New Roman"/>
          <w:b/>
          <w:sz w:val="24"/>
          <w:szCs w:val="24"/>
        </w:rPr>
        <w:t xml:space="preserve">= </w:t>
      </w:r>
      <w:r w:rsidRPr="007B0A86">
        <w:rPr>
          <w:rFonts w:ascii="Times New Roman" w:eastAsia="Times New Roman" w:hAnsi="Times New Roman" w:cs="Times New Roman"/>
          <w:b/>
          <w:bCs/>
          <w:sz w:val="24"/>
          <w:szCs w:val="24"/>
        </w:rPr>
        <w:t>4</w:t>
      </w:r>
      <w:r w:rsidRPr="00BC5A42">
        <w:rPr>
          <w:rFonts w:ascii="Times New Roman" w:eastAsia="Times New Roman" w:hAnsi="Times New Roman" w:cs="Times New Roman"/>
          <w:sz w:val="24"/>
          <w:szCs w:val="24"/>
        </w:rPr>
        <w:t>.</w:t>
      </w:r>
    </w:p>
    <w:p w14:paraId="0C11BF7C"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p>
    <w:p w14:paraId="1FEBC11B" w14:textId="77777777" w:rsidR="00E16161" w:rsidRDefault="00E16161" w:rsidP="00E16161">
      <w:pPr>
        <w:spacing w:after="0" w:line="240" w:lineRule="auto"/>
        <w:ind w:firstLine="567"/>
        <w:jc w:val="both"/>
        <w:rPr>
          <w:rFonts w:ascii="Times New Roman" w:eastAsia="Times New Roman" w:hAnsi="Times New Roman" w:cs="Times New Roman"/>
          <w:b/>
          <w:i/>
          <w:iCs/>
          <w:sz w:val="24"/>
          <w:szCs w:val="24"/>
        </w:rPr>
      </w:pPr>
      <w:r w:rsidRPr="00BC5A42">
        <w:rPr>
          <w:rFonts w:ascii="Times New Roman" w:eastAsia="Times New Roman" w:hAnsi="Times New Roman" w:cs="Times New Roman"/>
          <w:b/>
          <w:i/>
          <w:sz w:val="24"/>
          <w:szCs w:val="24"/>
        </w:rPr>
        <w:t xml:space="preserve">2.3. </w:t>
      </w:r>
      <w:r w:rsidRPr="00BC5A42">
        <w:rPr>
          <w:rFonts w:ascii="Times New Roman" w:eastAsia="Times New Roman" w:hAnsi="Times New Roman" w:cs="Times New Roman"/>
          <w:b/>
          <w:bCs/>
          <w:i/>
          <w:sz w:val="24"/>
          <w:szCs w:val="24"/>
        </w:rPr>
        <w:t>Изкривявания на пазара/непредвидени последици:</w:t>
      </w:r>
      <w:r w:rsidRPr="00BC5A42">
        <w:rPr>
          <w:rFonts w:ascii="Times New Roman" w:eastAsia="Times New Roman" w:hAnsi="Times New Roman" w:cs="Times New Roman"/>
          <w:b/>
          <w:i/>
          <w:sz w:val="24"/>
          <w:szCs w:val="24"/>
        </w:rPr>
        <w:t xml:space="preserve"> </w:t>
      </w:r>
      <w:r>
        <w:rPr>
          <w:rFonts w:ascii="Times New Roman" w:eastAsia="Times New Roman" w:hAnsi="Times New Roman" w:cs="Times New Roman"/>
          <w:b/>
          <w:i/>
          <w:iCs/>
          <w:sz w:val="24"/>
          <w:szCs w:val="24"/>
        </w:rPr>
        <w:t>Много нисък риск</w:t>
      </w:r>
    </w:p>
    <w:p w14:paraId="7F43E6BA" w14:textId="0FB00D44" w:rsidR="00711111" w:rsidRDefault="00E16161" w:rsidP="00E161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Законовите</w:t>
      </w:r>
      <w:r w:rsidRPr="008C3960">
        <w:rPr>
          <w:rFonts w:ascii="Times New Roman" w:eastAsia="Times New Roman" w:hAnsi="Times New Roman" w:cs="Times New Roman"/>
          <w:sz w:val="24"/>
          <w:szCs w:val="24"/>
        </w:rPr>
        <w:t xml:space="preserve"> изменения п</w:t>
      </w:r>
      <w:r>
        <w:rPr>
          <w:rFonts w:ascii="Times New Roman" w:eastAsia="Times New Roman" w:hAnsi="Times New Roman" w:cs="Times New Roman"/>
          <w:sz w:val="24"/>
          <w:szCs w:val="24"/>
        </w:rPr>
        <w:t>ри</w:t>
      </w:r>
      <w:r w:rsidRPr="008C3960">
        <w:rPr>
          <w:rFonts w:ascii="Times New Roman" w:eastAsia="Times New Roman" w:hAnsi="Times New Roman" w:cs="Times New Roman"/>
          <w:sz w:val="24"/>
          <w:szCs w:val="24"/>
        </w:rPr>
        <w:t xml:space="preserve"> Вариант 2 биха забранили някои нелоялни</w:t>
      </w:r>
      <w:r>
        <w:rPr>
          <w:rFonts w:ascii="Times New Roman" w:eastAsia="Times New Roman" w:hAnsi="Times New Roman" w:cs="Times New Roman"/>
          <w:sz w:val="24"/>
          <w:szCs w:val="24"/>
        </w:rPr>
        <w:t xml:space="preserve"> търговски</w:t>
      </w:r>
      <w:r w:rsidRPr="008C3960">
        <w:rPr>
          <w:rFonts w:ascii="Times New Roman" w:eastAsia="Times New Roman" w:hAnsi="Times New Roman" w:cs="Times New Roman"/>
          <w:sz w:val="24"/>
          <w:szCs w:val="24"/>
        </w:rPr>
        <w:t xml:space="preserve"> практики (много от които вече са идентифицирани на ниво ЕС, като промени със задна дата на договори, принуждаване на доставчици да </w:t>
      </w:r>
      <w:r w:rsidR="00227D55">
        <w:rPr>
          <w:rFonts w:ascii="Times New Roman" w:eastAsia="Times New Roman" w:hAnsi="Times New Roman" w:cs="Times New Roman"/>
          <w:sz w:val="24"/>
          <w:szCs w:val="24"/>
        </w:rPr>
        <w:t>заплащат рекламни дейности на купувача</w:t>
      </w:r>
      <w:r w:rsidRPr="008C3960">
        <w:rPr>
          <w:rFonts w:ascii="Times New Roman" w:eastAsia="Times New Roman" w:hAnsi="Times New Roman" w:cs="Times New Roman"/>
          <w:sz w:val="24"/>
          <w:szCs w:val="24"/>
        </w:rPr>
        <w:t xml:space="preserve"> и др.). Тези мерки по </w:t>
      </w:r>
      <w:r w:rsidRPr="00BC5A42">
        <w:rPr>
          <w:rFonts w:ascii="Times New Roman" w:eastAsia="Times New Roman" w:hAnsi="Times New Roman" w:cs="Times New Roman"/>
          <w:sz w:val="24"/>
          <w:szCs w:val="24"/>
        </w:rPr>
        <w:t xml:space="preserve">същество </w:t>
      </w:r>
      <w:r w:rsidRPr="00BC5A42">
        <w:rPr>
          <w:rFonts w:ascii="Times New Roman" w:eastAsia="Times New Roman" w:hAnsi="Times New Roman" w:cs="Times New Roman"/>
          <w:bCs/>
          <w:sz w:val="24"/>
          <w:szCs w:val="24"/>
        </w:rPr>
        <w:t xml:space="preserve">коригират пазарен неуспех (злоупотреба с преговорна сила) </w:t>
      </w:r>
      <w:r w:rsidRPr="00BC5A42">
        <w:rPr>
          <w:rFonts w:ascii="Times New Roman" w:eastAsia="Times New Roman" w:hAnsi="Times New Roman" w:cs="Times New Roman"/>
          <w:sz w:val="24"/>
          <w:szCs w:val="24"/>
        </w:rPr>
        <w:t xml:space="preserve">и следователно не се очаква да </w:t>
      </w:r>
      <w:r>
        <w:rPr>
          <w:rFonts w:ascii="Times New Roman" w:eastAsia="Times New Roman" w:hAnsi="Times New Roman" w:cs="Times New Roman"/>
          <w:sz w:val="24"/>
          <w:szCs w:val="24"/>
        </w:rPr>
        <w:t xml:space="preserve">засегнат </w:t>
      </w:r>
      <w:r w:rsidRPr="00BC5A42">
        <w:rPr>
          <w:rFonts w:ascii="Times New Roman" w:eastAsia="Times New Roman" w:hAnsi="Times New Roman" w:cs="Times New Roman"/>
          <w:sz w:val="24"/>
          <w:szCs w:val="24"/>
        </w:rPr>
        <w:t>пазара по отрицателен начин</w:t>
      </w:r>
      <w:r>
        <w:rPr>
          <w:rFonts w:ascii="Times New Roman" w:eastAsia="Times New Roman" w:hAnsi="Times New Roman" w:cs="Times New Roman"/>
          <w:sz w:val="24"/>
          <w:szCs w:val="24"/>
        </w:rPr>
        <w:t>, т.е</w:t>
      </w:r>
      <w:r w:rsidRPr="00BC5A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 го </w:t>
      </w:r>
      <w:r w:rsidRPr="00BC5A42">
        <w:rPr>
          <w:rFonts w:ascii="Times New Roman" w:eastAsia="Times New Roman" w:hAnsi="Times New Roman" w:cs="Times New Roman"/>
          <w:sz w:val="24"/>
          <w:szCs w:val="24"/>
        </w:rPr>
        <w:t>изкривят</w:t>
      </w:r>
      <w:r>
        <w:rPr>
          <w:rFonts w:ascii="Times New Roman" w:eastAsia="Times New Roman" w:hAnsi="Times New Roman" w:cs="Times New Roman"/>
          <w:sz w:val="24"/>
          <w:szCs w:val="24"/>
        </w:rPr>
        <w:t>.</w:t>
      </w:r>
      <w:r w:rsidRPr="00BC5A42">
        <w:rPr>
          <w:rFonts w:ascii="Times New Roman" w:eastAsia="Times New Roman" w:hAnsi="Times New Roman" w:cs="Times New Roman"/>
          <w:sz w:val="24"/>
          <w:szCs w:val="24"/>
        </w:rPr>
        <w:t xml:space="preserve"> Те </w:t>
      </w:r>
      <w:r w:rsidRPr="00BC5A42">
        <w:rPr>
          <w:rFonts w:ascii="Times New Roman" w:eastAsia="Times New Roman" w:hAnsi="Times New Roman" w:cs="Times New Roman"/>
          <w:bCs/>
          <w:sz w:val="24"/>
          <w:szCs w:val="24"/>
        </w:rPr>
        <w:t>не въвеждат</w:t>
      </w:r>
      <w:r>
        <w:rPr>
          <w:rFonts w:ascii="Times New Roman" w:eastAsia="Times New Roman" w:hAnsi="Times New Roman" w:cs="Times New Roman"/>
          <w:bCs/>
          <w:sz w:val="24"/>
          <w:szCs w:val="24"/>
        </w:rPr>
        <w:t xml:space="preserve"> нови</w:t>
      </w:r>
      <w:r w:rsidRPr="00BC5A42">
        <w:rPr>
          <w:rFonts w:ascii="Times New Roman" w:eastAsia="Times New Roman" w:hAnsi="Times New Roman" w:cs="Times New Roman"/>
          <w:bCs/>
          <w:sz w:val="24"/>
          <w:szCs w:val="24"/>
        </w:rPr>
        <w:t xml:space="preserve"> </w:t>
      </w:r>
      <w:r w:rsidR="00227D55">
        <w:rPr>
          <w:rFonts w:ascii="Times New Roman" w:eastAsia="Times New Roman" w:hAnsi="Times New Roman" w:cs="Times New Roman"/>
          <w:bCs/>
          <w:sz w:val="24"/>
          <w:szCs w:val="24"/>
        </w:rPr>
        <w:t xml:space="preserve">мерки като </w:t>
      </w:r>
      <w:r w:rsidRPr="00BC5A42">
        <w:rPr>
          <w:rFonts w:ascii="Times New Roman" w:eastAsia="Times New Roman" w:hAnsi="Times New Roman" w:cs="Times New Roman"/>
          <w:bCs/>
          <w:sz w:val="24"/>
          <w:szCs w:val="24"/>
        </w:rPr>
        <w:t>ценови контр</w:t>
      </w:r>
      <w:r>
        <w:rPr>
          <w:rFonts w:ascii="Times New Roman" w:eastAsia="Times New Roman" w:hAnsi="Times New Roman" w:cs="Times New Roman"/>
          <w:bCs/>
          <w:sz w:val="24"/>
          <w:szCs w:val="24"/>
        </w:rPr>
        <w:t xml:space="preserve">ол, </w:t>
      </w:r>
      <w:r w:rsidR="00227D55">
        <w:rPr>
          <w:rFonts w:ascii="Times New Roman" w:eastAsia="Times New Roman" w:hAnsi="Times New Roman" w:cs="Times New Roman"/>
          <w:bCs/>
          <w:sz w:val="24"/>
          <w:szCs w:val="24"/>
        </w:rPr>
        <w:t xml:space="preserve">определяне на </w:t>
      </w:r>
      <w:r>
        <w:rPr>
          <w:rFonts w:ascii="Times New Roman" w:eastAsia="Times New Roman" w:hAnsi="Times New Roman" w:cs="Times New Roman"/>
          <w:bCs/>
          <w:sz w:val="24"/>
          <w:szCs w:val="24"/>
        </w:rPr>
        <w:t>квоти или търговски бариери, а</w:t>
      </w:r>
      <w:r w:rsidRPr="00BC5A42">
        <w:rPr>
          <w:rFonts w:ascii="Times New Roman" w:eastAsia="Times New Roman" w:hAnsi="Times New Roman" w:cs="Times New Roman"/>
          <w:sz w:val="24"/>
          <w:szCs w:val="24"/>
        </w:rPr>
        <w:t xml:space="preserve"> просто определят правила</w:t>
      </w:r>
      <w:r w:rsidR="00B877DF">
        <w:rPr>
          <w:rFonts w:ascii="Times New Roman" w:eastAsia="Times New Roman" w:hAnsi="Times New Roman" w:cs="Times New Roman"/>
          <w:sz w:val="24"/>
          <w:szCs w:val="24"/>
        </w:rPr>
        <w:t>та</w:t>
      </w:r>
      <w:r w:rsidRPr="00BC5A42">
        <w:rPr>
          <w:rFonts w:ascii="Times New Roman" w:eastAsia="Times New Roman" w:hAnsi="Times New Roman" w:cs="Times New Roman"/>
          <w:sz w:val="24"/>
          <w:szCs w:val="24"/>
        </w:rPr>
        <w:t xml:space="preserve"> за </w:t>
      </w:r>
      <w:r w:rsidR="00227D55">
        <w:rPr>
          <w:rFonts w:ascii="Times New Roman" w:eastAsia="Times New Roman" w:hAnsi="Times New Roman" w:cs="Times New Roman"/>
          <w:sz w:val="24"/>
          <w:szCs w:val="24"/>
        </w:rPr>
        <w:t>добросъвестно</w:t>
      </w:r>
      <w:r w:rsidR="00227D55" w:rsidRPr="00BC5A42">
        <w:rPr>
          <w:rFonts w:ascii="Times New Roman" w:eastAsia="Times New Roman" w:hAnsi="Times New Roman" w:cs="Times New Roman"/>
          <w:sz w:val="24"/>
          <w:szCs w:val="24"/>
        </w:rPr>
        <w:t xml:space="preserve"> </w:t>
      </w:r>
      <w:r w:rsidRPr="00BC5A42">
        <w:rPr>
          <w:rFonts w:ascii="Times New Roman" w:eastAsia="Times New Roman" w:hAnsi="Times New Roman" w:cs="Times New Roman"/>
          <w:sz w:val="24"/>
          <w:szCs w:val="24"/>
        </w:rPr>
        <w:t>поведение. Всъщност</w:t>
      </w:r>
      <w:r w:rsidR="00C64E89">
        <w:rPr>
          <w:rFonts w:ascii="Times New Roman" w:eastAsia="Times New Roman" w:hAnsi="Times New Roman" w:cs="Times New Roman"/>
          <w:sz w:val="24"/>
          <w:szCs w:val="24"/>
        </w:rPr>
        <w:t>,</w:t>
      </w:r>
      <w:r w:rsidRPr="00BC5A42">
        <w:rPr>
          <w:rFonts w:ascii="Times New Roman" w:eastAsia="Times New Roman" w:hAnsi="Times New Roman" w:cs="Times New Roman"/>
          <w:sz w:val="24"/>
          <w:szCs w:val="24"/>
        </w:rPr>
        <w:t xml:space="preserve"> чрез намаляване на негативните практики</w:t>
      </w:r>
      <w:r w:rsidRPr="008C3960">
        <w:rPr>
          <w:rFonts w:ascii="Times New Roman" w:eastAsia="Times New Roman" w:hAnsi="Times New Roman" w:cs="Times New Roman"/>
          <w:sz w:val="24"/>
          <w:szCs w:val="24"/>
        </w:rPr>
        <w:t xml:space="preserve"> пазарът може да стане </w:t>
      </w:r>
      <w:r w:rsidRPr="00BC5A42">
        <w:rPr>
          <w:rFonts w:ascii="Times New Roman" w:eastAsia="Times New Roman" w:hAnsi="Times New Roman" w:cs="Times New Roman"/>
          <w:iCs/>
          <w:sz w:val="24"/>
          <w:szCs w:val="24"/>
        </w:rPr>
        <w:t>по-</w:t>
      </w:r>
      <w:r w:rsidRPr="00BC5A42">
        <w:rPr>
          <w:rFonts w:ascii="Times New Roman" w:eastAsia="Times New Roman" w:hAnsi="Times New Roman" w:cs="Times New Roman"/>
          <w:sz w:val="24"/>
          <w:szCs w:val="24"/>
        </w:rPr>
        <w:t>конкурентен и ефективен (защото по-честните договорни отношения насърчават пове</w:t>
      </w:r>
      <w:r w:rsidRPr="008C3960">
        <w:rPr>
          <w:rFonts w:ascii="Times New Roman" w:eastAsia="Times New Roman" w:hAnsi="Times New Roman" w:cs="Times New Roman"/>
          <w:sz w:val="24"/>
          <w:szCs w:val="24"/>
        </w:rPr>
        <w:t>че доставчици да останат в бизнеса и да инвестират в производството).</w:t>
      </w:r>
      <w:r>
        <w:rPr>
          <w:rFonts w:ascii="Times New Roman" w:eastAsia="Times New Roman" w:hAnsi="Times New Roman" w:cs="Times New Roman"/>
          <w:sz w:val="24"/>
          <w:szCs w:val="24"/>
        </w:rPr>
        <w:t xml:space="preserve"> </w:t>
      </w:r>
      <w:r w:rsidRPr="008C3960">
        <w:rPr>
          <w:rFonts w:ascii="Times New Roman" w:eastAsia="Times New Roman" w:hAnsi="Times New Roman" w:cs="Times New Roman"/>
          <w:sz w:val="24"/>
          <w:szCs w:val="24"/>
        </w:rPr>
        <w:t xml:space="preserve">Например, осигуряването на навременно плащане на земеделските производители може да подобри тяхната ликвидност и да им даде възможност да произвеждат повече или по-качествен продукт, което повишава ефективността. </w:t>
      </w:r>
    </w:p>
    <w:p w14:paraId="325BE01B" w14:textId="336C7406" w:rsidR="00E16161" w:rsidRDefault="00E16161" w:rsidP="00E16161">
      <w:pPr>
        <w:spacing w:after="0" w:line="240" w:lineRule="auto"/>
        <w:ind w:firstLine="567"/>
        <w:jc w:val="both"/>
        <w:rPr>
          <w:rFonts w:ascii="Times New Roman" w:eastAsia="Times New Roman" w:hAnsi="Times New Roman" w:cs="Times New Roman"/>
          <w:sz w:val="24"/>
          <w:szCs w:val="24"/>
        </w:rPr>
      </w:pPr>
      <w:r w:rsidRPr="008C3960">
        <w:rPr>
          <w:rFonts w:ascii="Times New Roman" w:eastAsia="Times New Roman" w:hAnsi="Times New Roman" w:cs="Times New Roman"/>
          <w:sz w:val="24"/>
          <w:szCs w:val="24"/>
        </w:rPr>
        <w:t>Вероятността от каквото и да е непреднамерено изкривяване (като</w:t>
      </w:r>
      <w:r>
        <w:rPr>
          <w:rFonts w:ascii="Times New Roman" w:eastAsia="Times New Roman" w:hAnsi="Times New Roman" w:cs="Times New Roman"/>
          <w:sz w:val="24"/>
          <w:szCs w:val="24"/>
        </w:rPr>
        <w:t xml:space="preserve"> например</w:t>
      </w:r>
      <w:r w:rsidRPr="008C3960">
        <w:rPr>
          <w:rFonts w:ascii="Times New Roman" w:eastAsia="Times New Roman" w:hAnsi="Times New Roman" w:cs="Times New Roman"/>
          <w:sz w:val="24"/>
          <w:szCs w:val="24"/>
        </w:rPr>
        <w:t xml:space="preserve"> компании</w:t>
      </w:r>
      <w:r>
        <w:rPr>
          <w:rFonts w:ascii="Times New Roman" w:eastAsia="Times New Roman" w:hAnsi="Times New Roman" w:cs="Times New Roman"/>
          <w:sz w:val="24"/>
          <w:szCs w:val="24"/>
        </w:rPr>
        <w:t>те</w:t>
      </w:r>
      <w:r w:rsidRPr="008C3960">
        <w:rPr>
          <w:rFonts w:ascii="Times New Roman" w:eastAsia="Times New Roman" w:hAnsi="Times New Roman" w:cs="Times New Roman"/>
          <w:sz w:val="24"/>
          <w:szCs w:val="24"/>
        </w:rPr>
        <w:t xml:space="preserve"> да променят радикално своите източници на доставки или повишаване на потребителските цени в резултат на тези правила) е много ниска (L=1). Повечето държави от ЕС, които са приложили правилата на </w:t>
      </w:r>
      <w:r w:rsidRPr="007B4A99">
        <w:rPr>
          <w:rFonts w:ascii="Times New Roman" w:hAnsi="Times New Roman" w:cs="Times New Roman"/>
          <w:sz w:val="24"/>
          <w:szCs w:val="24"/>
        </w:rPr>
        <w:t>Директива (ЕС) 2019/633</w:t>
      </w:r>
      <w:r w:rsidRPr="008C3960">
        <w:rPr>
          <w:rFonts w:ascii="Times New Roman" w:eastAsia="Times New Roman" w:hAnsi="Times New Roman" w:cs="Times New Roman"/>
          <w:sz w:val="24"/>
          <w:szCs w:val="24"/>
        </w:rPr>
        <w:t xml:space="preserve">, не са били свидетели на </w:t>
      </w:r>
      <w:r>
        <w:rPr>
          <w:rFonts w:ascii="Times New Roman" w:eastAsia="Times New Roman" w:hAnsi="Times New Roman" w:cs="Times New Roman"/>
          <w:sz w:val="24"/>
          <w:szCs w:val="24"/>
        </w:rPr>
        <w:t>скокове на цените или недостиг</w:t>
      </w:r>
      <w:r w:rsidR="00C64E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защото нейните</w:t>
      </w:r>
      <w:r w:rsidRPr="008C3960">
        <w:rPr>
          <w:rFonts w:ascii="Times New Roman" w:eastAsia="Times New Roman" w:hAnsi="Times New Roman" w:cs="Times New Roman"/>
          <w:sz w:val="24"/>
          <w:szCs w:val="24"/>
        </w:rPr>
        <w:t xml:space="preserve"> правила засягат главно начина, по който се споделят рискът и разходите във веригата, а не основното търсене</w:t>
      </w:r>
      <w:r>
        <w:rPr>
          <w:rFonts w:ascii="Times New Roman" w:eastAsia="Times New Roman" w:hAnsi="Times New Roman" w:cs="Times New Roman"/>
          <w:sz w:val="24"/>
          <w:szCs w:val="24"/>
        </w:rPr>
        <w:t xml:space="preserve"> и </w:t>
      </w:r>
      <w:r w:rsidRPr="008C3960">
        <w:rPr>
          <w:rFonts w:ascii="Times New Roman" w:eastAsia="Times New Roman" w:hAnsi="Times New Roman" w:cs="Times New Roman"/>
          <w:sz w:val="24"/>
          <w:szCs w:val="24"/>
        </w:rPr>
        <w:t>предлагане. Въздействието на всяка непредвидена по</w:t>
      </w:r>
      <w:r w:rsidR="00711111">
        <w:rPr>
          <w:rFonts w:ascii="Times New Roman" w:eastAsia="Times New Roman" w:hAnsi="Times New Roman" w:cs="Times New Roman"/>
          <w:sz w:val="24"/>
          <w:szCs w:val="24"/>
        </w:rPr>
        <w:t xml:space="preserve">следица също би било минимално - </w:t>
      </w:r>
      <w:r w:rsidR="00C64E89">
        <w:rPr>
          <w:rFonts w:ascii="Times New Roman" w:eastAsia="Times New Roman" w:hAnsi="Times New Roman" w:cs="Times New Roman"/>
          <w:sz w:val="24"/>
          <w:szCs w:val="24"/>
        </w:rPr>
        <w:t xml:space="preserve">не повече от </w:t>
      </w:r>
      <w:r w:rsidRPr="008C3960">
        <w:rPr>
          <w:rFonts w:ascii="Times New Roman" w:eastAsia="Times New Roman" w:hAnsi="Times New Roman" w:cs="Times New Roman"/>
          <w:sz w:val="24"/>
          <w:szCs w:val="24"/>
        </w:rPr>
        <w:t>I=2</w:t>
      </w:r>
      <w:r w:rsidR="00711111">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Тези въздействия са незначителни в макро отношение. </w:t>
      </w:r>
      <w:r w:rsidRPr="00BC5A42">
        <w:rPr>
          <w:rFonts w:ascii="Times New Roman" w:eastAsia="Times New Roman" w:hAnsi="Times New Roman" w:cs="Times New Roman"/>
          <w:sz w:val="24"/>
          <w:szCs w:val="24"/>
        </w:rPr>
        <w:t xml:space="preserve">Когато </w:t>
      </w:r>
      <w:r w:rsidRPr="00BC5A42">
        <w:rPr>
          <w:rFonts w:ascii="Times New Roman" w:eastAsia="Times New Roman" w:hAnsi="Times New Roman" w:cs="Times New Roman"/>
          <w:bCs/>
          <w:sz w:val="24"/>
          <w:szCs w:val="24"/>
        </w:rPr>
        <w:t>анализира предишни предложения като тавани на цените, КЗК изразява твърда позиция срещу мерките за изкривяване. При Вариант 2 по същество няма сериозен риск от изкривяване на пазара</w:t>
      </w:r>
      <w:r>
        <w:rPr>
          <w:rFonts w:ascii="Times New Roman" w:eastAsia="Times New Roman" w:hAnsi="Times New Roman" w:cs="Times New Roman"/>
          <w:bCs/>
          <w:sz w:val="24"/>
          <w:szCs w:val="24"/>
        </w:rPr>
        <w:t>.</w:t>
      </w:r>
      <w:r w:rsidRPr="00BC5A42">
        <w:rPr>
          <w:rFonts w:ascii="Times New Roman" w:eastAsia="Times New Roman" w:hAnsi="Times New Roman" w:cs="Times New Roman"/>
          <w:sz w:val="24"/>
          <w:szCs w:val="24"/>
        </w:rPr>
        <w:t xml:space="preserve"> Той би допринесъл българското право </w:t>
      </w:r>
      <w:r>
        <w:rPr>
          <w:rFonts w:ascii="Times New Roman" w:eastAsia="Times New Roman" w:hAnsi="Times New Roman" w:cs="Times New Roman"/>
          <w:sz w:val="24"/>
          <w:szCs w:val="24"/>
        </w:rPr>
        <w:t xml:space="preserve">и най-вече правоприлагане </w:t>
      </w:r>
      <w:r w:rsidRPr="00BC5A42">
        <w:rPr>
          <w:rFonts w:ascii="Times New Roman" w:eastAsia="Times New Roman" w:hAnsi="Times New Roman" w:cs="Times New Roman"/>
          <w:sz w:val="24"/>
          <w:szCs w:val="24"/>
        </w:rPr>
        <w:t>да се хармонизира</w:t>
      </w:r>
      <w:r>
        <w:rPr>
          <w:rFonts w:ascii="Times New Roman" w:eastAsia="Times New Roman" w:hAnsi="Times New Roman" w:cs="Times New Roman"/>
          <w:sz w:val="24"/>
          <w:szCs w:val="24"/>
        </w:rPr>
        <w:t>т</w:t>
      </w:r>
      <w:r w:rsidRPr="00BC5A42">
        <w:rPr>
          <w:rFonts w:ascii="Times New Roman" w:eastAsia="Times New Roman" w:hAnsi="Times New Roman" w:cs="Times New Roman"/>
          <w:sz w:val="24"/>
          <w:szCs w:val="24"/>
        </w:rPr>
        <w:t xml:space="preserve"> с </w:t>
      </w:r>
      <w:r>
        <w:rPr>
          <w:rFonts w:ascii="Times New Roman" w:eastAsia="Times New Roman" w:hAnsi="Times New Roman" w:cs="Times New Roman"/>
          <w:sz w:val="24"/>
          <w:szCs w:val="24"/>
        </w:rPr>
        <w:t>тези</w:t>
      </w:r>
      <w:r w:rsidRPr="00BC5A42">
        <w:rPr>
          <w:rFonts w:ascii="Times New Roman" w:eastAsia="Times New Roman" w:hAnsi="Times New Roman" w:cs="Times New Roman"/>
          <w:sz w:val="24"/>
          <w:szCs w:val="24"/>
        </w:rPr>
        <w:t xml:space="preserve"> на ЕС и за поддържане </w:t>
      </w:r>
      <w:r w:rsidR="00711111">
        <w:rPr>
          <w:rFonts w:ascii="Times New Roman" w:eastAsia="Times New Roman" w:hAnsi="Times New Roman" w:cs="Times New Roman"/>
          <w:sz w:val="24"/>
          <w:szCs w:val="24"/>
        </w:rPr>
        <w:t xml:space="preserve">на </w:t>
      </w:r>
      <w:r w:rsidRPr="00BC5A42">
        <w:rPr>
          <w:rFonts w:ascii="Times New Roman" w:eastAsia="Times New Roman" w:hAnsi="Times New Roman" w:cs="Times New Roman"/>
          <w:sz w:val="24"/>
          <w:szCs w:val="24"/>
        </w:rPr>
        <w:t>свободното функциониране на пазара.</w:t>
      </w:r>
      <w:r>
        <w:rPr>
          <w:rFonts w:ascii="Times New Roman" w:eastAsia="Times New Roman" w:hAnsi="Times New Roman" w:cs="Times New Roman"/>
          <w:sz w:val="24"/>
          <w:szCs w:val="24"/>
        </w:rPr>
        <w:t xml:space="preserve"> </w:t>
      </w:r>
      <w:r w:rsidRPr="00BC5A42">
        <w:rPr>
          <w:rFonts w:ascii="Times New Roman" w:eastAsia="Times New Roman" w:hAnsi="Times New Roman" w:cs="Times New Roman"/>
          <w:bCs/>
          <w:sz w:val="24"/>
          <w:szCs w:val="24"/>
        </w:rPr>
        <w:t>О</w:t>
      </w:r>
      <w:r w:rsidR="00711111">
        <w:rPr>
          <w:rFonts w:ascii="Times New Roman" w:eastAsia="Times New Roman" w:hAnsi="Times New Roman" w:cs="Times New Roman"/>
          <w:bCs/>
          <w:sz w:val="24"/>
          <w:szCs w:val="24"/>
        </w:rPr>
        <w:t xml:space="preserve">ттук по тази категория за варианта може да се определи </w:t>
      </w:r>
      <w:r w:rsidR="00711111" w:rsidRPr="00711111">
        <w:rPr>
          <w:rFonts w:ascii="Times New Roman" w:eastAsia="Times New Roman" w:hAnsi="Times New Roman" w:cs="Times New Roman"/>
          <w:b/>
          <w:bCs/>
          <w:sz w:val="24"/>
          <w:szCs w:val="24"/>
        </w:rPr>
        <w:t>о</w:t>
      </w:r>
      <w:r w:rsidRPr="00711111">
        <w:rPr>
          <w:rFonts w:ascii="Times New Roman" w:eastAsia="Times New Roman" w:hAnsi="Times New Roman" w:cs="Times New Roman"/>
          <w:b/>
          <w:bCs/>
          <w:sz w:val="24"/>
          <w:szCs w:val="24"/>
        </w:rPr>
        <w:t>бща оценка на риска</w:t>
      </w:r>
      <w:r w:rsidR="00711111" w:rsidRPr="00711111">
        <w:rPr>
          <w:rFonts w:ascii="Times New Roman" w:eastAsia="Times New Roman" w:hAnsi="Times New Roman" w:cs="Times New Roman"/>
          <w:b/>
          <w:bCs/>
          <w:sz w:val="24"/>
          <w:szCs w:val="24"/>
        </w:rPr>
        <w:t xml:space="preserve"> </w:t>
      </w:r>
      <w:r w:rsidR="00A5236A" w:rsidRPr="00BC5A42">
        <w:rPr>
          <w:rFonts w:ascii="Times New Roman" w:eastAsia="Times New Roman" w:hAnsi="Times New Roman" w:cs="Times New Roman"/>
          <w:bCs/>
          <w:sz w:val="24"/>
          <w:szCs w:val="24"/>
        </w:rPr>
        <w:t>(1×2)</w:t>
      </w:r>
      <w:r w:rsidR="00A5236A">
        <w:rPr>
          <w:rFonts w:ascii="Times New Roman" w:eastAsia="Times New Roman" w:hAnsi="Times New Roman" w:cs="Times New Roman"/>
          <w:bCs/>
          <w:sz w:val="24"/>
          <w:szCs w:val="24"/>
        </w:rPr>
        <w:t xml:space="preserve"> </w:t>
      </w:r>
      <w:r w:rsidR="00711111" w:rsidRPr="00711111">
        <w:rPr>
          <w:rFonts w:ascii="Times New Roman" w:eastAsia="Times New Roman" w:hAnsi="Times New Roman" w:cs="Times New Roman"/>
          <w:b/>
          <w:sz w:val="24"/>
          <w:szCs w:val="24"/>
        </w:rPr>
        <w:t>=</w:t>
      </w:r>
      <w:r w:rsidRPr="00711111">
        <w:rPr>
          <w:rFonts w:ascii="Times New Roman" w:eastAsia="Times New Roman" w:hAnsi="Times New Roman" w:cs="Times New Roman"/>
          <w:b/>
          <w:bCs/>
          <w:sz w:val="24"/>
          <w:szCs w:val="24"/>
        </w:rPr>
        <w:t xml:space="preserve"> 2</w:t>
      </w:r>
      <w:r w:rsidRPr="00BC5A42">
        <w:rPr>
          <w:rFonts w:ascii="Times New Roman" w:eastAsia="Times New Roman" w:hAnsi="Times New Roman" w:cs="Times New Roman"/>
          <w:sz w:val="24"/>
          <w:szCs w:val="24"/>
        </w:rPr>
        <w:t>.</w:t>
      </w:r>
    </w:p>
    <w:p w14:paraId="09B14799"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p>
    <w:p w14:paraId="71147F9D" w14:textId="77777777" w:rsidR="00E16161" w:rsidRPr="00BC5A42" w:rsidRDefault="00E16161" w:rsidP="00E16161">
      <w:pPr>
        <w:spacing w:after="0" w:line="240" w:lineRule="auto"/>
        <w:ind w:firstLine="567"/>
        <w:jc w:val="both"/>
        <w:rPr>
          <w:rFonts w:ascii="Times New Roman" w:eastAsia="Times New Roman" w:hAnsi="Times New Roman" w:cs="Times New Roman"/>
          <w:b/>
          <w:i/>
          <w:iCs/>
          <w:sz w:val="24"/>
          <w:szCs w:val="24"/>
        </w:rPr>
      </w:pPr>
      <w:r w:rsidRPr="00BC5A42">
        <w:rPr>
          <w:rFonts w:ascii="Times New Roman" w:eastAsia="Times New Roman" w:hAnsi="Times New Roman" w:cs="Times New Roman"/>
          <w:b/>
          <w:i/>
          <w:sz w:val="24"/>
          <w:szCs w:val="24"/>
        </w:rPr>
        <w:t xml:space="preserve">2.4. </w:t>
      </w:r>
      <w:r w:rsidRPr="00BC5A42">
        <w:rPr>
          <w:rFonts w:ascii="Times New Roman" w:eastAsia="Times New Roman" w:hAnsi="Times New Roman" w:cs="Times New Roman"/>
          <w:b/>
          <w:bCs/>
          <w:i/>
          <w:sz w:val="24"/>
          <w:szCs w:val="24"/>
        </w:rPr>
        <w:t>Неуспех в прилагането, водещ до липса на полза:</w:t>
      </w:r>
      <w:r w:rsidRPr="00BC5A42">
        <w:rPr>
          <w:rFonts w:ascii="Times New Roman" w:eastAsia="Times New Roman" w:hAnsi="Times New Roman" w:cs="Times New Roman"/>
          <w:b/>
          <w:i/>
          <w:sz w:val="24"/>
          <w:szCs w:val="24"/>
        </w:rPr>
        <w:t xml:space="preserve"> </w:t>
      </w:r>
      <w:r w:rsidRPr="00BC5A42">
        <w:rPr>
          <w:rFonts w:ascii="Times New Roman" w:eastAsia="Times New Roman" w:hAnsi="Times New Roman" w:cs="Times New Roman"/>
          <w:b/>
          <w:i/>
          <w:iCs/>
          <w:sz w:val="24"/>
          <w:szCs w:val="24"/>
        </w:rPr>
        <w:t xml:space="preserve">Висок риск </w:t>
      </w:r>
    </w:p>
    <w:p w14:paraId="15B8264E" w14:textId="77777777" w:rsidR="006D13D2" w:rsidRDefault="00E16161" w:rsidP="00E16161">
      <w:pPr>
        <w:spacing w:after="0" w:line="240" w:lineRule="auto"/>
        <w:ind w:firstLine="567"/>
        <w:jc w:val="both"/>
        <w:rPr>
          <w:rFonts w:ascii="Times New Roman" w:eastAsia="Times New Roman" w:hAnsi="Times New Roman" w:cs="Times New Roman"/>
          <w:sz w:val="24"/>
          <w:szCs w:val="24"/>
        </w:rPr>
      </w:pPr>
      <w:r w:rsidRPr="008C3960">
        <w:rPr>
          <w:rFonts w:ascii="Times New Roman" w:eastAsia="Times New Roman" w:hAnsi="Times New Roman" w:cs="Times New Roman"/>
          <w:sz w:val="24"/>
          <w:szCs w:val="24"/>
        </w:rPr>
        <w:lastRenderedPageBreak/>
        <w:t xml:space="preserve">Успехът на </w:t>
      </w:r>
      <w:r w:rsidR="00711111" w:rsidRPr="008C3960">
        <w:rPr>
          <w:rFonts w:ascii="Times New Roman" w:eastAsia="Times New Roman" w:hAnsi="Times New Roman" w:cs="Times New Roman"/>
          <w:sz w:val="24"/>
          <w:szCs w:val="24"/>
        </w:rPr>
        <w:t xml:space="preserve">Вариант </w:t>
      </w:r>
      <w:r w:rsidRPr="008C3960">
        <w:rPr>
          <w:rFonts w:ascii="Times New Roman" w:eastAsia="Times New Roman" w:hAnsi="Times New Roman" w:cs="Times New Roman"/>
          <w:sz w:val="24"/>
          <w:szCs w:val="24"/>
        </w:rPr>
        <w:t xml:space="preserve">2 зависи от ефективното </w:t>
      </w:r>
      <w:r w:rsidRPr="00BC5A42">
        <w:rPr>
          <w:rFonts w:ascii="Times New Roman" w:eastAsia="Times New Roman" w:hAnsi="Times New Roman" w:cs="Times New Roman"/>
          <w:sz w:val="24"/>
          <w:szCs w:val="24"/>
        </w:rPr>
        <w:t xml:space="preserve">прилагане на изменените правила. Въпреки че правната рамка може да е солидна, </w:t>
      </w:r>
      <w:r w:rsidRPr="00BC5A42">
        <w:rPr>
          <w:rFonts w:ascii="Times New Roman" w:eastAsia="Times New Roman" w:hAnsi="Times New Roman" w:cs="Times New Roman"/>
          <w:bCs/>
          <w:sz w:val="24"/>
          <w:szCs w:val="24"/>
        </w:rPr>
        <w:t>прилагането</w:t>
      </w:r>
      <w:r w:rsidR="00711111">
        <w:rPr>
          <w:rFonts w:ascii="Times New Roman" w:eastAsia="Times New Roman" w:hAnsi="Times New Roman" w:cs="Times New Roman"/>
          <w:bCs/>
          <w:sz w:val="24"/>
          <w:szCs w:val="24"/>
        </w:rPr>
        <w:t xml:space="preserve"> й</w:t>
      </w:r>
      <w:r w:rsidRPr="00BC5A42">
        <w:rPr>
          <w:rFonts w:ascii="Times New Roman" w:eastAsia="Times New Roman" w:hAnsi="Times New Roman" w:cs="Times New Roman"/>
          <w:bCs/>
          <w:sz w:val="24"/>
          <w:szCs w:val="24"/>
        </w:rPr>
        <w:t xml:space="preserve"> на практика може да се провали</w:t>
      </w:r>
      <w:r w:rsidRPr="00BC5A42">
        <w:rPr>
          <w:rFonts w:ascii="Times New Roman" w:eastAsia="Times New Roman" w:hAnsi="Times New Roman" w:cs="Times New Roman"/>
          <w:sz w:val="24"/>
          <w:szCs w:val="24"/>
        </w:rPr>
        <w:t>. Този риск</w:t>
      </w:r>
      <w:r w:rsidR="00227D55">
        <w:rPr>
          <w:rFonts w:ascii="Times New Roman" w:eastAsia="Times New Roman" w:hAnsi="Times New Roman" w:cs="Times New Roman"/>
          <w:sz w:val="24"/>
          <w:szCs w:val="24"/>
        </w:rPr>
        <w:t>,</w:t>
      </w:r>
      <w:r w:rsidRPr="00BC5A42">
        <w:rPr>
          <w:rFonts w:ascii="Times New Roman" w:eastAsia="Times New Roman" w:hAnsi="Times New Roman" w:cs="Times New Roman"/>
          <w:sz w:val="24"/>
          <w:szCs w:val="24"/>
        </w:rPr>
        <w:t xml:space="preserve"> за съжаление</w:t>
      </w:r>
      <w:r w:rsidR="00227D55">
        <w:rPr>
          <w:rFonts w:ascii="Times New Roman" w:eastAsia="Times New Roman" w:hAnsi="Times New Roman" w:cs="Times New Roman"/>
          <w:sz w:val="24"/>
          <w:szCs w:val="24"/>
        </w:rPr>
        <w:t>,</w:t>
      </w:r>
      <w:r w:rsidRPr="00BC5A42">
        <w:rPr>
          <w:rFonts w:ascii="Times New Roman" w:eastAsia="Times New Roman" w:hAnsi="Times New Roman" w:cs="Times New Roman"/>
          <w:sz w:val="24"/>
          <w:szCs w:val="24"/>
        </w:rPr>
        <w:t xml:space="preserve"> е значителен предвид миналия опит. При сегашната ситуация правоприлагането </w:t>
      </w:r>
      <w:r>
        <w:rPr>
          <w:rFonts w:ascii="Times New Roman" w:eastAsia="Times New Roman" w:hAnsi="Times New Roman" w:cs="Times New Roman"/>
          <w:sz w:val="24"/>
          <w:szCs w:val="24"/>
        </w:rPr>
        <w:t>сочи на неефективност</w:t>
      </w:r>
      <w:r w:rsidRPr="00BC5A42">
        <w:rPr>
          <w:rFonts w:ascii="Times New Roman" w:eastAsia="Times New Roman" w:hAnsi="Times New Roman" w:cs="Times New Roman"/>
          <w:sz w:val="24"/>
          <w:szCs w:val="24"/>
        </w:rPr>
        <w:t xml:space="preserve">. Страхът </w:t>
      </w:r>
      <w:r w:rsidRPr="00BC5A42">
        <w:rPr>
          <w:rFonts w:ascii="Times New Roman" w:eastAsia="Times New Roman" w:hAnsi="Times New Roman" w:cs="Times New Roman"/>
          <w:bCs/>
          <w:sz w:val="24"/>
          <w:szCs w:val="24"/>
        </w:rPr>
        <w:t>от</w:t>
      </w:r>
      <w:r w:rsidR="007234CE">
        <w:rPr>
          <w:rFonts w:ascii="Times New Roman" w:eastAsia="Times New Roman" w:hAnsi="Times New Roman" w:cs="Times New Roman"/>
          <w:bCs/>
          <w:sz w:val="24"/>
          <w:szCs w:val="24"/>
        </w:rPr>
        <w:t xml:space="preserve"> търговско</w:t>
      </w:r>
      <w:r w:rsidRPr="00BC5A42">
        <w:rPr>
          <w:rFonts w:ascii="Times New Roman" w:eastAsia="Times New Roman" w:hAnsi="Times New Roman" w:cs="Times New Roman"/>
          <w:bCs/>
          <w:sz w:val="24"/>
          <w:szCs w:val="24"/>
        </w:rPr>
        <w:t xml:space="preserve"> отмъщение</w:t>
      </w:r>
      <w:r w:rsidRPr="008C3960">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остава бариера.</w:t>
      </w:r>
      <w:r w:rsidRPr="008C3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8C3960">
        <w:rPr>
          <w:rFonts w:ascii="Times New Roman" w:eastAsia="Times New Roman" w:hAnsi="Times New Roman" w:cs="Times New Roman"/>
          <w:sz w:val="24"/>
          <w:szCs w:val="24"/>
        </w:rPr>
        <w:t>акто беше отбелязано, около 65% от доста</w:t>
      </w:r>
      <w:r>
        <w:rPr>
          <w:rFonts w:ascii="Times New Roman" w:eastAsia="Times New Roman" w:hAnsi="Times New Roman" w:cs="Times New Roman"/>
          <w:sz w:val="24"/>
          <w:szCs w:val="24"/>
        </w:rPr>
        <w:t>вчиците в целия ЕС се страхуват</w:t>
      </w:r>
      <w:r w:rsidRPr="008C3960">
        <w:rPr>
          <w:rFonts w:ascii="Times New Roman" w:eastAsia="Times New Roman" w:hAnsi="Times New Roman" w:cs="Times New Roman"/>
          <w:sz w:val="24"/>
          <w:szCs w:val="24"/>
        </w:rPr>
        <w:t xml:space="preserve"> от репресии, ако се опла</w:t>
      </w:r>
      <w:r>
        <w:rPr>
          <w:rFonts w:ascii="Times New Roman" w:eastAsia="Times New Roman" w:hAnsi="Times New Roman" w:cs="Times New Roman"/>
          <w:sz w:val="24"/>
          <w:szCs w:val="24"/>
        </w:rPr>
        <w:t>ч</w:t>
      </w:r>
      <w:r w:rsidRPr="008C3960">
        <w:rPr>
          <w:rFonts w:ascii="Times New Roman" w:eastAsia="Times New Roman" w:hAnsi="Times New Roman" w:cs="Times New Roman"/>
          <w:sz w:val="24"/>
          <w:szCs w:val="24"/>
        </w:rPr>
        <w:t xml:space="preserve">ат. Ако измененията не решат този проблем, </w:t>
      </w:r>
      <w:r w:rsidRPr="00BC5A42">
        <w:rPr>
          <w:rFonts w:ascii="Times New Roman" w:eastAsia="Times New Roman" w:hAnsi="Times New Roman" w:cs="Times New Roman"/>
          <w:sz w:val="24"/>
          <w:szCs w:val="24"/>
        </w:rPr>
        <w:t xml:space="preserve">съществува </w:t>
      </w:r>
      <w:r w:rsidRPr="00BC5A42">
        <w:rPr>
          <w:rFonts w:ascii="Times New Roman" w:eastAsia="Times New Roman" w:hAnsi="Times New Roman" w:cs="Times New Roman"/>
          <w:bCs/>
          <w:sz w:val="24"/>
          <w:szCs w:val="24"/>
        </w:rPr>
        <w:t>реален риск правилата да не бъдат приложени в достатъчна степен</w:t>
      </w:r>
      <w:r w:rsidRPr="00BC5A42">
        <w:rPr>
          <w:rFonts w:ascii="Times New Roman" w:eastAsia="Times New Roman" w:hAnsi="Times New Roman" w:cs="Times New Roman"/>
          <w:sz w:val="24"/>
          <w:szCs w:val="24"/>
        </w:rPr>
        <w:t>, което означава, че икономическите ползи (по-</w:t>
      </w:r>
      <w:r>
        <w:rPr>
          <w:rFonts w:ascii="Times New Roman" w:eastAsia="Times New Roman" w:hAnsi="Times New Roman" w:cs="Times New Roman"/>
          <w:sz w:val="24"/>
          <w:szCs w:val="24"/>
        </w:rPr>
        <w:t>честни</w:t>
      </w:r>
      <w:r w:rsidRPr="00BC5A42">
        <w:rPr>
          <w:rFonts w:ascii="Times New Roman" w:eastAsia="Times New Roman" w:hAnsi="Times New Roman" w:cs="Times New Roman"/>
          <w:sz w:val="24"/>
          <w:szCs w:val="24"/>
        </w:rPr>
        <w:t xml:space="preserve"> условия, увеличения на доходите за земеделските производители</w:t>
      </w:r>
      <w:r w:rsidR="007234CE">
        <w:rPr>
          <w:rFonts w:ascii="Times New Roman" w:eastAsia="Times New Roman" w:hAnsi="Times New Roman" w:cs="Times New Roman"/>
          <w:sz w:val="24"/>
          <w:szCs w:val="24"/>
        </w:rPr>
        <w:t xml:space="preserve"> и др.</w:t>
      </w:r>
      <w:r w:rsidRPr="00BC5A42">
        <w:rPr>
          <w:rFonts w:ascii="Times New Roman" w:eastAsia="Times New Roman" w:hAnsi="Times New Roman" w:cs="Times New Roman"/>
          <w:sz w:val="24"/>
          <w:szCs w:val="24"/>
        </w:rPr>
        <w:t>) няма да се материализират напълно. Оттук</w:t>
      </w:r>
      <w:r w:rsidR="007234CE">
        <w:rPr>
          <w:rFonts w:ascii="Times New Roman" w:eastAsia="Times New Roman" w:hAnsi="Times New Roman" w:cs="Times New Roman"/>
          <w:sz w:val="24"/>
          <w:szCs w:val="24"/>
        </w:rPr>
        <w:t>,</w:t>
      </w:r>
      <w:r w:rsidRPr="00BC5A42">
        <w:rPr>
          <w:rFonts w:ascii="Times New Roman" w:eastAsia="Times New Roman" w:hAnsi="Times New Roman" w:cs="Times New Roman"/>
          <w:sz w:val="24"/>
          <w:szCs w:val="24"/>
        </w:rPr>
        <w:t xml:space="preserve"> вероятността от неадекватно прилагане може да бъде оценена като висока (L=4). Причините включват: ограничени ресурси, свързани с този проблем, предизвикателството да се открият нарушения и вероятно ниска осведоменост сред участниците на пазара относно техните права. </w:t>
      </w:r>
    </w:p>
    <w:p w14:paraId="3A708B5E" w14:textId="6A00495A" w:rsidR="00E16161" w:rsidRDefault="00E16161" w:rsidP="00E16161">
      <w:pPr>
        <w:spacing w:after="0" w:line="240" w:lineRule="auto"/>
        <w:ind w:firstLine="567"/>
        <w:jc w:val="both"/>
        <w:rPr>
          <w:rFonts w:ascii="Times New Roman" w:eastAsia="Times New Roman" w:hAnsi="Times New Roman" w:cs="Times New Roman"/>
          <w:sz w:val="24"/>
          <w:szCs w:val="24"/>
        </w:rPr>
      </w:pPr>
      <w:r w:rsidRPr="008C3960">
        <w:rPr>
          <w:rFonts w:ascii="Times New Roman" w:eastAsia="Times New Roman" w:hAnsi="Times New Roman" w:cs="Times New Roman"/>
          <w:sz w:val="24"/>
          <w:szCs w:val="24"/>
        </w:rPr>
        <w:t>Въздействието на провала на правоприлагането е голямо (I=4), защото</w:t>
      </w:r>
      <w:r w:rsidR="00B877DF">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ако правоприлагането е </w:t>
      </w:r>
      <w:r w:rsidRPr="00BC5A42">
        <w:rPr>
          <w:rFonts w:ascii="Times New Roman" w:eastAsia="Times New Roman" w:hAnsi="Times New Roman" w:cs="Times New Roman"/>
          <w:sz w:val="24"/>
          <w:szCs w:val="24"/>
        </w:rPr>
        <w:t xml:space="preserve">неефективно, </w:t>
      </w:r>
      <w:r w:rsidRPr="00BC5A42">
        <w:rPr>
          <w:rFonts w:ascii="Times New Roman" w:eastAsia="Times New Roman" w:hAnsi="Times New Roman" w:cs="Times New Roman"/>
          <w:bCs/>
          <w:sz w:val="24"/>
          <w:szCs w:val="24"/>
        </w:rPr>
        <w:t>законът не произвежда желаните ефекти</w:t>
      </w:r>
      <w:r w:rsidRPr="00BC5A42">
        <w:rPr>
          <w:rFonts w:ascii="Times New Roman" w:eastAsia="Times New Roman" w:hAnsi="Times New Roman" w:cs="Times New Roman"/>
          <w:sz w:val="24"/>
          <w:szCs w:val="24"/>
        </w:rPr>
        <w:t xml:space="preserve"> и по същество ситуацията остава близка до статуквото на широко разпространените </w:t>
      </w:r>
      <w:r w:rsidR="007234CE">
        <w:rPr>
          <w:rFonts w:ascii="Times New Roman" w:eastAsia="Times New Roman" w:hAnsi="Times New Roman" w:cs="Times New Roman"/>
          <w:sz w:val="24"/>
          <w:szCs w:val="24"/>
        </w:rPr>
        <w:t>нелоялни търговски практики</w:t>
      </w:r>
      <w:r>
        <w:rPr>
          <w:rFonts w:ascii="Times New Roman" w:eastAsia="Times New Roman" w:hAnsi="Times New Roman" w:cs="Times New Roman"/>
          <w:sz w:val="24"/>
          <w:szCs w:val="24"/>
        </w:rPr>
        <w:t>. П</w:t>
      </w:r>
      <w:r w:rsidRPr="00BC5A42">
        <w:rPr>
          <w:rFonts w:ascii="Times New Roman" w:eastAsia="Times New Roman" w:hAnsi="Times New Roman" w:cs="Times New Roman"/>
          <w:sz w:val="24"/>
          <w:szCs w:val="24"/>
        </w:rPr>
        <w:t>о този начин не могат да</w:t>
      </w:r>
      <w:r>
        <w:rPr>
          <w:rFonts w:ascii="Times New Roman" w:eastAsia="Times New Roman" w:hAnsi="Times New Roman" w:cs="Times New Roman"/>
          <w:sz w:val="24"/>
          <w:szCs w:val="24"/>
        </w:rPr>
        <w:t xml:space="preserve"> се реализират</w:t>
      </w:r>
      <w:r w:rsidRPr="008C3960">
        <w:rPr>
          <w:rFonts w:ascii="Times New Roman" w:eastAsia="Times New Roman" w:hAnsi="Times New Roman" w:cs="Times New Roman"/>
          <w:sz w:val="24"/>
          <w:szCs w:val="24"/>
        </w:rPr>
        <w:t xml:space="preserve"> потенциалните </w:t>
      </w:r>
      <w:r w:rsidR="006D13D2">
        <w:rPr>
          <w:rFonts w:ascii="Times New Roman" w:eastAsia="Times New Roman" w:hAnsi="Times New Roman" w:cs="Times New Roman"/>
          <w:sz w:val="24"/>
          <w:szCs w:val="24"/>
        </w:rPr>
        <w:t>приходи за земеделските производители и доставчиците на храни от ограничаването на нелоялните търговски практики, ако прилагането се провали</w:t>
      </w:r>
      <w:r w:rsidRPr="008C3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8C3960">
        <w:rPr>
          <w:rFonts w:ascii="Times New Roman" w:eastAsia="Times New Roman" w:hAnsi="Times New Roman" w:cs="Times New Roman"/>
          <w:sz w:val="24"/>
          <w:szCs w:val="24"/>
        </w:rPr>
        <w:t>ози риск</w:t>
      </w:r>
      <w:r>
        <w:rPr>
          <w:rFonts w:ascii="Times New Roman" w:eastAsia="Times New Roman" w:hAnsi="Times New Roman" w:cs="Times New Roman"/>
          <w:sz w:val="24"/>
          <w:szCs w:val="24"/>
        </w:rPr>
        <w:t xml:space="preserve"> е разпознат </w:t>
      </w:r>
      <w:r w:rsidR="006D13D2">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в предишни анализи.</w:t>
      </w:r>
      <w:r w:rsidRPr="008C3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Pr="008C3960">
        <w:rPr>
          <w:rFonts w:ascii="Times New Roman" w:eastAsia="Times New Roman" w:hAnsi="Times New Roman" w:cs="Times New Roman"/>
          <w:sz w:val="24"/>
          <w:szCs w:val="24"/>
        </w:rPr>
        <w:t xml:space="preserve">фективността на Вариант 2 е ограничена от това колко проактивно може да действа </w:t>
      </w:r>
      <w:r>
        <w:rPr>
          <w:rFonts w:ascii="Times New Roman" w:eastAsia="Times New Roman" w:hAnsi="Times New Roman" w:cs="Times New Roman"/>
          <w:sz w:val="24"/>
          <w:szCs w:val="24"/>
        </w:rPr>
        <w:t xml:space="preserve">съответният компетентен </w:t>
      </w:r>
      <w:r w:rsidRPr="008C3960">
        <w:rPr>
          <w:rFonts w:ascii="Times New Roman" w:eastAsia="Times New Roman" w:hAnsi="Times New Roman" w:cs="Times New Roman"/>
          <w:sz w:val="24"/>
          <w:szCs w:val="24"/>
        </w:rPr>
        <w:t xml:space="preserve">орган. </w:t>
      </w:r>
      <w:r w:rsidRPr="00BC5A42">
        <w:rPr>
          <w:rFonts w:ascii="Times New Roman" w:eastAsia="Times New Roman" w:hAnsi="Times New Roman" w:cs="Times New Roman"/>
          <w:sz w:val="24"/>
          <w:szCs w:val="24"/>
        </w:rPr>
        <w:t>Смекчаването на това би изисквало силен ангажимент на конкретна институция, която е натоварена</w:t>
      </w:r>
      <w:r>
        <w:rPr>
          <w:rFonts w:ascii="Times New Roman" w:eastAsia="Times New Roman" w:hAnsi="Times New Roman" w:cs="Times New Roman"/>
          <w:sz w:val="24"/>
          <w:szCs w:val="24"/>
        </w:rPr>
        <w:t xml:space="preserve"> с администрирането и прилагане</w:t>
      </w:r>
      <w:r w:rsidR="007234CE">
        <w:rPr>
          <w:rFonts w:ascii="Times New Roman" w:eastAsia="Times New Roman" w:hAnsi="Times New Roman" w:cs="Times New Roman"/>
          <w:sz w:val="24"/>
          <w:szCs w:val="24"/>
        </w:rPr>
        <w:t>то</w:t>
      </w:r>
      <w:r>
        <w:rPr>
          <w:rFonts w:ascii="Times New Roman" w:eastAsia="Times New Roman" w:hAnsi="Times New Roman" w:cs="Times New Roman"/>
          <w:sz w:val="24"/>
          <w:szCs w:val="24"/>
        </w:rPr>
        <w:t xml:space="preserve"> на промените</w:t>
      </w:r>
      <w:r w:rsidRPr="00BC5A42">
        <w:rPr>
          <w:rFonts w:ascii="Times New Roman" w:eastAsia="Times New Roman" w:hAnsi="Times New Roman" w:cs="Times New Roman"/>
          <w:sz w:val="24"/>
          <w:szCs w:val="24"/>
        </w:rPr>
        <w:t>. В обобщение</w:t>
      </w:r>
      <w:r w:rsidRPr="00BC5A42">
        <w:rPr>
          <w:rFonts w:ascii="Times New Roman" w:eastAsia="Times New Roman" w:hAnsi="Times New Roman" w:cs="Times New Roman"/>
          <w:bCs/>
          <w:sz w:val="24"/>
          <w:szCs w:val="24"/>
        </w:rPr>
        <w:t>, съществува значителен риск Вариант 2 да не постига достатъчно икономически резултати поради не</w:t>
      </w:r>
      <w:r w:rsidR="006D13D2">
        <w:rPr>
          <w:rFonts w:ascii="Times New Roman" w:eastAsia="Times New Roman" w:hAnsi="Times New Roman" w:cs="Times New Roman"/>
          <w:bCs/>
          <w:sz w:val="24"/>
          <w:szCs w:val="24"/>
        </w:rPr>
        <w:t xml:space="preserve">ефективно </w:t>
      </w:r>
      <w:r w:rsidRPr="00BC5A42">
        <w:rPr>
          <w:rFonts w:ascii="Times New Roman" w:eastAsia="Times New Roman" w:hAnsi="Times New Roman" w:cs="Times New Roman"/>
          <w:bCs/>
          <w:sz w:val="24"/>
          <w:szCs w:val="24"/>
        </w:rPr>
        <w:t xml:space="preserve">правоприлагане </w:t>
      </w:r>
      <w:r w:rsidRPr="00BC5A42">
        <w:rPr>
          <w:rFonts w:ascii="Times New Roman" w:eastAsia="Times New Roman" w:hAnsi="Times New Roman" w:cs="Times New Roman"/>
          <w:sz w:val="24"/>
          <w:szCs w:val="24"/>
        </w:rPr>
        <w:t>– често срещан проблем в много страни преди приемането на по-строги закони.</w:t>
      </w:r>
      <w:r>
        <w:rPr>
          <w:rFonts w:ascii="Times New Roman" w:eastAsia="Times New Roman" w:hAnsi="Times New Roman" w:cs="Times New Roman"/>
          <w:sz w:val="24"/>
          <w:szCs w:val="24"/>
        </w:rPr>
        <w:t xml:space="preserve"> Оттук </w:t>
      </w:r>
      <w:r w:rsidR="006D13D2">
        <w:rPr>
          <w:rFonts w:ascii="Times New Roman" w:eastAsia="Times New Roman" w:hAnsi="Times New Roman" w:cs="Times New Roman"/>
          <w:sz w:val="24"/>
          <w:szCs w:val="24"/>
        </w:rPr>
        <w:t xml:space="preserve">по тази категория за варианта може да се определи </w:t>
      </w:r>
      <w:r w:rsidRPr="006D13D2">
        <w:rPr>
          <w:rFonts w:ascii="Times New Roman" w:eastAsia="Times New Roman" w:hAnsi="Times New Roman" w:cs="Times New Roman"/>
          <w:b/>
          <w:sz w:val="24"/>
          <w:szCs w:val="24"/>
        </w:rPr>
        <w:t xml:space="preserve">общ </w:t>
      </w:r>
      <w:r w:rsidRPr="006D13D2">
        <w:rPr>
          <w:rFonts w:ascii="Times New Roman" w:eastAsia="Times New Roman" w:hAnsi="Times New Roman" w:cs="Times New Roman"/>
          <w:b/>
          <w:bCs/>
          <w:sz w:val="24"/>
          <w:szCs w:val="24"/>
        </w:rPr>
        <w:t>рисков рейтинг</w:t>
      </w:r>
      <w:r w:rsidR="00A5236A">
        <w:rPr>
          <w:rFonts w:ascii="Times New Roman" w:eastAsia="Times New Roman" w:hAnsi="Times New Roman" w:cs="Times New Roman"/>
          <w:b/>
          <w:bCs/>
          <w:sz w:val="24"/>
          <w:szCs w:val="24"/>
        </w:rPr>
        <w:t xml:space="preserve"> </w:t>
      </w:r>
      <w:r w:rsidR="00A5236A" w:rsidRPr="00A008B5">
        <w:rPr>
          <w:rFonts w:ascii="Times New Roman" w:eastAsia="Times New Roman" w:hAnsi="Times New Roman" w:cs="Times New Roman"/>
          <w:bCs/>
          <w:sz w:val="24"/>
          <w:szCs w:val="24"/>
        </w:rPr>
        <w:t>(4×4)</w:t>
      </w:r>
      <w:r w:rsidRPr="006D13D2">
        <w:rPr>
          <w:rFonts w:ascii="Times New Roman" w:eastAsia="Times New Roman" w:hAnsi="Times New Roman" w:cs="Times New Roman"/>
          <w:b/>
          <w:bCs/>
          <w:sz w:val="24"/>
          <w:szCs w:val="24"/>
        </w:rPr>
        <w:t xml:space="preserve"> </w:t>
      </w:r>
      <w:r w:rsidR="006D13D2" w:rsidRPr="006D13D2">
        <w:rPr>
          <w:rFonts w:ascii="Times New Roman" w:eastAsia="Times New Roman" w:hAnsi="Times New Roman" w:cs="Times New Roman"/>
          <w:b/>
          <w:sz w:val="24"/>
          <w:szCs w:val="24"/>
        </w:rPr>
        <w:t>=</w:t>
      </w:r>
      <w:r w:rsidRPr="006D13D2">
        <w:rPr>
          <w:rFonts w:ascii="Times New Roman" w:eastAsia="Times New Roman" w:hAnsi="Times New Roman" w:cs="Times New Roman"/>
          <w:b/>
          <w:bCs/>
          <w:sz w:val="24"/>
          <w:szCs w:val="24"/>
        </w:rPr>
        <w:t xml:space="preserve"> 16</w:t>
      </w:r>
      <w:r w:rsidRPr="008C3960">
        <w:rPr>
          <w:rFonts w:ascii="Times New Roman" w:eastAsia="Times New Roman" w:hAnsi="Times New Roman" w:cs="Times New Roman"/>
          <w:sz w:val="24"/>
          <w:szCs w:val="24"/>
        </w:rPr>
        <w:t>.</w:t>
      </w:r>
    </w:p>
    <w:p w14:paraId="0A9F6D31"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p>
    <w:p w14:paraId="212CB4B0" w14:textId="77777777" w:rsidR="00E16161" w:rsidRPr="00A008B5" w:rsidRDefault="00E16161" w:rsidP="00E16161">
      <w:pPr>
        <w:spacing w:after="0" w:line="240" w:lineRule="auto"/>
        <w:ind w:firstLine="567"/>
        <w:jc w:val="both"/>
        <w:rPr>
          <w:rFonts w:ascii="Times New Roman" w:eastAsia="Times New Roman" w:hAnsi="Times New Roman" w:cs="Times New Roman"/>
          <w:b/>
          <w:i/>
          <w:iCs/>
          <w:sz w:val="24"/>
          <w:szCs w:val="24"/>
        </w:rPr>
      </w:pPr>
      <w:r w:rsidRPr="00A008B5">
        <w:rPr>
          <w:rFonts w:ascii="Times New Roman" w:eastAsia="Times New Roman" w:hAnsi="Times New Roman" w:cs="Times New Roman"/>
          <w:b/>
          <w:i/>
          <w:sz w:val="24"/>
          <w:szCs w:val="24"/>
        </w:rPr>
        <w:t xml:space="preserve">2.5. </w:t>
      </w:r>
      <w:r w:rsidRPr="00A008B5">
        <w:rPr>
          <w:rFonts w:ascii="Times New Roman" w:eastAsia="Times New Roman" w:hAnsi="Times New Roman" w:cs="Times New Roman"/>
          <w:b/>
          <w:bCs/>
          <w:i/>
          <w:sz w:val="24"/>
          <w:szCs w:val="24"/>
        </w:rPr>
        <w:t>Ниско съответствие (от пазарни участници):</w:t>
      </w:r>
      <w:r w:rsidRPr="00A008B5">
        <w:rPr>
          <w:rFonts w:ascii="Times New Roman" w:eastAsia="Times New Roman" w:hAnsi="Times New Roman" w:cs="Times New Roman"/>
          <w:b/>
          <w:i/>
          <w:sz w:val="24"/>
          <w:szCs w:val="24"/>
        </w:rPr>
        <w:t xml:space="preserve"> </w:t>
      </w:r>
      <w:r w:rsidRPr="00A008B5">
        <w:rPr>
          <w:rFonts w:ascii="Times New Roman" w:eastAsia="Times New Roman" w:hAnsi="Times New Roman" w:cs="Times New Roman"/>
          <w:b/>
          <w:i/>
          <w:iCs/>
          <w:sz w:val="24"/>
          <w:szCs w:val="24"/>
        </w:rPr>
        <w:t xml:space="preserve">Умерен риск </w:t>
      </w:r>
    </w:p>
    <w:p w14:paraId="4B1C8D24" w14:textId="5FA989E4" w:rsidR="00E16161" w:rsidRDefault="00E16161" w:rsidP="00E161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Спазването на дадена регулация </w:t>
      </w:r>
      <w:r w:rsidRPr="008C3960">
        <w:rPr>
          <w:rFonts w:ascii="Times New Roman" w:eastAsia="Times New Roman" w:hAnsi="Times New Roman" w:cs="Times New Roman"/>
          <w:sz w:val="24"/>
          <w:szCs w:val="24"/>
        </w:rPr>
        <w:t>е обратн</w:t>
      </w:r>
      <w:r>
        <w:rPr>
          <w:rFonts w:ascii="Times New Roman" w:eastAsia="Times New Roman" w:hAnsi="Times New Roman" w:cs="Times New Roman"/>
          <w:sz w:val="24"/>
          <w:szCs w:val="24"/>
        </w:rPr>
        <w:t>ата страна на правоприлагането</w:t>
      </w:r>
      <w:r w:rsidR="006D13D2">
        <w:rPr>
          <w:rFonts w:ascii="Times New Roman" w:eastAsia="Times New Roman" w:hAnsi="Times New Roman" w:cs="Times New Roman"/>
          <w:sz w:val="24"/>
          <w:szCs w:val="24"/>
        </w:rPr>
        <w:t>, разбирано като привеждане в изпълнение и администриране от страна на компетентните органи</w:t>
      </w:r>
      <w:r>
        <w:rPr>
          <w:rFonts w:ascii="Times New Roman" w:eastAsia="Times New Roman" w:hAnsi="Times New Roman" w:cs="Times New Roman"/>
          <w:sz w:val="24"/>
          <w:szCs w:val="24"/>
        </w:rPr>
        <w:t>. А</w:t>
      </w:r>
      <w:r w:rsidRPr="008C3960">
        <w:rPr>
          <w:rFonts w:ascii="Times New Roman" w:eastAsia="Times New Roman" w:hAnsi="Times New Roman" w:cs="Times New Roman"/>
          <w:sz w:val="24"/>
          <w:szCs w:val="24"/>
        </w:rPr>
        <w:t xml:space="preserve">ко прилагането </w:t>
      </w:r>
      <w:r>
        <w:rPr>
          <w:rFonts w:ascii="Times New Roman" w:eastAsia="Times New Roman" w:hAnsi="Times New Roman" w:cs="Times New Roman"/>
          <w:sz w:val="24"/>
          <w:szCs w:val="24"/>
        </w:rPr>
        <w:t xml:space="preserve">от институциите </w:t>
      </w:r>
      <w:r w:rsidRPr="008C3960">
        <w:rPr>
          <w:rFonts w:ascii="Times New Roman" w:eastAsia="Times New Roman" w:hAnsi="Times New Roman" w:cs="Times New Roman"/>
          <w:sz w:val="24"/>
          <w:szCs w:val="24"/>
        </w:rPr>
        <w:t xml:space="preserve">е слабо, </w:t>
      </w:r>
      <w:r>
        <w:rPr>
          <w:rFonts w:ascii="Times New Roman" w:eastAsia="Times New Roman" w:hAnsi="Times New Roman" w:cs="Times New Roman"/>
          <w:sz w:val="24"/>
          <w:szCs w:val="24"/>
        </w:rPr>
        <w:t>спазването от страна на адресатите</w:t>
      </w:r>
      <w:r w:rsidR="006D13D2">
        <w:rPr>
          <w:rFonts w:ascii="Times New Roman" w:eastAsia="Times New Roman" w:hAnsi="Times New Roman" w:cs="Times New Roman"/>
          <w:sz w:val="24"/>
          <w:szCs w:val="24"/>
        </w:rPr>
        <w:t xml:space="preserve"> ще бъде ниско.</w:t>
      </w:r>
      <w:r w:rsidRPr="008C3960">
        <w:rPr>
          <w:rFonts w:ascii="Times New Roman" w:eastAsia="Times New Roman" w:hAnsi="Times New Roman" w:cs="Times New Roman"/>
          <w:sz w:val="24"/>
          <w:szCs w:val="24"/>
        </w:rPr>
        <w:t xml:space="preserve"> </w:t>
      </w:r>
      <w:r w:rsidR="006D13D2">
        <w:rPr>
          <w:rFonts w:ascii="Times New Roman" w:eastAsia="Times New Roman" w:hAnsi="Times New Roman" w:cs="Times New Roman"/>
          <w:sz w:val="24"/>
          <w:szCs w:val="24"/>
        </w:rPr>
        <w:t>А</w:t>
      </w:r>
      <w:r w:rsidRPr="008C3960">
        <w:rPr>
          <w:rFonts w:ascii="Times New Roman" w:eastAsia="Times New Roman" w:hAnsi="Times New Roman" w:cs="Times New Roman"/>
          <w:sz w:val="24"/>
          <w:szCs w:val="24"/>
        </w:rPr>
        <w:t xml:space="preserve">ко прилагането е надеждно, </w:t>
      </w:r>
      <w:r w:rsidR="007234CE">
        <w:rPr>
          <w:rFonts w:ascii="Times New Roman" w:eastAsia="Times New Roman" w:hAnsi="Times New Roman" w:cs="Times New Roman"/>
          <w:sz w:val="24"/>
          <w:szCs w:val="24"/>
        </w:rPr>
        <w:t>нормативното съответствие</w:t>
      </w:r>
      <w:r w:rsidR="007234CE" w:rsidRPr="008C3960">
        <w:rPr>
          <w:rFonts w:ascii="Times New Roman" w:eastAsia="Times New Roman" w:hAnsi="Times New Roman" w:cs="Times New Roman"/>
          <w:sz w:val="24"/>
          <w:szCs w:val="24"/>
        </w:rPr>
        <w:t xml:space="preserve"> </w:t>
      </w:r>
      <w:r w:rsidRPr="008C3960">
        <w:rPr>
          <w:rFonts w:ascii="Times New Roman" w:eastAsia="Times New Roman" w:hAnsi="Times New Roman" w:cs="Times New Roman"/>
          <w:sz w:val="24"/>
          <w:szCs w:val="24"/>
        </w:rPr>
        <w:t>ще бъде по-високо. Ако приемем, че измененията бъдат приети, по-</w:t>
      </w:r>
      <w:r w:rsidRPr="00A008B5">
        <w:rPr>
          <w:rFonts w:ascii="Times New Roman" w:eastAsia="Times New Roman" w:hAnsi="Times New Roman" w:cs="Times New Roman"/>
          <w:sz w:val="24"/>
          <w:szCs w:val="24"/>
        </w:rPr>
        <w:t xml:space="preserve">големите купувачи ще бъдат законово задължени да променят определени практики. Някои </w:t>
      </w:r>
      <w:r w:rsidR="007234CE">
        <w:rPr>
          <w:rFonts w:ascii="Times New Roman" w:eastAsia="Times New Roman" w:hAnsi="Times New Roman" w:cs="Times New Roman"/>
          <w:sz w:val="24"/>
          <w:szCs w:val="24"/>
        </w:rPr>
        <w:t>търговци</w:t>
      </w:r>
      <w:r w:rsidR="007234CE" w:rsidRPr="00A008B5">
        <w:rPr>
          <w:rFonts w:ascii="Times New Roman" w:eastAsia="Times New Roman" w:hAnsi="Times New Roman" w:cs="Times New Roman"/>
          <w:sz w:val="24"/>
          <w:szCs w:val="24"/>
        </w:rPr>
        <w:t xml:space="preserve"> </w:t>
      </w:r>
      <w:r w:rsidRPr="00A008B5">
        <w:rPr>
          <w:rFonts w:ascii="Times New Roman" w:eastAsia="Times New Roman" w:hAnsi="Times New Roman" w:cs="Times New Roman"/>
          <w:sz w:val="24"/>
          <w:szCs w:val="24"/>
        </w:rPr>
        <w:t>вероятно ще се съобразят поне частично, особено ако има заплаха от санкции и увреждане на репутацията</w:t>
      </w:r>
      <w:r w:rsidR="007234CE">
        <w:rPr>
          <w:rFonts w:ascii="Times New Roman" w:eastAsia="Times New Roman" w:hAnsi="Times New Roman" w:cs="Times New Roman"/>
          <w:sz w:val="24"/>
          <w:szCs w:val="24"/>
        </w:rPr>
        <w:t xml:space="preserve"> им</w:t>
      </w:r>
      <w:r w:rsidRPr="00A008B5">
        <w:rPr>
          <w:rFonts w:ascii="Times New Roman" w:eastAsia="Times New Roman" w:hAnsi="Times New Roman" w:cs="Times New Roman"/>
          <w:sz w:val="24"/>
          <w:szCs w:val="24"/>
        </w:rPr>
        <w:t xml:space="preserve">. Въпреки това все още може да има </w:t>
      </w:r>
      <w:r w:rsidRPr="00A008B5">
        <w:rPr>
          <w:rFonts w:ascii="Times New Roman" w:eastAsia="Times New Roman" w:hAnsi="Times New Roman" w:cs="Times New Roman"/>
          <w:bCs/>
          <w:sz w:val="24"/>
          <w:szCs w:val="24"/>
        </w:rPr>
        <w:t xml:space="preserve">области на несъответствие </w:t>
      </w:r>
      <w:r w:rsidRPr="00A008B5">
        <w:rPr>
          <w:rFonts w:ascii="Times New Roman" w:eastAsia="Times New Roman" w:hAnsi="Times New Roman" w:cs="Times New Roman"/>
          <w:sz w:val="24"/>
          <w:szCs w:val="24"/>
        </w:rPr>
        <w:t>– например</w:t>
      </w:r>
      <w:r w:rsidR="007234CE">
        <w:rPr>
          <w:rFonts w:ascii="Times New Roman" w:eastAsia="Times New Roman" w:hAnsi="Times New Roman" w:cs="Times New Roman"/>
          <w:sz w:val="24"/>
          <w:szCs w:val="24"/>
        </w:rPr>
        <w:t>,</w:t>
      </w:r>
      <w:r w:rsidRPr="00A008B5">
        <w:rPr>
          <w:rFonts w:ascii="Times New Roman" w:eastAsia="Times New Roman" w:hAnsi="Times New Roman" w:cs="Times New Roman"/>
          <w:sz w:val="24"/>
          <w:szCs w:val="24"/>
        </w:rPr>
        <w:t xml:space="preserve"> купувачът може да се опита да заобиколи правилата, като използва</w:t>
      </w:r>
      <w:r w:rsidRPr="008C3960">
        <w:rPr>
          <w:rFonts w:ascii="Times New Roman" w:eastAsia="Times New Roman" w:hAnsi="Times New Roman" w:cs="Times New Roman"/>
          <w:sz w:val="24"/>
          <w:szCs w:val="24"/>
        </w:rPr>
        <w:t xml:space="preserve"> вратички или </w:t>
      </w:r>
      <w:r>
        <w:rPr>
          <w:rFonts w:ascii="Times New Roman" w:eastAsia="Times New Roman" w:hAnsi="Times New Roman" w:cs="Times New Roman"/>
          <w:sz w:val="24"/>
          <w:szCs w:val="24"/>
        </w:rPr>
        <w:t>прилага</w:t>
      </w:r>
      <w:r w:rsidRPr="008C3960">
        <w:rPr>
          <w:rFonts w:ascii="Times New Roman" w:eastAsia="Times New Roman" w:hAnsi="Times New Roman" w:cs="Times New Roman"/>
          <w:sz w:val="24"/>
          <w:szCs w:val="24"/>
        </w:rPr>
        <w:t xml:space="preserve"> </w:t>
      </w:r>
      <w:r w:rsidR="00A708FB">
        <w:rPr>
          <w:rFonts w:ascii="Times New Roman" w:eastAsia="Times New Roman" w:hAnsi="Times New Roman" w:cs="Times New Roman"/>
          <w:sz w:val="24"/>
          <w:szCs w:val="24"/>
        </w:rPr>
        <w:t>не</w:t>
      </w:r>
      <w:r w:rsidR="00A708FB" w:rsidRPr="008C3960">
        <w:rPr>
          <w:rFonts w:ascii="Times New Roman" w:eastAsia="Times New Roman" w:hAnsi="Times New Roman" w:cs="Times New Roman"/>
          <w:sz w:val="24"/>
          <w:szCs w:val="24"/>
        </w:rPr>
        <w:t>проследими</w:t>
      </w:r>
      <w:r w:rsidRPr="008C3960">
        <w:rPr>
          <w:rFonts w:ascii="Times New Roman" w:eastAsia="Times New Roman" w:hAnsi="Times New Roman" w:cs="Times New Roman"/>
          <w:sz w:val="24"/>
          <w:szCs w:val="24"/>
        </w:rPr>
        <w:t xml:space="preserve"> устни </w:t>
      </w:r>
      <w:r w:rsidR="006D13D2">
        <w:rPr>
          <w:rFonts w:ascii="Times New Roman" w:eastAsia="Times New Roman" w:hAnsi="Times New Roman" w:cs="Times New Roman"/>
          <w:sz w:val="24"/>
          <w:szCs w:val="24"/>
        </w:rPr>
        <w:t>уговорки</w:t>
      </w:r>
      <w:r w:rsidRPr="008C3960">
        <w:rPr>
          <w:rFonts w:ascii="Times New Roman" w:eastAsia="Times New Roman" w:hAnsi="Times New Roman" w:cs="Times New Roman"/>
          <w:sz w:val="24"/>
          <w:szCs w:val="24"/>
        </w:rPr>
        <w:t xml:space="preserve"> с доставчици и т.н. </w:t>
      </w:r>
      <w:r w:rsidRPr="00A008B5">
        <w:rPr>
          <w:rFonts w:ascii="Times New Roman" w:eastAsia="Times New Roman" w:hAnsi="Times New Roman" w:cs="Times New Roman"/>
          <w:sz w:val="24"/>
          <w:szCs w:val="24"/>
        </w:rPr>
        <w:t>Въздействието на това несъответствие е умерено (I=3</w:t>
      </w:r>
      <w:r w:rsidR="007234CE" w:rsidRPr="00A008B5">
        <w:rPr>
          <w:rFonts w:ascii="Times New Roman" w:eastAsia="Times New Roman" w:hAnsi="Times New Roman" w:cs="Times New Roman"/>
          <w:sz w:val="24"/>
          <w:szCs w:val="24"/>
        </w:rPr>
        <w:t>)</w:t>
      </w:r>
      <w:r w:rsidR="007234CE">
        <w:rPr>
          <w:rFonts w:ascii="Times New Roman" w:eastAsia="Times New Roman" w:hAnsi="Times New Roman" w:cs="Times New Roman"/>
          <w:sz w:val="24"/>
          <w:szCs w:val="24"/>
        </w:rPr>
        <w:t xml:space="preserve">, като </w:t>
      </w:r>
      <w:r w:rsidRPr="00A008B5">
        <w:rPr>
          <w:rFonts w:ascii="Times New Roman" w:eastAsia="Times New Roman" w:hAnsi="Times New Roman" w:cs="Times New Roman"/>
          <w:sz w:val="24"/>
          <w:szCs w:val="24"/>
        </w:rPr>
        <w:t xml:space="preserve">това означава, че част от доставчиците ще продължат да </w:t>
      </w:r>
      <w:r>
        <w:rPr>
          <w:rFonts w:ascii="Times New Roman" w:eastAsia="Times New Roman" w:hAnsi="Times New Roman" w:cs="Times New Roman"/>
          <w:sz w:val="24"/>
          <w:szCs w:val="24"/>
        </w:rPr>
        <w:t>понасят отрицателните последици на статуквото</w:t>
      </w:r>
      <w:r w:rsidRPr="00A008B5">
        <w:rPr>
          <w:rFonts w:ascii="Times New Roman" w:eastAsia="Times New Roman" w:hAnsi="Times New Roman" w:cs="Times New Roman"/>
          <w:sz w:val="24"/>
          <w:szCs w:val="24"/>
        </w:rPr>
        <w:t xml:space="preserve"> дори при </w:t>
      </w:r>
      <w:r w:rsidR="006D13D2">
        <w:rPr>
          <w:rFonts w:ascii="Times New Roman" w:eastAsia="Times New Roman" w:hAnsi="Times New Roman" w:cs="Times New Roman"/>
          <w:sz w:val="24"/>
          <w:szCs w:val="24"/>
        </w:rPr>
        <w:t>подобрена</w:t>
      </w:r>
      <w:r w:rsidRPr="00A008B5">
        <w:rPr>
          <w:rFonts w:ascii="Times New Roman" w:eastAsia="Times New Roman" w:hAnsi="Times New Roman" w:cs="Times New Roman"/>
          <w:sz w:val="24"/>
          <w:szCs w:val="24"/>
        </w:rPr>
        <w:t xml:space="preserve"> закон</w:t>
      </w:r>
      <w:r w:rsidR="006D13D2">
        <w:rPr>
          <w:rFonts w:ascii="Times New Roman" w:eastAsia="Times New Roman" w:hAnsi="Times New Roman" w:cs="Times New Roman"/>
          <w:sz w:val="24"/>
          <w:szCs w:val="24"/>
        </w:rPr>
        <w:t>ова рамка</w:t>
      </w:r>
      <w:r w:rsidRPr="00A008B5">
        <w:rPr>
          <w:rFonts w:ascii="Times New Roman" w:eastAsia="Times New Roman" w:hAnsi="Times New Roman" w:cs="Times New Roman"/>
          <w:sz w:val="24"/>
          <w:szCs w:val="24"/>
        </w:rPr>
        <w:t>, намалявайки общата полза</w:t>
      </w:r>
      <w:r w:rsidRPr="00A008B5">
        <w:rPr>
          <w:rFonts w:ascii="Times New Roman" w:eastAsia="Times New Roman" w:hAnsi="Times New Roman" w:cs="Times New Roman"/>
          <w:bCs/>
          <w:sz w:val="24"/>
          <w:szCs w:val="24"/>
        </w:rPr>
        <w:t xml:space="preserve">. </w:t>
      </w:r>
      <w:r w:rsidRPr="00A008B5">
        <w:rPr>
          <w:rFonts w:ascii="Times New Roman" w:eastAsia="Times New Roman" w:hAnsi="Times New Roman" w:cs="Times New Roman"/>
          <w:sz w:val="24"/>
          <w:szCs w:val="24"/>
        </w:rPr>
        <w:t xml:space="preserve">За разлика от Вариант 0 или 1, тук </w:t>
      </w:r>
      <w:r w:rsidRPr="00A008B5">
        <w:rPr>
          <w:rFonts w:ascii="Times New Roman" w:eastAsia="Times New Roman" w:hAnsi="Times New Roman" w:cs="Times New Roman"/>
          <w:bCs/>
          <w:sz w:val="24"/>
          <w:szCs w:val="24"/>
        </w:rPr>
        <w:t xml:space="preserve">някои </w:t>
      </w:r>
      <w:r w:rsidR="007234CE">
        <w:rPr>
          <w:rFonts w:ascii="Times New Roman" w:eastAsia="Times New Roman" w:hAnsi="Times New Roman" w:cs="Times New Roman"/>
          <w:sz w:val="24"/>
          <w:szCs w:val="24"/>
        </w:rPr>
        <w:t>търговски дружества</w:t>
      </w:r>
      <w:r w:rsidR="007234CE" w:rsidRPr="00A008B5">
        <w:rPr>
          <w:rFonts w:ascii="Times New Roman" w:eastAsia="Times New Roman" w:hAnsi="Times New Roman" w:cs="Times New Roman"/>
          <w:sz w:val="24"/>
          <w:szCs w:val="24"/>
        </w:rPr>
        <w:t xml:space="preserve"> </w:t>
      </w:r>
      <w:r w:rsidRPr="008C3960">
        <w:rPr>
          <w:rFonts w:ascii="Times New Roman" w:eastAsia="Times New Roman" w:hAnsi="Times New Roman" w:cs="Times New Roman"/>
          <w:sz w:val="24"/>
          <w:szCs w:val="24"/>
        </w:rPr>
        <w:t>ще се съобразят, така че</w:t>
      </w:r>
      <w:r w:rsidR="007234CE">
        <w:rPr>
          <w:rFonts w:ascii="Times New Roman" w:eastAsia="Times New Roman" w:hAnsi="Times New Roman" w:cs="Times New Roman"/>
          <w:sz w:val="24"/>
          <w:szCs w:val="24"/>
        </w:rPr>
        <w:t xml:space="preserve"> този вариант</w:t>
      </w:r>
      <w:r w:rsidRPr="008C3960">
        <w:rPr>
          <w:rFonts w:ascii="Times New Roman" w:eastAsia="Times New Roman" w:hAnsi="Times New Roman" w:cs="Times New Roman"/>
          <w:sz w:val="24"/>
          <w:szCs w:val="24"/>
        </w:rPr>
        <w:t xml:space="preserve"> няма да бъде универсално игнориран</w:t>
      </w:r>
      <w:r w:rsidR="007234CE">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w:t>
      </w:r>
      <w:r w:rsidR="007234CE">
        <w:rPr>
          <w:rFonts w:ascii="Times New Roman" w:eastAsia="Times New Roman" w:hAnsi="Times New Roman" w:cs="Times New Roman"/>
          <w:sz w:val="24"/>
          <w:szCs w:val="24"/>
        </w:rPr>
        <w:t>Може да се очаква</w:t>
      </w:r>
      <w:r w:rsidRPr="008C3960">
        <w:rPr>
          <w:rFonts w:ascii="Times New Roman" w:eastAsia="Times New Roman" w:hAnsi="Times New Roman" w:cs="Times New Roman"/>
          <w:sz w:val="24"/>
          <w:szCs w:val="24"/>
        </w:rPr>
        <w:t xml:space="preserve"> ситуацията да се подобри спрямо </w:t>
      </w:r>
      <w:r>
        <w:rPr>
          <w:rFonts w:ascii="Times New Roman" w:eastAsia="Times New Roman" w:hAnsi="Times New Roman" w:cs="Times New Roman"/>
          <w:sz w:val="24"/>
          <w:szCs w:val="24"/>
        </w:rPr>
        <w:t xml:space="preserve">Вариант 0, който е на </w:t>
      </w:r>
      <w:r w:rsidRPr="008C3960">
        <w:rPr>
          <w:rFonts w:ascii="Times New Roman" w:eastAsia="Times New Roman" w:hAnsi="Times New Roman" w:cs="Times New Roman"/>
          <w:sz w:val="24"/>
          <w:szCs w:val="24"/>
        </w:rPr>
        <w:t xml:space="preserve">бездействието. Но непълното съответствие все още може да подкопае </w:t>
      </w:r>
      <w:r w:rsidRPr="008C3960">
        <w:rPr>
          <w:rFonts w:ascii="Times New Roman" w:eastAsia="Times New Roman" w:hAnsi="Times New Roman" w:cs="Times New Roman"/>
          <w:sz w:val="24"/>
          <w:szCs w:val="24"/>
        </w:rPr>
        <w:lastRenderedPageBreak/>
        <w:t>пълната икономическа полза. На практика</w:t>
      </w:r>
      <w:r w:rsidR="007234CE">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т</w:t>
      </w:r>
      <w:r>
        <w:rPr>
          <w:rFonts w:ascii="Times New Roman" w:eastAsia="Times New Roman" w:hAnsi="Times New Roman" w:cs="Times New Roman"/>
          <w:sz w:val="24"/>
          <w:szCs w:val="24"/>
        </w:rPr>
        <w:t>ова може да се прояви,</w:t>
      </w:r>
      <w:r w:rsidRPr="008C3960">
        <w:rPr>
          <w:rFonts w:ascii="Times New Roman" w:eastAsia="Times New Roman" w:hAnsi="Times New Roman" w:cs="Times New Roman"/>
          <w:sz w:val="24"/>
          <w:szCs w:val="24"/>
        </w:rPr>
        <w:t xml:space="preserve"> като спазване на </w:t>
      </w:r>
      <w:r>
        <w:rPr>
          <w:rFonts w:ascii="Times New Roman" w:eastAsia="Times New Roman" w:hAnsi="Times New Roman" w:cs="Times New Roman"/>
          <w:sz w:val="24"/>
          <w:szCs w:val="24"/>
        </w:rPr>
        <w:t>част от текстовете</w:t>
      </w:r>
      <w:r w:rsidRPr="008C3960">
        <w:rPr>
          <w:rFonts w:ascii="Times New Roman" w:eastAsia="Times New Roman" w:hAnsi="Times New Roman" w:cs="Times New Roman"/>
          <w:sz w:val="24"/>
          <w:szCs w:val="24"/>
        </w:rPr>
        <w:t xml:space="preserve"> от закона (</w:t>
      </w:r>
      <w:r w:rsidR="007234CE">
        <w:rPr>
          <w:rFonts w:ascii="Times New Roman" w:eastAsia="Times New Roman" w:hAnsi="Times New Roman" w:cs="Times New Roman"/>
          <w:sz w:val="24"/>
          <w:szCs w:val="24"/>
        </w:rPr>
        <w:t xml:space="preserve">например, </w:t>
      </w:r>
      <w:r w:rsidRPr="008C3960">
        <w:rPr>
          <w:rFonts w:ascii="Times New Roman" w:eastAsia="Times New Roman" w:hAnsi="Times New Roman" w:cs="Times New Roman"/>
          <w:sz w:val="24"/>
          <w:szCs w:val="24"/>
        </w:rPr>
        <w:t>без анулиране на поръчки в последния момент), но неспазване на по-т</w:t>
      </w:r>
      <w:r>
        <w:rPr>
          <w:rFonts w:ascii="Times New Roman" w:eastAsia="Times New Roman" w:hAnsi="Times New Roman" w:cs="Times New Roman"/>
          <w:sz w:val="24"/>
          <w:szCs w:val="24"/>
        </w:rPr>
        <w:t>ежките такива</w:t>
      </w:r>
      <w:r w:rsidRPr="008C3960">
        <w:rPr>
          <w:rFonts w:ascii="Times New Roman" w:eastAsia="Times New Roman" w:hAnsi="Times New Roman" w:cs="Times New Roman"/>
          <w:sz w:val="24"/>
          <w:szCs w:val="24"/>
        </w:rPr>
        <w:t xml:space="preserve"> (все още </w:t>
      </w:r>
      <w:r>
        <w:rPr>
          <w:rFonts w:ascii="Times New Roman" w:eastAsia="Times New Roman" w:hAnsi="Times New Roman" w:cs="Times New Roman"/>
          <w:sz w:val="24"/>
          <w:szCs w:val="24"/>
        </w:rPr>
        <w:t>налагане на по-големи отстъпки</w:t>
      </w:r>
      <w:r w:rsidRPr="008C3960">
        <w:rPr>
          <w:rFonts w:ascii="Times New Roman" w:eastAsia="Times New Roman" w:hAnsi="Times New Roman" w:cs="Times New Roman"/>
          <w:sz w:val="24"/>
          <w:szCs w:val="24"/>
        </w:rPr>
        <w:t xml:space="preserve"> на доставчика чрез други средства</w:t>
      </w:r>
      <w:r w:rsidR="007234CE">
        <w:rPr>
          <w:rFonts w:ascii="Times New Roman" w:eastAsia="Times New Roman" w:hAnsi="Times New Roman" w:cs="Times New Roman"/>
          <w:sz w:val="24"/>
          <w:szCs w:val="24"/>
        </w:rPr>
        <w:t xml:space="preserve"> и др.</w:t>
      </w:r>
      <w:r w:rsidRPr="008C3960">
        <w:rPr>
          <w:rFonts w:ascii="Times New Roman" w:eastAsia="Times New Roman" w:hAnsi="Times New Roman" w:cs="Times New Roman"/>
          <w:sz w:val="24"/>
          <w:szCs w:val="24"/>
        </w:rPr>
        <w:t xml:space="preserve">). Рискът </w:t>
      </w:r>
      <w:r w:rsidRPr="005422F0">
        <w:rPr>
          <w:rFonts w:ascii="Times New Roman" w:eastAsia="Times New Roman" w:hAnsi="Times New Roman" w:cs="Times New Roman"/>
          <w:bCs/>
          <w:sz w:val="24"/>
          <w:szCs w:val="24"/>
        </w:rPr>
        <w:t xml:space="preserve">не е толкова сериозен, колкото при Вариант 1, </w:t>
      </w:r>
      <w:r w:rsidRPr="005422F0">
        <w:rPr>
          <w:rFonts w:ascii="Times New Roman" w:eastAsia="Times New Roman" w:hAnsi="Times New Roman" w:cs="Times New Roman"/>
          <w:sz w:val="24"/>
          <w:szCs w:val="24"/>
        </w:rPr>
        <w:t>тъй като тук неспазването носи правни</w:t>
      </w:r>
      <w:r w:rsidRPr="008C3960">
        <w:rPr>
          <w:rFonts w:ascii="Times New Roman" w:eastAsia="Times New Roman" w:hAnsi="Times New Roman" w:cs="Times New Roman"/>
          <w:sz w:val="24"/>
          <w:szCs w:val="24"/>
        </w:rPr>
        <w:t xml:space="preserve"> последици</w:t>
      </w:r>
      <w:r>
        <w:rPr>
          <w:rFonts w:ascii="Times New Roman" w:eastAsia="Times New Roman" w:hAnsi="Times New Roman" w:cs="Times New Roman"/>
          <w:sz w:val="24"/>
          <w:szCs w:val="24"/>
        </w:rPr>
        <w:t xml:space="preserve"> и положителни въздействия</w:t>
      </w:r>
      <w:r w:rsidRPr="008C3960">
        <w:rPr>
          <w:rFonts w:ascii="Times New Roman" w:eastAsia="Times New Roman" w:hAnsi="Times New Roman" w:cs="Times New Roman"/>
          <w:sz w:val="24"/>
          <w:szCs w:val="24"/>
        </w:rPr>
        <w:t>, но остава опасение</w:t>
      </w:r>
      <w:r>
        <w:rPr>
          <w:rFonts w:ascii="Times New Roman" w:eastAsia="Times New Roman" w:hAnsi="Times New Roman" w:cs="Times New Roman"/>
          <w:sz w:val="24"/>
          <w:szCs w:val="24"/>
        </w:rPr>
        <w:t>то</w:t>
      </w:r>
      <w:r w:rsidRPr="008C3960">
        <w:rPr>
          <w:rFonts w:ascii="Times New Roman" w:eastAsia="Times New Roman" w:hAnsi="Times New Roman" w:cs="Times New Roman"/>
          <w:sz w:val="24"/>
          <w:szCs w:val="24"/>
        </w:rPr>
        <w:t xml:space="preserve">, </w:t>
      </w:r>
      <w:r w:rsidRPr="005422F0">
        <w:rPr>
          <w:rFonts w:ascii="Times New Roman" w:eastAsia="Times New Roman" w:hAnsi="Times New Roman" w:cs="Times New Roman"/>
          <w:sz w:val="24"/>
          <w:szCs w:val="24"/>
        </w:rPr>
        <w:t xml:space="preserve">че </w:t>
      </w:r>
      <w:r w:rsidRPr="005422F0">
        <w:rPr>
          <w:rFonts w:ascii="Times New Roman" w:eastAsia="Times New Roman" w:hAnsi="Times New Roman" w:cs="Times New Roman"/>
          <w:bCs/>
          <w:sz w:val="24"/>
          <w:szCs w:val="24"/>
        </w:rPr>
        <w:t xml:space="preserve">законът може да не се спазва от всички оператори по веригата, освен ако не </w:t>
      </w:r>
      <w:r w:rsidR="007234CE">
        <w:rPr>
          <w:rFonts w:ascii="Times New Roman" w:eastAsia="Times New Roman" w:hAnsi="Times New Roman" w:cs="Times New Roman"/>
          <w:bCs/>
          <w:sz w:val="24"/>
          <w:szCs w:val="24"/>
        </w:rPr>
        <w:t>се осъществява надлежен държавен контрол</w:t>
      </w:r>
      <w:r w:rsidRPr="008C39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422F0">
        <w:rPr>
          <w:rFonts w:ascii="Times New Roman" w:eastAsia="Times New Roman" w:hAnsi="Times New Roman" w:cs="Times New Roman"/>
          <w:sz w:val="24"/>
          <w:szCs w:val="24"/>
        </w:rPr>
        <w:t>Оттук</w:t>
      </w:r>
      <w:r w:rsidR="00B877DF">
        <w:rPr>
          <w:rFonts w:ascii="Times New Roman" w:eastAsia="Times New Roman" w:hAnsi="Times New Roman" w:cs="Times New Roman"/>
          <w:sz w:val="24"/>
          <w:szCs w:val="24"/>
        </w:rPr>
        <w:t>,</w:t>
      </w:r>
      <w:r w:rsidRPr="005422F0">
        <w:rPr>
          <w:rFonts w:ascii="Times New Roman" w:eastAsia="Times New Roman" w:hAnsi="Times New Roman" w:cs="Times New Roman"/>
          <w:sz w:val="24"/>
          <w:szCs w:val="24"/>
        </w:rPr>
        <w:t xml:space="preserve"> </w:t>
      </w:r>
      <w:r w:rsidRPr="005422F0">
        <w:rPr>
          <w:rFonts w:ascii="Times New Roman" w:eastAsia="Times New Roman" w:hAnsi="Times New Roman" w:cs="Times New Roman"/>
          <w:bCs/>
          <w:sz w:val="24"/>
          <w:szCs w:val="24"/>
        </w:rPr>
        <w:t xml:space="preserve">рейтингът </w:t>
      </w:r>
      <w:r w:rsidR="006D13D2" w:rsidRPr="006D13D2">
        <w:rPr>
          <w:rFonts w:ascii="Times New Roman" w:eastAsia="Times New Roman" w:hAnsi="Times New Roman" w:cs="Times New Roman"/>
          <w:bCs/>
          <w:sz w:val="24"/>
          <w:szCs w:val="24"/>
        </w:rPr>
        <w:t xml:space="preserve">по тази категория </w:t>
      </w:r>
      <w:r w:rsidR="006D13D2">
        <w:rPr>
          <w:rFonts w:ascii="Times New Roman" w:eastAsia="Times New Roman" w:hAnsi="Times New Roman" w:cs="Times New Roman"/>
          <w:bCs/>
          <w:sz w:val="24"/>
          <w:szCs w:val="24"/>
        </w:rPr>
        <w:t xml:space="preserve">за варианта </w:t>
      </w:r>
      <w:r w:rsidR="006D13D2" w:rsidRPr="005422F0">
        <w:rPr>
          <w:rFonts w:ascii="Times New Roman" w:eastAsia="Times New Roman" w:hAnsi="Times New Roman" w:cs="Times New Roman"/>
          <w:bCs/>
          <w:sz w:val="24"/>
          <w:szCs w:val="24"/>
        </w:rPr>
        <w:t xml:space="preserve">може да се определи </w:t>
      </w:r>
      <w:r w:rsidR="006D13D2" w:rsidRPr="00A708FB">
        <w:rPr>
          <w:rFonts w:ascii="Times New Roman" w:eastAsia="Times New Roman" w:hAnsi="Times New Roman" w:cs="Times New Roman"/>
          <w:b/>
          <w:bCs/>
          <w:sz w:val="24"/>
          <w:szCs w:val="24"/>
        </w:rPr>
        <w:t xml:space="preserve">обща оценка на </w:t>
      </w:r>
      <w:r w:rsidRPr="00A708FB">
        <w:rPr>
          <w:rFonts w:ascii="Times New Roman" w:eastAsia="Times New Roman" w:hAnsi="Times New Roman" w:cs="Times New Roman"/>
          <w:b/>
          <w:bCs/>
          <w:sz w:val="24"/>
          <w:szCs w:val="24"/>
        </w:rPr>
        <w:t>риска</w:t>
      </w:r>
      <w:r w:rsidR="00A5236A">
        <w:rPr>
          <w:rFonts w:ascii="Times New Roman" w:eastAsia="Times New Roman" w:hAnsi="Times New Roman" w:cs="Times New Roman"/>
          <w:b/>
          <w:bCs/>
          <w:sz w:val="24"/>
          <w:szCs w:val="24"/>
        </w:rPr>
        <w:t xml:space="preserve"> </w:t>
      </w:r>
      <w:r w:rsidR="00A5236A" w:rsidRPr="005422F0">
        <w:rPr>
          <w:rFonts w:ascii="Times New Roman" w:eastAsia="Times New Roman" w:hAnsi="Times New Roman" w:cs="Times New Roman"/>
          <w:bCs/>
          <w:sz w:val="24"/>
          <w:szCs w:val="24"/>
        </w:rPr>
        <w:t>(3×3)</w:t>
      </w:r>
      <w:r w:rsidRPr="00A708FB">
        <w:rPr>
          <w:rFonts w:ascii="Times New Roman" w:eastAsia="Times New Roman" w:hAnsi="Times New Roman" w:cs="Times New Roman"/>
          <w:b/>
          <w:bCs/>
          <w:sz w:val="24"/>
          <w:szCs w:val="24"/>
        </w:rPr>
        <w:t xml:space="preserve"> </w:t>
      </w:r>
      <w:r w:rsidR="00A708FB" w:rsidRPr="00A708FB">
        <w:rPr>
          <w:rFonts w:ascii="Times New Roman" w:eastAsia="Times New Roman" w:hAnsi="Times New Roman" w:cs="Times New Roman"/>
          <w:b/>
          <w:sz w:val="24"/>
          <w:szCs w:val="24"/>
        </w:rPr>
        <w:t>=</w:t>
      </w:r>
      <w:r w:rsidRPr="00A708FB">
        <w:rPr>
          <w:rFonts w:ascii="Times New Roman" w:eastAsia="Times New Roman" w:hAnsi="Times New Roman" w:cs="Times New Roman"/>
          <w:b/>
          <w:bCs/>
          <w:sz w:val="24"/>
          <w:szCs w:val="24"/>
        </w:rPr>
        <w:t xml:space="preserve"> 9</w:t>
      </w:r>
      <w:r w:rsidRPr="005422F0">
        <w:rPr>
          <w:rFonts w:ascii="Times New Roman" w:eastAsia="Times New Roman" w:hAnsi="Times New Roman" w:cs="Times New Roman"/>
          <w:sz w:val="24"/>
          <w:szCs w:val="24"/>
        </w:rPr>
        <w:t>.</w:t>
      </w:r>
    </w:p>
    <w:p w14:paraId="6C61EFDB" w14:textId="77777777" w:rsidR="00B877DF" w:rsidRPr="005422F0" w:rsidRDefault="00B877DF" w:rsidP="00E16161">
      <w:pPr>
        <w:spacing w:after="0" w:line="240" w:lineRule="auto"/>
        <w:ind w:firstLine="567"/>
        <w:jc w:val="both"/>
        <w:rPr>
          <w:rFonts w:ascii="Times New Roman" w:eastAsia="Times New Roman" w:hAnsi="Times New Roman" w:cs="Times New Roman"/>
          <w:sz w:val="24"/>
          <w:szCs w:val="24"/>
        </w:rPr>
      </w:pPr>
    </w:p>
    <w:p w14:paraId="69318564" w14:textId="77777777" w:rsidR="00E16161" w:rsidRPr="00474BC5" w:rsidRDefault="00E16161" w:rsidP="00E16161">
      <w:pPr>
        <w:spacing w:after="0" w:line="240" w:lineRule="auto"/>
        <w:ind w:firstLine="567"/>
        <w:jc w:val="both"/>
        <w:rPr>
          <w:rFonts w:ascii="Times New Roman" w:eastAsia="Times New Roman" w:hAnsi="Times New Roman" w:cs="Times New Roman"/>
          <w:b/>
          <w:bCs/>
          <w:i/>
          <w:sz w:val="24"/>
          <w:szCs w:val="24"/>
        </w:rPr>
      </w:pPr>
      <w:r w:rsidRPr="006C58D7">
        <w:rPr>
          <w:rFonts w:ascii="Times New Roman" w:eastAsia="Times New Roman" w:hAnsi="Times New Roman" w:cs="Times New Roman"/>
          <w:b/>
          <w:bCs/>
          <w:i/>
          <w:sz w:val="24"/>
          <w:szCs w:val="24"/>
        </w:rPr>
        <w:t xml:space="preserve">Обобщение на оценката на риска </w:t>
      </w:r>
      <w:r>
        <w:rPr>
          <w:rFonts w:ascii="Times New Roman" w:eastAsia="Times New Roman" w:hAnsi="Times New Roman" w:cs="Times New Roman"/>
          <w:b/>
          <w:bCs/>
          <w:i/>
          <w:sz w:val="24"/>
          <w:szCs w:val="24"/>
        </w:rPr>
        <w:t>на</w:t>
      </w:r>
      <w:r w:rsidRPr="006C58D7">
        <w:rPr>
          <w:rFonts w:ascii="Times New Roman" w:eastAsia="Times New Roman" w:hAnsi="Times New Roman" w:cs="Times New Roman"/>
          <w:b/>
          <w:bCs/>
          <w:i/>
          <w:sz w:val="24"/>
          <w:szCs w:val="24"/>
        </w:rPr>
        <w:t xml:space="preserve"> Вариант </w:t>
      </w:r>
      <w:r>
        <w:rPr>
          <w:rFonts w:ascii="Times New Roman" w:eastAsia="Times New Roman" w:hAnsi="Times New Roman" w:cs="Times New Roman"/>
          <w:b/>
          <w:bCs/>
          <w:i/>
          <w:sz w:val="24"/>
          <w:szCs w:val="24"/>
        </w:rPr>
        <w:t>2</w:t>
      </w:r>
    </w:p>
    <w:p w14:paraId="2BD73B79" w14:textId="4BC4EC33" w:rsidR="00E16161" w:rsidRPr="00273BF2" w:rsidRDefault="00E16161" w:rsidP="00E16161">
      <w:pPr>
        <w:spacing w:after="0" w:line="240" w:lineRule="auto"/>
        <w:ind w:firstLine="567"/>
        <w:jc w:val="both"/>
        <w:rPr>
          <w:rFonts w:ascii="Times New Roman" w:eastAsia="Times New Roman" w:hAnsi="Times New Roman" w:cs="Times New Roman"/>
          <w:sz w:val="24"/>
          <w:szCs w:val="24"/>
        </w:rPr>
      </w:pPr>
      <w:r w:rsidRPr="008C3960">
        <w:rPr>
          <w:rFonts w:ascii="Times New Roman" w:eastAsia="Times New Roman" w:hAnsi="Times New Roman" w:cs="Times New Roman"/>
          <w:sz w:val="24"/>
          <w:szCs w:val="24"/>
        </w:rPr>
        <w:t xml:space="preserve">Този вариант представя </w:t>
      </w:r>
      <w:r w:rsidRPr="005422F0">
        <w:rPr>
          <w:rFonts w:ascii="Times New Roman" w:eastAsia="Times New Roman" w:hAnsi="Times New Roman" w:cs="Times New Roman"/>
          <w:bCs/>
          <w:sz w:val="24"/>
          <w:szCs w:val="24"/>
        </w:rPr>
        <w:t>балансиран подход с относително ниски рискове</w:t>
      </w:r>
      <w:r w:rsidRPr="005422F0">
        <w:rPr>
          <w:rFonts w:ascii="Times New Roman" w:eastAsia="Times New Roman" w:hAnsi="Times New Roman" w:cs="Times New Roman"/>
          <w:sz w:val="24"/>
          <w:szCs w:val="24"/>
        </w:rPr>
        <w:t xml:space="preserve">. Административната тежест и </w:t>
      </w:r>
      <w:r w:rsidR="00A708FB">
        <w:rPr>
          <w:rFonts w:ascii="Times New Roman" w:eastAsia="Times New Roman" w:hAnsi="Times New Roman" w:cs="Times New Roman"/>
          <w:sz w:val="24"/>
          <w:szCs w:val="24"/>
        </w:rPr>
        <w:t>бремето за постигане</w:t>
      </w:r>
      <w:r w:rsidRPr="005422F0">
        <w:rPr>
          <w:rFonts w:ascii="Times New Roman" w:eastAsia="Times New Roman" w:hAnsi="Times New Roman" w:cs="Times New Roman"/>
          <w:sz w:val="24"/>
          <w:szCs w:val="24"/>
        </w:rPr>
        <w:t xml:space="preserve"> </w:t>
      </w:r>
      <w:r w:rsidR="001C549F">
        <w:rPr>
          <w:rFonts w:ascii="Times New Roman" w:eastAsia="Times New Roman" w:hAnsi="Times New Roman" w:cs="Times New Roman"/>
          <w:sz w:val="24"/>
          <w:szCs w:val="24"/>
        </w:rPr>
        <w:t xml:space="preserve">на </w:t>
      </w:r>
      <w:r w:rsidRPr="005422F0">
        <w:rPr>
          <w:rFonts w:ascii="Times New Roman" w:eastAsia="Times New Roman" w:hAnsi="Times New Roman" w:cs="Times New Roman"/>
          <w:sz w:val="24"/>
          <w:szCs w:val="24"/>
        </w:rPr>
        <w:t>съответствие</w:t>
      </w:r>
      <w:r w:rsidR="00A708FB">
        <w:rPr>
          <w:rFonts w:ascii="Times New Roman" w:eastAsia="Times New Roman" w:hAnsi="Times New Roman" w:cs="Times New Roman"/>
          <w:sz w:val="24"/>
          <w:szCs w:val="24"/>
        </w:rPr>
        <w:t xml:space="preserve"> (спазване) са</w:t>
      </w:r>
      <w:r w:rsidR="001C549F">
        <w:rPr>
          <w:rFonts w:ascii="Times New Roman" w:eastAsia="Times New Roman" w:hAnsi="Times New Roman" w:cs="Times New Roman"/>
          <w:sz w:val="24"/>
          <w:szCs w:val="24"/>
        </w:rPr>
        <w:t xml:space="preserve"> незначителни</w:t>
      </w:r>
      <w:r w:rsidR="00B83A67">
        <w:rPr>
          <w:rFonts w:ascii="Times New Roman" w:eastAsia="Times New Roman" w:hAnsi="Times New Roman" w:cs="Times New Roman"/>
          <w:sz w:val="24"/>
          <w:szCs w:val="24"/>
        </w:rPr>
        <w:t xml:space="preserve">. </w:t>
      </w:r>
      <w:r w:rsidR="00A708FB">
        <w:rPr>
          <w:rFonts w:ascii="Times New Roman" w:eastAsia="Times New Roman" w:hAnsi="Times New Roman" w:cs="Times New Roman"/>
          <w:sz w:val="24"/>
          <w:szCs w:val="24"/>
        </w:rPr>
        <w:t>Пр</w:t>
      </w:r>
      <w:r w:rsidRPr="005422F0">
        <w:rPr>
          <w:rFonts w:ascii="Times New Roman" w:eastAsia="Times New Roman" w:hAnsi="Times New Roman" w:cs="Times New Roman"/>
          <w:sz w:val="24"/>
          <w:szCs w:val="24"/>
        </w:rPr>
        <w:t>и</w:t>
      </w:r>
      <w:r w:rsidR="00A708FB">
        <w:rPr>
          <w:rFonts w:ascii="Times New Roman" w:eastAsia="Times New Roman" w:hAnsi="Times New Roman" w:cs="Times New Roman"/>
          <w:sz w:val="24"/>
          <w:szCs w:val="24"/>
        </w:rPr>
        <w:t xml:space="preserve"> него</w:t>
      </w:r>
      <w:r w:rsidRPr="005422F0">
        <w:rPr>
          <w:rFonts w:ascii="Times New Roman" w:eastAsia="Times New Roman" w:hAnsi="Times New Roman" w:cs="Times New Roman"/>
          <w:sz w:val="24"/>
          <w:szCs w:val="24"/>
        </w:rPr>
        <w:t xml:space="preserve"> се избягват тежки намеси, които биха могли да имат обратен</w:t>
      </w:r>
      <w:r w:rsidRPr="008C3960">
        <w:rPr>
          <w:rFonts w:ascii="Times New Roman" w:eastAsia="Times New Roman" w:hAnsi="Times New Roman" w:cs="Times New Roman"/>
          <w:sz w:val="24"/>
          <w:szCs w:val="24"/>
        </w:rPr>
        <w:t xml:space="preserve"> ефект от икономическа гледна точка. </w:t>
      </w:r>
      <w:r w:rsidRPr="005422F0">
        <w:rPr>
          <w:rFonts w:ascii="Times New Roman" w:eastAsia="Times New Roman" w:hAnsi="Times New Roman" w:cs="Times New Roman"/>
          <w:sz w:val="24"/>
          <w:szCs w:val="24"/>
        </w:rPr>
        <w:t xml:space="preserve">Основният недостатък е </w:t>
      </w:r>
      <w:r w:rsidRPr="005422F0">
        <w:rPr>
          <w:rFonts w:ascii="Times New Roman" w:eastAsia="Times New Roman" w:hAnsi="Times New Roman" w:cs="Times New Roman"/>
          <w:bCs/>
          <w:sz w:val="24"/>
          <w:szCs w:val="24"/>
        </w:rPr>
        <w:t xml:space="preserve">рискът от недостатъчно прилагане </w:t>
      </w:r>
      <w:r w:rsidRPr="005422F0">
        <w:rPr>
          <w:rFonts w:ascii="Times New Roman" w:eastAsia="Times New Roman" w:hAnsi="Times New Roman" w:cs="Times New Roman"/>
          <w:sz w:val="24"/>
          <w:szCs w:val="24"/>
        </w:rPr>
        <w:t>– т.е. законът съществува, но не се прилага напълно на практика, което би притъпило икономическите ползи от него.</w:t>
      </w:r>
      <w:r w:rsidRPr="008C3960">
        <w:rPr>
          <w:rFonts w:ascii="Times New Roman" w:eastAsia="Times New Roman" w:hAnsi="Times New Roman" w:cs="Times New Roman"/>
          <w:sz w:val="24"/>
          <w:szCs w:val="24"/>
        </w:rPr>
        <w:t xml:space="preserve"> В </w:t>
      </w:r>
      <w:r w:rsidRPr="00273BF2">
        <w:rPr>
          <w:rFonts w:ascii="Times New Roman" w:eastAsia="Times New Roman" w:hAnsi="Times New Roman" w:cs="Times New Roman"/>
          <w:sz w:val="24"/>
          <w:szCs w:val="24"/>
        </w:rPr>
        <w:t xml:space="preserve">сравнение с другите варианти, Вариант 2 има </w:t>
      </w:r>
      <w:r w:rsidRPr="00273BF2">
        <w:rPr>
          <w:rFonts w:ascii="Times New Roman" w:eastAsia="Times New Roman" w:hAnsi="Times New Roman" w:cs="Times New Roman"/>
          <w:bCs/>
          <w:sz w:val="24"/>
          <w:szCs w:val="24"/>
        </w:rPr>
        <w:t xml:space="preserve">най-ниските оценки на риска в повечето категории </w:t>
      </w:r>
      <w:r w:rsidRPr="00273BF2">
        <w:rPr>
          <w:rFonts w:ascii="Times New Roman" w:eastAsia="Times New Roman" w:hAnsi="Times New Roman" w:cs="Times New Roman"/>
          <w:sz w:val="24"/>
          <w:szCs w:val="24"/>
        </w:rPr>
        <w:t xml:space="preserve">(той е най-малко рисков по отношение на разходите и изкривяванията и не застрашава МСП). Единственият </w:t>
      </w:r>
      <w:r w:rsidRPr="00273BF2">
        <w:rPr>
          <w:rFonts w:ascii="Times New Roman" w:eastAsia="Times New Roman" w:hAnsi="Times New Roman" w:cs="Times New Roman"/>
          <w:bCs/>
          <w:sz w:val="24"/>
          <w:szCs w:val="24"/>
        </w:rPr>
        <w:t>голям риск</w:t>
      </w:r>
      <w:r w:rsidR="00A708FB">
        <w:rPr>
          <w:rFonts w:ascii="Times New Roman" w:eastAsia="Times New Roman" w:hAnsi="Times New Roman" w:cs="Times New Roman"/>
          <w:bCs/>
          <w:sz w:val="24"/>
          <w:szCs w:val="24"/>
        </w:rPr>
        <w:t>, свързан с него,</w:t>
      </w:r>
      <w:r w:rsidRPr="00273BF2">
        <w:rPr>
          <w:rFonts w:ascii="Times New Roman" w:eastAsia="Times New Roman" w:hAnsi="Times New Roman" w:cs="Times New Roman"/>
          <w:bCs/>
          <w:sz w:val="24"/>
          <w:szCs w:val="24"/>
        </w:rPr>
        <w:t xml:space="preserve"> </w:t>
      </w:r>
      <w:r w:rsidRPr="00273BF2">
        <w:rPr>
          <w:rFonts w:ascii="Times New Roman" w:eastAsia="Times New Roman" w:hAnsi="Times New Roman" w:cs="Times New Roman"/>
          <w:sz w:val="24"/>
          <w:szCs w:val="24"/>
        </w:rPr>
        <w:t>е да се гарантира, че той действително работи</w:t>
      </w:r>
      <w:r w:rsidR="007234CE">
        <w:rPr>
          <w:rFonts w:ascii="Times New Roman" w:eastAsia="Times New Roman" w:hAnsi="Times New Roman" w:cs="Times New Roman"/>
          <w:sz w:val="24"/>
          <w:szCs w:val="24"/>
        </w:rPr>
        <w:t>, което по същество представлява</w:t>
      </w:r>
      <w:r w:rsidRPr="00273BF2">
        <w:rPr>
          <w:rFonts w:ascii="Times New Roman" w:eastAsia="Times New Roman" w:hAnsi="Times New Roman" w:cs="Times New Roman"/>
          <w:sz w:val="24"/>
          <w:szCs w:val="24"/>
        </w:rPr>
        <w:t xml:space="preserve"> предизвикателство </w:t>
      </w:r>
      <w:r w:rsidR="00A708FB">
        <w:rPr>
          <w:rFonts w:ascii="Times New Roman" w:eastAsia="Times New Roman" w:hAnsi="Times New Roman" w:cs="Times New Roman"/>
          <w:sz w:val="24"/>
          <w:szCs w:val="24"/>
        </w:rPr>
        <w:t>от гледна точка</w:t>
      </w:r>
      <w:r w:rsidRPr="00273BF2">
        <w:rPr>
          <w:rFonts w:ascii="Times New Roman" w:eastAsia="Times New Roman" w:hAnsi="Times New Roman" w:cs="Times New Roman"/>
          <w:sz w:val="24"/>
          <w:szCs w:val="24"/>
        </w:rPr>
        <w:t xml:space="preserve"> </w:t>
      </w:r>
      <w:r w:rsidR="00A708FB">
        <w:rPr>
          <w:rFonts w:ascii="Times New Roman" w:eastAsia="Times New Roman" w:hAnsi="Times New Roman" w:cs="Times New Roman"/>
          <w:sz w:val="24"/>
          <w:szCs w:val="24"/>
        </w:rPr>
        <w:t xml:space="preserve">на </w:t>
      </w:r>
      <w:r w:rsidR="007234CE" w:rsidRPr="00273BF2">
        <w:rPr>
          <w:rFonts w:ascii="Times New Roman" w:eastAsia="Times New Roman" w:hAnsi="Times New Roman" w:cs="Times New Roman"/>
          <w:sz w:val="24"/>
          <w:szCs w:val="24"/>
        </w:rPr>
        <w:t>институционал</w:t>
      </w:r>
      <w:r w:rsidR="007234CE">
        <w:rPr>
          <w:rFonts w:ascii="Times New Roman" w:eastAsia="Times New Roman" w:hAnsi="Times New Roman" w:cs="Times New Roman"/>
          <w:sz w:val="24"/>
          <w:szCs w:val="24"/>
        </w:rPr>
        <w:t>ния</w:t>
      </w:r>
      <w:r w:rsidR="007234CE" w:rsidRPr="00273BF2">
        <w:rPr>
          <w:rFonts w:ascii="Times New Roman" w:eastAsia="Times New Roman" w:hAnsi="Times New Roman" w:cs="Times New Roman"/>
          <w:sz w:val="24"/>
          <w:szCs w:val="24"/>
        </w:rPr>
        <w:t xml:space="preserve"> </w:t>
      </w:r>
      <w:r w:rsidRPr="00273BF2">
        <w:rPr>
          <w:rFonts w:ascii="Times New Roman" w:eastAsia="Times New Roman" w:hAnsi="Times New Roman" w:cs="Times New Roman"/>
          <w:sz w:val="24"/>
          <w:szCs w:val="24"/>
        </w:rPr>
        <w:t>капацитет. Ако тези рискове от правоприлагането могат да бъдат смекчени, Вариант 2 вероятно ще доведе до нетен положителен резултат с минимални странични ефекти.</w:t>
      </w:r>
      <w:r>
        <w:rPr>
          <w:rFonts w:ascii="Times New Roman" w:eastAsia="Times New Roman" w:hAnsi="Times New Roman" w:cs="Times New Roman"/>
          <w:sz w:val="24"/>
          <w:szCs w:val="24"/>
        </w:rPr>
        <w:t xml:space="preserve"> (Вж. Фигура 5</w:t>
      </w:r>
      <w:r w:rsidRPr="00273BF2">
        <w:rPr>
          <w:rFonts w:ascii="Times New Roman" w:eastAsia="Times New Roman" w:hAnsi="Times New Roman" w:cs="Times New Roman"/>
          <w:sz w:val="24"/>
          <w:szCs w:val="24"/>
        </w:rPr>
        <w:t>)</w:t>
      </w:r>
      <w:r w:rsidR="00A708FB">
        <w:rPr>
          <w:rFonts w:ascii="Times New Roman" w:eastAsia="Times New Roman" w:hAnsi="Times New Roman" w:cs="Times New Roman"/>
          <w:sz w:val="24"/>
          <w:szCs w:val="24"/>
        </w:rPr>
        <w:t>.</w:t>
      </w:r>
    </w:p>
    <w:p w14:paraId="7B116B3E" w14:textId="77777777" w:rsidR="00E16161" w:rsidRPr="00446E91" w:rsidRDefault="00E16161" w:rsidP="00E16161">
      <w:pPr>
        <w:spacing w:after="0" w:line="240" w:lineRule="auto"/>
        <w:ind w:firstLine="567"/>
        <w:jc w:val="both"/>
        <w:rPr>
          <w:rFonts w:ascii="Times New Roman" w:eastAsia="Times New Roman" w:hAnsi="Times New Roman" w:cs="Times New Roman"/>
          <w:sz w:val="24"/>
          <w:szCs w:val="24"/>
        </w:rPr>
      </w:pPr>
    </w:p>
    <w:p w14:paraId="664C2501" w14:textId="77777777" w:rsidR="00E16161" w:rsidRPr="008C3960" w:rsidRDefault="00E16161" w:rsidP="00E16161">
      <w:pPr>
        <w:spacing w:after="0" w:line="240" w:lineRule="auto"/>
        <w:ind w:firstLine="567"/>
        <w:jc w:val="both"/>
        <w:rPr>
          <w:rFonts w:ascii="Times New Roman" w:eastAsia="Times New Roman" w:hAnsi="Times New Roman" w:cs="Times New Roman"/>
          <w:sz w:val="24"/>
          <w:szCs w:val="24"/>
        </w:rPr>
      </w:pPr>
      <w:r>
        <w:rPr>
          <w:noProof/>
          <w:lang w:val="en-US"/>
        </w:rPr>
        <w:drawing>
          <wp:inline distT="0" distB="0" distL="0" distR="0" wp14:anchorId="7581C5C9" wp14:editId="0E8DB505">
            <wp:extent cx="5943600" cy="2743200"/>
            <wp:effectExtent l="0" t="0" r="0" b="0"/>
            <wp:docPr id="5" name="Chart 5">
              <a:extLst xmlns:a="http://schemas.openxmlformats.org/drawingml/2006/main">
                <a:ext uri="{FF2B5EF4-FFF2-40B4-BE49-F238E27FC236}">
                  <a16:creationId xmlns:a16="http://schemas.microsoft.com/office/drawing/2014/main" id="{06410CB0-AFD5-4611-A77C-38C658F8E19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Chart 5">
                      <a:extLst>
                        <a:ext uri="{FF2B5EF4-FFF2-40B4-BE49-F238E27FC236}">
                          <a16:creationId xmlns:a16="http://schemas.microsoft.com/office/drawing/2014/main" id="{06410CB0-AFD5-4611-A77C-38C658F8E197}"/>
                        </a:ext>
                      </a:extLst>
                    </pic:cNvPr>
                    <pic:cNvPicPr>
                      <a:picLocks noGrp="1" noRot="1" noChangeAspect="1" noMove="1" noResize="1" noEditPoints="1" noAdjustHandles="1" noChangeArrowheads="1" noChangeShapeType="1"/>
                    </pic:cNvPicPr>
                  </pic:nvPicPr>
                  <pic:blipFill>
                    <a:blip r:embed="rId19"/>
                    <a:stretch>
                      <a:fillRect/>
                    </a:stretch>
                  </pic:blipFill>
                  <pic:spPr>
                    <a:xfrm>
                      <a:off x="0" y="0"/>
                      <a:ext cx="5943600" cy="2743200"/>
                    </a:xfrm>
                    <a:prstGeom prst="rect">
                      <a:avLst/>
                    </a:prstGeom>
                  </pic:spPr>
                </pic:pic>
              </a:graphicData>
            </a:graphic>
          </wp:inline>
        </w:drawing>
      </w:r>
    </w:p>
    <w:p w14:paraId="12347E65" w14:textId="65FE7CC8" w:rsidR="00E16161" w:rsidRPr="008C3960" w:rsidRDefault="00E16161" w:rsidP="00E16161">
      <w:pPr>
        <w:spacing w:after="0" w:line="240" w:lineRule="auto"/>
        <w:ind w:firstLine="567"/>
        <w:jc w:val="both"/>
        <w:rPr>
          <w:rFonts w:ascii="Times New Roman" w:eastAsia="Times New Roman" w:hAnsi="Times New Roman" w:cs="Times New Roman"/>
          <w:sz w:val="24"/>
          <w:szCs w:val="24"/>
        </w:rPr>
      </w:pPr>
      <w:r w:rsidRPr="001A73EC">
        <w:rPr>
          <w:rFonts w:ascii="Times New Roman" w:eastAsia="Times New Roman" w:hAnsi="Times New Roman" w:cs="Times New Roman"/>
          <w:b/>
          <w:sz w:val="24"/>
          <w:szCs w:val="24"/>
        </w:rPr>
        <w:t xml:space="preserve">Фигура </w:t>
      </w:r>
      <w:r>
        <w:rPr>
          <w:rFonts w:ascii="Times New Roman" w:eastAsia="Times New Roman" w:hAnsi="Times New Roman" w:cs="Times New Roman"/>
          <w:b/>
          <w:sz w:val="24"/>
          <w:szCs w:val="24"/>
        </w:rPr>
        <w:t>5</w:t>
      </w:r>
      <w:r w:rsidRPr="001A73EC">
        <w:rPr>
          <w:rFonts w:ascii="Times New Roman" w:eastAsia="Times New Roman" w:hAnsi="Times New Roman" w:cs="Times New Roman"/>
          <w:b/>
          <w:i/>
          <w:iCs/>
          <w:sz w:val="24"/>
          <w:szCs w:val="24"/>
        </w:rPr>
        <w:t>.</w:t>
      </w:r>
      <w:r w:rsidRPr="001A73EC">
        <w:rPr>
          <w:rFonts w:ascii="Times New Roman" w:eastAsia="Times New Roman" w:hAnsi="Times New Roman" w:cs="Times New Roman"/>
          <w:b/>
          <w:iCs/>
          <w:sz w:val="24"/>
          <w:szCs w:val="24"/>
        </w:rPr>
        <w:t xml:space="preserve"> Вариант 2 – Оценка на риска по категории</w:t>
      </w:r>
      <w:r w:rsidRPr="005422F0">
        <w:rPr>
          <w:rFonts w:ascii="Times New Roman" w:eastAsia="Times New Roman" w:hAnsi="Times New Roman" w:cs="Times New Roman"/>
          <w:iCs/>
          <w:sz w:val="24"/>
          <w:szCs w:val="24"/>
        </w:rPr>
        <w:t>: административни разходи</w:t>
      </w:r>
      <w:r>
        <w:rPr>
          <w:rFonts w:ascii="Times New Roman" w:eastAsia="Times New Roman" w:hAnsi="Times New Roman" w:cs="Times New Roman"/>
          <w:iCs/>
          <w:sz w:val="24"/>
          <w:szCs w:val="24"/>
        </w:rPr>
        <w:t xml:space="preserve"> -</w:t>
      </w:r>
      <w:r w:rsidRPr="005422F0">
        <w:rPr>
          <w:rFonts w:ascii="Times New Roman" w:eastAsia="Times New Roman" w:hAnsi="Times New Roman" w:cs="Times New Roman"/>
          <w:iCs/>
          <w:sz w:val="24"/>
          <w:szCs w:val="24"/>
        </w:rPr>
        <w:t xml:space="preserve"> 6; въздействие на МСП</w:t>
      </w:r>
      <w:r>
        <w:rPr>
          <w:rFonts w:ascii="Times New Roman" w:eastAsia="Times New Roman" w:hAnsi="Times New Roman" w:cs="Times New Roman"/>
          <w:iCs/>
          <w:sz w:val="24"/>
          <w:szCs w:val="24"/>
        </w:rPr>
        <w:t xml:space="preserve"> -</w:t>
      </w:r>
      <w:r w:rsidRPr="005422F0">
        <w:rPr>
          <w:rFonts w:ascii="Times New Roman" w:eastAsia="Times New Roman" w:hAnsi="Times New Roman" w:cs="Times New Roman"/>
          <w:iCs/>
          <w:sz w:val="24"/>
          <w:szCs w:val="24"/>
        </w:rPr>
        <w:t xml:space="preserve"> 4; изкривяване на пазара</w:t>
      </w:r>
      <w:r>
        <w:rPr>
          <w:rFonts w:ascii="Times New Roman" w:eastAsia="Times New Roman" w:hAnsi="Times New Roman" w:cs="Times New Roman"/>
          <w:iCs/>
          <w:sz w:val="24"/>
          <w:szCs w:val="24"/>
        </w:rPr>
        <w:t xml:space="preserve"> -</w:t>
      </w:r>
      <w:r w:rsidRPr="005422F0">
        <w:rPr>
          <w:rFonts w:ascii="Times New Roman" w:eastAsia="Times New Roman" w:hAnsi="Times New Roman" w:cs="Times New Roman"/>
          <w:iCs/>
          <w:sz w:val="24"/>
          <w:szCs w:val="24"/>
        </w:rPr>
        <w:t xml:space="preserve"> 2; неуспех на правоприлагането </w:t>
      </w:r>
      <w:r>
        <w:rPr>
          <w:rFonts w:ascii="Times New Roman" w:eastAsia="Times New Roman" w:hAnsi="Times New Roman" w:cs="Times New Roman"/>
          <w:iCs/>
          <w:sz w:val="24"/>
          <w:szCs w:val="24"/>
        </w:rPr>
        <w:t xml:space="preserve">- </w:t>
      </w:r>
      <w:r w:rsidRPr="005422F0">
        <w:rPr>
          <w:rFonts w:ascii="Times New Roman" w:eastAsia="Times New Roman" w:hAnsi="Times New Roman" w:cs="Times New Roman"/>
          <w:iCs/>
          <w:sz w:val="24"/>
          <w:szCs w:val="24"/>
        </w:rPr>
        <w:t xml:space="preserve">16; ниско съответствие </w:t>
      </w:r>
      <w:r>
        <w:rPr>
          <w:rFonts w:ascii="Times New Roman" w:eastAsia="Times New Roman" w:hAnsi="Times New Roman" w:cs="Times New Roman"/>
          <w:iCs/>
          <w:sz w:val="24"/>
          <w:szCs w:val="24"/>
        </w:rPr>
        <w:t xml:space="preserve">- </w:t>
      </w:r>
      <w:r w:rsidRPr="005422F0">
        <w:rPr>
          <w:rFonts w:ascii="Times New Roman" w:eastAsia="Times New Roman" w:hAnsi="Times New Roman" w:cs="Times New Roman"/>
          <w:iCs/>
          <w:sz w:val="24"/>
          <w:szCs w:val="24"/>
        </w:rPr>
        <w:t>9.</w:t>
      </w:r>
    </w:p>
    <w:p w14:paraId="02E192CE" w14:textId="77777777" w:rsidR="00E16161" w:rsidRDefault="00E16161" w:rsidP="00E16161">
      <w:pPr>
        <w:spacing w:after="0" w:line="240" w:lineRule="auto"/>
        <w:ind w:firstLine="567"/>
        <w:jc w:val="both"/>
        <w:rPr>
          <w:rFonts w:ascii="Times New Roman" w:eastAsia="Times New Roman" w:hAnsi="Times New Roman" w:cs="Times New Roman"/>
          <w:b/>
          <w:bCs/>
          <w:sz w:val="24"/>
          <w:szCs w:val="24"/>
        </w:rPr>
      </w:pPr>
    </w:p>
    <w:p w14:paraId="22C99F76" w14:textId="77777777" w:rsidR="00E16161" w:rsidRDefault="00E16161" w:rsidP="00E16161">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lastRenderedPageBreak/>
        <w:t>Оценка на риска на</w:t>
      </w:r>
      <w:r w:rsidRPr="00064F5C">
        <w:rPr>
          <w:rFonts w:ascii="Times New Roman" w:eastAsia="Times New Roman" w:hAnsi="Times New Roman" w:cs="Times New Roman"/>
          <w:b/>
          <w:bCs/>
          <w:sz w:val="24"/>
          <w:szCs w:val="24"/>
        </w:rPr>
        <w:t xml:space="preserve"> Вариант 3: „Регулаторен – изцяло нов специален закон“</w:t>
      </w:r>
    </w:p>
    <w:p w14:paraId="2BF7354E" w14:textId="454C2447" w:rsidR="00E16161" w:rsidRPr="00273BF2" w:rsidRDefault="00E16161" w:rsidP="00E16161">
      <w:pPr>
        <w:spacing w:after="0" w:line="240" w:lineRule="auto"/>
        <w:ind w:firstLine="567"/>
        <w:jc w:val="both"/>
        <w:rPr>
          <w:rFonts w:ascii="Times New Roman" w:eastAsia="Times New Roman" w:hAnsi="Times New Roman" w:cs="Times New Roman"/>
          <w:sz w:val="24"/>
          <w:szCs w:val="24"/>
        </w:rPr>
      </w:pPr>
      <w:r w:rsidRPr="00273BF2">
        <w:rPr>
          <w:rFonts w:ascii="Times New Roman" w:eastAsia="Times New Roman" w:hAnsi="Times New Roman" w:cs="Times New Roman"/>
          <w:sz w:val="24"/>
          <w:szCs w:val="24"/>
        </w:rPr>
        <w:t xml:space="preserve">Вариант 3 включва приемането на </w:t>
      </w:r>
      <w:r w:rsidRPr="00273BF2">
        <w:rPr>
          <w:rFonts w:ascii="Times New Roman" w:eastAsia="Times New Roman" w:hAnsi="Times New Roman" w:cs="Times New Roman"/>
          <w:bCs/>
          <w:sz w:val="24"/>
          <w:szCs w:val="24"/>
        </w:rPr>
        <w:t xml:space="preserve">нов закон, </w:t>
      </w:r>
      <w:r w:rsidRPr="00273BF2">
        <w:rPr>
          <w:rFonts w:ascii="Times New Roman" w:eastAsia="Times New Roman" w:hAnsi="Times New Roman" w:cs="Times New Roman"/>
          <w:sz w:val="24"/>
          <w:szCs w:val="24"/>
        </w:rPr>
        <w:t xml:space="preserve">който </w:t>
      </w:r>
      <w:r w:rsidR="00A708FB">
        <w:rPr>
          <w:rFonts w:ascii="Times New Roman" w:eastAsia="Times New Roman" w:hAnsi="Times New Roman" w:cs="Times New Roman"/>
          <w:sz w:val="24"/>
          <w:szCs w:val="24"/>
        </w:rPr>
        <w:t>целенасочено</w:t>
      </w:r>
      <w:r w:rsidRPr="00273BF2">
        <w:rPr>
          <w:rFonts w:ascii="Times New Roman" w:eastAsia="Times New Roman" w:hAnsi="Times New Roman" w:cs="Times New Roman"/>
          <w:sz w:val="24"/>
          <w:szCs w:val="24"/>
        </w:rPr>
        <w:t xml:space="preserve"> урежда</w:t>
      </w:r>
      <w:r>
        <w:rPr>
          <w:rFonts w:ascii="Times New Roman" w:eastAsia="Times New Roman" w:hAnsi="Times New Roman" w:cs="Times New Roman"/>
          <w:sz w:val="24"/>
          <w:szCs w:val="24"/>
        </w:rPr>
        <w:t xml:space="preserve"> отношенията по</w:t>
      </w:r>
      <w:r w:rsidRPr="00273BF2">
        <w:rPr>
          <w:rFonts w:ascii="Times New Roman" w:eastAsia="Times New Roman" w:hAnsi="Times New Roman" w:cs="Times New Roman"/>
          <w:sz w:val="24"/>
          <w:szCs w:val="24"/>
        </w:rPr>
        <w:t xml:space="preserve"> веригата </w:t>
      </w:r>
      <w:r>
        <w:rPr>
          <w:rFonts w:ascii="Times New Roman" w:eastAsia="Times New Roman" w:hAnsi="Times New Roman" w:cs="Times New Roman"/>
          <w:sz w:val="24"/>
          <w:szCs w:val="24"/>
        </w:rPr>
        <w:t>на доставки на земеделски</w:t>
      </w:r>
      <w:r w:rsidRPr="00273BF2">
        <w:rPr>
          <w:rFonts w:ascii="Times New Roman" w:eastAsia="Times New Roman" w:hAnsi="Times New Roman" w:cs="Times New Roman"/>
          <w:sz w:val="24"/>
          <w:szCs w:val="24"/>
        </w:rPr>
        <w:t xml:space="preserve"> </w:t>
      </w:r>
      <w:r w:rsidR="00A708FB">
        <w:rPr>
          <w:rFonts w:ascii="Times New Roman" w:eastAsia="Times New Roman" w:hAnsi="Times New Roman" w:cs="Times New Roman"/>
          <w:sz w:val="24"/>
          <w:szCs w:val="24"/>
        </w:rPr>
        <w:t>продукти</w:t>
      </w:r>
      <w:r w:rsidR="00A708FB" w:rsidRPr="00273BF2">
        <w:rPr>
          <w:rFonts w:ascii="Times New Roman" w:eastAsia="Times New Roman" w:hAnsi="Times New Roman" w:cs="Times New Roman"/>
          <w:sz w:val="24"/>
          <w:szCs w:val="24"/>
        </w:rPr>
        <w:t xml:space="preserve"> </w:t>
      </w:r>
      <w:r w:rsidRPr="00273BF2">
        <w:rPr>
          <w:rFonts w:ascii="Times New Roman" w:eastAsia="Times New Roman" w:hAnsi="Times New Roman" w:cs="Times New Roman"/>
          <w:sz w:val="24"/>
          <w:szCs w:val="24"/>
        </w:rPr>
        <w:t xml:space="preserve">и храни. Този закон  би въвел нови и </w:t>
      </w:r>
      <w:r w:rsidR="00A708FB">
        <w:rPr>
          <w:rFonts w:ascii="Times New Roman" w:eastAsia="Times New Roman" w:hAnsi="Times New Roman" w:cs="Times New Roman"/>
          <w:sz w:val="24"/>
          <w:szCs w:val="24"/>
        </w:rPr>
        <w:t xml:space="preserve">конкретни </w:t>
      </w:r>
      <w:r w:rsidRPr="00273BF2">
        <w:rPr>
          <w:rFonts w:ascii="Times New Roman" w:eastAsia="Times New Roman" w:hAnsi="Times New Roman" w:cs="Times New Roman"/>
          <w:sz w:val="24"/>
          <w:szCs w:val="24"/>
        </w:rPr>
        <w:t>регулации</w:t>
      </w:r>
      <w:r w:rsidR="007234CE">
        <w:rPr>
          <w:rFonts w:ascii="Times New Roman" w:eastAsia="Times New Roman" w:hAnsi="Times New Roman" w:cs="Times New Roman"/>
          <w:sz w:val="24"/>
          <w:szCs w:val="24"/>
        </w:rPr>
        <w:t>,</w:t>
      </w:r>
      <w:r w:rsidRPr="00273BF2">
        <w:rPr>
          <w:rFonts w:ascii="Times New Roman" w:eastAsia="Times New Roman" w:hAnsi="Times New Roman" w:cs="Times New Roman"/>
          <w:sz w:val="24"/>
          <w:szCs w:val="24"/>
        </w:rPr>
        <w:t xml:space="preserve"> като задължителни писмени договори за всички продажби на земеделска продукция, създаване на електронни регистри за купувачи и договори, забрани за определени търговски практики</w:t>
      </w:r>
      <w:r w:rsidR="007234CE">
        <w:rPr>
          <w:rFonts w:ascii="Times New Roman" w:eastAsia="Times New Roman" w:hAnsi="Times New Roman" w:cs="Times New Roman"/>
          <w:sz w:val="24"/>
          <w:szCs w:val="24"/>
        </w:rPr>
        <w:t xml:space="preserve"> и др</w:t>
      </w:r>
      <w:r w:rsidRPr="00273BF2">
        <w:rPr>
          <w:rFonts w:ascii="Times New Roman" w:eastAsia="Times New Roman" w:hAnsi="Times New Roman" w:cs="Times New Roman"/>
          <w:sz w:val="24"/>
          <w:szCs w:val="24"/>
        </w:rPr>
        <w:t xml:space="preserve">. Тъй като това е най-инвазивният и целенасочен вариант, той носи </w:t>
      </w:r>
      <w:r w:rsidRPr="00273BF2">
        <w:rPr>
          <w:rFonts w:ascii="Times New Roman" w:eastAsia="Times New Roman" w:hAnsi="Times New Roman" w:cs="Times New Roman"/>
          <w:bCs/>
          <w:sz w:val="24"/>
          <w:szCs w:val="24"/>
        </w:rPr>
        <w:t>най-големите потенциални ползи</w:t>
      </w:r>
      <w:r w:rsidRPr="00273BF2">
        <w:rPr>
          <w:rFonts w:ascii="Times New Roman" w:eastAsia="Times New Roman" w:hAnsi="Times New Roman" w:cs="Times New Roman"/>
          <w:sz w:val="24"/>
          <w:szCs w:val="24"/>
        </w:rPr>
        <w:t xml:space="preserve">. </w:t>
      </w:r>
    </w:p>
    <w:p w14:paraId="45C4CE19"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p>
    <w:p w14:paraId="2A2369FA" w14:textId="77777777" w:rsidR="00E16161" w:rsidRPr="00273BF2" w:rsidRDefault="00E16161" w:rsidP="00E16161">
      <w:pPr>
        <w:spacing w:after="0" w:line="240" w:lineRule="auto"/>
        <w:ind w:firstLine="567"/>
        <w:jc w:val="both"/>
        <w:rPr>
          <w:rFonts w:ascii="Times New Roman" w:eastAsia="Times New Roman" w:hAnsi="Times New Roman" w:cs="Times New Roman"/>
          <w:b/>
          <w:i/>
          <w:iCs/>
          <w:sz w:val="24"/>
          <w:szCs w:val="24"/>
        </w:rPr>
      </w:pPr>
      <w:r w:rsidRPr="00273BF2">
        <w:rPr>
          <w:rFonts w:ascii="Times New Roman" w:eastAsia="Times New Roman" w:hAnsi="Times New Roman" w:cs="Times New Roman"/>
          <w:b/>
          <w:bCs/>
          <w:i/>
          <w:sz w:val="24"/>
          <w:szCs w:val="24"/>
        </w:rPr>
        <w:t>3.1. Ескалация на административните разходи:</w:t>
      </w:r>
      <w:r w:rsidRPr="00273BF2">
        <w:rPr>
          <w:rFonts w:ascii="Times New Roman" w:eastAsia="Times New Roman" w:hAnsi="Times New Roman" w:cs="Times New Roman"/>
          <w:b/>
          <w:i/>
          <w:sz w:val="24"/>
          <w:szCs w:val="24"/>
        </w:rPr>
        <w:t xml:space="preserve"> </w:t>
      </w:r>
      <w:r w:rsidRPr="00273BF2">
        <w:rPr>
          <w:rFonts w:ascii="Times New Roman" w:eastAsia="Times New Roman" w:hAnsi="Times New Roman" w:cs="Times New Roman"/>
          <w:b/>
          <w:i/>
          <w:iCs/>
          <w:sz w:val="24"/>
          <w:szCs w:val="24"/>
        </w:rPr>
        <w:t>Висок риск</w:t>
      </w:r>
    </w:p>
    <w:p w14:paraId="123B1365" w14:textId="77777777" w:rsidR="00A50D54" w:rsidRDefault="00E16161" w:rsidP="00E161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Вариантът</w:t>
      </w:r>
      <w:r w:rsidRPr="008C3960">
        <w:rPr>
          <w:rFonts w:ascii="Times New Roman" w:eastAsia="Times New Roman" w:hAnsi="Times New Roman" w:cs="Times New Roman"/>
          <w:sz w:val="24"/>
          <w:szCs w:val="24"/>
        </w:rPr>
        <w:t xml:space="preserve"> е </w:t>
      </w:r>
      <w:r>
        <w:rPr>
          <w:rFonts w:ascii="Times New Roman" w:eastAsia="Times New Roman" w:hAnsi="Times New Roman" w:cs="Times New Roman"/>
          <w:sz w:val="24"/>
          <w:szCs w:val="24"/>
        </w:rPr>
        <w:t>свързан с нови</w:t>
      </w:r>
      <w:r w:rsidRPr="008C3960">
        <w:rPr>
          <w:rFonts w:ascii="Times New Roman" w:eastAsia="Times New Roman" w:hAnsi="Times New Roman" w:cs="Times New Roman"/>
          <w:b/>
          <w:bCs/>
          <w:sz w:val="24"/>
          <w:szCs w:val="24"/>
        </w:rPr>
        <w:t xml:space="preserve"> </w:t>
      </w:r>
      <w:r w:rsidRPr="00273BF2">
        <w:rPr>
          <w:rFonts w:ascii="Times New Roman" w:eastAsia="Times New Roman" w:hAnsi="Times New Roman" w:cs="Times New Roman"/>
          <w:bCs/>
          <w:sz w:val="24"/>
          <w:szCs w:val="24"/>
        </w:rPr>
        <w:t xml:space="preserve">административни задължения както за </w:t>
      </w:r>
      <w:r w:rsidR="00A708FB">
        <w:rPr>
          <w:rFonts w:ascii="Times New Roman" w:eastAsia="Times New Roman" w:hAnsi="Times New Roman" w:cs="Times New Roman"/>
          <w:bCs/>
          <w:sz w:val="24"/>
          <w:szCs w:val="24"/>
        </w:rPr>
        <w:t>държавата</w:t>
      </w:r>
      <w:r w:rsidRPr="00273BF2">
        <w:rPr>
          <w:rFonts w:ascii="Times New Roman" w:eastAsia="Times New Roman" w:hAnsi="Times New Roman" w:cs="Times New Roman"/>
          <w:bCs/>
          <w:sz w:val="24"/>
          <w:szCs w:val="24"/>
        </w:rPr>
        <w:t xml:space="preserve">, така и </w:t>
      </w:r>
      <w:r w:rsidR="007234CE">
        <w:rPr>
          <w:rFonts w:ascii="Times New Roman" w:eastAsia="Times New Roman" w:hAnsi="Times New Roman" w:cs="Times New Roman"/>
          <w:bCs/>
          <w:sz w:val="24"/>
          <w:szCs w:val="24"/>
        </w:rPr>
        <w:t>з</w:t>
      </w:r>
      <w:r w:rsidR="007234CE" w:rsidRPr="00273BF2">
        <w:rPr>
          <w:rFonts w:ascii="Times New Roman" w:eastAsia="Times New Roman" w:hAnsi="Times New Roman" w:cs="Times New Roman"/>
          <w:bCs/>
          <w:sz w:val="24"/>
          <w:szCs w:val="24"/>
        </w:rPr>
        <w:t xml:space="preserve">а </w:t>
      </w:r>
      <w:r w:rsidRPr="00273BF2">
        <w:rPr>
          <w:rFonts w:ascii="Times New Roman" w:eastAsia="Times New Roman" w:hAnsi="Times New Roman" w:cs="Times New Roman"/>
          <w:bCs/>
          <w:sz w:val="24"/>
          <w:szCs w:val="24"/>
        </w:rPr>
        <w:t>участниците на пазара.</w:t>
      </w:r>
      <w:r w:rsidRPr="008C3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първо място</w:t>
      </w:r>
      <w:r w:rsidR="007234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 гледна точка на държавата</w:t>
      </w:r>
      <w:r w:rsidR="001A4C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F4F32">
        <w:rPr>
          <w:rFonts w:ascii="Times New Roman" w:eastAsia="Times New Roman" w:hAnsi="Times New Roman" w:cs="Times New Roman"/>
          <w:sz w:val="24"/>
          <w:szCs w:val="24"/>
        </w:rPr>
        <w:t>новият закон ще изисква внедряване на нови системи</w:t>
      </w:r>
      <w:r w:rsidRPr="00273BF2">
        <w:rPr>
          <w:rFonts w:ascii="Times New Roman" w:eastAsia="Times New Roman" w:hAnsi="Times New Roman" w:cs="Times New Roman"/>
          <w:sz w:val="24"/>
          <w:szCs w:val="24"/>
        </w:rPr>
        <w:t xml:space="preserve">, </w:t>
      </w:r>
      <w:r w:rsidR="00A708FB">
        <w:rPr>
          <w:rFonts w:ascii="Times New Roman" w:eastAsia="Times New Roman" w:hAnsi="Times New Roman" w:cs="Times New Roman"/>
          <w:sz w:val="24"/>
          <w:szCs w:val="24"/>
        </w:rPr>
        <w:t>но без</w:t>
      </w:r>
      <w:r w:rsidRPr="00273BF2">
        <w:rPr>
          <w:rFonts w:ascii="Times New Roman" w:eastAsia="Times New Roman" w:hAnsi="Times New Roman" w:cs="Times New Roman"/>
          <w:sz w:val="24"/>
          <w:szCs w:val="24"/>
        </w:rPr>
        <w:t xml:space="preserve"> създаване на нови звена</w:t>
      </w:r>
      <w:r w:rsidR="007234CE">
        <w:rPr>
          <w:rFonts w:ascii="Times New Roman" w:eastAsia="Times New Roman" w:hAnsi="Times New Roman" w:cs="Times New Roman"/>
          <w:sz w:val="24"/>
          <w:szCs w:val="24"/>
        </w:rPr>
        <w:t>,</w:t>
      </w:r>
      <w:r w:rsidRPr="00273BF2">
        <w:rPr>
          <w:rFonts w:ascii="Times New Roman" w:eastAsia="Times New Roman" w:hAnsi="Times New Roman" w:cs="Times New Roman"/>
          <w:sz w:val="24"/>
          <w:szCs w:val="24"/>
        </w:rPr>
        <w:t xml:space="preserve"> като ще се използват наличните структури в рамките на компетентните институции за прилагането му. Например</w:t>
      </w:r>
      <w:r w:rsidR="007234CE">
        <w:rPr>
          <w:rFonts w:ascii="Times New Roman" w:eastAsia="Times New Roman" w:hAnsi="Times New Roman" w:cs="Times New Roman"/>
          <w:sz w:val="24"/>
          <w:szCs w:val="24"/>
        </w:rPr>
        <w:t>,</w:t>
      </w:r>
      <w:r w:rsidRPr="00273BF2">
        <w:rPr>
          <w:rFonts w:ascii="Times New Roman" w:eastAsia="Times New Roman" w:hAnsi="Times New Roman" w:cs="Times New Roman"/>
          <w:sz w:val="24"/>
          <w:szCs w:val="24"/>
        </w:rPr>
        <w:t xml:space="preserve"> </w:t>
      </w:r>
      <w:r w:rsidR="00A708FB">
        <w:rPr>
          <w:rFonts w:ascii="Times New Roman" w:eastAsia="Times New Roman" w:hAnsi="Times New Roman" w:cs="Times New Roman"/>
          <w:sz w:val="24"/>
          <w:szCs w:val="24"/>
        </w:rPr>
        <w:t xml:space="preserve">с </w:t>
      </w:r>
      <w:r w:rsidR="0007276C">
        <w:rPr>
          <w:rFonts w:ascii="Times New Roman" w:eastAsia="Times New Roman" w:hAnsi="Times New Roman" w:cs="Times New Roman"/>
          <w:sz w:val="24"/>
          <w:szCs w:val="24"/>
        </w:rPr>
        <w:t>концепцията</w:t>
      </w:r>
      <w:r w:rsidR="0007276C" w:rsidRPr="00273BF2">
        <w:rPr>
          <w:rFonts w:ascii="Times New Roman" w:eastAsia="Times New Roman" w:hAnsi="Times New Roman" w:cs="Times New Roman"/>
          <w:sz w:val="24"/>
          <w:szCs w:val="24"/>
        </w:rPr>
        <w:t xml:space="preserve"> </w:t>
      </w:r>
      <w:r w:rsidR="00A708FB">
        <w:rPr>
          <w:rFonts w:ascii="Times New Roman" w:eastAsia="Times New Roman" w:hAnsi="Times New Roman" w:cs="Times New Roman"/>
          <w:sz w:val="24"/>
          <w:szCs w:val="24"/>
        </w:rPr>
        <w:t xml:space="preserve">се </w:t>
      </w:r>
      <w:r w:rsidRPr="00273BF2">
        <w:rPr>
          <w:rFonts w:ascii="Times New Roman" w:eastAsia="Times New Roman" w:hAnsi="Times New Roman" w:cs="Times New Roman"/>
          <w:sz w:val="24"/>
          <w:szCs w:val="24"/>
        </w:rPr>
        <w:t>предлага</w:t>
      </w:r>
      <w:r w:rsidR="00A708FB">
        <w:rPr>
          <w:rFonts w:ascii="Times New Roman" w:eastAsia="Times New Roman" w:hAnsi="Times New Roman" w:cs="Times New Roman"/>
          <w:sz w:val="24"/>
          <w:szCs w:val="24"/>
        </w:rPr>
        <w:t xml:space="preserve"> изграждането на</w:t>
      </w:r>
      <w:r w:rsidRPr="00273BF2">
        <w:rPr>
          <w:rFonts w:ascii="Times New Roman" w:eastAsia="Times New Roman" w:hAnsi="Times New Roman" w:cs="Times New Roman"/>
          <w:sz w:val="24"/>
          <w:szCs w:val="24"/>
        </w:rPr>
        <w:t xml:space="preserve"> </w:t>
      </w:r>
      <w:r w:rsidRPr="00273BF2">
        <w:rPr>
          <w:rFonts w:ascii="Times New Roman" w:eastAsia="Times New Roman" w:hAnsi="Times New Roman" w:cs="Times New Roman"/>
          <w:bCs/>
          <w:sz w:val="24"/>
          <w:szCs w:val="24"/>
        </w:rPr>
        <w:t>електронен регистър на купувачите на първични селскостопански продукти и централ</w:t>
      </w:r>
      <w:r w:rsidR="00F50381">
        <w:rPr>
          <w:rFonts w:ascii="Times New Roman" w:eastAsia="Times New Roman" w:hAnsi="Times New Roman" w:cs="Times New Roman"/>
          <w:bCs/>
          <w:sz w:val="24"/>
          <w:szCs w:val="24"/>
        </w:rPr>
        <w:t>изира</w:t>
      </w:r>
      <w:r w:rsidRPr="00273BF2">
        <w:rPr>
          <w:rFonts w:ascii="Times New Roman" w:eastAsia="Times New Roman" w:hAnsi="Times New Roman" w:cs="Times New Roman"/>
          <w:bCs/>
          <w:sz w:val="24"/>
          <w:szCs w:val="24"/>
        </w:rPr>
        <w:t xml:space="preserve">на </w:t>
      </w:r>
      <w:r w:rsidR="00F50381" w:rsidRPr="00F50381">
        <w:rPr>
          <w:rFonts w:ascii="Times New Roman" w:eastAsia="Times New Roman" w:hAnsi="Times New Roman" w:cs="Times New Roman"/>
          <w:bCs/>
          <w:sz w:val="24"/>
          <w:szCs w:val="24"/>
        </w:rPr>
        <w:t>електронна система за проследимост</w:t>
      </w:r>
      <w:r w:rsidRPr="00273BF2">
        <w:rPr>
          <w:rFonts w:ascii="Times New Roman" w:eastAsia="Times New Roman" w:hAnsi="Times New Roman" w:cs="Times New Roman"/>
          <w:bCs/>
          <w:sz w:val="24"/>
          <w:szCs w:val="24"/>
        </w:rPr>
        <w:t>, в която да се регистрират всички договори за покупка</w:t>
      </w:r>
      <w:hyperlink r:id="rId20" w:anchor=":~:text=%D0%9F%D1%80%D0%B5%D0%B4%D0%B2%D0%B8%D0%B6%D0%B4%D0%B0%20%D1%81%D0%B5%20%D0%B2%D1%8A%D0%B2%D0%B5%D0%B6%D0%B4%D0%B0%D0%BD%D0%B5%20%D0%BD%D0%B0%20%D0%BD%D0%BE%D0%B2%D0%B8,%D0%BF%D0%BE%20%D0%97%D0%A5%20%D0%B5%20%D1%81%D0%BB%D0%BE%D0%B6%D0%BD%D0%B0%20" w:history="1"/>
      <w:r w:rsidRPr="00273BF2">
        <w:rPr>
          <w:rFonts w:ascii="Times New Roman" w:eastAsia="Times New Roman" w:hAnsi="Times New Roman" w:cs="Times New Roman"/>
          <w:sz w:val="24"/>
          <w:szCs w:val="24"/>
        </w:rPr>
        <w:t xml:space="preserve">. При прилагането на мярката ще се използват максимално наличните ресурси (включително съществуващият електронен портал), което би ограничило до минимум нуждата от нов персонал. </w:t>
      </w:r>
    </w:p>
    <w:p w14:paraId="2BA56DF1" w14:textId="24B88681" w:rsidR="00E16161" w:rsidRDefault="00E16161" w:rsidP="00E16161">
      <w:pPr>
        <w:spacing w:after="0" w:line="240" w:lineRule="auto"/>
        <w:ind w:firstLine="567"/>
        <w:jc w:val="both"/>
        <w:rPr>
          <w:rFonts w:ascii="Times New Roman" w:eastAsia="Times New Roman" w:hAnsi="Times New Roman" w:cs="Times New Roman"/>
          <w:sz w:val="24"/>
          <w:szCs w:val="24"/>
        </w:rPr>
      </w:pPr>
      <w:r w:rsidRPr="00273BF2">
        <w:rPr>
          <w:rFonts w:ascii="Times New Roman" w:eastAsia="Times New Roman" w:hAnsi="Times New Roman" w:cs="Times New Roman"/>
          <w:sz w:val="24"/>
          <w:szCs w:val="24"/>
        </w:rPr>
        <w:t xml:space="preserve">От страна на частния сектор </w:t>
      </w:r>
      <w:r w:rsidRPr="00273BF2">
        <w:rPr>
          <w:rFonts w:ascii="Times New Roman" w:eastAsia="Times New Roman" w:hAnsi="Times New Roman" w:cs="Times New Roman"/>
          <w:bCs/>
          <w:sz w:val="24"/>
          <w:szCs w:val="24"/>
        </w:rPr>
        <w:t>предприятията също ще бъдат изправени пред нови задължения за предоставяне на информация, които ще водят до незначителна административна тежест</w:t>
      </w:r>
      <w:r>
        <w:rPr>
          <w:rFonts w:ascii="Times New Roman" w:eastAsia="Times New Roman" w:hAnsi="Times New Roman" w:cs="Times New Roman"/>
          <w:sz w:val="24"/>
          <w:szCs w:val="24"/>
        </w:rPr>
        <w:t>. З</w:t>
      </w:r>
      <w:r w:rsidRPr="008C3960">
        <w:rPr>
          <w:rFonts w:ascii="Times New Roman" w:eastAsia="Times New Roman" w:hAnsi="Times New Roman" w:cs="Times New Roman"/>
          <w:sz w:val="24"/>
          <w:szCs w:val="24"/>
        </w:rPr>
        <w:t xml:space="preserve">емеделските производители и купувачите ще трябва да подават своите договори в системата, </w:t>
      </w:r>
      <w:r w:rsidRPr="004B1B8C">
        <w:rPr>
          <w:rFonts w:ascii="Times New Roman" w:eastAsia="Times New Roman" w:hAnsi="Times New Roman" w:cs="Times New Roman"/>
          <w:sz w:val="24"/>
          <w:szCs w:val="24"/>
        </w:rPr>
        <w:t>но това н</w:t>
      </w:r>
      <w:r w:rsidR="00DC7D4A">
        <w:rPr>
          <w:rFonts w:ascii="Times New Roman" w:eastAsia="Times New Roman" w:hAnsi="Times New Roman" w:cs="Times New Roman"/>
          <w:sz w:val="24"/>
          <w:szCs w:val="24"/>
        </w:rPr>
        <w:t>яма да</w:t>
      </w:r>
      <w:r w:rsidRPr="004B1B8C">
        <w:rPr>
          <w:rFonts w:ascii="Times New Roman" w:eastAsia="Times New Roman" w:hAnsi="Times New Roman" w:cs="Times New Roman"/>
          <w:sz w:val="24"/>
          <w:szCs w:val="24"/>
        </w:rPr>
        <w:t xml:space="preserve"> изисква адаптиране на техните счетоводни системи. Повечето нови изисквания</w:t>
      </w:r>
      <w:r>
        <w:rPr>
          <w:rFonts w:ascii="Times New Roman" w:eastAsia="Times New Roman" w:hAnsi="Times New Roman" w:cs="Times New Roman"/>
          <w:sz w:val="24"/>
          <w:szCs w:val="24"/>
        </w:rPr>
        <w:t xml:space="preserve"> ще</w:t>
      </w:r>
      <w:r w:rsidRPr="004B1B8C">
        <w:rPr>
          <w:rFonts w:ascii="Times New Roman" w:eastAsia="Times New Roman" w:hAnsi="Times New Roman" w:cs="Times New Roman"/>
          <w:sz w:val="24"/>
          <w:szCs w:val="24"/>
        </w:rPr>
        <w:t xml:space="preserve"> се изчерпват с еднократна регистрация и рутинно подаване на информация, без </w:t>
      </w:r>
      <w:r w:rsidR="00DC7D4A">
        <w:rPr>
          <w:rFonts w:ascii="Times New Roman" w:eastAsia="Times New Roman" w:hAnsi="Times New Roman" w:cs="Times New Roman"/>
          <w:sz w:val="24"/>
          <w:szCs w:val="24"/>
        </w:rPr>
        <w:t xml:space="preserve">необходимост от извършване на </w:t>
      </w:r>
      <w:r w:rsidRPr="004B1B8C">
        <w:rPr>
          <w:rFonts w:ascii="Times New Roman" w:eastAsia="Times New Roman" w:hAnsi="Times New Roman" w:cs="Times New Roman"/>
          <w:sz w:val="24"/>
          <w:szCs w:val="24"/>
        </w:rPr>
        <w:t>значителна допъ</w:t>
      </w:r>
      <w:r>
        <w:rPr>
          <w:rFonts w:ascii="Times New Roman" w:eastAsia="Times New Roman" w:hAnsi="Times New Roman" w:cs="Times New Roman"/>
          <w:sz w:val="24"/>
          <w:szCs w:val="24"/>
        </w:rPr>
        <w:t>лнителна административна дейност.</w:t>
      </w:r>
      <w:r w:rsidRPr="008C3960">
        <w:rPr>
          <w:rFonts w:ascii="Times New Roman" w:eastAsia="Times New Roman" w:hAnsi="Times New Roman" w:cs="Times New Roman"/>
          <w:sz w:val="24"/>
          <w:szCs w:val="24"/>
        </w:rPr>
        <w:t xml:space="preserve"> </w:t>
      </w:r>
      <w:r w:rsidR="004B0D06" w:rsidRPr="004B0D06">
        <w:rPr>
          <w:rFonts w:ascii="Times New Roman" w:eastAsia="Times New Roman" w:hAnsi="Times New Roman" w:cs="Times New Roman"/>
          <w:sz w:val="24"/>
          <w:szCs w:val="24"/>
        </w:rPr>
        <w:t xml:space="preserve">В същото време, цифровизацията на процесите може да подобри ефективността на администриране </w:t>
      </w:r>
      <w:r w:rsidR="004272DB">
        <w:rPr>
          <w:rFonts w:ascii="Times New Roman" w:eastAsia="Times New Roman" w:hAnsi="Times New Roman" w:cs="Times New Roman"/>
          <w:sz w:val="24"/>
          <w:szCs w:val="24"/>
        </w:rPr>
        <w:t xml:space="preserve">на политиката </w:t>
      </w:r>
      <w:r w:rsidR="004B0D06" w:rsidRPr="004B0D06">
        <w:rPr>
          <w:rFonts w:ascii="Times New Roman" w:eastAsia="Times New Roman" w:hAnsi="Times New Roman" w:cs="Times New Roman"/>
          <w:sz w:val="24"/>
          <w:szCs w:val="24"/>
        </w:rPr>
        <w:t xml:space="preserve">и да намали вероятността от злоупотреби. Допълнително, </w:t>
      </w:r>
      <w:r w:rsidR="00DC7D4A">
        <w:rPr>
          <w:rFonts w:ascii="Times New Roman" w:eastAsia="Times New Roman" w:hAnsi="Times New Roman" w:cs="Times New Roman"/>
          <w:sz w:val="24"/>
          <w:szCs w:val="24"/>
        </w:rPr>
        <w:t>макар в</w:t>
      </w:r>
      <w:r w:rsidR="00DC7D4A" w:rsidRPr="00273BF2">
        <w:rPr>
          <w:rFonts w:ascii="Times New Roman" w:eastAsia="Times New Roman" w:hAnsi="Times New Roman" w:cs="Times New Roman"/>
          <w:sz w:val="24"/>
          <w:szCs w:val="24"/>
        </w:rPr>
        <w:t>сичко това</w:t>
      </w:r>
      <w:r w:rsidR="00DC7D4A">
        <w:rPr>
          <w:rFonts w:ascii="Times New Roman" w:eastAsia="Times New Roman" w:hAnsi="Times New Roman" w:cs="Times New Roman"/>
          <w:sz w:val="24"/>
          <w:szCs w:val="24"/>
        </w:rPr>
        <w:t xml:space="preserve"> да</w:t>
      </w:r>
      <w:r w:rsidR="00DC7D4A" w:rsidRPr="00273BF2">
        <w:rPr>
          <w:rFonts w:ascii="Times New Roman" w:eastAsia="Times New Roman" w:hAnsi="Times New Roman" w:cs="Times New Roman"/>
          <w:sz w:val="24"/>
          <w:szCs w:val="24"/>
        </w:rPr>
        <w:t xml:space="preserve"> сочи на </w:t>
      </w:r>
      <w:r w:rsidR="00DC7D4A" w:rsidRPr="00273BF2">
        <w:rPr>
          <w:rFonts w:ascii="Times New Roman" w:eastAsia="Times New Roman" w:hAnsi="Times New Roman" w:cs="Times New Roman"/>
          <w:bCs/>
          <w:sz w:val="24"/>
          <w:szCs w:val="24"/>
        </w:rPr>
        <w:t xml:space="preserve">висока вероятност (L=5) </w:t>
      </w:r>
      <w:r w:rsidR="00DC7D4A" w:rsidRPr="00273BF2">
        <w:rPr>
          <w:rFonts w:ascii="Times New Roman" w:eastAsia="Times New Roman" w:hAnsi="Times New Roman" w:cs="Times New Roman"/>
          <w:sz w:val="24"/>
          <w:szCs w:val="24"/>
        </w:rPr>
        <w:t>за увеличение на административните разходи</w:t>
      </w:r>
      <w:r w:rsidR="00DC7D4A">
        <w:rPr>
          <w:rFonts w:ascii="Times New Roman" w:eastAsia="Times New Roman" w:hAnsi="Times New Roman" w:cs="Times New Roman"/>
          <w:sz w:val="24"/>
          <w:szCs w:val="24"/>
        </w:rPr>
        <w:t>,</w:t>
      </w:r>
      <w:r w:rsidR="00DC7D4A" w:rsidRPr="004B0D06">
        <w:rPr>
          <w:rFonts w:ascii="Times New Roman" w:eastAsia="Times New Roman" w:hAnsi="Times New Roman" w:cs="Times New Roman"/>
          <w:sz w:val="24"/>
          <w:szCs w:val="24"/>
        </w:rPr>
        <w:t xml:space="preserve"> </w:t>
      </w:r>
      <w:r w:rsidR="004B0D06" w:rsidRPr="004B0D06">
        <w:rPr>
          <w:rFonts w:ascii="Times New Roman" w:eastAsia="Times New Roman" w:hAnsi="Times New Roman" w:cs="Times New Roman"/>
          <w:sz w:val="24"/>
          <w:szCs w:val="24"/>
        </w:rPr>
        <w:t>централизираната електронна система ще улесни достъпа до информация и ще съкрати времето за проверка и контрол както за администрацията, така и за бизнеса</w:t>
      </w:r>
      <w:r w:rsidRPr="00273BF2">
        <w:rPr>
          <w:rFonts w:ascii="Times New Roman" w:eastAsia="Times New Roman" w:hAnsi="Times New Roman" w:cs="Times New Roman"/>
          <w:sz w:val="24"/>
          <w:szCs w:val="24"/>
        </w:rPr>
        <w:t xml:space="preserve">. Въздействието също е </w:t>
      </w:r>
      <w:r w:rsidRPr="00273BF2">
        <w:rPr>
          <w:rFonts w:ascii="Times New Roman" w:eastAsia="Times New Roman" w:hAnsi="Times New Roman" w:cs="Times New Roman"/>
          <w:bCs/>
          <w:sz w:val="24"/>
          <w:szCs w:val="24"/>
        </w:rPr>
        <w:t xml:space="preserve">високо </w:t>
      </w:r>
      <w:r w:rsidRPr="00273BF2">
        <w:rPr>
          <w:rFonts w:ascii="Times New Roman" w:eastAsia="Times New Roman" w:hAnsi="Times New Roman" w:cs="Times New Roman"/>
          <w:sz w:val="24"/>
          <w:szCs w:val="24"/>
        </w:rPr>
        <w:t>(I=4)</w:t>
      </w:r>
      <w:r w:rsidR="0007276C">
        <w:rPr>
          <w:rFonts w:ascii="Times New Roman" w:eastAsia="Times New Roman" w:hAnsi="Times New Roman" w:cs="Times New Roman"/>
          <w:sz w:val="24"/>
          <w:szCs w:val="24"/>
        </w:rPr>
        <w:t xml:space="preserve">, </w:t>
      </w:r>
      <w:r w:rsidR="00DC7D4A">
        <w:rPr>
          <w:rFonts w:ascii="Times New Roman" w:eastAsia="Times New Roman" w:hAnsi="Times New Roman" w:cs="Times New Roman"/>
          <w:sz w:val="24"/>
          <w:szCs w:val="24"/>
        </w:rPr>
        <w:t>т.</w:t>
      </w:r>
      <w:r w:rsidR="0007276C">
        <w:rPr>
          <w:rFonts w:ascii="Times New Roman" w:eastAsia="Times New Roman" w:hAnsi="Times New Roman" w:cs="Times New Roman"/>
          <w:sz w:val="24"/>
          <w:szCs w:val="24"/>
        </w:rPr>
        <w:t>к</w:t>
      </w:r>
      <w:r w:rsidR="00DC7D4A">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разходите не са само еднократни. Те включват публични разходи (за персонал и ИТ) и частни разходи (време и пари, изразходвани от бизнеса за </w:t>
      </w:r>
      <w:r>
        <w:rPr>
          <w:rFonts w:ascii="Times New Roman" w:eastAsia="Times New Roman" w:hAnsi="Times New Roman" w:cs="Times New Roman"/>
          <w:sz w:val="24"/>
          <w:szCs w:val="24"/>
        </w:rPr>
        <w:t>предоставяне на информация</w:t>
      </w:r>
      <w:r w:rsidRPr="008C3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Оттук</w:t>
      </w:r>
      <w:r w:rsidR="00DC7D4A">
        <w:rPr>
          <w:rFonts w:ascii="Times New Roman" w:eastAsia="Times New Roman" w:hAnsi="Times New Roman" w:cs="Times New Roman"/>
          <w:sz w:val="24"/>
          <w:szCs w:val="24"/>
        </w:rPr>
        <w:t xml:space="preserve"> на варианта по тази категория може да се определи </w:t>
      </w:r>
      <w:r w:rsidRPr="00DC7D4A">
        <w:rPr>
          <w:rFonts w:ascii="Times New Roman" w:eastAsia="Times New Roman" w:hAnsi="Times New Roman" w:cs="Times New Roman"/>
          <w:b/>
          <w:sz w:val="24"/>
          <w:szCs w:val="24"/>
        </w:rPr>
        <w:t xml:space="preserve">обща оценка на риска </w:t>
      </w:r>
      <w:r w:rsidR="00A5236A" w:rsidRPr="00273BF2">
        <w:rPr>
          <w:rFonts w:ascii="Times New Roman" w:eastAsia="Times New Roman" w:hAnsi="Times New Roman" w:cs="Times New Roman"/>
          <w:bCs/>
          <w:sz w:val="24"/>
          <w:szCs w:val="24"/>
        </w:rPr>
        <w:t>(5×4)</w:t>
      </w:r>
      <w:r w:rsidR="00A5236A">
        <w:rPr>
          <w:rFonts w:ascii="Times New Roman" w:eastAsia="Times New Roman" w:hAnsi="Times New Roman" w:cs="Times New Roman"/>
          <w:bCs/>
          <w:sz w:val="24"/>
          <w:szCs w:val="24"/>
        </w:rPr>
        <w:t xml:space="preserve"> </w:t>
      </w:r>
      <w:r w:rsidR="00DC7D4A" w:rsidRPr="00DC7D4A">
        <w:rPr>
          <w:rFonts w:ascii="Times New Roman" w:eastAsia="Times New Roman" w:hAnsi="Times New Roman" w:cs="Times New Roman"/>
          <w:b/>
          <w:sz w:val="24"/>
          <w:szCs w:val="24"/>
        </w:rPr>
        <w:t xml:space="preserve">= </w:t>
      </w:r>
      <w:r w:rsidRPr="00DC7D4A">
        <w:rPr>
          <w:rFonts w:ascii="Times New Roman" w:eastAsia="Times New Roman" w:hAnsi="Times New Roman" w:cs="Times New Roman"/>
          <w:b/>
          <w:bCs/>
          <w:sz w:val="24"/>
          <w:szCs w:val="24"/>
        </w:rPr>
        <w:t>20</w:t>
      </w:r>
      <w:r w:rsidRPr="00273BF2">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w:t>
      </w:r>
    </w:p>
    <w:p w14:paraId="04779364"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p>
    <w:p w14:paraId="7A5E18D3" w14:textId="77777777" w:rsidR="00E16161" w:rsidRPr="005207B9" w:rsidRDefault="00E16161" w:rsidP="00E16161">
      <w:pPr>
        <w:spacing w:after="0" w:line="240" w:lineRule="auto"/>
        <w:ind w:firstLine="567"/>
        <w:jc w:val="both"/>
        <w:rPr>
          <w:rFonts w:ascii="Times New Roman" w:eastAsia="Times New Roman" w:hAnsi="Times New Roman" w:cs="Times New Roman"/>
          <w:b/>
          <w:i/>
          <w:iCs/>
          <w:color w:val="000000" w:themeColor="text1"/>
          <w:sz w:val="24"/>
          <w:szCs w:val="24"/>
        </w:rPr>
      </w:pPr>
      <w:r w:rsidRPr="005207B9">
        <w:rPr>
          <w:rFonts w:ascii="Times New Roman" w:eastAsia="Times New Roman" w:hAnsi="Times New Roman" w:cs="Times New Roman"/>
          <w:b/>
          <w:i/>
          <w:sz w:val="24"/>
          <w:szCs w:val="24"/>
        </w:rPr>
        <w:t xml:space="preserve">3.2. </w:t>
      </w:r>
      <w:r w:rsidRPr="005207B9">
        <w:rPr>
          <w:rFonts w:ascii="Times New Roman" w:eastAsia="Times New Roman" w:hAnsi="Times New Roman" w:cs="Times New Roman"/>
          <w:b/>
          <w:bCs/>
          <w:i/>
          <w:color w:val="000000" w:themeColor="text1"/>
          <w:sz w:val="24"/>
          <w:szCs w:val="24"/>
        </w:rPr>
        <w:t>Отрицателни въздействия върху МСП:</w:t>
      </w:r>
      <w:r w:rsidRPr="005207B9">
        <w:rPr>
          <w:rFonts w:ascii="Times New Roman" w:eastAsia="Times New Roman" w:hAnsi="Times New Roman" w:cs="Times New Roman"/>
          <w:b/>
          <w:i/>
          <w:color w:val="000000" w:themeColor="text1"/>
          <w:sz w:val="24"/>
          <w:szCs w:val="24"/>
        </w:rPr>
        <w:t xml:space="preserve"> </w:t>
      </w:r>
      <w:r w:rsidRPr="005207B9">
        <w:rPr>
          <w:rFonts w:ascii="Times New Roman" w:eastAsia="Times New Roman" w:hAnsi="Times New Roman" w:cs="Times New Roman"/>
          <w:b/>
          <w:i/>
          <w:iCs/>
          <w:color w:val="000000" w:themeColor="text1"/>
          <w:sz w:val="24"/>
          <w:szCs w:val="24"/>
        </w:rPr>
        <w:t>Умерен риск от непредвидени негативни последици за МСП</w:t>
      </w:r>
    </w:p>
    <w:p w14:paraId="06EB4B05" w14:textId="087916C3" w:rsidR="00E16161" w:rsidRDefault="00E16161" w:rsidP="00E161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4272DB">
        <w:rPr>
          <w:rFonts w:ascii="Times New Roman" w:eastAsia="Times New Roman" w:hAnsi="Times New Roman" w:cs="Times New Roman"/>
          <w:sz w:val="24"/>
          <w:szCs w:val="24"/>
        </w:rPr>
        <w:t>някои от становищата</w:t>
      </w:r>
      <w:r w:rsidR="00121050">
        <w:rPr>
          <w:rFonts w:ascii="Times New Roman" w:eastAsia="Times New Roman" w:hAnsi="Times New Roman" w:cs="Times New Roman"/>
          <w:sz w:val="24"/>
          <w:szCs w:val="24"/>
        </w:rPr>
        <w:t>, получени в рамките на консултациите със заинтересованите страни,</w:t>
      </w:r>
      <w:r w:rsidR="004272DB">
        <w:rPr>
          <w:rFonts w:ascii="Times New Roman" w:eastAsia="Times New Roman" w:hAnsi="Times New Roman" w:cs="Times New Roman"/>
          <w:sz w:val="24"/>
          <w:szCs w:val="24"/>
        </w:rPr>
        <w:t xml:space="preserve"> </w:t>
      </w:r>
      <w:r w:rsidRPr="008C3960">
        <w:rPr>
          <w:rFonts w:ascii="Times New Roman" w:eastAsia="Times New Roman" w:hAnsi="Times New Roman" w:cs="Times New Roman"/>
          <w:sz w:val="24"/>
          <w:szCs w:val="24"/>
        </w:rPr>
        <w:t>се</w:t>
      </w:r>
      <w:r>
        <w:rPr>
          <w:rFonts w:ascii="Times New Roman" w:eastAsia="Times New Roman" w:hAnsi="Times New Roman" w:cs="Times New Roman"/>
          <w:sz w:val="24"/>
          <w:szCs w:val="24"/>
        </w:rPr>
        <w:t xml:space="preserve"> изразяват опасения</w:t>
      </w:r>
      <w:r w:rsidRPr="008C3960">
        <w:rPr>
          <w:rFonts w:ascii="Times New Roman" w:eastAsia="Times New Roman" w:hAnsi="Times New Roman" w:cs="Times New Roman"/>
          <w:sz w:val="24"/>
          <w:szCs w:val="24"/>
        </w:rPr>
        <w:t xml:space="preserve">, че законът ще увеличи риска от работа с български производители за търговците на дребно, като по този начин </w:t>
      </w:r>
      <w:r w:rsidRPr="005207B9">
        <w:rPr>
          <w:rFonts w:ascii="Times New Roman" w:eastAsia="Times New Roman" w:hAnsi="Times New Roman" w:cs="Times New Roman"/>
          <w:bCs/>
          <w:sz w:val="24"/>
          <w:szCs w:val="24"/>
        </w:rPr>
        <w:t>ще направи местните производители по-малко конкурентоспособни</w:t>
      </w:r>
      <w:r w:rsidRPr="008C3960">
        <w:rPr>
          <w:rFonts w:ascii="Times New Roman" w:eastAsia="Times New Roman" w:hAnsi="Times New Roman" w:cs="Times New Roman"/>
          <w:sz w:val="24"/>
          <w:szCs w:val="24"/>
        </w:rPr>
        <w:t xml:space="preserve">. Това означава, че местните фермери могат да се разглеждат като по-рискови партньори (поради потенциални санкции или усложнения съгласно новия закон), което е обратното на </w:t>
      </w:r>
      <w:r w:rsidRPr="005207B9">
        <w:rPr>
          <w:rFonts w:ascii="Times New Roman" w:eastAsia="Times New Roman" w:hAnsi="Times New Roman" w:cs="Times New Roman"/>
          <w:sz w:val="24"/>
          <w:szCs w:val="24"/>
        </w:rPr>
        <w:t xml:space="preserve">очаквания ефект. </w:t>
      </w:r>
      <w:r w:rsidRPr="005207B9">
        <w:rPr>
          <w:rFonts w:ascii="Times New Roman" w:eastAsia="Times New Roman" w:hAnsi="Times New Roman" w:cs="Times New Roman"/>
          <w:sz w:val="24"/>
          <w:szCs w:val="24"/>
        </w:rPr>
        <w:lastRenderedPageBreak/>
        <w:t xml:space="preserve">Освен това, някои разпоредби като </w:t>
      </w:r>
      <w:r w:rsidRPr="005207B9">
        <w:rPr>
          <w:rFonts w:ascii="Times New Roman" w:eastAsia="Times New Roman" w:hAnsi="Times New Roman" w:cs="Times New Roman"/>
          <w:bCs/>
          <w:sz w:val="24"/>
          <w:szCs w:val="24"/>
        </w:rPr>
        <w:t>забрана</w:t>
      </w:r>
      <w:r w:rsidR="007703B1">
        <w:rPr>
          <w:rFonts w:ascii="Times New Roman" w:eastAsia="Times New Roman" w:hAnsi="Times New Roman" w:cs="Times New Roman"/>
          <w:bCs/>
          <w:sz w:val="24"/>
          <w:szCs w:val="24"/>
        </w:rPr>
        <w:t>та</w:t>
      </w:r>
      <w:r w:rsidRPr="005207B9">
        <w:rPr>
          <w:rFonts w:ascii="Times New Roman" w:eastAsia="Times New Roman" w:hAnsi="Times New Roman" w:cs="Times New Roman"/>
          <w:bCs/>
          <w:sz w:val="24"/>
          <w:szCs w:val="24"/>
        </w:rPr>
        <w:t xml:space="preserve"> за транзитна търговия </w:t>
      </w:r>
      <w:r w:rsidRPr="005207B9">
        <w:rPr>
          <w:rFonts w:ascii="Times New Roman" w:eastAsia="Times New Roman" w:hAnsi="Times New Roman" w:cs="Times New Roman"/>
          <w:sz w:val="24"/>
          <w:szCs w:val="24"/>
        </w:rPr>
        <w:t>(бърза препродажба на продукти чрез посредници) биха могли да затворят някои МСП на едро,</w:t>
      </w:r>
      <w:r w:rsidRPr="008C3960">
        <w:rPr>
          <w:rFonts w:ascii="Times New Roman" w:eastAsia="Times New Roman" w:hAnsi="Times New Roman" w:cs="Times New Roman"/>
          <w:sz w:val="24"/>
          <w:szCs w:val="24"/>
        </w:rPr>
        <w:t xml:space="preserve"> които оперират на ниски маржове</w:t>
      </w:r>
      <w:r>
        <w:rPr>
          <w:rFonts w:ascii="Times New Roman" w:eastAsia="Times New Roman" w:hAnsi="Times New Roman" w:cs="Times New Roman"/>
          <w:sz w:val="24"/>
          <w:szCs w:val="24"/>
        </w:rPr>
        <w:t>. Т</w:t>
      </w:r>
      <w:r w:rsidRPr="008C3960">
        <w:rPr>
          <w:rFonts w:ascii="Times New Roman" w:eastAsia="Times New Roman" w:hAnsi="Times New Roman" w:cs="Times New Roman"/>
          <w:sz w:val="24"/>
          <w:szCs w:val="24"/>
        </w:rPr>
        <w:t xml:space="preserve">ези посредници често са </w:t>
      </w:r>
      <w:r w:rsidR="004272DB">
        <w:rPr>
          <w:rFonts w:ascii="Times New Roman" w:eastAsia="Times New Roman" w:hAnsi="Times New Roman" w:cs="Times New Roman"/>
          <w:sz w:val="24"/>
          <w:szCs w:val="24"/>
        </w:rPr>
        <w:t>предприятия</w:t>
      </w:r>
      <w:r w:rsidRPr="008C3960">
        <w:rPr>
          <w:rFonts w:ascii="Times New Roman" w:eastAsia="Times New Roman" w:hAnsi="Times New Roman" w:cs="Times New Roman"/>
          <w:sz w:val="24"/>
          <w:szCs w:val="24"/>
        </w:rPr>
        <w:t xml:space="preserve">, които могат да бъдат изтласкани, което засяга ликвидността на пазара. И накрая, ако законът по невнимание предизвика повишаване на цените (вижте следващия риск), МСП като потребители на суровини също могат да бъдат засегнати от инфлацията. </w:t>
      </w:r>
      <w:r>
        <w:rPr>
          <w:rFonts w:ascii="Times New Roman" w:eastAsia="Times New Roman" w:hAnsi="Times New Roman" w:cs="Times New Roman"/>
          <w:sz w:val="24"/>
          <w:szCs w:val="24"/>
        </w:rPr>
        <w:t xml:space="preserve"> </w:t>
      </w:r>
      <w:r w:rsidRPr="005207B9">
        <w:rPr>
          <w:rFonts w:ascii="Times New Roman" w:eastAsia="Times New Roman" w:hAnsi="Times New Roman" w:cs="Times New Roman"/>
          <w:sz w:val="24"/>
          <w:szCs w:val="24"/>
        </w:rPr>
        <w:t>Оттук</w:t>
      </w:r>
      <w:r w:rsidR="0007276C">
        <w:rPr>
          <w:rFonts w:ascii="Times New Roman" w:eastAsia="Times New Roman" w:hAnsi="Times New Roman" w:cs="Times New Roman"/>
          <w:sz w:val="24"/>
          <w:szCs w:val="24"/>
        </w:rPr>
        <w:t>,</w:t>
      </w:r>
      <w:r w:rsidRPr="005207B9">
        <w:rPr>
          <w:rFonts w:ascii="Times New Roman" w:eastAsia="Times New Roman" w:hAnsi="Times New Roman" w:cs="Times New Roman"/>
          <w:sz w:val="24"/>
          <w:szCs w:val="24"/>
        </w:rPr>
        <w:t xml:space="preserve"> </w:t>
      </w:r>
      <w:r w:rsidRPr="005207B9">
        <w:rPr>
          <w:rFonts w:ascii="Times New Roman" w:eastAsia="Times New Roman" w:hAnsi="Times New Roman" w:cs="Times New Roman"/>
          <w:bCs/>
          <w:sz w:val="24"/>
          <w:szCs w:val="24"/>
        </w:rPr>
        <w:t xml:space="preserve">вероятността </w:t>
      </w:r>
      <w:r w:rsidRPr="005207B9">
        <w:rPr>
          <w:rFonts w:ascii="Times New Roman" w:eastAsia="Times New Roman" w:hAnsi="Times New Roman" w:cs="Times New Roman"/>
          <w:sz w:val="24"/>
          <w:szCs w:val="24"/>
        </w:rPr>
        <w:t>от отрицателни въздействия върху</w:t>
      </w:r>
      <w:r w:rsidRPr="008C3960">
        <w:rPr>
          <w:rFonts w:ascii="Times New Roman" w:eastAsia="Times New Roman" w:hAnsi="Times New Roman" w:cs="Times New Roman"/>
          <w:sz w:val="24"/>
          <w:szCs w:val="24"/>
        </w:rPr>
        <w:t xml:space="preserve"> част от МСП</w:t>
      </w:r>
      <w:r>
        <w:rPr>
          <w:rFonts w:ascii="Times New Roman" w:eastAsia="Times New Roman" w:hAnsi="Times New Roman" w:cs="Times New Roman"/>
          <w:sz w:val="24"/>
          <w:szCs w:val="24"/>
        </w:rPr>
        <w:t xml:space="preserve"> може да се оцени</w:t>
      </w:r>
      <w:r w:rsidRPr="008C3960">
        <w:rPr>
          <w:rFonts w:ascii="Times New Roman" w:eastAsia="Times New Roman" w:hAnsi="Times New Roman" w:cs="Times New Roman"/>
          <w:sz w:val="24"/>
          <w:szCs w:val="24"/>
        </w:rPr>
        <w:t xml:space="preserve"> като умерена (L=3). Не всички МСП</w:t>
      </w:r>
      <w:r w:rsidR="004B0D06">
        <w:rPr>
          <w:rFonts w:ascii="Times New Roman" w:eastAsia="Times New Roman" w:hAnsi="Times New Roman" w:cs="Times New Roman"/>
          <w:sz w:val="24"/>
          <w:szCs w:val="24"/>
        </w:rPr>
        <w:t xml:space="preserve"> обаче</w:t>
      </w:r>
      <w:r w:rsidRPr="008C3960">
        <w:rPr>
          <w:rFonts w:ascii="Times New Roman" w:eastAsia="Times New Roman" w:hAnsi="Times New Roman" w:cs="Times New Roman"/>
          <w:sz w:val="24"/>
          <w:szCs w:val="24"/>
        </w:rPr>
        <w:t xml:space="preserve"> ще бъдат отрицателно засегнати</w:t>
      </w:r>
      <w:r w:rsidR="004B0D06">
        <w:rPr>
          <w:rFonts w:ascii="Times New Roman" w:eastAsia="Times New Roman" w:hAnsi="Times New Roman" w:cs="Times New Roman"/>
          <w:sz w:val="24"/>
          <w:szCs w:val="24"/>
        </w:rPr>
        <w:t>. Напротив,</w:t>
      </w:r>
      <w:r w:rsidRPr="008C3960">
        <w:rPr>
          <w:rFonts w:ascii="Times New Roman" w:eastAsia="Times New Roman" w:hAnsi="Times New Roman" w:cs="Times New Roman"/>
          <w:sz w:val="24"/>
          <w:szCs w:val="24"/>
        </w:rPr>
        <w:t xml:space="preserve"> много от тях действително ще се възползват от по-</w:t>
      </w:r>
      <w:r w:rsidR="007703B1">
        <w:rPr>
          <w:rFonts w:ascii="Times New Roman" w:eastAsia="Times New Roman" w:hAnsi="Times New Roman" w:cs="Times New Roman"/>
          <w:sz w:val="24"/>
          <w:szCs w:val="24"/>
        </w:rPr>
        <w:t>честни</w:t>
      </w:r>
      <w:r w:rsidRPr="008C3960">
        <w:rPr>
          <w:rFonts w:ascii="Times New Roman" w:eastAsia="Times New Roman" w:hAnsi="Times New Roman" w:cs="Times New Roman"/>
          <w:sz w:val="24"/>
          <w:szCs w:val="24"/>
        </w:rPr>
        <w:t xml:space="preserve"> </w:t>
      </w:r>
      <w:r w:rsidR="004272DB">
        <w:rPr>
          <w:rFonts w:ascii="Times New Roman" w:eastAsia="Times New Roman" w:hAnsi="Times New Roman" w:cs="Times New Roman"/>
          <w:sz w:val="24"/>
          <w:szCs w:val="24"/>
        </w:rPr>
        <w:t xml:space="preserve">и ясни </w:t>
      </w:r>
      <w:r w:rsidR="004272DB" w:rsidRPr="008C3960">
        <w:rPr>
          <w:rFonts w:ascii="Times New Roman" w:eastAsia="Times New Roman" w:hAnsi="Times New Roman" w:cs="Times New Roman"/>
          <w:sz w:val="24"/>
          <w:szCs w:val="24"/>
        </w:rPr>
        <w:t>договор</w:t>
      </w:r>
      <w:r w:rsidR="004272DB">
        <w:rPr>
          <w:rFonts w:ascii="Times New Roman" w:eastAsia="Times New Roman" w:hAnsi="Times New Roman" w:cs="Times New Roman"/>
          <w:sz w:val="24"/>
          <w:szCs w:val="24"/>
        </w:rPr>
        <w:t>ни условия</w:t>
      </w:r>
      <w:r w:rsidR="004272DB" w:rsidRPr="008C3960">
        <w:rPr>
          <w:rFonts w:ascii="Times New Roman" w:eastAsia="Times New Roman" w:hAnsi="Times New Roman" w:cs="Times New Roman"/>
          <w:sz w:val="24"/>
          <w:szCs w:val="24"/>
        </w:rPr>
        <w:t xml:space="preserve"> </w:t>
      </w:r>
      <w:r w:rsidRPr="008C3960">
        <w:rPr>
          <w:rFonts w:ascii="Times New Roman" w:eastAsia="Times New Roman" w:hAnsi="Times New Roman" w:cs="Times New Roman"/>
          <w:sz w:val="24"/>
          <w:szCs w:val="24"/>
        </w:rPr>
        <w:t xml:space="preserve">и вероятно </w:t>
      </w:r>
      <w:r w:rsidR="007703B1">
        <w:rPr>
          <w:rFonts w:ascii="Times New Roman" w:eastAsia="Times New Roman" w:hAnsi="Times New Roman" w:cs="Times New Roman"/>
          <w:sz w:val="24"/>
          <w:szCs w:val="24"/>
        </w:rPr>
        <w:t xml:space="preserve">от </w:t>
      </w:r>
      <w:r w:rsidRPr="008C3960">
        <w:rPr>
          <w:rFonts w:ascii="Times New Roman" w:eastAsia="Times New Roman" w:hAnsi="Times New Roman" w:cs="Times New Roman"/>
          <w:sz w:val="24"/>
          <w:szCs w:val="24"/>
        </w:rPr>
        <w:t>по-добри цени за своите продукти, ако законът работи</w:t>
      </w:r>
      <w:r w:rsidR="001A4CEE">
        <w:rPr>
          <w:rFonts w:ascii="Times New Roman" w:eastAsia="Times New Roman" w:hAnsi="Times New Roman" w:cs="Times New Roman"/>
          <w:sz w:val="24"/>
          <w:szCs w:val="24"/>
        </w:rPr>
        <w:t xml:space="preserve"> според предвиденото</w:t>
      </w:r>
      <w:r w:rsidRPr="008C3960">
        <w:rPr>
          <w:rFonts w:ascii="Times New Roman" w:eastAsia="Times New Roman" w:hAnsi="Times New Roman" w:cs="Times New Roman"/>
          <w:sz w:val="24"/>
          <w:szCs w:val="24"/>
        </w:rPr>
        <w:t xml:space="preserve">. </w:t>
      </w:r>
      <w:r w:rsidR="004B0D06" w:rsidRPr="004B0D06">
        <w:rPr>
          <w:rFonts w:ascii="Times New Roman" w:eastAsia="Times New Roman" w:hAnsi="Times New Roman" w:cs="Times New Roman"/>
          <w:sz w:val="24"/>
          <w:szCs w:val="24"/>
        </w:rPr>
        <w:t xml:space="preserve">Освен това, повишената прозрачност в търговските отношения може да доведе до по-стабилна бизнес среда и предвидимост за по-малките участници на пазара. В дългосрочен план, регулирането може да създаде стимули за </w:t>
      </w:r>
      <w:r w:rsidR="004272DB">
        <w:rPr>
          <w:rFonts w:ascii="Times New Roman" w:eastAsia="Times New Roman" w:hAnsi="Times New Roman" w:cs="Times New Roman"/>
          <w:sz w:val="24"/>
          <w:szCs w:val="24"/>
        </w:rPr>
        <w:t>по-</w:t>
      </w:r>
      <w:r w:rsidR="004B0D06" w:rsidRPr="004B0D06">
        <w:rPr>
          <w:rFonts w:ascii="Times New Roman" w:eastAsia="Times New Roman" w:hAnsi="Times New Roman" w:cs="Times New Roman"/>
          <w:sz w:val="24"/>
          <w:szCs w:val="24"/>
        </w:rPr>
        <w:t>устойчиви партньорства между производители и търговци.</w:t>
      </w:r>
      <w:r w:rsidR="004B0D06">
        <w:rPr>
          <w:rFonts w:ascii="Times New Roman" w:eastAsia="Times New Roman" w:hAnsi="Times New Roman" w:cs="Times New Roman"/>
          <w:sz w:val="24"/>
          <w:szCs w:val="24"/>
        </w:rPr>
        <w:t xml:space="preserve"> </w:t>
      </w:r>
      <w:r w:rsidR="004B0D06" w:rsidRPr="004B0D06">
        <w:rPr>
          <w:rFonts w:ascii="Times New Roman" w:eastAsia="Times New Roman" w:hAnsi="Times New Roman" w:cs="Times New Roman"/>
          <w:sz w:val="24"/>
          <w:szCs w:val="24"/>
        </w:rPr>
        <w:t>Това може</w:t>
      </w:r>
      <w:r w:rsidR="007703B1">
        <w:rPr>
          <w:rFonts w:ascii="Times New Roman" w:eastAsia="Times New Roman" w:hAnsi="Times New Roman" w:cs="Times New Roman"/>
          <w:sz w:val="24"/>
          <w:szCs w:val="24"/>
        </w:rPr>
        <w:t>,</w:t>
      </w:r>
      <w:r w:rsidR="004B0D06" w:rsidRPr="004B0D06">
        <w:rPr>
          <w:rFonts w:ascii="Times New Roman" w:eastAsia="Times New Roman" w:hAnsi="Times New Roman" w:cs="Times New Roman"/>
          <w:sz w:val="24"/>
          <w:szCs w:val="24"/>
        </w:rPr>
        <w:t xml:space="preserve"> също така</w:t>
      </w:r>
      <w:r w:rsidR="007703B1">
        <w:rPr>
          <w:rFonts w:ascii="Times New Roman" w:eastAsia="Times New Roman" w:hAnsi="Times New Roman" w:cs="Times New Roman"/>
          <w:sz w:val="24"/>
          <w:szCs w:val="24"/>
        </w:rPr>
        <w:t>,</w:t>
      </w:r>
      <w:r w:rsidR="004B0D06" w:rsidRPr="004B0D06">
        <w:rPr>
          <w:rFonts w:ascii="Times New Roman" w:eastAsia="Times New Roman" w:hAnsi="Times New Roman" w:cs="Times New Roman"/>
          <w:sz w:val="24"/>
          <w:szCs w:val="24"/>
        </w:rPr>
        <w:t xml:space="preserve"> да насърчи иновации и организационно укрепване сред МСП, които ще търсят адаптивни решения за да отговорят на новите изисквания. </w:t>
      </w:r>
      <w:r w:rsidRPr="008C3960">
        <w:rPr>
          <w:rFonts w:ascii="Times New Roman" w:eastAsia="Times New Roman" w:hAnsi="Times New Roman" w:cs="Times New Roman"/>
          <w:sz w:val="24"/>
          <w:szCs w:val="24"/>
        </w:rPr>
        <w:t xml:space="preserve">Но </w:t>
      </w:r>
      <w:r>
        <w:rPr>
          <w:rFonts w:ascii="Times New Roman" w:eastAsia="Times New Roman" w:hAnsi="Times New Roman" w:cs="Times New Roman"/>
          <w:sz w:val="24"/>
          <w:szCs w:val="24"/>
        </w:rPr>
        <w:t>съществува</w:t>
      </w:r>
      <w:r w:rsidR="004272DB">
        <w:rPr>
          <w:rFonts w:ascii="Times New Roman" w:eastAsia="Times New Roman" w:hAnsi="Times New Roman" w:cs="Times New Roman"/>
          <w:sz w:val="24"/>
          <w:szCs w:val="24"/>
        </w:rPr>
        <w:t xml:space="preserve"> и</w:t>
      </w:r>
      <w:r>
        <w:rPr>
          <w:rFonts w:ascii="Times New Roman" w:eastAsia="Times New Roman" w:hAnsi="Times New Roman" w:cs="Times New Roman"/>
          <w:b/>
          <w:bCs/>
          <w:sz w:val="24"/>
          <w:szCs w:val="24"/>
        </w:rPr>
        <w:t xml:space="preserve"> </w:t>
      </w:r>
      <w:r w:rsidRPr="005207B9">
        <w:rPr>
          <w:rFonts w:ascii="Times New Roman" w:eastAsia="Times New Roman" w:hAnsi="Times New Roman" w:cs="Times New Roman"/>
          <w:bCs/>
          <w:sz w:val="24"/>
          <w:szCs w:val="24"/>
        </w:rPr>
        <w:t>риск</w:t>
      </w:r>
      <w:r w:rsidR="001A4CEE">
        <w:rPr>
          <w:rFonts w:ascii="Times New Roman" w:eastAsia="Times New Roman" w:hAnsi="Times New Roman" w:cs="Times New Roman"/>
          <w:bCs/>
          <w:sz w:val="24"/>
          <w:szCs w:val="24"/>
        </w:rPr>
        <w:t xml:space="preserve"> от непредвидени негативни последици</w:t>
      </w:r>
      <w:r>
        <w:rPr>
          <w:rFonts w:ascii="Times New Roman" w:eastAsia="Times New Roman" w:hAnsi="Times New Roman" w:cs="Times New Roman"/>
          <w:bCs/>
          <w:sz w:val="24"/>
          <w:szCs w:val="24"/>
        </w:rPr>
        <w:t xml:space="preserve"> и неговото въздействие може да се оцени като </w:t>
      </w:r>
      <w:r w:rsidRPr="00273BF2">
        <w:rPr>
          <w:rFonts w:ascii="Times New Roman" w:eastAsia="Times New Roman" w:hAnsi="Times New Roman" w:cs="Times New Roman"/>
          <w:bCs/>
          <w:sz w:val="24"/>
          <w:szCs w:val="24"/>
        </w:rPr>
        <w:t xml:space="preserve">високо </w:t>
      </w:r>
      <w:r w:rsidRPr="00273BF2">
        <w:rPr>
          <w:rFonts w:ascii="Times New Roman" w:eastAsia="Times New Roman" w:hAnsi="Times New Roman" w:cs="Times New Roman"/>
          <w:sz w:val="24"/>
          <w:szCs w:val="24"/>
        </w:rPr>
        <w:t>(I=4)</w:t>
      </w:r>
      <w:r>
        <w:rPr>
          <w:rFonts w:ascii="Times New Roman" w:eastAsia="Times New Roman" w:hAnsi="Times New Roman" w:cs="Times New Roman"/>
          <w:sz w:val="24"/>
          <w:szCs w:val="24"/>
        </w:rPr>
        <w:t xml:space="preserve">. </w:t>
      </w:r>
      <w:r w:rsidR="004272DB">
        <w:rPr>
          <w:rFonts w:ascii="Times New Roman" w:eastAsia="Times New Roman" w:hAnsi="Times New Roman" w:cs="Times New Roman"/>
          <w:sz w:val="24"/>
          <w:szCs w:val="24"/>
        </w:rPr>
        <w:t>В този случай,</w:t>
      </w:r>
      <w:r w:rsidRPr="005207B9">
        <w:rPr>
          <w:rFonts w:ascii="Times New Roman" w:eastAsia="Times New Roman" w:hAnsi="Times New Roman" w:cs="Times New Roman"/>
          <w:sz w:val="24"/>
          <w:szCs w:val="24"/>
        </w:rPr>
        <w:t xml:space="preserve"> най-малките </w:t>
      </w:r>
      <w:r w:rsidR="00B877DF">
        <w:rPr>
          <w:rFonts w:ascii="Times New Roman" w:eastAsia="Times New Roman" w:hAnsi="Times New Roman" w:cs="Times New Roman"/>
          <w:sz w:val="24"/>
          <w:szCs w:val="24"/>
        </w:rPr>
        <w:t>производители</w:t>
      </w:r>
      <w:r w:rsidR="00B877DF" w:rsidRPr="005207B9">
        <w:rPr>
          <w:rFonts w:ascii="Times New Roman" w:eastAsia="Times New Roman" w:hAnsi="Times New Roman" w:cs="Times New Roman"/>
          <w:sz w:val="24"/>
          <w:szCs w:val="24"/>
        </w:rPr>
        <w:t xml:space="preserve"> </w:t>
      </w:r>
      <w:r w:rsidRPr="005207B9">
        <w:rPr>
          <w:rFonts w:ascii="Times New Roman" w:eastAsia="Times New Roman" w:hAnsi="Times New Roman" w:cs="Times New Roman"/>
          <w:sz w:val="24"/>
          <w:szCs w:val="24"/>
        </w:rPr>
        <w:t xml:space="preserve">или дребните търговци може да </w:t>
      </w:r>
      <w:r w:rsidR="004272DB">
        <w:rPr>
          <w:rFonts w:ascii="Times New Roman" w:eastAsia="Times New Roman" w:hAnsi="Times New Roman" w:cs="Times New Roman"/>
          <w:sz w:val="24"/>
          <w:szCs w:val="24"/>
        </w:rPr>
        <w:t>изпитат затруднение</w:t>
      </w:r>
      <w:r w:rsidRPr="005207B9">
        <w:rPr>
          <w:rFonts w:ascii="Times New Roman" w:eastAsia="Times New Roman" w:hAnsi="Times New Roman" w:cs="Times New Roman"/>
          <w:sz w:val="24"/>
          <w:szCs w:val="24"/>
        </w:rPr>
        <w:t xml:space="preserve"> </w:t>
      </w:r>
      <w:r w:rsidR="004272DB">
        <w:rPr>
          <w:rFonts w:ascii="Times New Roman" w:eastAsia="Times New Roman" w:hAnsi="Times New Roman" w:cs="Times New Roman"/>
          <w:sz w:val="24"/>
          <w:szCs w:val="24"/>
        </w:rPr>
        <w:t>от</w:t>
      </w:r>
      <w:r w:rsidR="004272DB" w:rsidRPr="005207B9">
        <w:rPr>
          <w:rFonts w:ascii="Times New Roman" w:eastAsia="Times New Roman" w:hAnsi="Times New Roman" w:cs="Times New Roman"/>
          <w:sz w:val="24"/>
          <w:szCs w:val="24"/>
        </w:rPr>
        <w:t xml:space="preserve"> </w:t>
      </w:r>
      <w:r w:rsidRPr="005207B9">
        <w:rPr>
          <w:rFonts w:ascii="Times New Roman" w:eastAsia="Times New Roman" w:hAnsi="Times New Roman" w:cs="Times New Roman"/>
          <w:sz w:val="24"/>
          <w:szCs w:val="24"/>
        </w:rPr>
        <w:t xml:space="preserve">разходите за </w:t>
      </w:r>
      <w:r w:rsidR="007703B1">
        <w:rPr>
          <w:rFonts w:ascii="Times New Roman" w:eastAsia="Times New Roman" w:hAnsi="Times New Roman" w:cs="Times New Roman"/>
          <w:sz w:val="24"/>
          <w:szCs w:val="24"/>
        </w:rPr>
        <w:t>спазване (</w:t>
      </w:r>
      <w:r w:rsidRPr="005207B9">
        <w:rPr>
          <w:rFonts w:ascii="Times New Roman" w:eastAsia="Times New Roman" w:hAnsi="Times New Roman" w:cs="Times New Roman"/>
          <w:sz w:val="24"/>
          <w:szCs w:val="24"/>
        </w:rPr>
        <w:t>съответствие</w:t>
      </w:r>
      <w:r w:rsidR="007703B1">
        <w:rPr>
          <w:rFonts w:ascii="Times New Roman" w:eastAsia="Times New Roman" w:hAnsi="Times New Roman" w:cs="Times New Roman"/>
          <w:sz w:val="24"/>
          <w:szCs w:val="24"/>
        </w:rPr>
        <w:t>)</w:t>
      </w:r>
      <w:r w:rsidRPr="005207B9">
        <w:rPr>
          <w:rFonts w:ascii="Times New Roman" w:eastAsia="Times New Roman" w:hAnsi="Times New Roman" w:cs="Times New Roman"/>
          <w:sz w:val="24"/>
          <w:szCs w:val="24"/>
        </w:rPr>
        <w:t xml:space="preserve"> </w:t>
      </w:r>
      <w:r w:rsidR="004272DB">
        <w:rPr>
          <w:rFonts w:ascii="Times New Roman" w:eastAsia="Times New Roman" w:hAnsi="Times New Roman" w:cs="Times New Roman"/>
          <w:sz w:val="24"/>
          <w:szCs w:val="24"/>
        </w:rPr>
        <w:t xml:space="preserve">с новите правила </w:t>
      </w:r>
      <w:r w:rsidRPr="005207B9">
        <w:rPr>
          <w:rFonts w:ascii="Times New Roman" w:eastAsia="Times New Roman" w:hAnsi="Times New Roman" w:cs="Times New Roman"/>
          <w:sz w:val="24"/>
          <w:szCs w:val="24"/>
        </w:rPr>
        <w:t>или да бъдат отстранени от по-големите играчи, коригиращи</w:t>
      </w:r>
      <w:r w:rsidR="0007276C">
        <w:rPr>
          <w:rFonts w:ascii="Times New Roman" w:eastAsia="Times New Roman" w:hAnsi="Times New Roman" w:cs="Times New Roman"/>
          <w:sz w:val="24"/>
          <w:szCs w:val="24"/>
        </w:rPr>
        <w:t xml:space="preserve"> търговските си</w:t>
      </w:r>
      <w:r w:rsidRPr="005207B9">
        <w:rPr>
          <w:rFonts w:ascii="Times New Roman" w:eastAsia="Times New Roman" w:hAnsi="Times New Roman" w:cs="Times New Roman"/>
          <w:sz w:val="24"/>
          <w:szCs w:val="24"/>
        </w:rPr>
        <w:t xml:space="preserve"> стратегии</w:t>
      </w:r>
      <w:r w:rsidR="001A4CEE">
        <w:rPr>
          <w:rFonts w:ascii="Times New Roman" w:eastAsia="Times New Roman" w:hAnsi="Times New Roman" w:cs="Times New Roman"/>
          <w:sz w:val="24"/>
          <w:szCs w:val="24"/>
        </w:rPr>
        <w:t xml:space="preserve"> при адаптиране към този по-комплексен по своя характер вариант</w:t>
      </w:r>
      <w:r w:rsidRPr="005207B9">
        <w:rPr>
          <w:rFonts w:ascii="Times New Roman" w:eastAsia="Times New Roman" w:hAnsi="Times New Roman" w:cs="Times New Roman"/>
          <w:sz w:val="24"/>
          <w:szCs w:val="24"/>
        </w:rPr>
        <w:t xml:space="preserve">. </w:t>
      </w:r>
      <w:r w:rsidRPr="008C3960">
        <w:rPr>
          <w:rFonts w:ascii="Times New Roman" w:eastAsia="Times New Roman" w:hAnsi="Times New Roman" w:cs="Times New Roman"/>
          <w:sz w:val="24"/>
          <w:szCs w:val="24"/>
        </w:rPr>
        <w:t>По този начин</w:t>
      </w:r>
      <w:r>
        <w:rPr>
          <w:rFonts w:ascii="Times New Roman" w:eastAsia="Times New Roman" w:hAnsi="Times New Roman" w:cs="Times New Roman"/>
          <w:sz w:val="24"/>
          <w:szCs w:val="24"/>
        </w:rPr>
        <w:t xml:space="preserve"> по тази категория </w:t>
      </w:r>
      <w:r w:rsidR="007703B1">
        <w:rPr>
          <w:rFonts w:ascii="Times New Roman" w:eastAsia="Times New Roman" w:hAnsi="Times New Roman" w:cs="Times New Roman"/>
          <w:sz w:val="24"/>
          <w:szCs w:val="24"/>
        </w:rPr>
        <w:t xml:space="preserve">на варианта </w:t>
      </w:r>
      <w:r>
        <w:rPr>
          <w:rFonts w:ascii="Times New Roman" w:eastAsia="Times New Roman" w:hAnsi="Times New Roman" w:cs="Times New Roman"/>
          <w:sz w:val="24"/>
          <w:szCs w:val="24"/>
        </w:rPr>
        <w:t xml:space="preserve">може да се определи </w:t>
      </w:r>
      <w:r w:rsidR="007703B1" w:rsidRPr="007703B1">
        <w:rPr>
          <w:rFonts w:ascii="Times New Roman" w:eastAsia="Times New Roman" w:hAnsi="Times New Roman" w:cs="Times New Roman"/>
          <w:b/>
          <w:sz w:val="24"/>
          <w:szCs w:val="24"/>
        </w:rPr>
        <w:t>обща оценка на риска</w:t>
      </w:r>
      <w:r w:rsidR="00A5236A">
        <w:rPr>
          <w:rFonts w:ascii="Times New Roman" w:eastAsia="Times New Roman" w:hAnsi="Times New Roman" w:cs="Times New Roman"/>
          <w:b/>
          <w:sz w:val="24"/>
          <w:szCs w:val="24"/>
        </w:rPr>
        <w:t xml:space="preserve"> </w:t>
      </w:r>
      <w:r w:rsidR="00A5236A" w:rsidRPr="005207B9">
        <w:rPr>
          <w:rFonts w:ascii="Times New Roman" w:eastAsia="Times New Roman" w:hAnsi="Times New Roman" w:cs="Times New Roman"/>
          <w:bCs/>
          <w:sz w:val="24"/>
          <w:szCs w:val="24"/>
        </w:rPr>
        <w:t>(3×4)</w:t>
      </w:r>
      <w:r w:rsidR="007703B1" w:rsidRPr="007703B1">
        <w:rPr>
          <w:rFonts w:ascii="Times New Roman" w:eastAsia="Times New Roman" w:hAnsi="Times New Roman" w:cs="Times New Roman"/>
          <w:b/>
          <w:sz w:val="24"/>
          <w:szCs w:val="24"/>
        </w:rPr>
        <w:t xml:space="preserve"> = </w:t>
      </w:r>
      <w:r w:rsidRPr="007703B1">
        <w:rPr>
          <w:rFonts w:ascii="Times New Roman" w:eastAsia="Times New Roman" w:hAnsi="Times New Roman" w:cs="Times New Roman"/>
          <w:b/>
          <w:bCs/>
          <w:sz w:val="24"/>
          <w:szCs w:val="24"/>
        </w:rPr>
        <w:t>12</w:t>
      </w:r>
      <w:r w:rsidRPr="005207B9">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w:t>
      </w:r>
    </w:p>
    <w:p w14:paraId="0BA9B5BE"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p>
    <w:p w14:paraId="08ADF2F9" w14:textId="77777777" w:rsidR="00E16161" w:rsidRDefault="00E16161" w:rsidP="00E16161">
      <w:pPr>
        <w:spacing w:after="0" w:line="240" w:lineRule="auto"/>
        <w:ind w:firstLine="567"/>
        <w:jc w:val="both"/>
        <w:rPr>
          <w:rFonts w:ascii="Times New Roman" w:eastAsia="Times New Roman" w:hAnsi="Times New Roman" w:cs="Times New Roman"/>
          <w:i/>
          <w:iCs/>
          <w:sz w:val="24"/>
          <w:szCs w:val="24"/>
        </w:rPr>
      </w:pPr>
      <w:r w:rsidRPr="005207B9">
        <w:rPr>
          <w:rFonts w:ascii="Times New Roman" w:eastAsia="Times New Roman" w:hAnsi="Times New Roman" w:cs="Times New Roman"/>
          <w:b/>
          <w:bCs/>
          <w:i/>
          <w:sz w:val="24"/>
          <w:szCs w:val="24"/>
        </w:rPr>
        <w:t>3.3. Изкривявания на пазара/непредвидени икономически последици:</w:t>
      </w:r>
      <w:r w:rsidRPr="005207B9">
        <w:rPr>
          <w:rFonts w:ascii="Times New Roman" w:eastAsia="Times New Roman" w:hAnsi="Times New Roman" w:cs="Times New Roman"/>
          <w:b/>
          <w:i/>
          <w:sz w:val="24"/>
          <w:szCs w:val="24"/>
        </w:rPr>
        <w:t xml:space="preserve"> </w:t>
      </w:r>
      <w:r w:rsidRPr="005207B9">
        <w:rPr>
          <w:rFonts w:ascii="Times New Roman" w:eastAsia="Times New Roman" w:hAnsi="Times New Roman" w:cs="Times New Roman"/>
          <w:b/>
          <w:i/>
          <w:iCs/>
          <w:sz w:val="24"/>
          <w:szCs w:val="24"/>
        </w:rPr>
        <w:t>Висок риск</w:t>
      </w:r>
    </w:p>
    <w:p w14:paraId="0532E363" w14:textId="4EB9C7FE" w:rsidR="00F4450D" w:rsidRPr="00F4450D" w:rsidRDefault="00F4450D" w:rsidP="00F4450D">
      <w:pPr>
        <w:spacing w:after="0" w:line="240" w:lineRule="auto"/>
        <w:ind w:firstLine="567"/>
        <w:jc w:val="both"/>
        <w:rPr>
          <w:rFonts w:ascii="Times New Roman" w:eastAsia="Times New Roman" w:hAnsi="Times New Roman" w:cs="Times New Roman"/>
          <w:sz w:val="24"/>
          <w:szCs w:val="24"/>
        </w:rPr>
      </w:pPr>
      <w:r w:rsidRPr="00F4450D">
        <w:rPr>
          <w:rFonts w:ascii="Times New Roman" w:eastAsia="Times New Roman" w:hAnsi="Times New Roman" w:cs="Times New Roman"/>
          <w:sz w:val="24"/>
          <w:szCs w:val="24"/>
        </w:rPr>
        <w:t>Вариант 3 има за цел да засили позицията на местните производители и да гарантира по-</w:t>
      </w:r>
      <w:r w:rsidR="007703B1">
        <w:rPr>
          <w:rFonts w:ascii="Times New Roman" w:eastAsia="Times New Roman" w:hAnsi="Times New Roman" w:cs="Times New Roman"/>
          <w:sz w:val="24"/>
          <w:szCs w:val="24"/>
        </w:rPr>
        <w:t>честни</w:t>
      </w:r>
      <w:r w:rsidRPr="00F4450D">
        <w:rPr>
          <w:rFonts w:ascii="Times New Roman" w:eastAsia="Times New Roman" w:hAnsi="Times New Roman" w:cs="Times New Roman"/>
          <w:sz w:val="24"/>
          <w:szCs w:val="24"/>
        </w:rPr>
        <w:t xml:space="preserve"> условия в търговията с първични селскостопански продукти</w:t>
      </w:r>
      <w:r w:rsidR="007703B1">
        <w:rPr>
          <w:rFonts w:ascii="Times New Roman" w:eastAsia="Times New Roman" w:hAnsi="Times New Roman" w:cs="Times New Roman"/>
          <w:sz w:val="24"/>
          <w:szCs w:val="24"/>
        </w:rPr>
        <w:t xml:space="preserve"> и храни</w:t>
      </w:r>
      <w:r w:rsidRPr="00F4450D">
        <w:rPr>
          <w:rFonts w:ascii="Times New Roman" w:eastAsia="Times New Roman" w:hAnsi="Times New Roman" w:cs="Times New Roman"/>
          <w:sz w:val="24"/>
          <w:szCs w:val="24"/>
        </w:rPr>
        <w:t xml:space="preserve">. </w:t>
      </w:r>
      <w:r w:rsidR="004272DB">
        <w:rPr>
          <w:rFonts w:ascii="Times New Roman" w:eastAsia="Times New Roman" w:hAnsi="Times New Roman" w:cs="Times New Roman"/>
          <w:sz w:val="24"/>
          <w:szCs w:val="24"/>
        </w:rPr>
        <w:t>П</w:t>
      </w:r>
      <w:r w:rsidRPr="00F4450D">
        <w:rPr>
          <w:rFonts w:ascii="Times New Roman" w:eastAsia="Times New Roman" w:hAnsi="Times New Roman" w:cs="Times New Roman"/>
          <w:sz w:val="24"/>
          <w:szCs w:val="24"/>
        </w:rPr>
        <w:t>редлаганите мерки биха могли да доведат до по-стабилни и дългосрочни отношения между производители и търговци, както и до намаляване на нелоялните</w:t>
      </w:r>
      <w:r w:rsidR="001A4CEE">
        <w:rPr>
          <w:rFonts w:ascii="Times New Roman" w:eastAsia="Times New Roman" w:hAnsi="Times New Roman" w:cs="Times New Roman"/>
          <w:sz w:val="24"/>
          <w:szCs w:val="24"/>
        </w:rPr>
        <w:t xml:space="preserve"> търговски</w:t>
      </w:r>
      <w:r w:rsidRPr="00F4450D">
        <w:rPr>
          <w:rFonts w:ascii="Times New Roman" w:eastAsia="Times New Roman" w:hAnsi="Times New Roman" w:cs="Times New Roman"/>
          <w:sz w:val="24"/>
          <w:szCs w:val="24"/>
        </w:rPr>
        <w:t xml:space="preserve"> практики, които ощетяват по-слабите участници на пазара. Освен това, </w:t>
      </w:r>
      <w:r w:rsidR="001A4CEE">
        <w:rPr>
          <w:rFonts w:ascii="Times New Roman" w:eastAsia="Times New Roman" w:hAnsi="Times New Roman" w:cs="Times New Roman"/>
          <w:sz w:val="24"/>
          <w:szCs w:val="24"/>
        </w:rPr>
        <w:t>вариантът носи най-високия потенциал да</w:t>
      </w:r>
      <w:r w:rsidRPr="00F4450D">
        <w:rPr>
          <w:rFonts w:ascii="Times New Roman" w:eastAsia="Times New Roman" w:hAnsi="Times New Roman" w:cs="Times New Roman"/>
          <w:sz w:val="24"/>
          <w:szCs w:val="24"/>
        </w:rPr>
        <w:t xml:space="preserve"> увеличи дела на добавената стойност, която остава при местните производители, и да допринесе за икономическото укрепване на селските райони.</w:t>
      </w:r>
    </w:p>
    <w:p w14:paraId="144EEFBC" w14:textId="0C69F036" w:rsidR="00E16161" w:rsidRDefault="00F4450D" w:rsidP="00F4450D">
      <w:pPr>
        <w:spacing w:after="0" w:line="240" w:lineRule="auto"/>
        <w:ind w:firstLine="567"/>
        <w:jc w:val="both"/>
        <w:rPr>
          <w:rFonts w:ascii="Times New Roman" w:eastAsia="Times New Roman" w:hAnsi="Times New Roman" w:cs="Times New Roman"/>
          <w:sz w:val="24"/>
          <w:szCs w:val="24"/>
        </w:rPr>
      </w:pPr>
      <w:r w:rsidRPr="007703B1">
        <w:rPr>
          <w:rFonts w:ascii="Times New Roman" w:eastAsia="Times New Roman" w:hAnsi="Times New Roman" w:cs="Times New Roman"/>
          <w:sz w:val="24"/>
          <w:szCs w:val="24"/>
        </w:rPr>
        <w:t xml:space="preserve">Въпреки това, </w:t>
      </w:r>
      <w:r w:rsidR="00E16161" w:rsidRPr="007703B1">
        <w:rPr>
          <w:rFonts w:ascii="Times New Roman" w:eastAsia="Times New Roman" w:hAnsi="Times New Roman" w:cs="Times New Roman"/>
          <w:sz w:val="24"/>
          <w:szCs w:val="24"/>
        </w:rPr>
        <w:t>със своята широкообхватна държавна намеса,</w:t>
      </w:r>
      <w:r w:rsidRPr="007703B1">
        <w:rPr>
          <w:rFonts w:ascii="Times New Roman" w:eastAsia="Times New Roman" w:hAnsi="Times New Roman" w:cs="Times New Roman"/>
          <w:sz w:val="24"/>
          <w:szCs w:val="24"/>
        </w:rPr>
        <w:t xml:space="preserve"> </w:t>
      </w:r>
      <w:r w:rsidR="001A4CEE" w:rsidRPr="007703B1">
        <w:rPr>
          <w:rFonts w:ascii="Times New Roman" w:eastAsia="Times New Roman" w:hAnsi="Times New Roman" w:cs="Times New Roman"/>
          <w:sz w:val="24"/>
          <w:szCs w:val="24"/>
        </w:rPr>
        <w:t xml:space="preserve">той </w:t>
      </w:r>
      <w:r w:rsidR="00E16161" w:rsidRPr="007703B1">
        <w:rPr>
          <w:rFonts w:ascii="Times New Roman" w:eastAsia="Times New Roman" w:hAnsi="Times New Roman" w:cs="Times New Roman"/>
          <w:sz w:val="24"/>
          <w:szCs w:val="24"/>
        </w:rPr>
        <w:t xml:space="preserve">може </w:t>
      </w:r>
      <w:r w:rsidR="00E16161" w:rsidRPr="007703B1">
        <w:rPr>
          <w:rFonts w:ascii="Times New Roman" w:eastAsia="Times New Roman" w:hAnsi="Times New Roman" w:cs="Times New Roman"/>
          <w:bCs/>
          <w:sz w:val="24"/>
          <w:szCs w:val="24"/>
        </w:rPr>
        <w:t>да промени динамиката на пазара</w:t>
      </w:r>
      <w:r w:rsidR="00E16161" w:rsidRPr="007703B1">
        <w:rPr>
          <w:rFonts w:ascii="Times New Roman" w:eastAsia="Times New Roman" w:hAnsi="Times New Roman" w:cs="Times New Roman"/>
          <w:sz w:val="24"/>
          <w:szCs w:val="24"/>
        </w:rPr>
        <w:t>, потенциално</w:t>
      </w:r>
      <w:r w:rsidRPr="007703B1">
        <w:rPr>
          <w:rFonts w:ascii="Times New Roman" w:eastAsia="Times New Roman" w:hAnsi="Times New Roman" w:cs="Times New Roman"/>
          <w:sz w:val="24"/>
          <w:szCs w:val="24"/>
        </w:rPr>
        <w:t xml:space="preserve"> и</w:t>
      </w:r>
      <w:r w:rsidR="00E16161" w:rsidRPr="007703B1">
        <w:rPr>
          <w:rFonts w:ascii="Times New Roman" w:eastAsia="Times New Roman" w:hAnsi="Times New Roman" w:cs="Times New Roman"/>
          <w:sz w:val="24"/>
          <w:szCs w:val="24"/>
        </w:rPr>
        <w:t xml:space="preserve"> по </w:t>
      </w:r>
      <w:r w:rsidR="001A4CEE" w:rsidRPr="007703B1">
        <w:rPr>
          <w:rFonts w:ascii="Times New Roman" w:eastAsia="Times New Roman" w:hAnsi="Times New Roman" w:cs="Times New Roman"/>
          <w:sz w:val="24"/>
          <w:szCs w:val="24"/>
        </w:rPr>
        <w:t xml:space="preserve">нежелателни </w:t>
      </w:r>
      <w:r w:rsidR="00E16161" w:rsidRPr="007703B1">
        <w:rPr>
          <w:rFonts w:ascii="Times New Roman" w:eastAsia="Times New Roman" w:hAnsi="Times New Roman" w:cs="Times New Roman"/>
          <w:sz w:val="24"/>
          <w:szCs w:val="24"/>
        </w:rPr>
        <w:t xml:space="preserve">начини. </w:t>
      </w:r>
      <w:r w:rsidR="001A4CEE" w:rsidRPr="007703B1">
        <w:rPr>
          <w:rFonts w:ascii="Times New Roman" w:eastAsia="Times New Roman" w:hAnsi="Times New Roman" w:cs="Times New Roman"/>
          <w:sz w:val="24"/>
          <w:szCs w:val="24"/>
        </w:rPr>
        <w:t xml:space="preserve">Вариант 3 </w:t>
      </w:r>
      <w:r w:rsidR="00E16161" w:rsidRPr="007703B1">
        <w:rPr>
          <w:rFonts w:ascii="Times New Roman" w:eastAsia="Times New Roman" w:hAnsi="Times New Roman" w:cs="Times New Roman"/>
          <w:sz w:val="24"/>
          <w:szCs w:val="24"/>
        </w:rPr>
        <w:t>набляга</w:t>
      </w:r>
      <w:r w:rsidR="003E3521" w:rsidRPr="007703B1">
        <w:rPr>
          <w:rFonts w:ascii="Times New Roman" w:eastAsia="Times New Roman" w:hAnsi="Times New Roman" w:cs="Times New Roman"/>
          <w:sz w:val="24"/>
          <w:szCs w:val="24"/>
        </w:rPr>
        <w:t xml:space="preserve"> силно</w:t>
      </w:r>
      <w:r w:rsidR="00E16161" w:rsidRPr="007703B1">
        <w:rPr>
          <w:rFonts w:ascii="Times New Roman" w:eastAsia="Times New Roman" w:hAnsi="Times New Roman" w:cs="Times New Roman"/>
          <w:sz w:val="24"/>
          <w:szCs w:val="24"/>
        </w:rPr>
        <w:t xml:space="preserve"> на подпомагането на българските производители.</w:t>
      </w:r>
      <w:r w:rsidR="00E16161" w:rsidRPr="005207B9">
        <w:rPr>
          <w:rFonts w:ascii="Times New Roman" w:eastAsia="Times New Roman" w:hAnsi="Times New Roman" w:cs="Times New Roman"/>
          <w:sz w:val="24"/>
          <w:szCs w:val="24"/>
        </w:rPr>
        <w:t xml:space="preserve"> </w:t>
      </w:r>
      <w:r w:rsidR="004272DB">
        <w:rPr>
          <w:rFonts w:ascii="Times New Roman" w:eastAsia="Times New Roman" w:hAnsi="Times New Roman" w:cs="Times New Roman"/>
          <w:sz w:val="24"/>
          <w:szCs w:val="24"/>
        </w:rPr>
        <w:t xml:space="preserve">В някои от становищата </w:t>
      </w:r>
      <w:r w:rsidR="007703B1">
        <w:rPr>
          <w:rFonts w:ascii="Times New Roman" w:eastAsia="Times New Roman" w:hAnsi="Times New Roman" w:cs="Times New Roman"/>
          <w:sz w:val="24"/>
          <w:szCs w:val="24"/>
        </w:rPr>
        <w:t xml:space="preserve">на заинтересованите страни </w:t>
      </w:r>
      <w:r w:rsidR="004272DB">
        <w:rPr>
          <w:rFonts w:ascii="Times New Roman" w:eastAsia="Times New Roman" w:hAnsi="Times New Roman" w:cs="Times New Roman"/>
          <w:sz w:val="24"/>
          <w:szCs w:val="24"/>
        </w:rPr>
        <w:t>се</w:t>
      </w:r>
      <w:r w:rsidR="00E16161" w:rsidRPr="005207B9">
        <w:rPr>
          <w:rFonts w:ascii="Times New Roman" w:eastAsia="Times New Roman" w:hAnsi="Times New Roman" w:cs="Times New Roman"/>
          <w:bCs/>
          <w:sz w:val="24"/>
          <w:szCs w:val="24"/>
        </w:rPr>
        <w:t xml:space="preserve"> </w:t>
      </w:r>
      <w:r w:rsidR="00E16161" w:rsidRPr="005207B9">
        <w:rPr>
          <w:rFonts w:ascii="Times New Roman" w:eastAsia="Times New Roman" w:hAnsi="Times New Roman" w:cs="Times New Roman"/>
          <w:sz w:val="24"/>
          <w:szCs w:val="24"/>
        </w:rPr>
        <w:t>отбелязва липсата на анализ</w:t>
      </w:r>
      <w:r w:rsidR="004272DB">
        <w:rPr>
          <w:rFonts w:ascii="Times New Roman" w:eastAsia="Times New Roman" w:hAnsi="Times New Roman" w:cs="Times New Roman"/>
          <w:sz w:val="24"/>
          <w:szCs w:val="24"/>
        </w:rPr>
        <w:t xml:space="preserve"> </w:t>
      </w:r>
      <w:r w:rsidR="00E16161" w:rsidRPr="005207B9">
        <w:rPr>
          <w:rFonts w:ascii="Times New Roman" w:eastAsia="Times New Roman" w:hAnsi="Times New Roman" w:cs="Times New Roman"/>
          <w:sz w:val="24"/>
          <w:szCs w:val="24"/>
        </w:rPr>
        <w:t>дали има достатъчно местно предлагане във всяка категория, така че търговците на дребно да отговарят на тези изисквания. Налагането на квота без съответстващо предлагане може да доведе до изчерпване на запасите или да принуди търговците на дребно да купуват неоптимални</w:t>
      </w:r>
      <w:r w:rsidR="003E3521">
        <w:rPr>
          <w:rFonts w:ascii="Times New Roman" w:eastAsia="Times New Roman" w:hAnsi="Times New Roman" w:cs="Times New Roman"/>
          <w:sz w:val="24"/>
          <w:szCs w:val="24"/>
        </w:rPr>
        <w:t xml:space="preserve"> по качествата си</w:t>
      </w:r>
      <w:r w:rsidR="00E16161" w:rsidRPr="005207B9">
        <w:rPr>
          <w:rFonts w:ascii="Times New Roman" w:eastAsia="Times New Roman" w:hAnsi="Times New Roman" w:cs="Times New Roman"/>
          <w:sz w:val="24"/>
          <w:szCs w:val="24"/>
        </w:rPr>
        <w:t xml:space="preserve"> продукти, като по този начин </w:t>
      </w:r>
      <w:r w:rsidR="00E16161" w:rsidRPr="005207B9">
        <w:rPr>
          <w:rFonts w:ascii="Times New Roman" w:eastAsia="Times New Roman" w:hAnsi="Times New Roman" w:cs="Times New Roman"/>
          <w:bCs/>
          <w:sz w:val="24"/>
          <w:szCs w:val="24"/>
        </w:rPr>
        <w:t>изкривят нормалните решения по веригата на доставки</w:t>
      </w:r>
      <w:r w:rsidR="00E16161" w:rsidRPr="005207B9">
        <w:rPr>
          <w:rFonts w:ascii="Times New Roman" w:eastAsia="Times New Roman" w:hAnsi="Times New Roman" w:cs="Times New Roman"/>
          <w:sz w:val="24"/>
          <w:szCs w:val="24"/>
        </w:rPr>
        <w:t>. Освен това</w:t>
      </w:r>
      <w:r w:rsidR="004272DB">
        <w:rPr>
          <w:rFonts w:ascii="Times New Roman" w:eastAsia="Times New Roman" w:hAnsi="Times New Roman" w:cs="Times New Roman"/>
          <w:sz w:val="24"/>
          <w:szCs w:val="24"/>
        </w:rPr>
        <w:t xml:space="preserve"> някоя от мерките</w:t>
      </w:r>
      <w:r w:rsidR="00E16161" w:rsidRPr="005207B9">
        <w:rPr>
          <w:rFonts w:ascii="Times New Roman" w:eastAsia="Times New Roman" w:hAnsi="Times New Roman" w:cs="Times New Roman"/>
          <w:sz w:val="24"/>
          <w:szCs w:val="24"/>
        </w:rPr>
        <w:t xml:space="preserve"> може да противоречи на принципите на единния пазар на ЕС, ако на практи</w:t>
      </w:r>
      <w:r w:rsidR="00E16161">
        <w:rPr>
          <w:rFonts w:ascii="Times New Roman" w:eastAsia="Times New Roman" w:hAnsi="Times New Roman" w:cs="Times New Roman"/>
          <w:sz w:val="24"/>
          <w:szCs w:val="24"/>
        </w:rPr>
        <w:t xml:space="preserve">ка </w:t>
      </w:r>
      <w:r w:rsidR="003E3521">
        <w:rPr>
          <w:rFonts w:ascii="Times New Roman" w:eastAsia="Times New Roman" w:hAnsi="Times New Roman" w:cs="Times New Roman"/>
          <w:sz w:val="24"/>
          <w:szCs w:val="24"/>
        </w:rPr>
        <w:t xml:space="preserve">създаде географска бариера пред </w:t>
      </w:r>
      <w:r w:rsidR="00E16161">
        <w:rPr>
          <w:rFonts w:ascii="Times New Roman" w:eastAsia="Times New Roman" w:hAnsi="Times New Roman" w:cs="Times New Roman"/>
          <w:sz w:val="24"/>
          <w:szCs w:val="24"/>
        </w:rPr>
        <w:t>вносните стоки.</w:t>
      </w:r>
    </w:p>
    <w:p w14:paraId="334FB865" w14:textId="6E971590" w:rsidR="00E16161" w:rsidRDefault="00E16161" w:rsidP="00E16161">
      <w:pPr>
        <w:spacing w:after="0" w:line="240" w:lineRule="auto"/>
        <w:ind w:firstLine="567"/>
        <w:jc w:val="both"/>
        <w:rPr>
          <w:rFonts w:ascii="Times New Roman" w:eastAsia="Times New Roman" w:hAnsi="Times New Roman" w:cs="Times New Roman"/>
          <w:sz w:val="24"/>
          <w:szCs w:val="24"/>
        </w:rPr>
      </w:pPr>
      <w:r w:rsidRPr="005207B9">
        <w:rPr>
          <w:rFonts w:ascii="Times New Roman" w:eastAsia="Times New Roman" w:hAnsi="Times New Roman" w:cs="Times New Roman"/>
          <w:sz w:val="24"/>
          <w:szCs w:val="24"/>
        </w:rPr>
        <w:lastRenderedPageBreak/>
        <w:t xml:space="preserve">Забраната на „транзитни продажби“ (препродажба на продукти без значителна обработка) </w:t>
      </w:r>
      <w:r w:rsidR="003E3521">
        <w:rPr>
          <w:rFonts w:ascii="Times New Roman" w:eastAsia="Times New Roman" w:hAnsi="Times New Roman" w:cs="Times New Roman"/>
          <w:sz w:val="24"/>
          <w:szCs w:val="24"/>
        </w:rPr>
        <w:t xml:space="preserve">е друга мярка, която </w:t>
      </w:r>
      <w:r w:rsidRPr="005207B9">
        <w:rPr>
          <w:rFonts w:ascii="Times New Roman" w:eastAsia="Times New Roman" w:hAnsi="Times New Roman" w:cs="Times New Roman"/>
          <w:sz w:val="24"/>
          <w:szCs w:val="24"/>
        </w:rPr>
        <w:t>има за цел да попречи на посредниците да печелят неправомерно, но също така</w:t>
      </w:r>
      <w:r w:rsidR="004272DB">
        <w:rPr>
          <w:rFonts w:ascii="Times New Roman" w:eastAsia="Times New Roman" w:hAnsi="Times New Roman" w:cs="Times New Roman"/>
          <w:sz w:val="24"/>
          <w:szCs w:val="24"/>
        </w:rPr>
        <w:t xml:space="preserve"> носи потенциала да</w:t>
      </w:r>
      <w:r w:rsidRPr="005207B9">
        <w:rPr>
          <w:rFonts w:ascii="Times New Roman" w:eastAsia="Times New Roman" w:hAnsi="Times New Roman" w:cs="Times New Roman"/>
          <w:sz w:val="24"/>
          <w:szCs w:val="24"/>
        </w:rPr>
        <w:t xml:space="preserve"> </w:t>
      </w:r>
      <w:r w:rsidRPr="005207B9">
        <w:rPr>
          <w:rFonts w:ascii="Times New Roman" w:eastAsia="Times New Roman" w:hAnsi="Times New Roman" w:cs="Times New Roman"/>
          <w:bCs/>
          <w:sz w:val="24"/>
          <w:szCs w:val="24"/>
        </w:rPr>
        <w:t>постав</w:t>
      </w:r>
      <w:r w:rsidR="004272DB">
        <w:rPr>
          <w:rFonts w:ascii="Times New Roman" w:eastAsia="Times New Roman" w:hAnsi="Times New Roman" w:cs="Times New Roman"/>
          <w:bCs/>
          <w:sz w:val="24"/>
          <w:szCs w:val="24"/>
        </w:rPr>
        <w:t>и</w:t>
      </w:r>
      <w:r w:rsidRPr="005207B9">
        <w:rPr>
          <w:rFonts w:ascii="Times New Roman" w:eastAsia="Times New Roman" w:hAnsi="Times New Roman" w:cs="Times New Roman"/>
          <w:bCs/>
          <w:sz w:val="24"/>
          <w:szCs w:val="24"/>
        </w:rPr>
        <w:t xml:space="preserve"> извън правилата </w:t>
      </w:r>
      <w:r w:rsidR="007703B1">
        <w:rPr>
          <w:rFonts w:ascii="Times New Roman" w:eastAsia="Times New Roman" w:hAnsi="Times New Roman" w:cs="Times New Roman"/>
          <w:bCs/>
          <w:sz w:val="24"/>
          <w:szCs w:val="24"/>
        </w:rPr>
        <w:t xml:space="preserve">този вече установен в практиката </w:t>
      </w:r>
      <w:r w:rsidRPr="005207B9">
        <w:rPr>
          <w:rFonts w:ascii="Times New Roman" w:eastAsia="Times New Roman" w:hAnsi="Times New Roman" w:cs="Times New Roman"/>
          <w:bCs/>
          <w:sz w:val="24"/>
          <w:szCs w:val="24"/>
        </w:rPr>
        <w:t>бизнес модел</w:t>
      </w:r>
      <w:r w:rsidR="007703B1">
        <w:rPr>
          <w:rFonts w:ascii="Times New Roman" w:eastAsia="Times New Roman" w:hAnsi="Times New Roman" w:cs="Times New Roman"/>
          <w:bCs/>
          <w:sz w:val="24"/>
          <w:szCs w:val="24"/>
        </w:rPr>
        <w:t>и</w:t>
      </w:r>
      <w:r w:rsidRPr="005207B9">
        <w:rPr>
          <w:rFonts w:ascii="Times New Roman" w:eastAsia="Times New Roman" w:hAnsi="Times New Roman" w:cs="Times New Roman"/>
          <w:bCs/>
          <w:sz w:val="24"/>
          <w:szCs w:val="24"/>
        </w:rPr>
        <w:t xml:space="preserve"> </w:t>
      </w:r>
      <w:r w:rsidRPr="005207B9">
        <w:rPr>
          <w:rFonts w:ascii="Times New Roman" w:eastAsia="Times New Roman" w:hAnsi="Times New Roman" w:cs="Times New Roman"/>
          <w:sz w:val="24"/>
          <w:szCs w:val="24"/>
        </w:rPr>
        <w:t xml:space="preserve">при търговията с </w:t>
      </w:r>
      <w:r w:rsidR="007703B1">
        <w:rPr>
          <w:rFonts w:ascii="Times New Roman" w:eastAsia="Times New Roman" w:hAnsi="Times New Roman" w:cs="Times New Roman"/>
          <w:sz w:val="24"/>
          <w:szCs w:val="24"/>
        </w:rPr>
        <w:t xml:space="preserve">такива </w:t>
      </w:r>
      <w:r w:rsidRPr="005207B9">
        <w:rPr>
          <w:rFonts w:ascii="Times New Roman" w:eastAsia="Times New Roman" w:hAnsi="Times New Roman" w:cs="Times New Roman"/>
          <w:sz w:val="24"/>
          <w:szCs w:val="24"/>
        </w:rPr>
        <w:t>продукти</w:t>
      </w:r>
      <w:r w:rsidR="004272DB">
        <w:rPr>
          <w:rFonts w:ascii="Times New Roman" w:eastAsia="Times New Roman" w:hAnsi="Times New Roman" w:cs="Times New Roman"/>
          <w:sz w:val="24"/>
          <w:szCs w:val="24"/>
        </w:rPr>
        <w:t xml:space="preserve">, с което и </w:t>
      </w:r>
      <w:r w:rsidRPr="005207B9">
        <w:rPr>
          <w:rFonts w:ascii="Times New Roman" w:eastAsia="Times New Roman" w:hAnsi="Times New Roman" w:cs="Times New Roman"/>
          <w:sz w:val="24"/>
          <w:szCs w:val="24"/>
        </w:rPr>
        <w:t>да намали ликвидността на пазара</w:t>
      </w:r>
      <w:r w:rsidR="007703B1">
        <w:rPr>
          <w:rFonts w:ascii="Times New Roman" w:eastAsia="Times New Roman" w:hAnsi="Times New Roman" w:cs="Times New Roman"/>
          <w:sz w:val="24"/>
          <w:szCs w:val="24"/>
        </w:rPr>
        <w:t xml:space="preserve">, а той </w:t>
      </w:r>
      <w:r w:rsidRPr="005207B9">
        <w:rPr>
          <w:rFonts w:ascii="Times New Roman" w:eastAsia="Times New Roman" w:hAnsi="Times New Roman" w:cs="Times New Roman"/>
          <w:sz w:val="24"/>
          <w:szCs w:val="24"/>
        </w:rPr>
        <w:t>обикновено изравнява цените в различните региони. Това може да е от полза за производителите в краткосрочен план (чрез премахване на някои посредници), но също така може да доведе до по-малко конкуренция сред купувачите (ако само няколко одобр</w:t>
      </w:r>
      <w:r>
        <w:rPr>
          <w:rFonts w:ascii="Times New Roman" w:eastAsia="Times New Roman" w:hAnsi="Times New Roman" w:cs="Times New Roman"/>
          <w:sz w:val="24"/>
          <w:szCs w:val="24"/>
        </w:rPr>
        <w:t>ени купувачи могат да работят).</w:t>
      </w:r>
    </w:p>
    <w:p w14:paraId="1461BDE8" w14:textId="44C4BDED" w:rsidR="00E16161" w:rsidRDefault="004272DB" w:rsidP="00E161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Следва да се вземе предвид и потенциалът от парадоксален ефект, при който ч</w:t>
      </w:r>
      <w:r w:rsidR="00E16161" w:rsidRPr="008C3960">
        <w:rPr>
          <w:rFonts w:ascii="Times New Roman" w:eastAsia="Times New Roman" w:hAnsi="Times New Roman" w:cs="Times New Roman"/>
          <w:sz w:val="24"/>
          <w:szCs w:val="24"/>
        </w:rPr>
        <w:t xml:space="preserve">рез увеличаване на разходите във веригата (административни разходи, разходи за съответствие, потенциално намаляване на конкурентния натиск върху маржовете), </w:t>
      </w:r>
      <w:r w:rsidR="00E16161">
        <w:rPr>
          <w:rFonts w:ascii="Times New Roman" w:eastAsia="Times New Roman" w:hAnsi="Times New Roman" w:cs="Times New Roman"/>
          <w:sz w:val="24"/>
          <w:szCs w:val="24"/>
        </w:rPr>
        <w:t>Вариантът</w:t>
      </w:r>
      <w:r w:rsidR="00E16161" w:rsidRPr="008C3960">
        <w:rPr>
          <w:rFonts w:ascii="Times New Roman" w:eastAsia="Times New Roman" w:hAnsi="Times New Roman" w:cs="Times New Roman"/>
          <w:sz w:val="24"/>
          <w:szCs w:val="24"/>
        </w:rPr>
        <w:t xml:space="preserve"> може неволно да допринесе</w:t>
      </w:r>
      <w:r w:rsidR="003E3521">
        <w:rPr>
          <w:rFonts w:ascii="Times New Roman" w:eastAsia="Times New Roman" w:hAnsi="Times New Roman" w:cs="Times New Roman"/>
          <w:sz w:val="24"/>
          <w:szCs w:val="24"/>
        </w:rPr>
        <w:t xml:space="preserve"> и</w:t>
      </w:r>
      <w:r w:rsidR="00E16161" w:rsidRPr="008C3960">
        <w:rPr>
          <w:rFonts w:ascii="Times New Roman" w:eastAsia="Times New Roman" w:hAnsi="Times New Roman" w:cs="Times New Roman"/>
          <w:sz w:val="24"/>
          <w:szCs w:val="24"/>
        </w:rPr>
        <w:t xml:space="preserve"> за по-високи потребителски цени</w:t>
      </w:r>
      <w:r w:rsidR="003E3521">
        <w:rPr>
          <w:rFonts w:ascii="Times New Roman" w:eastAsia="Times New Roman" w:hAnsi="Times New Roman" w:cs="Times New Roman"/>
          <w:sz w:val="24"/>
          <w:szCs w:val="24"/>
        </w:rPr>
        <w:t>, като по този начин е</w:t>
      </w:r>
      <w:r w:rsidR="00E16161">
        <w:rPr>
          <w:rFonts w:ascii="Times New Roman" w:eastAsia="Times New Roman" w:hAnsi="Times New Roman" w:cs="Times New Roman"/>
          <w:sz w:val="24"/>
          <w:szCs w:val="24"/>
        </w:rPr>
        <w:t xml:space="preserve"> възможно да </w:t>
      </w:r>
      <w:r w:rsidR="00E16161" w:rsidRPr="008C3960">
        <w:rPr>
          <w:rFonts w:ascii="Times New Roman" w:eastAsia="Times New Roman" w:hAnsi="Times New Roman" w:cs="Times New Roman"/>
          <w:sz w:val="24"/>
          <w:szCs w:val="24"/>
        </w:rPr>
        <w:t>стимулира инфлацията в чувствителен момент</w:t>
      </w:r>
      <w:r w:rsidR="00E16161">
        <w:rPr>
          <w:rFonts w:ascii="Times New Roman" w:eastAsia="Times New Roman" w:hAnsi="Times New Roman" w:cs="Times New Roman"/>
          <w:sz w:val="24"/>
          <w:szCs w:val="24"/>
        </w:rPr>
        <w:t>.</w:t>
      </w:r>
      <w:r w:rsidR="00E16161" w:rsidRPr="008C3960">
        <w:rPr>
          <w:rFonts w:ascii="Times New Roman" w:eastAsia="Times New Roman" w:hAnsi="Times New Roman" w:cs="Times New Roman"/>
          <w:sz w:val="24"/>
          <w:szCs w:val="24"/>
        </w:rPr>
        <w:t xml:space="preserve"> България наскоро преживя висока инфлация на храните – индексът на потребителските цени на храните се повиши значително </w:t>
      </w:r>
      <w:r w:rsidR="007703B1">
        <w:rPr>
          <w:rFonts w:ascii="Times New Roman" w:eastAsia="Times New Roman" w:hAnsi="Times New Roman" w:cs="Times New Roman"/>
          <w:sz w:val="24"/>
          <w:szCs w:val="24"/>
        </w:rPr>
        <w:t xml:space="preserve">в </w:t>
      </w:r>
      <w:r w:rsidR="00E16161" w:rsidRPr="008C3960">
        <w:rPr>
          <w:rFonts w:ascii="Times New Roman" w:eastAsia="Times New Roman" w:hAnsi="Times New Roman" w:cs="Times New Roman"/>
          <w:sz w:val="24"/>
          <w:szCs w:val="24"/>
        </w:rPr>
        <w:t>п</w:t>
      </w:r>
      <w:r w:rsidR="007703B1">
        <w:rPr>
          <w:rFonts w:ascii="Times New Roman" w:eastAsia="Times New Roman" w:hAnsi="Times New Roman" w:cs="Times New Roman"/>
          <w:sz w:val="24"/>
          <w:szCs w:val="24"/>
        </w:rPr>
        <w:t>е</w:t>
      </w:r>
      <w:r w:rsidR="00E16161" w:rsidRPr="008C3960">
        <w:rPr>
          <w:rFonts w:ascii="Times New Roman" w:eastAsia="Times New Roman" w:hAnsi="Times New Roman" w:cs="Times New Roman"/>
          <w:sz w:val="24"/>
          <w:szCs w:val="24"/>
        </w:rPr>
        <w:t>р</w:t>
      </w:r>
      <w:r w:rsidR="007703B1">
        <w:rPr>
          <w:rFonts w:ascii="Times New Roman" w:eastAsia="Times New Roman" w:hAnsi="Times New Roman" w:cs="Times New Roman"/>
          <w:sz w:val="24"/>
          <w:szCs w:val="24"/>
        </w:rPr>
        <w:t>иода</w:t>
      </w:r>
      <w:r w:rsidR="00E16161" w:rsidRPr="008C3960">
        <w:rPr>
          <w:rFonts w:ascii="Times New Roman" w:eastAsia="Times New Roman" w:hAnsi="Times New Roman" w:cs="Times New Roman"/>
          <w:sz w:val="24"/>
          <w:szCs w:val="24"/>
        </w:rPr>
        <w:t xml:space="preserve"> 2022</w:t>
      </w:r>
      <w:r w:rsidR="007703B1">
        <w:rPr>
          <w:rFonts w:ascii="Times New Roman" w:eastAsia="Times New Roman" w:hAnsi="Times New Roman" w:cs="Times New Roman"/>
          <w:sz w:val="24"/>
          <w:szCs w:val="24"/>
        </w:rPr>
        <w:t xml:space="preserve"> - </w:t>
      </w:r>
      <w:r w:rsidR="00E16161" w:rsidRPr="008C3960">
        <w:rPr>
          <w:rFonts w:ascii="Times New Roman" w:eastAsia="Times New Roman" w:hAnsi="Times New Roman" w:cs="Times New Roman"/>
          <w:sz w:val="24"/>
          <w:szCs w:val="24"/>
        </w:rPr>
        <w:t>2023 г., въп</w:t>
      </w:r>
      <w:r w:rsidR="00E16161">
        <w:rPr>
          <w:rFonts w:ascii="Times New Roman" w:eastAsia="Times New Roman" w:hAnsi="Times New Roman" w:cs="Times New Roman"/>
          <w:sz w:val="24"/>
          <w:szCs w:val="24"/>
        </w:rPr>
        <w:t>реки че годишната инфлация спад</w:t>
      </w:r>
      <w:r w:rsidR="007703B1">
        <w:rPr>
          <w:rFonts w:ascii="Times New Roman" w:eastAsia="Times New Roman" w:hAnsi="Times New Roman" w:cs="Times New Roman"/>
          <w:sz w:val="24"/>
          <w:szCs w:val="24"/>
        </w:rPr>
        <w:t>н</w:t>
      </w:r>
      <w:r w:rsidR="00E16161" w:rsidRPr="008C3960">
        <w:rPr>
          <w:rFonts w:ascii="Times New Roman" w:eastAsia="Times New Roman" w:hAnsi="Times New Roman" w:cs="Times New Roman"/>
          <w:sz w:val="24"/>
          <w:szCs w:val="24"/>
        </w:rPr>
        <w:t>а до 4,7% до декември 2023 г.</w:t>
      </w:r>
      <w:r w:rsidR="00E16161">
        <w:rPr>
          <w:rStyle w:val="FootnoteReference"/>
          <w:rFonts w:ascii="Times New Roman" w:eastAsia="Times New Roman" w:hAnsi="Times New Roman" w:cs="Times New Roman"/>
          <w:sz w:val="24"/>
          <w:szCs w:val="24"/>
        </w:rPr>
        <w:footnoteReference w:id="46"/>
      </w:r>
      <w:r w:rsidR="00E16161" w:rsidRPr="008C3960">
        <w:rPr>
          <w:rFonts w:ascii="Times New Roman" w:eastAsia="Times New Roman" w:hAnsi="Times New Roman" w:cs="Times New Roman"/>
          <w:sz w:val="24"/>
          <w:szCs w:val="24"/>
        </w:rPr>
        <w:t xml:space="preserve"> Всеки допълнителен натиск върху цените би бил икономич</w:t>
      </w:r>
      <w:r w:rsidR="00E16161">
        <w:rPr>
          <w:rFonts w:ascii="Times New Roman" w:eastAsia="Times New Roman" w:hAnsi="Times New Roman" w:cs="Times New Roman"/>
          <w:sz w:val="24"/>
          <w:szCs w:val="24"/>
        </w:rPr>
        <w:t>ески и политически нежелателен.</w:t>
      </w:r>
    </w:p>
    <w:p w14:paraId="04BF1E23" w14:textId="14CB203A" w:rsidR="00E16161" w:rsidRPr="00AA7ADD" w:rsidRDefault="003E3521" w:rsidP="00AA7ADD">
      <w:pPr>
        <w:spacing w:after="0" w:line="240" w:lineRule="auto"/>
        <w:ind w:firstLine="567"/>
        <w:jc w:val="both"/>
        <w:rPr>
          <w:rFonts w:ascii="Times New Roman" w:eastAsia="Times New Roman" w:hAnsi="Times New Roman" w:cs="Times New Roman"/>
          <w:sz w:val="24"/>
          <w:szCs w:val="24"/>
        </w:rPr>
      </w:pPr>
      <w:r w:rsidRPr="003E3521">
        <w:rPr>
          <w:rFonts w:ascii="Times New Roman" w:eastAsia="Times New Roman" w:hAnsi="Times New Roman" w:cs="Times New Roman"/>
          <w:bCs/>
          <w:sz w:val="24"/>
          <w:szCs w:val="24"/>
        </w:rPr>
        <w:t xml:space="preserve">Макар </w:t>
      </w:r>
      <w:r w:rsidR="00E464CF">
        <w:rPr>
          <w:rFonts w:ascii="Times New Roman" w:eastAsia="Times New Roman" w:hAnsi="Times New Roman" w:cs="Times New Roman"/>
          <w:bCs/>
          <w:sz w:val="24"/>
          <w:szCs w:val="24"/>
        </w:rPr>
        <w:t xml:space="preserve">предвидената на концептуално ниво </w:t>
      </w:r>
      <w:r w:rsidRPr="003E3521">
        <w:rPr>
          <w:rFonts w:ascii="Times New Roman" w:eastAsia="Times New Roman" w:hAnsi="Times New Roman" w:cs="Times New Roman"/>
          <w:bCs/>
          <w:sz w:val="24"/>
          <w:szCs w:val="24"/>
        </w:rPr>
        <w:t>известна форма на отклонение от свободния пазар да е насочена към</w:t>
      </w:r>
      <w:r w:rsidR="00E464CF">
        <w:rPr>
          <w:rFonts w:ascii="Times New Roman" w:eastAsia="Times New Roman" w:hAnsi="Times New Roman" w:cs="Times New Roman"/>
          <w:bCs/>
          <w:sz w:val="24"/>
          <w:szCs w:val="24"/>
        </w:rPr>
        <w:t xml:space="preserve"> осигуряването</w:t>
      </w:r>
      <w:r w:rsidRPr="003E3521">
        <w:rPr>
          <w:rFonts w:ascii="Times New Roman" w:eastAsia="Times New Roman" w:hAnsi="Times New Roman" w:cs="Times New Roman"/>
          <w:bCs/>
          <w:sz w:val="24"/>
          <w:szCs w:val="24"/>
        </w:rPr>
        <w:t xml:space="preserve"> по-голяма </w:t>
      </w:r>
      <w:r w:rsidR="00AA7ADD">
        <w:rPr>
          <w:rFonts w:ascii="Times New Roman" w:eastAsia="Times New Roman" w:hAnsi="Times New Roman" w:cs="Times New Roman"/>
          <w:bCs/>
          <w:sz w:val="24"/>
          <w:szCs w:val="24"/>
        </w:rPr>
        <w:t>равнопоставеност в отношенията по веригата на доставки и пропорционалност</w:t>
      </w:r>
      <w:r w:rsidR="00E464CF">
        <w:rPr>
          <w:rFonts w:ascii="Times New Roman" w:eastAsia="Times New Roman" w:hAnsi="Times New Roman" w:cs="Times New Roman"/>
          <w:bCs/>
          <w:sz w:val="24"/>
          <w:szCs w:val="24"/>
        </w:rPr>
        <w:t xml:space="preserve"> при разпределението на добавената стойност по веригата на доставки</w:t>
      </w:r>
      <w:r w:rsidRPr="003E3521">
        <w:rPr>
          <w:rFonts w:ascii="Times New Roman" w:eastAsia="Times New Roman" w:hAnsi="Times New Roman" w:cs="Times New Roman"/>
          <w:bCs/>
          <w:sz w:val="24"/>
          <w:szCs w:val="24"/>
        </w:rPr>
        <w:t xml:space="preserve">, съществува риск </w:t>
      </w:r>
      <w:r w:rsidR="00E464CF">
        <w:rPr>
          <w:rFonts w:ascii="Times New Roman" w:eastAsia="Times New Roman" w:hAnsi="Times New Roman" w:cs="Times New Roman"/>
          <w:bCs/>
          <w:sz w:val="24"/>
          <w:szCs w:val="24"/>
        </w:rPr>
        <w:t>подобни</w:t>
      </w:r>
      <w:r w:rsidRPr="003E3521">
        <w:rPr>
          <w:rFonts w:ascii="Times New Roman" w:eastAsia="Times New Roman" w:hAnsi="Times New Roman" w:cs="Times New Roman"/>
          <w:bCs/>
          <w:sz w:val="24"/>
          <w:szCs w:val="24"/>
        </w:rPr>
        <w:t xml:space="preserve"> промени да не постигнат целите си или дори да доведат до нежелани ефекти</w:t>
      </w:r>
      <w:r w:rsidR="00E464CF">
        <w:rPr>
          <w:rFonts w:ascii="Times New Roman" w:eastAsia="Times New Roman" w:hAnsi="Times New Roman" w:cs="Times New Roman"/>
          <w:bCs/>
          <w:sz w:val="24"/>
          <w:szCs w:val="24"/>
        </w:rPr>
        <w:t>,</w:t>
      </w:r>
      <w:r w:rsidR="00E464CF" w:rsidRPr="00E464CF">
        <w:t xml:space="preserve"> </w:t>
      </w:r>
      <w:r w:rsidR="00E464CF" w:rsidRPr="00E464CF">
        <w:rPr>
          <w:rFonts w:ascii="Times New Roman" w:eastAsia="Times New Roman" w:hAnsi="Times New Roman" w:cs="Times New Roman"/>
          <w:bCs/>
          <w:sz w:val="24"/>
          <w:szCs w:val="24"/>
        </w:rPr>
        <w:t xml:space="preserve">като намалена конкуренция, неефективност, по-високи цени или </w:t>
      </w:r>
      <w:r w:rsidR="00AA7ADD">
        <w:rPr>
          <w:rFonts w:ascii="Times New Roman" w:eastAsia="Times New Roman" w:hAnsi="Times New Roman" w:cs="Times New Roman"/>
          <w:bCs/>
          <w:sz w:val="24"/>
          <w:szCs w:val="24"/>
        </w:rPr>
        <w:t>увеличен сив сектор</w:t>
      </w:r>
      <w:r w:rsidR="00E464CF" w:rsidRPr="00E464CF">
        <w:rPr>
          <w:rFonts w:ascii="Times New Roman" w:eastAsia="Times New Roman" w:hAnsi="Times New Roman" w:cs="Times New Roman"/>
          <w:bCs/>
          <w:sz w:val="24"/>
          <w:szCs w:val="24"/>
        </w:rPr>
        <w:t>.</w:t>
      </w:r>
      <w:r w:rsidRPr="003E35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 този начин, п</w:t>
      </w:r>
      <w:r w:rsidRPr="003E3521">
        <w:rPr>
          <w:rFonts w:ascii="Times New Roman" w:eastAsia="Times New Roman" w:hAnsi="Times New Roman" w:cs="Times New Roman"/>
          <w:sz w:val="24"/>
          <w:szCs w:val="24"/>
        </w:rPr>
        <w:t>рилагането на Вариант 3 би могло да повлияе</w:t>
      </w:r>
      <w:r w:rsidR="00E464CF">
        <w:rPr>
          <w:rFonts w:ascii="Times New Roman" w:eastAsia="Times New Roman" w:hAnsi="Times New Roman" w:cs="Times New Roman"/>
          <w:sz w:val="24"/>
          <w:szCs w:val="24"/>
        </w:rPr>
        <w:t xml:space="preserve"> негативно</w:t>
      </w:r>
      <w:r w:rsidRPr="003E3521">
        <w:rPr>
          <w:rFonts w:ascii="Times New Roman" w:eastAsia="Times New Roman" w:hAnsi="Times New Roman" w:cs="Times New Roman"/>
          <w:sz w:val="24"/>
          <w:szCs w:val="24"/>
        </w:rPr>
        <w:t xml:space="preserve"> върху съществуващите пазарни механизми</w:t>
      </w:r>
      <w:r w:rsidR="00AA7ADD">
        <w:rPr>
          <w:rFonts w:ascii="Times New Roman" w:eastAsia="Times New Roman" w:hAnsi="Times New Roman" w:cs="Times New Roman"/>
          <w:sz w:val="24"/>
          <w:szCs w:val="24"/>
        </w:rPr>
        <w:t>. О</w:t>
      </w:r>
      <w:r w:rsidRPr="003E3521">
        <w:rPr>
          <w:rFonts w:ascii="Times New Roman" w:eastAsia="Times New Roman" w:hAnsi="Times New Roman" w:cs="Times New Roman"/>
          <w:sz w:val="24"/>
          <w:szCs w:val="24"/>
        </w:rPr>
        <w:t>собено в началния етап на ада</w:t>
      </w:r>
      <w:r w:rsidR="00AA7ADD">
        <w:rPr>
          <w:rFonts w:ascii="Times New Roman" w:eastAsia="Times New Roman" w:hAnsi="Times New Roman" w:cs="Times New Roman"/>
          <w:sz w:val="24"/>
          <w:szCs w:val="24"/>
        </w:rPr>
        <w:t>птация към новите изисквания, вероятността това да се случи може да бъде</w:t>
      </w:r>
      <w:r w:rsidRPr="003E3521">
        <w:rPr>
          <w:rFonts w:ascii="Times New Roman" w:eastAsia="Times New Roman" w:hAnsi="Times New Roman" w:cs="Times New Roman"/>
          <w:sz w:val="24"/>
          <w:szCs w:val="24"/>
        </w:rPr>
        <w:t xml:space="preserve"> оценен</w:t>
      </w:r>
      <w:r w:rsidR="00AA7ADD">
        <w:rPr>
          <w:rFonts w:ascii="Times New Roman" w:eastAsia="Times New Roman" w:hAnsi="Times New Roman" w:cs="Times New Roman"/>
          <w:sz w:val="24"/>
          <w:szCs w:val="24"/>
        </w:rPr>
        <w:t>а</w:t>
      </w:r>
      <w:r w:rsidRPr="003E3521">
        <w:rPr>
          <w:rFonts w:ascii="Times New Roman" w:eastAsia="Times New Roman" w:hAnsi="Times New Roman" w:cs="Times New Roman"/>
          <w:sz w:val="24"/>
          <w:szCs w:val="24"/>
        </w:rPr>
        <w:t xml:space="preserve"> като в</w:t>
      </w:r>
      <w:r>
        <w:rPr>
          <w:rFonts w:ascii="Times New Roman" w:eastAsia="Times New Roman" w:hAnsi="Times New Roman" w:cs="Times New Roman"/>
          <w:sz w:val="24"/>
          <w:szCs w:val="24"/>
        </w:rPr>
        <w:t>исок</w:t>
      </w:r>
      <w:r w:rsidR="00AA7ADD">
        <w:rPr>
          <w:rFonts w:ascii="Times New Roman" w:eastAsia="Times New Roman" w:hAnsi="Times New Roman" w:cs="Times New Roman"/>
          <w:sz w:val="24"/>
          <w:szCs w:val="24"/>
        </w:rPr>
        <w:t>а</w:t>
      </w:r>
      <w:r w:rsidRPr="003E3521">
        <w:rPr>
          <w:rFonts w:ascii="Times New Roman" w:eastAsia="Times New Roman" w:hAnsi="Times New Roman" w:cs="Times New Roman"/>
          <w:sz w:val="24"/>
          <w:szCs w:val="24"/>
        </w:rPr>
        <w:t xml:space="preserve"> (L=4)</w:t>
      </w:r>
      <w:r w:rsidR="00AA7ADD">
        <w:rPr>
          <w:rFonts w:ascii="Times New Roman" w:eastAsia="Times New Roman" w:hAnsi="Times New Roman" w:cs="Times New Roman"/>
          <w:bCs/>
          <w:sz w:val="24"/>
          <w:szCs w:val="24"/>
        </w:rPr>
        <w:t>.</w:t>
      </w:r>
      <w:r w:rsidR="00E16161" w:rsidRPr="005207B9">
        <w:rPr>
          <w:rFonts w:ascii="Times New Roman" w:eastAsia="Times New Roman" w:hAnsi="Times New Roman" w:cs="Times New Roman"/>
          <w:bCs/>
          <w:sz w:val="24"/>
          <w:szCs w:val="24"/>
        </w:rPr>
        <w:t xml:space="preserve"> </w:t>
      </w:r>
      <w:r w:rsidR="00AA7ADD">
        <w:rPr>
          <w:rFonts w:ascii="Times New Roman" w:eastAsia="Times New Roman" w:hAnsi="Times New Roman" w:cs="Times New Roman"/>
          <w:bCs/>
          <w:sz w:val="24"/>
          <w:szCs w:val="24"/>
        </w:rPr>
        <w:t>В</w:t>
      </w:r>
      <w:r w:rsidR="00E16161" w:rsidRPr="005207B9">
        <w:rPr>
          <w:rFonts w:ascii="Times New Roman" w:eastAsia="Times New Roman" w:hAnsi="Times New Roman" w:cs="Times New Roman"/>
          <w:sz w:val="24"/>
          <w:szCs w:val="24"/>
        </w:rPr>
        <w:t>ъздействието на так</w:t>
      </w:r>
      <w:r w:rsidR="00AA7ADD">
        <w:rPr>
          <w:rFonts w:ascii="Times New Roman" w:eastAsia="Times New Roman" w:hAnsi="Times New Roman" w:cs="Times New Roman"/>
          <w:sz w:val="24"/>
          <w:szCs w:val="24"/>
        </w:rPr>
        <w:t>ъв риск</w:t>
      </w:r>
      <w:r w:rsidR="00E16161" w:rsidRPr="005207B9">
        <w:rPr>
          <w:rFonts w:ascii="Times New Roman" w:eastAsia="Times New Roman" w:hAnsi="Times New Roman" w:cs="Times New Roman"/>
          <w:bCs/>
          <w:sz w:val="24"/>
          <w:szCs w:val="24"/>
        </w:rPr>
        <w:t xml:space="preserve"> </w:t>
      </w:r>
      <w:r w:rsidR="00E16161" w:rsidRPr="008C3960">
        <w:rPr>
          <w:rFonts w:ascii="Times New Roman" w:eastAsia="Times New Roman" w:hAnsi="Times New Roman" w:cs="Times New Roman"/>
          <w:sz w:val="24"/>
          <w:szCs w:val="24"/>
        </w:rPr>
        <w:t xml:space="preserve">може да бъде </w:t>
      </w:r>
      <w:r w:rsidR="00AA7ADD">
        <w:rPr>
          <w:rFonts w:ascii="Times New Roman" w:eastAsia="Times New Roman" w:hAnsi="Times New Roman" w:cs="Times New Roman"/>
          <w:sz w:val="24"/>
          <w:szCs w:val="24"/>
        </w:rPr>
        <w:t xml:space="preserve">определено като </w:t>
      </w:r>
      <w:r w:rsidR="00E16161" w:rsidRPr="008C3960">
        <w:rPr>
          <w:rFonts w:ascii="Times New Roman" w:eastAsia="Times New Roman" w:hAnsi="Times New Roman" w:cs="Times New Roman"/>
          <w:sz w:val="24"/>
          <w:szCs w:val="24"/>
        </w:rPr>
        <w:t xml:space="preserve">много високо (I=5), тъй като могат да </w:t>
      </w:r>
      <w:r w:rsidR="00AA7ADD">
        <w:rPr>
          <w:rFonts w:ascii="Times New Roman" w:eastAsia="Times New Roman" w:hAnsi="Times New Roman" w:cs="Times New Roman"/>
          <w:sz w:val="24"/>
          <w:szCs w:val="24"/>
        </w:rPr>
        <w:t xml:space="preserve">бъдат </w:t>
      </w:r>
      <w:r w:rsidR="00E16161" w:rsidRPr="008C3960">
        <w:rPr>
          <w:rFonts w:ascii="Times New Roman" w:eastAsia="Times New Roman" w:hAnsi="Times New Roman" w:cs="Times New Roman"/>
          <w:sz w:val="24"/>
          <w:szCs w:val="24"/>
        </w:rPr>
        <w:t>засегнат</w:t>
      </w:r>
      <w:r w:rsidR="00AA7ADD">
        <w:rPr>
          <w:rFonts w:ascii="Times New Roman" w:eastAsia="Times New Roman" w:hAnsi="Times New Roman" w:cs="Times New Roman"/>
          <w:sz w:val="24"/>
          <w:szCs w:val="24"/>
        </w:rPr>
        <w:t>и</w:t>
      </w:r>
      <w:r w:rsidR="00E16161" w:rsidRPr="008C3960">
        <w:rPr>
          <w:rFonts w:ascii="Times New Roman" w:eastAsia="Times New Roman" w:hAnsi="Times New Roman" w:cs="Times New Roman"/>
          <w:sz w:val="24"/>
          <w:szCs w:val="24"/>
        </w:rPr>
        <w:t xml:space="preserve"> цялата потребителска база и ефективността на доставките. </w:t>
      </w:r>
      <w:r w:rsidR="00E464CF">
        <w:rPr>
          <w:rFonts w:ascii="Times New Roman" w:eastAsia="Times New Roman" w:hAnsi="Times New Roman" w:cs="Times New Roman"/>
          <w:sz w:val="24"/>
          <w:szCs w:val="24"/>
        </w:rPr>
        <w:t>В подобен сценарий, а</w:t>
      </w:r>
      <w:r w:rsidR="00E16161" w:rsidRPr="008C3960">
        <w:rPr>
          <w:rFonts w:ascii="Times New Roman" w:eastAsia="Times New Roman" w:hAnsi="Times New Roman" w:cs="Times New Roman"/>
          <w:sz w:val="24"/>
          <w:szCs w:val="24"/>
        </w:rPr>
        <w:t xml:space="preserve">ко ограниченията на цените доведат до еднакво ценообразуване при </w:t>
      </w:r>
      <w:r w:rsidR="00262C0B">
        <w:rPr>
          <w:rFonts w:ascii="Times New Roman" w:eastAsia="Times New Roman" w:hAnsi="Times New Roman" w:cs="Times New Roman"/>
          <w:sz w:val="24"/>
          <w:szCs w:val="24"/>
        </w:rPr>
        <w:t xml:space="preserve">предварително определен </w:t>
      </w:r>
      <w:r w:rsidR="00E16161" w:rsidRPr="008C3960">
        <w:rPr>
          <w:rFonts w:ascii="Times New Roman" w:eastAsia="Times New Roman" w:hAnsi="Times New Roman" w:cs="Times New Roman"/>
          <w:sz w:val="24"/>
          <w:szCs w:val="24"/>
        </w:rPr>
        <w:t xml:space="preserve">таван, потребителите може да се сблъскат с по-високи цени от </w:t>
      </w:r>
      <w:r w:rsidR="00AA7ADD">
        <w:rPr>
          <w:rFonts w:ascii="Times New Roman" w:eastAsia="Times New Roman" w:hAnsi="Times New Roman" w:cs="Times New Roman"/>
          <w:sz w:val="24"/>
          <w:szCs w:val="24"/>
        </w:rPr>
        <w:t>тези при базисния</w:t>
      </w:r>
      <w:r w:rsidR="00E16161" w:rsidRPr="008C3960">
        <w:rPr>
          <w:rFonts w:ascii="Times New Roman" w:eastAsia="Times New Roman" w:hAnsi="Times New Roman" w:cs="Times New Roman"/>
          <w:sz w:val="24"/>
          <w:szCs w:val="24"/>
        </w:rPr>
        <w:t xml:space="preserve"> сценарий и някои продукти може дори да изчезнат, ако не са печеливши при този </w:t>
      </w:r>
      <w:r w:rsidR="00E16161" w:rsidRPr="003A0EE9">
        <w:rPr>
          <w:rFonts w:ascii="Times New Roman" w:eastAsia="Times New Roman" w:hAnsi="Times New Roman" w:cs="Times New Roman"/>
          <w:sz w:val="24"/>
          <w:szCs w:val="24"/>
        </w:rPr>
        <w:t xml:space="preserve">таван. </w:t>
      </w:r>
      <w:r w:rsidR="00AA7ADD">
        <w:rPr>
          <w:rFonts w:ascii="Times New Roman" w:eastAsia="Times New Roman" w:hAnsi="Times New Roman" w:cs="Times New Roman"/>
          <w:sz w:val="24"/>
          <w:szCs w:val="24"/>
        </w:rPr>
        <w:t>Освен това,</w:t>
      </w:r>
      <w:r w:rsidR="00E16161" w:rsidRPr="003A0EE9">
        <w:rPr>
          <w:rFonts w:ascii="Times New Roman" w:eastAsia="Times New Roman" w:hAnsi="Times New Roman" w:cs="Times New Roman"/>
          <w:sz w:val="24"/>
          <w:szCs w:val="24"/>
        </w:rPr>
        <w:t xml:space="preserve"> ако се наложи задължително местно снабдяване, търговците на дребно могат да </w:t>
      </w:r>
      <w:r w:rsidR="00AA7ADD">
        <w:rPr>
          <w:rFonts w:ascii="Times New Roman" w:eastAsia="Times New Roman" w:hAnsi="Times New Roman" w:cs="Times New Roman"/>
          <w:sz w:val="24"/>
          <w:szCs w:val="24"/>
        </w:rPr>
        <w:t>се изправят пред</w:t>
      </w:r>
      <w:r w:rsidR="00E16161" w:rsidRPr="003A0EE9">
        <w:rPr>
          <w:rFonts w:ascii="Times New Roman" w:eastAsia="Times New Roman" w:hAnsi="Times New Roman" w:cs="Times New Roman"/>
          <w:sz w:val="24"/>
          <w:szCs w:val="24"/>
        </w:rPr>
        <w:t xml:space="preserve"> недостиг или</w:t>
      </w:r>
      <w:r w:rsidR="00AA7ADD">
        <w:rPr>
          <w:rFonts w:ascii="Times New Roman" w:eastAsia="Times New Roman" w:hAnsi="Times New Roman" w:cs="Times New Roman"/>
          <w:sz w:val="24"/>
          <w:szCs w:val="24"/>
        </w:rPr>
        <w:t xml:space="preserve"> нужда от </w:t>
      </w:r>
      <w:r w:rsidR="00E16161" w:rsidRPr="003A0EE9">
        <w:rPr>
          <w:rFonts w:ascii="Times New Roman" w:eastAsia="Times New Roman" w:hAnsi="Times New Roman" w:cs="Times New Roman"/>
          <w:sz w:val="24"/>
          <w:szCs w:val="24"/>
        </w:rPr>
        <w:t xml:space="preserve">по-високи разходи, което отново да </w:t>
      </w:r>
      <w:r w:rsidR="00AA7ADD">
        <w:rPr>
          <w:rFonts w:ascii="Times New Roman" w:eastAsia="Times New Roman" w:hAnsi="Times New Roman" w:cs="Times New Roman"/>
          <w:sz w:val="24"/>
          <w:szCs w:val="24"/>
        </w:rPr>
        <w:t>ощети</w:t>
      </w:r>
      <w:r w:rsidR="00E16161" w:rsidRPr="003A0EE9">
        <w:rPr>
          <w:rFonts w:ascii="Times New Roman" w:eastAsia="Times New Roman" w:hAnsi="Times New Roman" w:cs="Times New Roman"/>
          <w:sz w:val="24"/>
          <w:szCs w:val="24"/>
        </w:rPr>
        <w:t xml:space="preserve"> потребителите или да доведе до правни проблеми с ЕС. Оттук</w:t>
      </w:r>
      <w:r w:rsidR="00AA7ADD">
        <w:rPr>
          <w:rFonts w:ascii="Times New Roman" w:eastAsia="Times New Roman" w:hAnsi="Times New Roman" w:cs="Times New Roman"/>
          <w:sz w:val="24"/>
          <w:szCs w:val="24"/>
        </w:rPr>
        <w:t xml:space="preserve"> за варианта по тази категория може да се определи</w:t>
      </w:r>
      <w:r w:rsidR="00E16161" w:rsidRPr="003A0EE9">
        <w:rPr>
          <w:rFonts w:ascii="Times New Roman" w:eastAsia="Times New Roman" w:hAnsi="Times New Roman" w:cs="Times New Roman"/>
          <w:sz w:val="24"/>
          <w:szCs w:val="24"/>
        </w:rPr>
        <w:t xml:space="preserve"> </w:t>
      </w:r>
      <w:r w:rsidR="00AA7ADD" w:rsidRPr="00AA7ADD">
        <w:rPr>
          <w:rFonts w:ascii="Times New Roman" w:eastAsia="Times New Roman" w:hAnsi="Times New Roman" w:cs="Times New Roman"/>
          <w:b/>
          <w:sz w:val="24"/>
          <w:szCs w:val="24"/>
        </w:rPr>
        <w:t xml:space="preserve">обща оценка </w:t>
      </w:r>
      <w:r w:rsidR="00E16161" w:rsidRPr="00AA7ADD">
        <w:rPr>
          <w:rFonts w:ascii="Times New Roman" w:eastAsia="Times New Roman" w:hAnsi="Times New Roman" w:cs="Times New Roman"/>
          <w:b/>
          <w:bCs/>
          <w:sz w:val="24"/>
          <w:szCs w:val="24"/>
        </w:rPr>
        <w:t xml:space="preserve">на риска </w:t>
      </w:r>
      <w:r w:rsidR="00A5236A" w:rsidRPr="003A0EE9">
        <w:rPr>
          <w:rFonts w:ascii="Times New Roman" w:eastAsia="Times New Roman" w:hAnsi="Times New Roman" w:cs="Times New Roman"/>
          <w:bCs/>
          <w:sz w:val="24"/>
          <w:szCs w:val="24"/>
        </w:rPr>
        <w:t>(4×5)</w:t>
      </w:r>
      <w:r w:rsidR="00A5236A">
        <w:rPr>
          <w:rFonts w:ascii="Times New Roman" w:eastAsia="Times New Roman" w:hAnsi="Times New Roman" w:cs="Times New Roman"/>
          <w:bCs/>
          <w:sz w:val="24"/>
          <w:szCs w:val="24"/>
        </w:rPr>
        <w:t xml:space="preserve"> </w:t>
      </w:r>
      <w:r w:rsidR="00AA7ADD" w:rsidRPr="00AA7ADD">
        <w:rPr>
          <w:rFonts w:ascii="Times New Roman" w:eastAsia="Times New Roman" w:hAnsi="Times New Roman" w:cs="Times New Roman"/>
          <w:b/>
          <w:sz w:val="24"/>
          <w:szCs w:val="24"/>
        </w:rPr>
        <w:t>=</w:t>
      </w:r>
      <w:r w:rsidR="00E16161" w:rsidRPr="00AA7ADD">
        <w:rPr>
          <w:rFonts w:ascii="Times New Roman" w:eastAsia="Times New Roman" w:hAnsi="Times New Roman" w:cs="Times New Roman"/>
          <w:b/>
          <w:bCs/>
          <w:sz w:val="24"/>
          <w:szCs w:val="24"/>
        </w:rPr>
        <w:t xml:space="preserve"> 20</w:t>
      </w:r>
      <w:r w:rsidR="00E16161">
        <w:rPr>
          <w:rFonts w:ascii="Times New Roman" w:eastAsia="Times New Roman" w:hAnsi="Times New Roman" w:cs="Times New Roman"/>
          <w:bCs/>
          <w:sz w:val="24"/>
          <w:szCs w:val="24"/>
        </w:rPr>
        <w:t>.</w:t>
      </w:r>
    </w:p>
    <w:p w14:paraId="32F3E8AD" w14:textId="77777777" w:rsidR="00E16161" w:rsidRDefault="00E16161" w:rsidP="00E16161">
      <w:pPr>
        <w:spacing w:after="0" w:line="240" w:lineRule="auto"/>
        <w:ind w:firstLine="567"/>
        <w:jc w:val="both"/>
        <w:rPr>
          <w:rFonts w:ascii="Times New Roman" w:eastAsia="Times New Roman" w:hAnsi="Times New Roman" w:cs="Times New Roman"/>
          <w:bCs/>
          <w:sz w:val="24"/>
          <w:szCs w:val="24"/>
        </w:rPr>
      </w:pPr>
    </w:p>
    <w:p w14:paraId="52320505"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3.4. </w:t>
      </w:r>
      <w:r w:rsidRPr="003A0EE9">
        <w:rPr>
          <w:rFonts w:ascii="Times New Roman" w:eastAsia="Times New Roman" w:hAnsi="Times New Roman" w:cs="Times New Roman"/>
          <w:b/>
          <w:bCs/>
          <w:i/>
          <w:sz w:val="24"/>
          <w:szCs w:val="24"/>
        </w:rPr>
        <w:t>Неуспех в прилагането, водещ до липса на полза:</w:t>
      </w:r>
      <w:r w:rsidRPr="003A0EE9">
        <w:rPr>
          <w:rFonts w:ascii="Times New Roman" w:eastAsia="Times New Roman" w:hAnsi="Times New Roman" w:cs="Times New Roman"/>
          <w:b/>
          <w:i/>
          <w:sz w:val="24"/>
          <w:szCs w:val="24"/>
        </w:rPr>
        <w:t xml:space="preserve"> </w:t>
      </w:r>
      <w:r w:rsidRPr="003A0EE9">
        <w:rPr>
          <w:rFonts w:ascii="Times New Roman" w:eastAsia="Times New Roman" w:hAnsi="Times New Roman" w:cs="Times New Roman"/>
          <w:b/>
          <w:i/>
          <w:iCs/>
          <w:sz w:val="24"/>
          <w:szCs w:val="24"/>
        </w:rPr>
        <w:t>Умерен до висок риск</w:t>
      </w:r>
      <w:r w:rsidRPr="008C3960">
        <w:rPr>
          <w:rFonts w:ascii="Times New Roman" w:eastAsia="Times New Roman" w:hAnsi="Times New Roman" w:cs="Times New Roman"/>
          <w:i/>
          <w:iCs/>
          <w:sz w:val="24"/>
          <w:szCs w:val="24"/>
        </w:rPr>
        <w:t xml:space="preserve">. </w:t>
      </w:r>
    </w:p>
    <w:p w14:paraId="57A36B3B" w14:textId="2A8C650C" w:rsidR="00C66897" w:rsidRDefault="00C66897" w:rsidP="00C66897">
      <w:pPr>
        <w:spacing w:after="0" w:line="240" w:lineRule="auto"/>
        <w:ind w:firstLine="567"/>
        <w:jc w:val="both"/>
        <w:rPr>
          <w:rFonts w:ascii="Times New Roman" w:eastAsia="Times New Roman" w:hAnsi="Times New Roman" w:cs="Times New Roman"/>
          <w:sz w:val="24"/>
          <w:szCs w:val="24"/>
        </w:rPr>
      </w:pPr>
      <w:r w:rsidRPr="00C66897">
        <w:rPr>
          <w:rFonts w:ascii="Times New Roman" w:eastAsia="Times New Roman" w:hAnsi="Times New Roman" w:cs="Times New Roman"/>
          <w:sz w:val="24"/>
          <w:szCs w:val="24"/>
        </w:rPr>
        <w:t>При пълно и ефективно прилагане, мерките биха могли значително да ограничат нелоялни</w:t>
      </w:r>
      <w:r>
        <w:rPr>
          <w:rFonts w:ascii="Times New Roman" w:eastAsia="Times New Roman" w:hAnsi="Times New Roman" w:cs="Times New Roman"/>
          <w:sz w:val="24"/>
          <w:szCs w:val="24"/>
        </w:rPr>
        <w:t>те търговски</w:t>
      </w:r>
      <w:r w:rsidRPr="00C66897">
        <w:rPr>
          <w:rFonts w:ascii="Times New Roman" w:eastAsia="Times New Roman" w:hAnsi="Times New Roman" w:cs="Times New Roman"/>
          <w:sz w:val="24"/>
          <w:szCs w:val="24"/>
        </w:rPr>
        <w:t xml:space="preserve"> практики</w:t>
      </w:r>
      <w:r w:rsidR="00AA7ADD">
        <w:rPr>
          <w:rFonts w:ascii="Times New Roman" w:eastAsia="Times New Roman" w:hAnsi="Times New Roman" w:cs="Times New Roman"/>
          <w:sz w:val="24"/>
          <w:szCs w:val="24"/>
        </w:rPr>
        <w:t xml:space="preserve">, </w:t>
      </w:r>
      <w:r w:rsidR="00AA7ADD" w:rsidRPr="00C66897">
        <w:rPr>
          <w:rFonts w:ascii="Times New Roman" w:eastAsia="Times New Roman" w:hAnsi="Times New Roman" w:cs="Times New Roman"/>
          <w:sz w:val="24"/>
          <w:szCs w:val="24"/>
        </w:rPr>
        <w:t>да подобрят разпределението на добавената стойност по веригата</w:t>
      </w:r>
      <w:r w:rsidRPr="00C66897">
        <w:rPr>
          <w:rFonts w:ascii="Times New Roman" w:eastAsia="Times New Roman" w:hAnsi="Times New Roman" w:cs="Times New Roman"/>
          <w:sz w:val="24"/>
          <w:szCs w:val="24"/>
        </w:rPr>
        <w:t xml:space="preserve"> и да създадат по-прозрачна търговска среда</w:t>
      </w:r>
      <w:r>
        <w:rPr>
          <w:rFonts w:ascii="Times New Roman" w:eastAsia="Times New Roman" w:hAnsi="Times New Roman" w:cs="Times New Roman"/>
          <w:sz w:val="24"/>
          <w:szCs w:val="24"/>
        </w:rPr>
        <w:t xml:space="preserve"> в сектора</w:t>
      </w:r>
      <w:r w:rsidRPr="00C66897">
        <w:rPr>
          <w:rFonts w:ascii="Times New Roman" w:eastAsia="Times New Roman" w:hAnsi="Times New Roman" w:cs="Times New Roman"/>
          <w:sz w:val="24"/>
          <w:szCs w:val="24"/>
        </w:rPr>
        <w:t xml:space="preserve">. В същото време, </w:t>
      </w:r>
      <w:r>
        <w:rPr>
          <w:rFonts w:ascii="Times New Roman" w:eastAsia="Times New Roman" w:hAnsi="Times New Roman" w:cs="Times New Roman"/>
          <w:sz w:val="24"/>
          <w:szCs w:val="24"/>
        </w:rPr>
        <w:lastRenderedPageBreak/>
        <w:t>следва</w:t>
      </w:r>
      <w:r w:rsidRPr="00C66897">
        <w:rPr>
          <w:rFonts w:ascii="Times New Roman" w:eastAsia="Times New Roman" w:hAnsi="Times New Roman" w:cs="Times New Roman"/>
          <w:sz w:val="24"/>
          <w:szCs w:val="24"/>
        </w:rPr>
        <w:t xml:space="preserve"> да</w:t>
      </w:r>
      <w:r>
        <w:rPr>
          <w:rFonts w:ascii="Times New Roman" w:eastAsia="Times New Roman" w:hAnsi="Times New Roman" w:cs="Times New Roman"/>
          <w:sz w:val="24"/>
          <w:szCs w:val="24"/>
        </w:rPr>
        <w:t xml:space="preserve"> се</w:t>
      </w:r>
      <w:r w:rsidRPr="00C66897">
        <w:rPr>
          <w:rFonts w:ascii="Times New Roman" w:eastAsia="Times New Roman" w:hAnsi="Times New Roman" w:cs="Times New Roman"/>
          <w:sz w:val="24"/>
          <w:szCs w:val="24"/>
        </w:rPr>
        <w:t xml:space="preserve"> отчете, че при този вариант </w:t>
      </w:r>
      <w:r w:rsidR="00E464CF">
        <w:rPr>
          <w:rFonts w:ascii="Times New Roman" w:eastAsia="Times New Roman" w:hAnsi="Times New Roman" w:cs="Times New Roman"/>
          <w:sz w:val="24"/>
          <w:szCs w:val="24"/>
        </w:rPr>
        <w:t>е налице</w:t>
      </w:r>
      <w:r w:rsidRPr="00C66897">
        <w:rPr>
          <w:rFonts w:ascii="Times New Roman" w:eastAsia="Times New Roman" w:hAnsi="Times New Roman" w:cs="Times New Roman"/>
          <w:sz w:val="24"/>
          <w:szCs w:val="24"/>
        </w:rPr>
        <w:t xml:space="preserve"> съществен риск, свързан с капацитета за прилагане на предвидените мерки.</w:t>
      </w:r>
      <w:r>
        <w:rPr>
          <w:rFonts w:ascii="Times New Roman" w:eastAsia="Times New Roman" w:hAnsi="Times New Roman" w:cs="Times New Roman"/>
          <w:sz w:val="24"/>
          <w:szCs w:val="24"/>
        </w:rPr>
        <w:t xml:space="preserve"> </w:t>
      </w:r>
      <w:r w:rsidRPr="00C66897">
        <w:rPr>
          <w:rFonts w:ascii="Times New Roman" w:eastAsia="Times New Roman" w:hAnsi="Times New Roman" w:cs="Times New Roman"/>
          <w:sz w:val="24"/>
          <w:szCs w:val="24"/>
        </w:rPr>
        <w:t xml:space="preserve">Този риск е различен по своята същност в сравнение с Вариант 2. По-обширният пакет от </w:t>
      </w:r>
      <w:r w:rsidR="00AA7ADD">
        <w:rPr>
          <w:rFonts w:ascii="Times New Roman" w:eastAsia="Times New Roman" w:hAnsi="Times New Roman" w:cs="Times New Roman"/>
          <w:sz w:val="24"/>
          <w:szCs w:val="24"/>
        </w:rPr>
        <w:t>интервенции</w:t>
      </w:r>
      <w:r w:rsidRPr="00C66897">
        <w:rPr>
          <w:rFonts w:ascii="Times New Roman" w:eastAsia="Times New Roman" w:hAnsi="Times New Roman" w:cs="Times New Roman"/>
          <w:sz w:val="24"/>
          <w:szCs w:val="24"/>
        </w:rPr>
        <w:t xml:space="preserve"> </w:t>
      </w:r>
      <w:r w:rsidR="00AA7ADD">
        <w:rPr>
          <w:rFonts w:ascii="Times New Roman" w:eastAsia="Times New Roman" w:hAnsi="Times New Roman" w:cs="Times New Roman"/>
          <w:sz w:val="24"/>
          <w:szCs w:val="24"/>
        </w:rPr>
        <w:t>при</w:t>
      </w:r>
      <w:r w:rsidRPr="00C66897">
        <w:rPr>
          <w:rFonts w:ascii="Times New Roman" w:eastAsia="Times New Roman" w:hAnsi="Times New Roman" w:cs="Times New Roman"/>
          <w:sz w:val="24"/>
          <w:szCs w:val="24"/>
        </w:rPr>
        <w:t xml:space="preserve"> Вариант 3 предполага </w:t>
      </w:r>
      <w:r w:rsidR="00903C2F">
        <w:rPr>
          <w:rFonts w:ascii="Times New Roman" w:eastAsia="Times New Roman" w:hAnsi="Times New Roman" w:cs="Times New Roman"/>
          <w:sz w:val="24"/>
          <w:szCs w:val="24"/>
        </w:rPr>
        <w:t>по-</w:t>
      </w:r>
      <w:r w:rsidRPr="00C66897">
        <w:rPr>
          <w:rFonts w:ascii="Times New Roman" w:eastAsia="Times New Roman" w:hAnsi="Times New Roman" w:cs="Times New Roman"/>
          <w:sz w:val="24"/>
          <w:szCs w:val="24"/>
        </w:rPr>
        <w:t>високо натоварване за правоприлагащите институции</w:t>
      </w:r>
      <w:r>
        <w:rPr>
          <w:rFonts w:ascii="Times New Roman" w:eastAsia="Times New Roman" w:hAnsi="Times New Roman" w:cs="Times New Roman"/>
          <w:sz w:val="24"/>
          <w:szCs w:val="24"/>
        </w:rPr>
        <w:t xml:space="preserve"> </w:t>
      </w:r>
      <w:r w:rsidR="00AA7ADD">
        <w:rPr>
          <w:rFonts w:ascii="Times New Roman" w:eastAsia="Times New Roman" w:hAnsi="Times New Roman" w:cs="Times New Roman"/>
          <w:sz w:val="24"/>
          <w:szCs w:val="24"/>
        </w:rPr>
        <w:t>с</w:t>
      </w:r>
      <w:r w:rsidRPr="00C66897">
        <w:rPr>
          <w:rFonts w:ascii="Times New Roman" w:eastAsia="Times New Roman" w:hAnsi="Times New Roman" w:cs="Times New Roman"/>
          <w:sz w:val="24"/>
          <w:szCs w:val="24"/>
        </w:rPr>
        <w:t xml:space="preserve"> множество нови правила за наблюдение и регулиране, обхващащи десетки хиляди </w:t>
      </w:r>
      <w:r w:rsidR="00CE5AB9">
        <w:rPr>
          <w:rFonts w:ascii="Times New Roman" w:eastAsia="Times New Roman" w:hAnsi="Times New Roman" w:cs="Times New Roman"/>
          <w:sz w:val="24"/>
          <w:szCs w:val="24"/>
        </w:rPr>
        <w:t>производители</w:t>
      </w:r>
      <w:r w:rsidRPr="00C66897">
        <w:rPr>
          <w:rFonts w:ascii="Times New Roman" w:eastAsia="Times New Roman" w:hAnsi="Times New Roman" w:cs="Times New Roman"/>
          <w:sz w:val="24"/>
          <w:szCs w:val="24"/>
        </w:rPr>
        <w:t>, търговци, преработватели и търговци на дребно. Рискът се състои в това, че държавата може да не е в състояние да наложи ефективно всички разпоредби, особено в началния етап на прилагане</w:t>
      </w:r>
      <w:r w:rsidR="00E16161" w:rsidRPr="003A0EE9">
        <w:rPr>
          <w:rFonts w:ascii="Times New Roman" w:eastAsia="Times New Roman" w:hAnsi="Times New Roman" w:cs="Times New Roman"/>
          <w:sz w:val="24"/>
          <w:szCs w:val="24"/>
        </w:rPr>
        <w:t>. Например, контролът върху забраната за нерегистрирани продажби</w:t>
      </w:r>
      <w:r w:rsidR="00E464CF">
        <w:rPr>
          <w:rFonts w:ascii="Times New Roman" w:eastAsia="Times New Roman" w:hAnsi="Times New Roman" w:cs="Times New Roman"/>
          <w:sz w:val="24"/>
          <w:szCs w:val="24"/>
        </w:rPr>
        <w:t xml:space="preserve"> може да</w:t>
      </w:r>
      <w:r w:rsidR="00E16161" w:rsidRPr="003A0EE9">
        <w:rPr>
          <w:rFonts w:ascii="Times New Roman" w:eastAsia="Times New Roman" w:hAnsi="Times New Roman" w:cs="Times New Roman"/>
          <w:sz w:val="24"/>
          <w:szCs w:val="24"/>
        </w:rPr>
        <w:t xml:space="preserve"> </w:t>
      </w:r>
      <w:r w:rsidR="00E16161">
        <w:rPr>
          <w:rFonts w:ascii="Times New Roman" w:eastAsia="Times New Roman" w:hAnsi="Times New Roman" w:cs="Times New Roman"/>
          <w:sz w:val="24"/>
          <w:szCs w:val="24"/>
        </w:rPr>
        <w:t>изисква</w:t>
      </w:r>
      <w:r w:rsidR="00E16161" w:rsidRPr="008C3960">
        <w:rPr>
          <w:rFonts w:ascii="Times New Roman" w:eastAsia="Times New Roman" w:hAnsi="Times New Roman" w:cs="Times New Roman"/>
          <w:sz w:val="24"/>
          <w:szCs w:val="24"/>
        </w:rPr>
        <w:t xml:space="preserve"> </w:t>
      </w:r>
      <w:r w:rsidR="00E16161">
        <w:rPr>
          <w:rFonts w:ascii="Times New Roman" w:eastAsia="Times New Roman" w:hAnsi="Times New Roman" w:cs="Times New Roman"/>
          <w:sz w:val="24"/>
          <w:szCs w:val="24"/>
        </w:rPr>
        <w:t xml:space="preserve">извършването на интензивни инспекции </w:t>
      </w:r>
      <w:r w:rsidR="00E16161" w:rsidRPr="008C3960">
        <w:rPr>
          <w:rFonts w:ascii="Times New Roman" w:eastAsia="Times New Roman" w:hAnsi="Times New Roman" w:cs="Times New Roman"/>
          <w:sz w:val="24"/>
          <w:szCs w:val="24"/>
        </w:rPr>
        <w:t>и проверки</w:t>
      </w:r>
      <w:r w:rsidR="00E16161">
        <w:rPr>
          <w:rFonts w:ascii="Times New Roman" w:eastAsia="Times New Roman" w:hAnsi="Times New Roman" w:cs="Times New Roman"/>
          <w:sz w:val="24"/>
          <w:szCs w:val="24"/>
        </w:rPr>
        <w:t xml:space="preserve">, както и текущо следене </w:t>
      </w:r>
      <w:r w:rsidR="00E16161" w:rsidRPr="008C3960">
        <w:rPr>
          <w:rFonts w:ascii="Times New Roman" w:eastAsia="Times New Roman" w:hAnsi="Times New Roman" w:cs="Times New Roman"/>
          <w:sz w:val="24"/>
          <w:szCs w:val="24"/>
        </w:rPr>
        <w:t xml:space="preserve">на данни на пазарите. </w:t>
      </w:r>
      <w:r w:rsidRPr="00C66897">
        <w:rPr>
          <w:rFonts w:ascii="Times New Roman" w:eastAsia="Times New Roman" w:hAnsi="Times New Roman" w:cs="Times New Roman"/>
          <w:sz w:val="24"/>
          <w:szCs w:val="24"/>
        </w:rPr>
        <w:t xml:space="preserve">Ако правоприлагащият апарат е недостатъчно ресурсно обезпечен или </w:t>
      </w:r>
      <w:r w:rsidR="00E464CF">
        <w:rPr>
          <w:rFonts w:ascii="Times New Roman" w:eastAsia="Times New Roman" w:hAnsi="Times New Roman" w:cs="Times New Roman"/>
          <w:sz w:val="24"/>
          <w:szCs w:val="24"/>
        </w:rPr>
        <w:t>недобре</w:t>
      </w:r>
      <w:r w:rsidRPr="00C66897">
        <w:rPr>
          <w:rFonts w:ascii="Times New Roman" w:eastAsia="Times New Roman" w:hAnsi="Times New Roman" w:cs="Times New Roman"/>
          <w:sz w:val="24"/>
          <w:szCs w:val="24"/>
        </w:rPr>
        <w:t xml:space="preserve"> координиран, нормативното съответствие ще бъде компрометирано</w:t>
      </w:r>
      <w:r>
        <w:rPr>
          <w:rFonts w:ascii="Times New Roman" w:eastAsia="Times New Roman" w:hAnsi="Times New Roman" w:cs="Times New Roman"/>
          <w:sz w:val="24"/>
          <w:szCs w:val="24"/>
        </w:rPr>
        <w:t>. Така</w:t>
      </w:r>
      <w:r w:rsidR="00CE5AB9">
        <w:rPr>
          <w:rFonts w:ascii="Times New Roman" w:eastAsia="Times New Roman" w:hAnsi="Times New Roman" w:cs="Times New Roman"/>
          <w:sz w:val="24"/>
          <w:szCs w:val="24"/>
        </w:rPr>
        <w:t>,</w:t>
      </w:r>
      <w:r w:rsidRPr="00C66897">
        <w:rPr>
          <w:rFonts w:ascii="Times New Roman" w:eastAsia="Times New Roman" w:hAnsi="Times New Roman" w:cs="Times New Roman"/>
          <w:sz w:val="24"/>
          <w:szCs w:val="24"/>
        </w:rPr>
        <w:t xml:space="preserve"> част от участниците може умишлено да игнорират изискванията. В този случай, очакваните ползи, като по-пропорционално разпределение на добавената стойност и премахване на нелоялни практики, няма да се реализират напълно. Вероятността от недостатъчно прилагане може да се оцени като умерена (L=3).</w:t>
      </w:r>
      <w:r>
        <w:rPr>
          <w:rFonts w:ascii="Times New Roman" w:eastAsia="Times New Roman" w:hAnsi="Times New Roman" w:cs="Times New Roman"/>
          <w:sz w:val="24"/>
          <w:szCs w:val="24"/>
        </w:rPr>
        <w:t xml:space="preserve"> </w:t>
      </w:r>
      <w:r w:rsidRPr="00C66897">
        <w:rPr>
          <w:rFonts w:ascii="Times New Roman" w:eastAsia="Times New Roman" w:hAnsi="Times New Roman" w:cs="Times New Roman"/>
          <w:sz w:val="24"/>
          <w:szCs w:val="24"/>
        </w:rPr>
        <w:t xml:space="preserve">Въздействието при евентуален провал обаче би било значително (I=5), тъй като освен че нелоялните практики ще продължат, ще са направени и </w:t>
      </w:r>
      <w:r w:rsidR="00CE5AB9">
        <w:rPr>
          <w:rFonts w:ascii="Times New Roman" w:eastAsia="Times New Roman" w:hAnsi="Times New Roman" w:cs="Times New Roman"/>
          <w:sz w:val="24"/>
          <w:szCs w:val="24"/>
        </w:rPr>
        <w:t>допълнителни</w:t>
      </w:r>
      <w:r w:rsidR="00CE5AB9" w:rsidRPr="00C66897">
        <w:rPr>
          <w:rFonts w:ascii="Times New Roman" w:eastAsia="Times New Roman" w:hAnsi="Times New Roman" w:cs="Times New Roman"/>
          <w:sz w:val="24"/>
          <w:szCs w:val="24"/>
        </w:rPr>
        <w:t xml:space="preserve"> </w:t>
      </w:r>
      <w:r w:rsidRPr="00C66897">
        <w:rPr>
          <w:rFonts w:ascii="Times New Roman" w:eastAsia="Times New Roman" w:hAnsi="Times New Roman" w:cs="Times New Roman"/>
          <w:sz w:val="24"/>
          <w:szCs w:val="24"/>
        </w:rPr>
        <w:t xml:space="preserve">административни разходи, а пазарът ще бъде нарушен без реална компенсация под формата на ползи. </w:t>
      </w:r>
      <w:r w:rsidR="00E464CF">
        <w:rPr>
          <w:rFonts w:ascii="Times New Roman" w:eastAsia="Times New Roman" w:hAnsi="Times New Roman" w:cs="Times New Roman"/>
          <w:sz w:val="24"/>
          <w:szCs w:val="24"/>
        </w:rPr>
        <w:t>Това произтича от факта, че п</w:t>
      </w:r>
      <w:r w:rsidRPr="00C66897">
        <w:rPr>
          <w:rFonts w:ascii="Times New Roman" w:eastAsia="Times New Roman" w:hAnsi="Times New Roman" w:cs="Times New Roman"/>
          <w:sz w:val="24"/>
          <w:szCs w:val="24"/>
        </w:rPr>
        <w:t xml:space="preserve">ровал в прилагането на изцяло нов специален закон може да предизвика объркване, разочарование сред участниците и загуба на обществено доверие. </w:t>
      </w:r>
      <w:r>
        <w:rPr>
          <w:rFonts w:ascii="Times New Roman" w:eastAsia="Times New Roman" w:hAnsi="Times New Roman" w:cs="Times New Roman"/>
          <w:sz w:val="24"/>
          <w:szCs w:val="24"/>
        </w:rPr>
        <w:t>С</w:t>
      </w:r>
      <w:r w:rsidRPr="00C66897">
        <w:rPr>
          <w:rFonts w:ascii="Times New Roman" w:eastAsia="Times New Roman" w:hAnsi="Times New Roman" w:cs="Times New Roman"/>
          <w:sz w:val="24"/>
          <w:szCs w:val="24"/>
        </w:rPr>
        <w:t>ъществува умерен до висок риск първоначалният капацитет за прилагане да не отговаря на амбицията на закона, което би довело до частично или забавено реализиране на икономическите ползи. Следователно, по тази категория</w:t>
      </w:r>
      <w:r w:rsidR="00A5236A">
        <w:rPr>
          <w:rFonts w:ascii="Times New Roman" w:eastAsia="Times New Roman" w:hAnsi="Times New Roman" w:cs="Times New Roman"/>
          <w:sz w:val="24"/>
          <w:szCs w:val="24"/>
        </w:rPr>
        <w:t xml:space="preserve"> на варианта може</w:t>
      </w:r>
      <w:r w:rsidRPr="00C66897">
        <w:rPr>
          <w:rFonts w:ascii="Times New Roman" w:eastAsia="Times New Roman" w:hAnsi="Times New Roman" w:cs="Times New Roman"/>
          <w:sz w:val="24"/>
          <w:szCs w:val="24"/>
        </w:rPr>
        <w:t xml:space="preserve"> да се определи</w:t>
      </w:r>
      <w:r w:rsidR="00A5236A">
        <w:rPr>
          <w:rFonts w:ascii="Times New Roman" w:eastAsia="Times New Roman" w:hAnsi="Times New Roman" w:cs="Times New Roman"/>
          <w:sz w:val="24"/>
          <w:szCs w:val="24"/>
        </w:rPr>
        <w:t xml:space="preserve"> </w:t>
      </w:r>
      <w:r w:rsidR="00A5236A" w:rsidRPr="00A5236A">
        <w:rPr>
          <w:rFonts w:ascii="Times New Roman" w:eastAsia="Times New Roman" w:hAnsi="Times New Roman" w:cs="Times New Roman"/>
          <w:b/>
          <w:sz w:val="24"/>
          <w:szCs w:val="24"/>
        </w:rPr>
        <w:t>рисков рейтинг</w:t>
      </w:r>
      <w:r w:rsidRPr="00A5236A">
        <w:rPr>
          <w:rFonts w:ascii="Times New Roman" w:eastAsia="Times New Roman" w:hAnsi="Times New Roman" w:cs="Times New Roman"/>
          <w:b/>
          <w:sz w:val="24"/>
          <w:szCs w:val="24"/>
        </w:rPr>
        <w:t xml:space="preserve"> </w:t>
      </w:r>
      <w:r w:rsidR="00A5236A" w:rsidRPr="00C66897">
        <w:rPr>
          <w:rFonts w:ascii="Times New Roman" w:eastAsia="Times New Roman" w:hAnsi="Times New Roman" w:cs="Times New Roman"/>
          <w:sz w:val="24"/>
          <w:szCs w:val="24"/>
        </w:rPr>
        <w:t>(3×5)</w:t>
      </w:r>
      <w:r w:rsidR="00A5236A">
        <w:rPr>
          <w:rFonts w:ascii="Times New Roman" w:eastAsia="Times New Roman" w:hAnsi="Times New Roman" w:cs="Times New Roman"/>
          <w:sz w:val="24"/>
          <w:szCs w:val="24"/>
        </w:rPr>
        <w:t xml:space="preserve"> </w:t>
      </w:r>
      <w:r w:rsidR="00A5236A" w:rsidRPr="00A5236A">
        <w:rPr>
          <w:rFonts w:ascii="Times New Roman" w:eastAsia="Times New Roman" w:hAnsi="Times New Roman" w:cs="Times New Roman"/>
          <w:b/>
          <w:sz w:val="24"/>
          <w:szCs w:val="24"/>
        </w:rPr>
        <w:t>=</w:t>
      </w:r>
      <w:r w:rsidRPr="00A5236A">
        <w:rPr>
          <w:rFonts w:ascii="Times New Roman" w:eastAsia="Times New Roman" w:hAnsi="Times New Roman" w:cs="Times New Roman"/>
          <w:b/>
          <w:sz w:val="24"/>
          <w:szCs w:val="24"/>
        </w:rPr>
        <w:t xml:space="preserve"> 15</w:t>
      </w:r>
      <w:r w:rsidRPr="00C66897">
        <w:rPr>
          <w:rFonts w:ascii="Times New Roman" w:eastAsia="Times New Roman" w:hAnsi="Times New Roman" w:cs="Times New Roman"/>
          <w:sz w:val="24"/>
          <w:szCs w:val="24"/>
        </w:rPr>
        <w:t>.</w:t>
      </w:r>
    </w:p>
    <w:p w14:paraId="03BB3512" w14:textId="77777777" w:rsidR="00A5236A" w:rsidRPr="00C66897" w:rsidRDefault="00A5236A" w:rsidP="00C66897">
      <w:pPr>
        <w:spacing w:after="0" w:line="240" w:lineRule="auto"/>
        <w:ind w:firstLine="567"/>
        <w:jc w:val="both"/>
        <w:rPr>
          <w:rFonts w:ascii="Times New Roman" w:eastAsia="Times New Roman" w:hAnsi="Times New Roman" w:cs="Times New Roman"/>
          <w:sz w:val="24"/>
          <w:szCs w:val="24"/>
        </w:rPr>
      </w:pPr>
    </w:p>
    <w:p w14:paraId="3E3C9AE2" w14:textId="77777777" w:rsidR="00E16161" w:rsidRPr="003A0EE9" w:rsidRDefault="00E16161" w:rsidP="00E16161">
      <w:pPr>
        <w:spacing w:after="0" w:line="240" w:lineRule="auto"/>
        <w:ind w:firstLine="567"/>
        <w:jc w:val="both"/>
        <w:rPr>
          <w:rFonts w:ascii="Times New Roman" w:eastAsia="Times New Roman" w:hAnsi="Times New Roman" w:cs="Times New Roman"/>
          <w:b/>
          <w:i/>
          <w:iCs/>
          <w:sz w:val="24"/>
          <w:szCs w:val="24"/>
        </w:rPr>
      </w:pPr>
      <w:r w:rsidRPr="003A0EE9">
        <w:rPr>
          <w:rFonts w:ascii="Times New Roman" w:eastAsia="Times New Roman" w:hAnsi="Times New Roman" w:cs="Times New Roman"/>
          <w:b/>
          <w:bCs/>
          <w:i/>
          <w:sz w:val="24"/>
          <w:szCs w:val="24"/>
        </w:rPr>
        <w:t xml:space="preserve">3.5. Ниско съответствие </w:t>
      </w:r>
      <w:r>
        <w:rPr>
          <w:rFonts w:ascii="Times New Roman" w:eastAsia="Times New Roman" w:hAnsi="Times New Roman" w:cs="Times New Roman"/>
          <w:b/>
          <w:bCs/>
          <w:i/>
          <w:sz w:val="24"/>
          <w:szCs w:val="24"/>
        </w:rPr>
        <w:t>и</w:t>
      </w:r>
      <w:r w:rsidRPr="003A0EE9">
        <w:rPr>
          <w:rFonts w:ascii="Times New Roman" w:eastAsia="Times New Roman" w:hAnsi="Times New Roman" w:cs="Times New Roman"/>
          <w:b/>
          <w:bCs/>
          <w:i/>
          <w:sz w:val="24"/>
          <w:szCs w:val="24"/>
        </w:rPr>
        <w:t xml:space="preserve"> липса на спазване от страна на бизнеса:</w:t>
      </w:r>
      <w:r w:rsidRPr="003A0EE9">
        <w:rPr>
          <w:rFonts w:ascii="Times New Roman" w:eastAsia="Times New Roman" w:hAnsi="Times New Roman" w:cs="Times New Roman"/>
          <w:b/>
          <w:i/>
          <w:sz w:val="24"/>
          <w:szCs w:val="24"/>
        </w:rPr>
        <w:t xml:space="preserve"> </w:t>
      </w:r>
      <w:r>
        <w:rPr>
          <w:rFonts w:ascii="Times New Roman" w:eastAsia="Times New Roman" w:hAnsi="Times New Roman" w:cs="Times New Roman"/>
          <w:b/>
          <w:i/>
          <w:iCs/>
          <w:sz w:val="24"/>
          <w:szCs w:val="24"/>
        </w:rPr>
        <w:t>Висок риск, особено в началото</w:t>
      </w:r>
    </w:p>
    <w:p w14:paraId="360E95C9" w14:textId="39B89A67" w:rsidR="00E16161" w:rsidRPr="003A0EE9" w:rsidRDefault="00E16161" w:rsidP="00E16161">
      <w:pPr>
        <w:spacing w:after="0" w:line="240" w:lineRule="auto"/>
        <w:ind w:firstLine="567"/>
        <w:jc w:val="both"/>
        <w:rPr>
          <w:rFonts w:ascii="Times New Roman" w:eastAsia="Times New Roman" w:hAnsi="Times New Roman" w:cs="Times New Roman"/>
          <w:bCs/>
          <w:sz w:val="24"/>
          <w:szCs w:val="24"/>
        </w:rPr>
      </w:pPr>
      <w:r w:rsidRPr="008C3960">
        <w:rPr>
          <w:rFonts w:ascii="Times New Roman" w:eastAsia="Times New Roman" w:hAnsi="Times New Roman" w:cs="Times New Roman"/>
          <w:sz w:val="24"/>
          <w:szCs w:val="24"/>
        </w:rPr>
        <w:t xml:space="preserve">Като се имат предвид </w:t>
      </w:r>
      <w:r>
        <w:rPr>
          <w:rFonts w:ascii="Times New Roman" w:eastAsia="Times New Roman" w:hAnsi="Times New Roman" w:cs="Times New Roman"/>
          <w:sz w:val="24"/>
          <w:szCs w:val="24"/>
        </w:rPr>
        <w:t>сериозните</w:t>
      </w:r>
      <w:r w:rsidRPr="008C3960">
        <w:rPr>
          <w:rFonts w:ascii="Times New Roman" w:eastAsia="Times New Roman" w:hAnsi="Times New Roman" w:cs="Times New Roman"/>
          <w:sz w:val="24"/>
          <w:szCs w:val="24"/>
        </w:rPr>
        <w:t xml:space="preserve"> промени</w:t>
      </w:r>
      <w:r>
        <w:rPr>
          <w:rFonts w:ascii="Times New Roman" w:eastAsia="Times New Roman" w:hAnsi="Times New Roman" w:cs="Times New Roman"/>
          <w:sz w:val="24"/>
          <w:szCs w:val="24"/>
        </w:rPr>
        <w:t xml:space="preserve"> при този вариант</w:t>
      </w:r>
      <w:r w:rsidRPr="008C3960">
        <w:rPr>
          <w:rFonts w:ascii="Times New Roman" w:eastAsia="Times New Roman" w:hAnsi="Times New Roman" w:cs="Times New Roman"/>
          <w:sz w:val="24"/>
          <w:szCs w:val="24"/>
        </w:rPr>
        <w:t xml:space="preserve">, може да се очаква </w:t>
      </w:r>
      <w:r w:rsidR="00C66897">
        <w:rPr>
          <w:rFonts w:ascii="Times New Roman" w:eastAsia="Times New Roman" w:hAnsi="Times New Roman" w:cs="Times New Roman"/>
          <w:sz w:val="24"/>
          <w:szCs w:val="24"/>
        </w:rPr>
        <w:t xml:space="preserve">известна </w:t>
      </w:r>
      <w:r w:rsidRPr="003A0EE9">
        <w:rPr>
          <w:rFonts w:ascii="Times New Roman" w:eastAsia="Times New Roman" w:hAnsi="Times New Roman" w:cs="Times New Roman"/>
          <w:bCs/>
          <w:sz w:val="24"/>
          <w:szCs w:val="24"/>
        </w:rPr>
        <w:t>съпротива или опити за избягване</w:t>
      </w:r>
      <w:r w:rsidR="00C66897">
        <w:rPr>
          <w:rFonts w:ascii="Times New Roman" w:eastAsia="Times New Roman" w:hAnsi="Times New Roman" w:cs="Times New Roman"/>
          <w:bCs/>
          <w:sz w:val="24"/>
          <w:szCs w:val="24"/>
        </w:rPr>
        <w:t xml:space="preserve"> на правилата, поне в началните етапи</w:t>
      </w:r>
      <w:r w:rsidR="00E464CF">
        <w:rPr>
          <w:rFonts w:ascii="Times New Roman" w:eastAsia="Times New Roman" w:hAnsi="Times New Roman" w:cs="Times New Roman"/>
          <w:bCs/>
          <w:sz w:val="24"/>
          <w:szCs w:val="24"/>
        </w:rPr>
        <w:t xml:space="preserve"> на прилагане на мерките</w:t>
      </w:r>
      <w:r w:rsidRPr="008C3960">
        <w:rPr>
          <w:rFonts w:ascii="Times New Roman" w:eastAsia="Times New Roman" w:hAnsi="Times New Roman" w:cs="Times New Roman"/>
          <w:sz w:val="24"/>
          <w:szCs w:val="24"/>
        </w:rPr>
        <w:t xml:space="preserve">. Някои </w:t>
      </w:r>
      <w:r w:rsidR="00262C0B">
        <w:rPr>
          <w:rFonts w:ascii="Times New Roman" w:eastAsia="Times New Roman" w:hAnsi="Times New Roman" w:cs="Times New Roman"/>
          <w:sz w:val="24"/>
          <w:szCs w:val="24"/>
        </w:rPr>
        <w:t>търговски дружества</w:t>
      </w:r>
      <w:r w:rsidR="00262C0B" w:rsidRPr="008C3960">
        <w:rPr>
          <w:rFonts w:ascii="Times New Roman" w:eastAsia="Times New Roman" w:hAnsi="Times New Roman" w:cs="Times New Roman"/>
          <w:sz w:val="24"/>
          <w:szCs w:val="24"/>
        </w:rPr>
        <w:t xml:space="preserve"> </w:t>
      </w:r>
      <w:r w:rsidRPr="008C3960">
        <w:rPr>
          <w:rFonts w:ascii="Times New Roman" w:eastAsia="Times New Roman" w:hAnsi="Times New Roman" w:cs="Times New Roman"/>
          <w:sz w:val="24"/>
          <w:szCs w:val="24"/>
        </w:rPr>
        <w:t xml:space="preserve">може да се съобразят от страх от санкции или законови задължения, но други могат да търсят вратички или дори открито да пренебрегват правилата, ако смятат, че прилагането им е слабо или правилото е непопулярно. </w:t>
      </w:r>
      <w:r>
        <w:rPr>
          <w:rFonts w:ascii="Times New Roman" w:eastAsia="Times New Roman" w:hAnsi="Times New Roman" w:cs="Times New Roman"/>
          <w:sz w:val="24"/>
          <w:szCs w:val="24"/>
        </w:rPr>
        <w:t>Оттук</w:t>
      </w:r>
      <w:r w:rsidR="00262C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A0EE9">
        <w:rPr>
          <w:rFonts w:ascii="Times New Roman" w:eastAsia="Times New Roman" w:hAnsi="Times New Roman" w:cs="Times New Roman"/>
          <w:sz w:val="24"/>
          <w:szCs w:val="24"/>
        </w:rPr>
        <w:t xml:space="preserve">вероятността </w:t>
      </w:r>
      <w:r w:rsidRPr="003A0EE9">
        <w:rPr>
          <w:rFonts w:ascii="Times New Roman" w:eastAsia="Times New Roman" w:hAnsi="Times New Roman" w:cs="Times New Roman"/>
          <w:bCs/>
          <w:sz w:val="24"/>
          <w:szCs w:val="24"/>
        </w:rPr>
        <w:t>от несъответствие, поне в ранните етапи, е висока (L=4)</w:t>
      </w:r>
      <w:r w:rsidRPr="003A0EE9">
        <w:rPr>
          <w:rFonts w:ascii="Times New Roman" w:eastAsia="Times New Roman" w:hAnsi="Times New Roman" w:cs="Times New Roman"/>
          <w:sz w:val="24"/>
          <w:szCs w:val="24"/>
        </w:rPr>
        <w:t xml:space="preserve">. </w:t>
      </w:r>
      <w:r w:rsidR="00C66897" w:rsidRPr="00C66897">
        <w:rPr>
          <w:rFonts w:ascii="Times New Roman" w:eastAsia="Times New Roman" w:hAnsi="Times New Roman" w:cs="Times New Roman"/>
          <w:sz w:val="24"/>
          <w:szCs w:val="24"/>
        </w:rPr>
        <w:t>Подобно поведение не е необичайно при въвеждането на нова обширна регулация, тъй като културата на пълно нормативно съответствие</w:t>
      </w:r>
      <w:r w:rsidR="00293C5A">
        <w:rPr>
          <w:rFonts w:ascii="Times New Roman" w:eastAsia="Times New Roman" w:hAnsi="Times New Roman" w:cs="Times New Roman"/>
          <w:sz w:val="24"/>
          <w:szCs w:val="24"/>
        </w:rPr>
        <w:t xml:space="preserve"> (спазване)</w:t>
      </w:r>
      <w:r w:rsidR="00C66897" w:rsidRPr="00C66897">
        <w:rPr>
          <w:rFonts w:ascii="Times New Roman" w:eastAsia="Times New Roman" w:hAnsi="Times New Roman" w:cs="Times New Roman"/>
          <w:sz w:val="24"/>
          <w:szCs w:val="24"/>
        </w:rPr>
        <w:t xml:space="preserve"> обикновено се изгражда с времето.</w:t>
      </w:r>
      <w:r w:rsidRPr="003A0EE9">
        <w:rPr>
          <w:rFonts w:ascii="Times New Roman" w:eastAsia="Times New Roman" w:hAnsi="Times New Roman" w:cs="Times New Roman"/>
          <w:sz w:val="24"/>
          <w:szCs w:val="24"/>
        </w:rPr>
        <w:t xml:space="preserve"> Въздействието на ниското</w:t>
      </w:r>
      <w:r w:rsidR="00C66897">
        <w:rPr>
          <w:rFonts w:ascii="Times New Roman" w:eastAsia="Times New Roman" w:hAnsi="Times New Roman" w:cs="Times New Roman"/>
          <w:sz w:val="24"/>
          <w:szCs w:val="24"/>
        </w:rPr>
        <w:t xml:space="preserve"> ниво на</w:t>
      </w:r>
      <w:r w:rsidRPr="003A0EE9">
        <w:rPr>
          <w:rFonts w:ascii="Times New Roman" w:eastAsia="Times New Roman" w:hAnsi="Times New Roman" w:cs="Times New Roman"/>
          <w:sz w:val="24"/>
          <w:szCs w:val="24"/>
        </w:rPr>
        <w:t xml:space="preserve"> спазване е голямо</w:t>
      </w:r>
      <w:r w:rsidRPr="008C3960">
        <w:rPr>
          <w:rFonts w:ascii="Times New Roman" w:eastAsia="Times New Roman" w:hAnsi="Times New Roman" w:cs="Times New Roman"/>
          <w:sz w:val="24"/>
          <w:szCs w:val="24"/>
        </w:rPr>
        <w:t xml:space="preserve"> (I</w:t>
      </w:r>
      <w:r w:rsidRPr="003A0EE9">
        <w:rPr>
          <w:rFonts w:ascii="Times New Roman" w:eastAsia="Times New Roman" w:hAnsi="Times New Roman" w:cs="Times New Roman"/>
          <w:sz w:val="24"/>
          <w:szCs w:val="24"/>
        </w:rPr>
        <w:t>=4)</w:t>
      </w:r>
      <w:r w:rsidRPr="003A0EE9">
        <w:rPr>
          <w:rFonts w:ascii="Times New Roman" w:eastAsia="Times New Roman" w:hAnsi="Times New Roman" w:cs="Times New Roman"/>
          <w:bCs/>
          <w:sz w:val="24"/>
          <w:szCs w:val="24"/>
        </w:rPr>
        <w:t xml:space="preserve">, </w:t>
      </w:r>
      <w:r w:rsidRPr="003A0EE9">
        <w:rPr>
          <w:rFonts w:ascii="Times New Roman" w:eastAsia="Times New Roman" w:hAnsi="Times New Roman" w:cs="Times New Roman"/>
          <w:sz w:val="24"/>
          <w:szCs w:val="24"/>
        </w:rPr>
        <w:t>тъй</w:t>
      </w:r>
      <w:r w:rsidRPr="008C3960">
        <w:rPr>
          <w:rFonts w:ascii="Times New Roman" w:eastAsia="Times New Roman" w:hAnsi="Times New Roman" w:cs="Times New Roman"/>
          <w:sz w:val="24"/>
          <w:szCs w:val="24"/>
        </w:rPr>
        <w:t xml:space="preserve"> като то би подкопало ефективността на закона и дори би могло да създаде неравнопоставени условия (тези, които спаз</w:t>
      </w:r>
      <w:r>
        <w:rPr>
          <w:rFonts w:ascii="Times New Roman" w:eastAsia="Times New Roman" w:hAnsi="Times New Roman" w:cs="Times New Roman"/>
          <w:sz w:val="24"/>
          <w:szCs w:val="24"/>
        </w:rPr>
        <w:t>ват, понасят по-високи разходи,</w:t>
      </w:r>
      <w:r w:rsidRPr="008C3960">
        <w:rPr>
          <w:rFonts w:ascii="Times New Roman" w:eastAsia="Times New Roman" w:hAnsi="Times New Roman" w:cs="Times New Roman"/>
          <w:sz w:val="24"/>
          <w:szCs w:val="24"/>
        </w:rPr>
        <w:t xml:space="preserve"> не </w:t>
      </w:r>
      <w:r>
        <w:rPr>
          <w:rFonts w:ascii="Times New Roman" w:eastAsia="Times New Roman" w:hAnsi="Times New Roman" w:cs="Times New Roman"/>
          <w:sz w:val="24"/>
          <w:szCs w:val="24"/>
        </w:rPr>
        <w:t>печелят конкурентно предимство, а другите печелят, докато не бъдат санкционирани</w:t>
      </w:r>
      <w:r w:rsidRPr="008C3960">
        <w:rPr>
          <w:rFonts w:ascii="Times New Roman" w:eastAsia="Times New Roman" w:hAnsi="Times New Roman" w:cs="Times New Roman"/>
          <w:sz w:val="24"/>
          <w:szCs w:val="24"/>
        </w:rPr>
        <w:t xml:space="preserve">). </w:t>
      </w:r>
      <w:r w:rsidR="00C66897" w:rsidRPr="00C66897">
        <w:rPr>
          <w:rFonts w:ascii="Times New Roman" w:eastAsia="Times New Roman" w:hAnsi="Times New Roman" w:cs="Times New Roman"/>
          <w:sz w:val="24"/>
          <w:szCs w:val="24"/>
        </w:rPr>
        <w:t>Ако нарушенията станат масови</w:t>
      </w:r>
      <w:r w:rsidRPr="008C3960">
        <w:rPr>
          <w:rFonts w:ascii="Times New Roman" w:eastAsia="Times New Roman" w:hAnsi="Times New Roman" w:cs="Times New Roman"/>
          <w:sz w:val="24"/>
          <w:szCs w:val="24"/>
        </w:rPr>
        <w:t>, очакваните резултати (напр</w:t>
      </w:r>
      <w:r w:rsidR="00262C0B">
        <w:rPr>
          <w:rFonts w:ascii="Times New Roman" w:eastAsia="Times New Roman" w:hAnsi="Times New Roman" w:cs="Times New Roman"/>
          <w:sz w:val="24"/>
          <w:szCs w:val="24"/>
        </w:rPr>
        <w:t>имер,</w:t>
      </w:r>
      <w:r w:rsidR="00262C0B" w:rsidRPr="008C3960">
        <w:rPr>
          <w:rFonts w:ascii="Times New Roman" w:eastAsia="Times New Roman" w:hAnsi="Times New Roman" w:cs="Times New Roman"/>
          <w:sz w:val="24"/>
          <w:szCs w:val="24"/>
        </w:rPr>
        <w:t xml:space="preserve"> </w:t>
      </w:r>
      <w:r w:rsidRPr="008C3960">
        <w:rPr>
          <w:rFonts w:ascii="Times New Roman" w:eastAsia="Times New Roman" w:hAnsi="Times New Roman" w:cs="Times New Roman"/>
          <w:sz w:val="24"/>
          <w:szCs w:val="24"/>
        </w:rPr>
        <w:t xml:space="preserve">по-добри условия за всички </w:t>
      </w:r>
      <w:r w:rsidR="00CE5AB9">
        <w:rPr>
          <w:rFonts w:ascii="Times New Roman" w:eastAsia="Times New Roman" w:hAnsi="Times New Roman" w:cs="Times New Roman"/>
          <w:sz w:val="24"/>
          <w:szCs w:val="24"/>
        </w:rPr>
        <w:t xml:space="preserve">производители </w:t>
      </w:r>
      <w:r>
        <w:rPr>
          <w:rFonts w:ascii="Times New Roman" w:eastAsia="Times New Roman" w:hAnsi="Times New Roman" w:cs="Times New Roman"/>
          <w:sz w:val="24"/>
          <w:szCs w:val="24"/>
        </w:rPr>
        <w:t>и доставчици</w:t>
      </w:r>
      <w:r w:rsidRPr="008C3960">
        <w:rPr>
          <w:rFonts w:ascii="Times New Roman" w:eastAsia="Times New Roman" w:hAnsi="Times New Roman" w:cs="Times New Roman"/>
          <w:sz w:val="24"/>
          <w:szCs w:val="24"/>
        </w:rPr>
        <w:t>) могат да бъдат постигнати само частично</w:t>
      </w:r>
      <w:r w:rsidR="00C66897">
        <w:rPr>
          <w:rFonts w:ascii="Times New Roman" w:eastAsia="Times New Roman" w:hAnsi="Times New Roman" w:cs="Times New Roman"/>
          <w:sz w:val="24"/>
          <w:szCs w:val="24"/>
        </w:rPr>
        <w:t>.</w:t>
      </w:r>
      <w:r w:rsidR="00C66897" w:rsidRPr="00C66897">
        <w:t xml:space="preserve"> </w:t>
      </w:r>
      <w:r w:rsidR="00C66897" w:rsidRPr="00C66897">
        <w:rPr>
          <w:rFonts w:ascii="Times New Roman" w:eastAsia="Times New Roman" w:hAnsi="Times New Roman" w:cs="Times New Roman"/>
          <w:sz w:val="24"/>
          <w:szCs w:val="24"/>
        </w:rPr>
        <w:t xml:space="preserve">Това може да създаде </w:t>
      </w:r>
      <w:r w:rsidR="00903C2F">
        <w:rPr>
          <w:rFonts w:ascii="Times New Roman" w:eastAsia="Times New Roman" w:hAnsi="Times New Roman" w:cs="Times New Roman"/>
          <w:sz w:val="24"/>
          <w:szCs w:val="24"/>
        </w:rPr>
        <w:t>де</w:t>
      </w:r>
      <w:r w:rsidR="00903C2F" w:rsidRPr="00C66897">
        <w:rPr>
          <w:rFonts w:ascii="Times New Roman" w:eastAsia="Times New Roman" w:hAnsi="Times New Roman" w:cs="Times New Roman"/>
          <w:sz w:val="24"/>
          <w:szCs w:val="24"/>
        </w:rPr>
        <w:t>мотивация</w:t>
      </w:r>
      <w:r w:rsidR="00C66897" w:rsidRPr="00C66897">
        <w:rPr>
          <w:rFonts w:ascii="Times New Roman" w:eastAsia="Times New Roman" w:hAnsi="Times New Roman" w:cs="Times New Roman"/>
          <w:sz w:val="24"/>
          <w:szCs w:val="24"/>
        </w:rPr>
        <w:t xml:space="preserve"> сред добросъвестните участници и дългосрочен риск за доверието в регулацията</w:t>
      </w:r>
      <w:r w:rsidRPr="008C3960">
        <w:rPr>
          <w:rFonts w:ascii="Times New Roman" w:eastAsia="Times New Roman" w:hAnsi="Times New Roman" w:cs="Times New Roman"/>
          <w:sz w:val="24"/>
          <w:szCs w:val="24"/>
        </w:rPr>
        <w:t xml:space="preserve">. Този риск е тясно свързан с правоприлагането – без </w:t>
      </w:r>
      <w:r w:rsidR="00262C0B">
        <w:rPr>
          <w:rFonts w:ascii="Times New Roman" w:eastAsia="Times New Roman" w:hAnsi="Times New Roman" w:cs="Times New Roman"/>
          <w:sz w:val="24"/>
          <w:szCs w:val="24"/>
        </w:rPr>
        <w:t>интензивен публичноправен контрол,</w:t>
      </w:r>
      <w:r w:rsidRPr="008C3960">
        <w:rPr>
          <w:rFonts w:ascii="Times New Roman" w:eastAsia="Times New Roman" w:hAnsi="Times New Roman" w:cs="Times New Roman"/>
          <w:sz w:val="24"/>
          <w:szCs w:val="24"/>
        </w:rPr>
        <w:t xml:space="preserve"> спазването</w:t>
      </w:r>
      <w:r w:rsidR="00262C0B">
        <w:rPr>
          <w:rFonts w:ascii="Times New Roman" w:eastAsia="Times New Roman" w:hAnsi="Times New Roman" w:cs="Times New Roman"/>
          <w:sz w:val="24"/>
          <w:szCs w:val="24"/>
        </w:rPr>
        <w:t xml:space="preserve"> на правилата</w:t>
      </w:r>
      <w:r w:rsidRPr="008C3960">
        <w:rPr>
          <w:rFonts w:ascii="Times New Roman" w:eastAsia="Times New Roman" w:hAnsi="Times New Roman" w:cs="Times New Roman"/>
          <w:sz w:val="24"/>
          <w:szCs w:val="24"/>
        </w:rPr>
        <w:t xml:space="preserve"> ще изостане. </w:t>
      </w:r>
      <w:r>
        <w:rPr>
          <w:rFonts w:ascii="Times New Roman" w:eastAsia="Times New Roman" w:hAnsi="Times New Roman" w:cs="Times New Roman"/>
          <w:sz w:val="24"/>
          <w:szCs w:val="24"/>
        </w:rPr>
        <w:t>Държавата</w:t>
      </w:r>
      <w:r w:rsidRPr="008C3960">
        <w:rPr>
          <w:rFonts w:ascii="Times New Roman" w:eastAsia="Times New Roman" w:hAnsi="Times New Roman" w:cs="Times New Roman"/>
          <w:sz w:val="24"/>
          <w:szCs w:val="24"/>
        </w:rPr>
        <w:t xml:space="preserve"> </w:t>
      </w:r>
      <w:r w:rsidRPr="008C3960">
        <w:rPr>
          <w:rFonts w:ascii="Times New Roman" w:eastAsia="Times New Roman" w:hAnsi="Times New Roman" w:cs="Times New Roman"/>
          <w:sz w:val="24"/>
          <w:szCs w:val="24"/>
        </w:rPr>
        <w:lastRenderedPageBreak/>
        <w:t xml:space="preserve">ще трябва да инвестира </w:t>
      </w:r>
      <w:r>
        <w:rPr>
          <w:rFonts w:ascii="Times New Roman" w:eastAsia="Times New Roman" w:hAnsi="Times New Roman" w:cs="Times New Roman"/>
          <w:sz w:val="24"/>
          <w:szCs w:val="24"/>
        </w:rPr>
        <w:t>и</w:t>
      </w:r>
      <w:r w:rsidRPr="008C3960">
        <w:rPr>
          <w:rFonts w:ascii="Times New Roman" w:eastAsia="Times New Roman" w:hAnsi="Times New Roman" w:cs="Times New Roman"/>
          <w:sz w:val="24"/>
          <w:szCs w:val="24"/>
        </w:rPr>
        <w:t xml:space="preserve"> в насърчаване на </w:t>
      </w:r>
      <w:r w:rsidR="00293C5A">
        <w:rPr>
          <w:rFonts w:ascii="Times New Roman" w:eastAsia="Times New Roman" w:hAnsi="Times New Roman" w:cs="Times New Roman"/>
          <w:sz w:val="24"/>
          <w:szCs w:val="24"/>
        </w:rPr>
        <w:t>спазването</w:t>
      </w:r>
      <w:r w:rsidRPr="008C3960">
        <w:rPr>
          <w:rFonts w:ascii="Times New Roman" w:eastAsia="Times New Roman" w:hAnsi="Times New Roman" w:cs="Times New Roman"/>
          <w:sz w:val="24"/>
          <w:szCs w:val="24"/>
        </w:rPr>
        <w:t xml:space="preserve"> (обучение, консултантски услуги), за да се включат всички. </w:t>
      </w:r>
      <w:r w:rsidRPr="003A0EE9">
        <w:rPr>
          <w:rFonts w:ascii="Times New Roman" w:eastAsia="Times New Roman" w:hAnsi="Times New Roman" w:cs="Times New Roman"/>
          <w:bCs/>
          <w:sz w:val="24"/>
          <w:szCs w:val="24"/>
        </w:rPr>
        <w:t>Вариант 3 е изправен пред висок риск от неспазване от тези, които не желаят или не могат да изпълнят новите изисквания</w:t>
      </w:r>
      <w:r w:rsidRPr="003A0EE9">
        <w:rPr>
          <w:rFonts w:ascii="Times New Roman" w:eastAsia="Times New Roman" w:hAnsi="Times New Roman" w:cs="Times New Roman"/>
          <w:sz w:val="24"/>
          <w:szCs w:val="24"/>
        </w:rPr>
        <w:t xml:space="preserve">, което би могло да забави или намали икономическите ползи от закона в началните </w:t>
      </w:r>
      <w:r w:rsidR="00293C5A">
        <w:rPr>
          <w:rFonts w:ascii="Times New Roman" w:eastAsia="Times New Roman" w:hAnsi="Times New Roman" w:cs="Times New Roman"/>
          <w:sz w:val="24"/>
          <w:szCs w:val="24"/>
        </w:rPr>
        <w:t>етапи</w:t>
      </w:r>
      <w:r w:rsidRPr="003A0EE9">
        <w:rPr>
          <w:rFonts w:ascii="Times New Roman" w:eastAsia="Times New Roman" w:hAnsi="Times New Roman" w:cs="Times New Roman"/>
          <w:sz w:val="24"/>
          <w:szCs w:val="24"/>
        </w:rPr>
        <w:t>. Оттук</w:t>
      </w:r>
      <w:r w:rsidR="00262C0B">
        <w:rPr>
          <w:rFonts w:ascii="Times New Roman" w:eastAsia="Times New Roman" w:hAnsi="Times New Roman" w:cs="Times New Roman"/>
          <w:sz w:val="24"/>
          <w:szCs w:val="24"/>
        </w:rPr>
        <w:t>,</w:t>
      </w:r>
      <w:r w:rsidRPr="003A0EE9">
        <w:rPr>
          <w:rFonts w:ascii="Times New Roman" w:eastAsia="Times New Roman" w:hAnsi="Times New Roman" w:cs="Times New Roman"/>
          <w:sz w:val="24"/>
          <w:szCs w:val="24"/>
        </w:rPr>
        <w:t xml:space="preserve"> </w:t>
      </w:r>
      <w:r w:rsidR="00293C5A" w:rsidRPr="003A0EE9">
        <w:rPr>
          <w:rFonts w:ascii="Times New Roman" w:eastAsia="Times New Roman" w:hAnsi="Times New Roman" w:cs="Times New Roman"/>
          <w:bCs/>
          <w:sz w:val="24"/>
          <w:szCs w:val="24"/>
        </w:rPr>
        <w:t xml:space="preserve">при варианта по тази категория </w:t>
      </w:r>
      <w:r w:rsidR="00293C5A">
        <w:rPr>
          <w:rFonts w:ascii="Times New Roman" w:eastAsia="Times New Roman" w:hAnsi="Times New Roman" w:cs="Times New Roman"/>
          <w:bCs/>
          <w:sz w:val="24"/>
          <w:szCs w:val="24"/>
        </w:rPr>
        <w:t xml:space="preserve">мое да се определи </w:t>
      </w:r>
      <w:r w:rsidRPr="00293C5A">
        <w:rPr>
          <w:rFonts w:ascii="Times New Roman" w:eastAsia="Times New Roman" w:hAnsi="Times New Roman" w:cs="Times New Roman"/>
          <w:b/>
          <w:bCs/>
          <w:sz w:val="24"/>
          <w:szCs w:val="24"/>
        </w:rPr>
        <w:t xml:space="preserve">рейтинг на риска </w:t>
      </w:r>
      <w:r w:rsidR="00293C5A" w:rsidRPr="003A0EE9">
        <w:rPr>
          <w:rFonts w:ascii="Times New Roman" w:eastAsia="Times New Roman" w:hAnsi="Times New Roman" w:cs="Times New Roman"/>
          <w:bCs/>
          <w:sz w:val="24"/>
          <w:szCs w:val="24"/>
        </w:rPr>
        <w:t>(4×4)</w:t>
      </w:r>
      <w:r w:rsidR="00293C5A">
        <w:rPr>
          <w:rFonts w:ascii="Times New Roman" w:eastAsia="Times New Roman" w:hAnsi="Times New Roman" w:cs="Times New Roman"/>
          <w:bCs/>
          <w:sz w:val="24"/>
          <w:szCs w:val="24"/>
        </w:rPr>
        <w:t xml:space="preserve"> </w:t>
      </w:r>
      <w:r w:rsidR="00293C5A" w:rsidRPr="00293C5A">
        <w:rPr>
          <w:rFonts w:ascii="Times New Roman" w:eastAsia="Times New Roman" w:hAnsi="Times New Roman" w:cs="Times New Roman"/>
          <w:b/>
          <w:sz w:val="24"/>
          <w:szCs w:val="24"/>
        </w:rPr>
        <w:t xml:space="preserve">= </w:t>
      </w:r>
      <w:r w:rsidRPr="00293C5A">
        <w:rPr>
          <w:rFonts w:ascii="Times New Roman" w:eastAsia="Times New Roman" w:hAnsi="Times New Roman" w:cs="Times New Roman"/>
          <w:b/>
          <w:bCs/>
          <w:sz w:val="24"/>
          <w:szCs w:val="24"/>
        </w:rPr>
        <w:t>16</w:t>
      </w:r>
      <w:r w:rsidRPr="003A0EE9">
        <w:rPr>
          <w:rFonts w:ascii="Times New Roman" w:eastAsia="Times New Roman" w:hAnsi="Times New Roman" w:cs="Times New Roman"/>
          <w:sz w:val="24"/>
          <w:szCs w:val="24"/>
        </w:rPr>
        <w:t>.</w:t>
      </w:r>
    </w:p>
    <w:p w14:paraId="68951702" w14:textId="77777777" w:rsidR="00E16161" w:rsidRDefault="00E16161" w:rsidP="00E16161">
      <w:pPr>
        <w:spacing w:after="0" w:line="240" w:lineRule="auto"/>
        <w:ind w:firstLine="567"/>
        <w:jc w:val="both"/>
        <w:rPr>
          <w:rFonts w:ascii="Times New Roman" w:eastAsia="Times New Roman" w:hAnsi="Times New Roman" w:cs="Times New Roman"/>
          <w:b/>
          <w:bCs/>
          <w:sz w:val="24"/>
          <w:szCs w:val="24"/>
        </w:rPr>
      </w:pPr>
    </w:p>
    <w:p w14:paraId="3AA0A382" w14:textId="77777777" w:rsidR="00E16161" w:rsidRDefault="00E16161" w:rsidP="00E16161">
      <w:pPr>
        <w:spacing w:after="0" w:line="240" w:lineRule="auto"/>
        <w:ind w:firstLine="567"/>
        <w:jc w:val="both"/>
        <w:rPr>
          <w:rFonts w:ascii="Times New Roman" w:eastAsia="Times New Roman" w:hAnsi="Times New Roman" w:cs="Times New Roman"/>
          <w:b/>
          <w:bCs/>
          <w:i/>
          <w:sz w:val="24"/>
          <w:szCs w:val="24"/>
        </w:rPr>
      </w:pPr>
      <w:r w:rsidRPr="006C58D7">
        <w:rPr>
          <w:rFonts w:ascii="Times New Roman" w:eastAsia="Times New Roman" w:hAnsi="Times New Roman" w:cs="Times New Roman"/>
          <w:b/>
          <w:bCs/>
          <w:i/>
          <w:sz w:val="24"/>
          <w:szCs w:val="24"/>
        </w:rPr>
        <w:t xml:space="preserve">Обобщение на оценката на риска </w:t>
      </w:r>
      <w:r>
        <w:rPr>
          <w:rFonts w:ascii="Times New Roman" w:eastAsia="Times New Roman" w:hAnsi="Times New Roman" w:cs="Times New Roman"/>
          <w:b/>
          <w:bCs/>
          <w:i/>
          <w:sz w:val="24"/>
          <w:szCs w:val="24"/>
        </w:rPr>
        <w:t>на</w:t>
      </w:r>
      <w:r w:rsidRPr="006C58D7">
        <w:rPr>
          <w:rFonts w:ascii="Times New Roman" w:eastAsia="Times New Roman" w:hAnsi="Times New Roman" w:cs="Times New Roman"/>
          <w:b/>
          <w:bCs/>
          <w:i/>
          <w:sz w:val="24"/>
          <w:szCs w:val="24"/>
        </w:rPr>
        <w:t xml:space="preserve"> Вариант </w:t>
      </w:r>
      <w:r>
        <w:rPr>
          <w:rFonts w:ascii="Times New Roman" w:eastAsia="Times New Roman" w:hAnsi="Times New Roman" w:cs="Times New Roman"/>
          <w:b/>
          <w:bCs/>
          <w:i/>
          <w:sz w:val="24"/>
          <w:szCs w:val="24"/>
        </w:rPr>
        <w:t>3</w:t>
      </w:r>
    </w:p>
    <w:p w14:paraId="3FAD8EC3" w14:textId="25440DC7" w:rsidR="00E16161" w:rsidRDefault="00122DE6" w:rsidP="00122DE6">
      <w:pPr>
        <w:spacing w:after="0" w:line="240" w:lineRule="auto"/>
        <w:ind w:firstLine="567"/>
        <w:jc w:val="both"/>
        <w:rPr>
          <w:rFonts w:ascii="Times New Roman" w:eastAsia="Times New Roman" w:hAnsi="Times New Roman" w:cs="Times New Roman"/>
          <w:sz w:val="24"/>
          <w:szCs w:val="24"/>
        </w:rPr>
      </w:pPr>
      <w:r w:rsidRPr="00122DE6">
        <w:rPr>
          <w:rFonts w:ascii="Times New Roman" w:eastAsia="Times New Roman" w:hAnsi="Times New Roman" w:cs="Times New Roman"/>
          <w:sz w:val="24"/>
          <w:szCs w:val="24"/>
        </w:rPr>
        <w:t xml:space="preserve">Вариант 3 се характеризира с най-висок </w:t>
      </w:r>
      <w:r w:rsidR="00903C2F" w:rsidRPr="00122DE6">
        <w:rPr>
          <w:rFonts w:ascii="Times New Roman" w:eastAsia="Times New Roman" w:hAnsi="Times New Roman" w:cs="Times New Roman"/>
          <w:sz w:val="24"/>
          <w:szCs w:val="24"/>
        </w:rPr>
        <w:t>рисков</w:t>
      </w:r>
      <w:r w:rsidRPr="00122DE6">
        <w:rPr>
          <w:rFonts w:ascii="Times New Roman" w:eastAsia="Times New Roman" w:hAnsi="Times New Roman" w:cs="Times New Roman"/>
          <w:sz w:val="24"/>
          <w:szCs w:val="24"/>
        </w:rPr>
        <w:t xml:space="preserve"> профил </w:t>
      </w:r>
      <w:r w:rsidR="00293C5A">
        <w:rPr>
          <w:rFonts w:ascii="Times New Roman" w:eastAsia="Times New Roman" w:hAnsi="Times New Roman" w:cs="Times New Roman"/>
          <w:sz w:val="24"/>
          <w:szCs w:val="24"/>
        </w:rPr>
        <w:t>от всички останали, разгледани в ОВ</w:t>
      </w:r>
      <w:r>
        <w:t xml:space="preserve">, </w:t>
      </w:r>
      <w:r w:rsidRPr="00122DE6">
        <w:rPr>
          <w:rFonts w:ascii="Times New Roman" w:eastAsia="Times New Roman" w:hAnsi="Times New Roman" w:cs="Times New Roman"/>
          <w:sz w:val="24"/>
          <w:szCs w:val="24"/>
        </w:rPr>
        <w:t>тъй като включва най-мащабна намеса в пазарните механизми и най-амбициозен набор от мерки, което</w:t>
      </w:r>
      <w:r w:rsidR="00E464CF">
        <w:rPr>
          <w:rFonts w:ascii="Times New Roman" w:eastAsia="Times New Roman" w:hAnsi="Times New Roman" w:cs="Times New Roman"/>
          <w:sz w:val="24"/>
          <w:szCs w:val="24"/>
        </w:rPr>
        <w:t xml:space="preserve"> значително</w:t>
      </w:r>
      <w:r w:rsidRPr="00122DE6">
        <w:rPr>
          <w:rFonts w:ascii="Times New Roman" w:eastAsia="Times New Roman" w:hAnsi="Times New Roman" w:cs="Times New Roman"/>
          <w:sz w:val="24"/>
          <w:szCs w:val="24"/>
        </w:rPr>
        <w:t xml:space="preserve"> увеличава както потенциалните ползи, така и свързаните с тях рискове. Той</w:t>
      </w:r>
      <w:r>
        <w:rPr>
          <w:rFonts w:ascii="Times New Roman" w:eastAsia="Times New Roman" w:hAnsi="Times New Roman" w:cs="Times New Roman"/>
          <w:sz w:val="24"/>
          <w:szCs w:val="24"/>
        </w:rPr>
        <w:t xml:space="preserve"> </w:t>
      </w:r>
      <w:r w:rsidR="00293C5A">
        <w:rPr>
          <w:rFonts w:ascii="Times New Roman" w:eastAsia="Times New Roman" w:hAnsi="Times New Roman" w:cs="Times New Roman"/>
          <w:sz w:val="24"/>
          <w:szCs w:val="24"/>
        </w:rPr>
        <w:t xml:space="preserve">обаче и </w:t>
      </w:r>
      <w:r>
        <w:rPr>
          <w:rFonts w:ascii="Times New Roman" w:eastAsia="Times New Roman" w:hAnsi="Times New Roman" w:cs="Times New Roman"/>
          <w:sz w:val="24"/>
          <w:szCs w:val="24"/>
        </w:rPr>
        <w:t>превъзхожда</w:t>
      </w:r>
      <w:r w:rsidR="00293C5A">
        <w:rPr>
          <w:rFonts w:ascii="Times New Roman" w:eastAsia="Times New Roman" w:hAnsi="Times New Roman" w:cs="Times New Roman"/>
          <w:sz w:val="24"/>
          <w:szCs w:val="24"/>
        </w:rPr>
        <w:t xml:space="preserve"> всички останали</w:t>
      </w:r>
      <w:r>
        <w:rPr>
          <w:rFonts w:ascii="Times New Roman" w:eastAsia="Times New Roman" w:hAnsi="Times New Roman" w:cs="Times New Roman"/>
          <w:sz w:val="24"/>
          <w:szCs w:val="24"/>
        </w:rPr>
        <w:t xml:space="preserve"> алтернативни </w:t>
      </w:r>
      <w:r w:rsidR="00293C5A">
        <w:rPr>
          <w:rFonts w:ascii="Times New Roman" w:eastAsia="Times New Roman" w:hAnsi="Times New Roman" w:cs="Times New Roman"/>
          <w:sz w:val="24"/>
          <w:szCs w:val="24"/>
        </w:rPr>
        <w:t xml:space="preserve">на него </w:t>
      </w:r>
      <w:r>
        <w:rPr>
          <w:rFonts w:ascii="Times New Roman" w:eastAsia="Times New Roman" w:hAnsi="Times New Roman" w:cs="Times New Roman"/>
          <w:sz w:val="24"/>
          <w:szCs w:val="24"/>
        </w:rPr>
        <w:t>подходи, като</w:t>
      </w:r>
      <w:r w:rsidRPr="00122DE6">
        <w:rPr>
          <w:rFonts w:ascii="Times New Roman" w:eastAsia="Times New Roman" w:hAnsi="Times New Roman" w:cs="Times New Roman"/>
          <w:sz w:val="24"/>
          <w:szCs w:val="24"/>
        </w:rPr>
        <w:t xml:space="preserve"> предлага най-съществени подобрения </w:t>
      </w:r>
      <w:r w:rsidR="00293C5A">
        <w:rPr>
          <w:rFonts w:ascii="Times New Roman" w:eastAsia="Times New Roman" w:hAnsi="Times New Roman" w:cs="Times New Roman"/>
          <w:sz w:val="24"/>
          <w:szCs w:val="24"/>
        </w:rPr>
        <w:t>в</w:t>
      </w:r>
      <w:r w:rsidRPr="00122DE6">
        <w:rPr>
          <w:rFonts w:ascii="Times New Roman" w:eastAsia="Times New Roman" w:hAnsi="Times New Roman" w:cs="Times New Roman"/>
          <w:sz w:val="24"/>
          <w:szCs w:val="24"/>
        </w:rPr>
        <w:t xml:space="preserve"> </w:t>
      </w:r>
      <w:r w:rsidR="00E464CF">
        <w:rPr>
          <w:rFonts w:ascii="Times New Roman" w:eastAsia="Times New Roman" w:hAnsi="Times New Roman" w:cs="Times New Roman"/>
          <w:sz w:val="24"/>
          <w:szCs w:val="24"/>
        </w:rPr>
        <w:t xml:space="preserve">положението на </w:t>
      </w:r>
      <w:r w:rsidRPr="00122DE6">
        <w:rPr>
          <w:rFonts w:ascii="Times New Roman" w:eastAsia="Times New Roman" w:hAnsi="Times New Roman" w:cs="Times New Roman"/>
          <w:sz w:val="24"/>
          <w:szCs w:val="24"/>
        </w:rPr>
        <w:t xml:space="preserve">по-слабите участници във веригата на доставки и съдържа най-амбициозния сценарий с потенциал да генерира най-високи нетни ползи. Въпреки това, той е съпътстван от значителни икономически и административни рискове и опасност предвидените ползи да не се реализират, ако прилагането </w:t>
      </w:r>
      <w:r w:rsidR="00293C5A">
        <w:rPr>
          <w:rFonts w:ascii="Times New Roman" w:eastAsia="Times New Roman" w:hAnsi="Times New Roman" w:cs="Times New Roman"/>
          <w:sz w:val="24"/>
          <w:szCs w:val="24"/>
        </w:rPr>
        <w:t>му е</w:t>
      </w:r>
      <w:r w:rsidRPr="00122DE6">
        <w:rPr>
          <w:rFonts w:ascii="Times New Roman" w:eastAsia="Times New Roman" w:hAnsi="Times New Roman" w:cs="Times New Roman"/>
          <w:sz w:val="24"/>
          <w:szCs w:val="24"/>
        </w:rPr>
        <w:t xml:space="preserve"> неефективно.</w:t>
      </w:r>
      <w:r>
        <w:rPr>
          <w:rFonts w:ascii="Times New Roman" w:eastAsia="Times New Roman" w:hAnsi="Times New Roman" w:cs="Times New Roman"/>
          <w:sz w:val="24"/>
          <w:szCs w:val="24"/>
        </w:rPr>
        <w:t xml:space="preserve"> </w:t>
      </w:r>
      <w:r w:rsidRPr="00122DE6">
        <w:rPr>
          <w:rFonts w:ascii="Times New Roman" w:eastAsia="Times New Roman" w:hAnsi="Times New Roman" w:cs="Times New Roman"/>
          <w:sz w:val="24"/>
          <w:szCs w:val="24"/>
        </w:rPr>
        <w:t>Това поставя високи изисквания към изпълнението: пълноценно въвеждане, прецизно администриране и ефективен мониторинг</w:t>
      </w:r>
      <w:r w:rsidR="00E464CF">
        <w:rPr>
          <w:rFonts w:ascii="Times New Roman" w:eastAsia="Times New Roman" w:hAnsi="Times New Roman" w:cs="Times New Roman"/>
          <w:sz w:val="24"/>
          <w:szCs w:val="24"/>
        </w:rPr>
        <w:t xml:space="preserve"> на изпълнението на предвидените мерки. Те</w:t>
      </w:r>
      <w:r w:rsidRPr="00122DE6">
        <w:rPr>
          <w:rFonts w:ascii="Times New Roman" w:eastAsia="Times New Roman" w:hAnsi="Times New Roman" w:cs="Times New Roman"/>
          <w:sz w:val="24"/>
          <w:szCs w:val="24"/>
        </w:rPr>
        <w:t xml:space="preserve"> ще бъдат критични за успешната реализация на варианта</w:t>
      </w:r>
      <w:r w:rsidR="004503C8">
        <w:rPr>
          <w:rFonts w:ascii="Times New Roman" w:eastAsia="Times New Roman" w:hAnsi="Times New Roman" w:cs="Times New Roman"/>
          <w:sz w:val="24"/>
          <w:szCs w:val="24"/>
        </w:rPr>
        <w:t xml:space="preserve"> и избягване на икономически щети</w:t>
      </w:r>
      <w:r w:rsidRPr="00122D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22DE6">
        <w:rPr>
          <w:rFonts w:ascii="Times New Roman" w:eastAsia="Times New Roman" w:hAnsi="Times New Roman" w:cs="Times New Roman"/>
          <w:sz w:val="24"/>
          <w:szCs w:val="24"/>
        </w:rPr>
        <w:t>(Вж. Фигура 6)</w:t>
      </w:r>
      <w:r w:rsidR="00293C5A">
        <w:rPr>
          <w:rFonts w:ascii="Times New Roman" w:eastAsia="Times New Roman" w:hAnsi="Times New Roman" w:cs="Times New Roman"/>
          <w:sz w:val="24"/>
          <w:szCs w:val="24"/>
        </w:rPr>
        <w:t>.</w:t>
      </w:r>
    </w:p>
    <w:p w14:paraId="004AB532" w14:textId="77777777" w:rsidR="00E16161" w:rsidRPr="00474BC5" w:rsidRDefault="00E16161" w:rsidP="00E16161">
      <w:pPr>
        <w:spacing w:after="0" w:line="240" w:lineRule="auto"/>
        <w:ind w:firstLine="567"/>
        <w:jc w:val="both"/>
        <w:rPr>
          <w:rFonts w:ascii="Times New Roman" w:eastAsia="Times New Roman" w:hAnsi="Times New Roman" w:cs="Times New Roman"/>
          <w:b/>
          <w:bCs/>
          <w:i/>
          <w:sz w:val="24"/>
          <w:szCs w:val="24"/>
        </w:rPr>
      </w:pPr>
    </w:p>
    <w:p w14:paraId="4D15F749"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r>
        <w:rPr>
          <w:noProof/>
          <w:lang w:val="en-US"/>
        </w:rPr>
        <w:drawing>
          <wp:inline distT="0" distB="0" distL="0" distR="0" wp14:anchorId="6D66442D" wp14:editId="07525781">
            <wp:extent cx="5890260" cy="2743200"/>
            <wp:effectExtent l="0" t="0" r="15240" b="0"/>
            <wp:docPr id="6" name="Chart 6">
              <a:extLst xmlns:a="http://schemas.openxmlformats.org/drawingml/2006/main">
                <a:ext uri="{FF2B5EF4-FFF2-40B4-BE49-F238E27FC236}">
                  <a16:creationId xmlns:a16="http://schemas.microsoft.com/office/drawing/2014/main" id="{B08379AA-62E6-4D9B-9214-01548C8C2C86}"/>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Chart 6">
                      <a:extLst>
                        <a:ext uri="{FF2B5EF4-FFF2-40B4-BE49-F238E27FC236}">
                          <a16:creationId xmlns:a16="http://schemas.microsoft.com/office/drawing/2014/main" id="{B08379AA-62E6-4D9B-9214-01548C8C2C86}"/>
                        </a:ext>
                      </a:extLst>
                    </pic:cNvPr>
                    <pic:cNvPicPr>
                      <a:picLocks noGrp="1" noRot="1" noChangeAspect="1" noMove="1" noResize="1" noEditPoints="1" noAdjustHandles="1" noChangeArrowheads="1" noChangeShapeType="1"/>
                    </pic:cNvPicPr>
                  </pic:nvPicPr>
                  <pic:blipFill>
                    <a:blip r:embed="rId21"/>
                    <a:stretch>
                      <a:fillRect/>
                    </a:stretch>
                  </pic:blipFill>
                  <pic:spPr>
                    <a:xfrm>
                      <a:off x="0" y="0"/>
                      <a:ext cx="5890260" cy="2743200"/>
                    </a:xfrm>
                    <a:prstGeom prst="rect">
                      <a:avLst/>
                    </a:prstGeom>
                  </pic:spPr>
                </pic:pic>
              </a:graphicData>
            </a:graphic>
          </wp:inline>
        </w:drawing>
      </w:r>
    </w:p>
    <w:p w14:paraId="5E35D4A8" w14:textId="75532AB7" w:rsidR="00E16161" w:rsidRDefault="00E16161" w:rsidP="00E16161">
      <w:pPr>
        <w:spacing w:after="0" w:line="240" w:lineRule="auto"/>
        <w:ind w:firstLine="567"/>
        <w:jc w:val="both"/>
      </w:pPr>
      <w:r w:rsidRPr="001A73EC">
        <w:rPr>
          <w:rFonts w:ascii="Times New Roman" w:eastAsia="Times New Roman" w:hAnsi="Times New Roman" w:cs="Times New Roman"/>
          <w:b/>
          <w:sz w:val="24"/>
          <w:szCs w:val="24"/>
        </w:rPr>
        <w:t xml:space="preserve">Фигура </w:t>
      </w:r>
      <w:r>
        <w:rPr>
          <w:rFonts w:ascii="Times New Roman" w:eastAsia="Times New Roman" w:hAnsi="Times New Roman" w:cs="Times New Roman"/>
          <w:b/>
          <w:sz w:val="24"/>
          <w:szCs w:val="24"/>
        </w:rPr>
        <w:t>6</w:t>
      </w:r>
      <w:r w:rsidRPr="001A73EC">
        <w:rPr>
          <w:rFonts w:ascii="Times New Roman" w:eastAsia="Times New Roman" w:hAnsi="Times New Roman" w:cs="Times New Roman"/>
          <w:b/>
          <w:sz w:val="24"/>
          <w:szCs w:val="24"/>
        </w:rPr>
        <w:t xml:space="preserve">. </w:t>
      </w:r>
      <w:r w:rsidRPr="001A73EC">
        <w:rPr>
          <w:rFonts w:ascii="Times New Roman" w:eastAsia="Times New Roman" w:hAnsi="Times New Roman" w:cs="Times New Roman"/>
          <w:b/>
          <w:iCs/>
          <w:sz w:val="24"/>
          <w:szCs w:val="24"/>
        </w:rPr>
        <w:t>Вариант 3 – Оценка на риска по категории</w:t>
      </w:r>
      <w:r w:rsidRPr="005422F0">
        <w:rPr>
          <w:rFonts w:ascii="Times New Roman" w:eastAsia="Times New Roman" w:hAnsi="Times New Roman" w:cs="Times New Roman"/>
          <w:iCs/>
          <w:sz w:val="24"/>
          <w:szCs w:val="24"/>
        </w:rPr>
        <w:t xml:space="preserve">: </w:t>
      </w:r>
      <w:r w:rsidRPr="003A0EE9">
        <w:rPr>
          <w:rFonts w:ascii="Times New Roman" w:eastAsia="Times New Roman" w:hAnsi="Times New Roman" w:cs="Times New Roman"/>
          <w:iCs/>
          <w:sz w:val="24"/>
          <w:szCs w:val="24"/>
        </w:rPr>
        <w:t>административни разходи</w:t>
      </w:r>
      <w:r>
        <w:rPr>
          <w:rFonts w:ascii="Times New Roman" w:eastAsia="Times New Roman" w:hAnsi="Times New Roman" w:cs="Times New Roman"/>
          <w:iCs/>
          <w:sz w:val="24"/>
          <w:szCs w:val="24"/>
        </w:rPr>
        <w:t xml:space="preserve"> -</w:t>
      </w:r>
      <w:r w:rsidRPr="003A0EE9">
        <w:rPr>
          <w:rFonts w:ascii="Times New Roman" w:eastAsia="Times New Roman" w:hAnsi="Times New Roman" w:cs="Times New Roman"/>
          <w:iCs/>
          <w:sz w:val="24"/>
          <w:szCs w:val="24"/>
        </w:rPr>
        <w:t xml:space="preserve"> 20; въздействие върху МСП</w:t>
      </w:r>
      <w:r>
        <w:rPr>
          <w:rFonts w:ascii="Times New Roman" w:eastAsia="Times New Roman" w:hAnsi="Times New Roman" w:cs="Times New Roman"/>
          <w:iCs/>
          <w:sz w:val="24"/>
          <w:szCs w:val="24"/>
        </w:rPr>
        <w:t xml:space="preserve"> -</w:t>
      </w:r>
      <w:r w:rsidRPr="003A0EE9">
        <w:rPr>
          <w:rFonts w:ascii="Times New Roman" w:eastAsia="Times New Roman" w:hAnsi="Times New Roman" w:cs="Times New Roman"/>
          <w:iCs/>
          <w:sz w:val="24"/>
          <w:szCs w:val="24"/>
        </w:rPr>
        <w:t xml:space="preserve"> 12; изкривяване на пазара </w:t>
      </w:r>
      <w:r>
        <w:rPr>
          <w:rFonts w:ascii="Times New Roman" w:eastAsia="Times New Roman" w:hAnsi="Times New Roman" w:cs="Times New Roman"/>
          <w:iCs/>
          <w:sz w:val="24"/>
          <w:szCs w:val="24"/>
        </w:rPr>
        <w:t xml:space="preserve">- </w:t>
      </w:r>
      <w:r w:rsidRPr="003A0EE9">
        <w:rPr>
          <w:rFonts w:ascii="Times New Roman" w:eastAsia="Times New Roman" w:hAnsi="Times New Roman" w:cs="Times New Roman"/>
          <w:iCs/>
          <w:sz w:val="24"/>
          <w:szCs w:val="24"/>
        </w:rPr>
        <w:t>20; неуспех в правоприлага</w:t>
      </w:r>
      <w:r>
        <w:rPr>
          <w:rFonts w:ascii="Times New Roman" w:eastAsia="Times New Roman" w:hAnsi="Times New Roman" w:cs="Times New Roman"/>
          <w:iCs/>
          <w:sz w:val="24"/>
          <w:szCs w:val="24"/>
        </w:rPr>
        <w:t>нето - 15; ниско съответствие - 16.</w:t>
      </w:r>
      <w:r w:rsidRPr="00E16161">
        <w:t xml:space="preserve"> </w:t>
      </w:r>
    </w:p>
    <w:p w14:paraId="7F9873F2" w14:textId="77777777" w:rsidR="00E16161" w:rsidRDefault="00E16161" w:rsidP="00E16161">
      <w:pPr>
        <w:spacing w:after="0" w:line="240" w:lineRule="auto"/>
        <w:ind w:firstLine="567"/>
        <w:jc w:val="both"/>
      </w:pPr>
    </w:p>
    <w:p w14:paraId="5EBC873B" w14:textId="522C1117" w:rsidR="00E16161" w:rsidRPr="00E16161" w:rsidRDefault="00E16161" w:rsidP="00E16161">
      <w:pPr>
        <w:spacing w:after="0" w:line="240" w:lineRule="auto"/>
        <w:ind w:firstLine="567"/>
        <w:jc w:val="both"/>
        <w:rPr>
          <w:rFonts w:ascii="Times New Roman" w:eastAsia="Times New Roman" w:hAnsi="Times New Roman" w:cs="Times New Roman"/>
          <w:b/>
          <w:iCs/>
          <w:sz w:val="24"/>
          <w:szCs w:val="24"/>
        </w:rPr>
      </w:pPr>
      <w:r w:rsidRPr="00E16161">
        <w:rPr>
          <w:rFonts w:ascii="Times New Roman" w:eastAsia="Times New Roman" w:hAnsi="Times New Roman" w:cs="Times New Roman"/>
          <w:b/>
          <w:iCs/>
          <w:sz w:val="24"/>
          <w:szCs w:val="24"/>
        </w:rPr>
        <w:t>Сравнителна матрица на риска</w:t>
      </w:r>
    </w:p>
    <w:p w14:paraId="3A22F67A" w14:textId="19657F72" w:rsidR="00E16161" w:rsidRDefault="008C0E40" w:rsidP="00E161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w:t>
      </w:r>
      <w:r w:rsidR="00E16161" w:rsidRPr="008C3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sidR="00903C2F">
        <w:rPr>
          <w:rFonts w:ascii="Times New Roman" w:eastAsia="Times New Roman" w:hAnsi="Times New Roman" w:cs="Times New Roman"/>
          <w:sz w:val="24"/>
          <w:szCs w:val="24"/>
        </w:rPr>
        <w:t xml:space="preserve"> </w:t>
      </w:r>
      <w:r w:rsidR="00E16161" w:rsidRPr="008C3960">
        <w:rPr>
          <w:rFonts w:ascii="Times New Roman" w:eastAsia="Times New Roman" w:hAnsi="Times New Roman" w:cs="Times New Roman"/>
          <w:sz w:val="24"/>
          <w:szCs w:val="24"/>
        </w:rPr>
        <w:t xml:space="preserve">по-долу обобщава </w:t>
      </w:r>
      <w:r w:rsidR="00E16161" w:rsidRPr="003A0EE9">
        <w:rPr>
          <w:rFonts w:ascii="Times New Roman" w:eastAsia="Times New Roman" w:hAnsi="Times New Roman" w:cs="Times New Roman"/>
          <w:bCs/>
          <w:sz w:val="24"/>
          <w:szCs w:val="24"/>
        </w:rPr>
        <w:t xml:space="preserve">оценките на риска за всяка основна рискова категория във всичките четири </w:t>
      </w:r>
      <w:r w:rsidR="00E16161" w:rsidRPr="003A0EE9">
        <w:rPr>
          <w:rFonts w:ascii="Times New Roman" w:eastAsia="Times New Roman" w:hAnsi="Times New Roman" w:cs="Times New Roman"/>
          <w:bCs/>
          <w:sz w:val="24"/>
          <w:szCs w:val="24"/>
          <w:lang w:val="ru-RU"/>
        </w:rPr>
        <w:t>варианта</w:t>
      </w:r>
      <w:r w:rsidR="00E16161" w:rsidRPr="003A0EE9">
        <w:rPr>
          <w:rFonts w:ascii="Times New Roman" w:eastAsia="Times New Roman" w:hAnsi="Times New Roman" w:cs="Times New Roman"/>
          <w:bCs/>
          <w:sz w:val="24"/>
          <w:szCs w:val="24"/>
        </w:rPr>
        <w:t xml:space="preserve"> </w:t>
      </w:r>
      <w:r w:rsidR="00E16161" w:rsidRPr="003A0EE9">
        <w:rPr>
          <w:rFonts w:ascii="Times New Roman" w:eastAsia="Times New Roman" w:hAnsi="Times New Roman" w:cs="Times New Roman"/>
          <w:sz w:val="24"/>
          <w:szCs w:val="24"/>
        </w:rPr>
        <w:t>(0 до 3).</w:t>
      </w:r>
      <w:r w:rsidR="00E16161" w:rsidRPr="008C3960">
        <w:rPr>
          <w:rFonts w:ascii="Times New Roman" w:eastAsia="Times New Roman" w:hAnsi="Times New Roman" w:cs="Times New Roman"/>
          <w:sz w:val="24"/>
          <w:szCs w:val="24"/>
        </w:rPr>
        <w:t xml:space="preserve"> Резултатите са произведение на </w:t>
      </w:r>
      <w:r w:rsidR="00E16161" w:rsidRPr="008C3960">
        <w:rPr>
          <w:rFonts w:ascii="Times New Roman" w:eastAsia="Times New Roman" w:hAnsi="Times New Roman" w:cs="Times New Roman"/>
          <w:sz w:val="24"/>
          <w:szCs w:val="24"/>
        </w:rPr>
        <w:lastRenderedPageBreak/>
        <w:t>вероятност × въздействие (по скала от 1 до 5 за всеки). По-високите резултати показват по-сериозен риск. Тази сравнителна матрица позволява паралелен преглед на това как вс</w:t>
      </w:r>
      <w:r w:rsidR="00E16161">
        <w:rPr>
          <w:rFonts w:ascii="Times New Roman" w:eastAsia="Times New Roman" w:hAnsi="Times New Roman" w:cs="Times New Roman"/>
          <w:sz w:val="24"/>
          <w:szCs w:val="24"/>
        </w:rPr>
        <w:t>е</w:t>
      </w:r>
      <w:r w:rsidR="00E16161" w:rsidRPr="008C3960">
        <w:rPr>
          <w:rFonts w:ascii="Times New Roman" w:eastAsia="Times New Roman" w:hAnsi="Times New Roman" w:cs="Times New Roman"/>
          <w:sz w:val="24"/>
          <w:szCs w:val="24"/>
        </w:rPr>
        <w:t>к</w:t>
      </w:r>
      <w:r w:rsidR="00E16161">
        <w:rPr>
          <w:rFonts w:ascii="Times New Roman" w:eastAsia="Times New Roman" w:hAnsi="Times New Roman" w:cs="Times New Roman"/>
          <w:sz w:val="24"/>
          <w:szCs w:val="24"/>
        </w:rPr>
        <w:t>и</w:t>
      </w:r>
      <w:r w:rsidR="00E16161" w:rsidRPr="008C3960">
        <w:rPr>
          <w:rFonts w:ascii="Times New Roman" w:eastAsia="Times New Roman" w:hAnsi="Times New Roman" w:cs="Times New Roman"/>
          <w:sz w:val="24"/>
          <w:szCs w:val="24"/>
        </w:rPr>
        <w:t xml:space="preserve"> </w:t>
      </w:r>
      <w:r w:rsidR="00E16161">
        <w:rPr>
          <w:rFonts w:ascii="Times New Roman" w:eastAsia="Times New Roman" w:hAnsi="Times New Roman" w:cs="Times New Roman"/>
          <w:sz w:val="24"/>
          <w:szCs w:val="24"/>
        </w:rPr>
        <w:t xml:space="preserve">вариант на </w:t>
      </w:r>
      <w:r w:rsidR="00E16161" w:rsidRPr="008C3960">
        <w:rPr>
          <w:rFonts w:ascii="Times New Roman" w:eastAsia="Times New Roman" w:hAnsi="Times New Roman" w:cs="Times New Roman"/>
          <w:sz w:val="24"/>
          <w:szCs w:val="24"/>
        </w:rPr>
        <w:t xml:space="preserve"> политика се подрежда по отношен</w:t>
      </w:r>
      <w:r w:rsidR="00E16161">
        <w:rPr>
          <w:rFonts w:ascii="Times New Roman" w:eastAsia="Times New Roman" w:hAnsi="Times New Roman" w:cs="Times New Roman"/>
          <w:sz w:val="24"/>
          <w:szCs w:val="24"/>
        </w:rPr>
        <w:t>ие на рисковете.</w:t>
      </w:r>
    </w:p>
    <w:p w14:paraId="16208BA1" w14:textId="77777777" w:rsidR="00DD69D5" w:rsidRDefault="00DD69D5" w:rsidP="00E16161">
      <w:pPr>
        <w:spacing w:after="0" w:line="240" w:lineRule="auto"/>
        <w:ind w:firstLine="567"/>
        <w:jc w:val="both"/>
        <w:rPr>
          <w:rFonts w:ascii="Times New Roman" w:eastAsia="Times New Roman" w:hAnsi="Times New Roman" w:cs="Times New Roman"/>
          <w:sz w:val="24"/>
          <w:szCs w:val="24"/>
        </w:rPr>
      </w:pPr>
    </w:p>
    <w:p w14:paraId="1038A735" w14:textId="4F64A6D4" w:rsidR="00E16161" w:rsidRPr="00E16161" w:rsidRDefault="00E16161" w:rsidP="00E16161">
      <w:pPr>
        <w:spacing w:after="0" w:line="240" w:lineRule="auto"/>
        <w:ind w:firstLine="567"/>
        <w:jc w:val="both"/>
        <w:rPr>
          <w:rFonts w:ascii="Times New Roman" w:eastAsia="Times New Roman" w:hAnsi="Times New Roman" w:cs="Times New Roman"/>
          <w:b/>
          <w:sz w:val="24"/>
          <w:szCs w:val="24"/>
        </w:rPr>
      </w:pPr>
      <w:r w:rsidRPr="00A679D5">
        <w:rPr>
          <w:rFonts w:ascii="Times New Roman" w:eastAsia="Times New Roman" w:hAnsi="Times New Roman" w:cs="Times New Roman"/>
          <w:b/>
          <w:sz w:val="24"/>
          <w:szCs w:val="24"/>
        </w:rPr>
        <w:t>Таблица</w:t>
      </w:r>
      <w:r w:rsidR="00D2171D">
        <w:rPr>
          <w:rFonts w:ascii="Times New Roman" w:eastAsia="Times New Roman" w:hAnsi="Times New Roman" w:cs="Times New Roman"/>
          <w:b/>
          <w:sz w:val="24"/>
          <w:szCs w:val="24"/>
        </w:rPr>
        <w:t xml:space="preserve"> №</w:t>
      </w:r>
      <w:r w:rsidRPr="00A679D5">
        <w:rPr>
          <w:rFonts w:ascii="Times New Roman" w:eastAsia="Times New Roman" w:hAnsi="Times New Roman" w:cs="Times New Roman"/>
          <w:b/>
          <w:sz w:val="24"/>
          <w:szCs w:val="24"/>
        </w:rPr>
        <w:t xml:space="preserve"> </w:t>
      </w:r>
      <w:r w:rsidR="008C0E40">
        <w:rPr>
          <w:rFonts w:ascii="Times New Roman" w:eastAsia="Times New Roman" w:hAnsi="Times New Roman" w:cs="Times New Roman"/>
          <w:b/>
          <w:sz w:val="24"/>
          <w:szCs w:val="24"/>
        </w:rPr>
        <w:t>8</w:t>
      </w:r>
      <w:r w:rsidRPr="00A679D5">
        <w:rPr>
          <w:rFonts w:ascii="Times New Roman" w:eastAsia="Times New Roman" w:hAnsi="Times New Roman" w:cs="Times New Roman"/>
          <w:b/>
          <w:sz w:val="24"/>
          <w:szCs w:val="24"/>
        </w:rPr>
        <w:t>.</w:t>
      </w:r>
      <w:r w:rsidRPr="00A679D5">
        <w:rPr>
          <w:b/>
        </w:rPr>
        <w:t xml:space="preserve"> </w:t>
      </w:r>
      <w:r w:rsidRPr="00A679D5">
        <w:rPr>
          <w:rFonts w:ascii="Times New Roman" w:eastAsia="Times New Roman" w:hAnsi="Times New Roman" w:cs="Times New Roman"/>
          <w:b/>
          <w:sz w:val="24"/>
          <w:szCs w:val="24"/>
        </w:rPr>
        <w:t xml:space="preserve">Обобщение на оценката на риска </w:t>
      </w:r>
      <w:r w:rsidR="00293C5A" w:rsidRPr="00A679D5">
        <w:rPr>
          <w:rFonts w:ascii="Times New Roman" w:eastAsia="Times New Roman" w:hAnsi="Times New Roman" w:cs="Times New Roman"/>
          <w:b/>
          <w:sz w:val="24"/>
          <w:szCs w:val="24"/>
        </w:rPr>
        <w:t>по категории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1556"/>
        <w:gridCol w:w="1837"/>
        <w:gridCol w:w="1691"/>
        <w:gridCol w:w="1691"/>
      </w:tblGrid>
      <w:tr w:rsidR="00E16161" w:rsidRPr="008E2EB0" w14:paraId="5B99B5F1" w14:textId="77777777" w:rsidTr="000244AC">
        <w:tc>
          <w:tcPr>
            <w:tcW w:w="2287" w:type="dxa"/>
            <w:shd w:val="clear" w:color="auto" w:fill="E7E6E6" w:themeFill="background2"/>
            <w:vAlign w:val="center"/>
          </w:tcPr>
          <w:p w14:paraId="6A566D93" w14:textId="77777777" w:rsidR="00E16161" w:rsidRPr="008E2EB0" w:rsidRDefault="00E16161" w:rsidP="00E16161">
            <w:pPr>
              <w:jc w:val="center"/>
              <w:rPr>
                <w:rFonts w:ascii="Times New Roman" w:eastAsia="Times New Roman" w:hAnsi="Times New Roman" w:cs="Times New Roman"/>
                <w:b/>
                <w:sz w:val="20"/>
                <w:szCs w:val="20"/>
              </w:rPr>
            </w:pPr>
            <w:r w:rsidRPr="008E2EB0">
              <w:rPr>
                <w:rFonts w:ascii="Times New Roman" w:eastAsia="Times New Roman" w:hAnsi="Times New Roman" w:cs="Times New Roman"/>
                <w:b/>
                <w:sz w:val="20"/>
                <w:szCs w:val="20"/>
              </w:rPr>
              <w:t>Категория на риска</w:t>
            </w:r>
          </w:p>
        </w:tc>
        <w:tc>
          <w:tcPr>
            <w:tcW w:w="1556" w:type="dxa"/>
            <w:shd w:val="clear" w:color="auto" w:fill="E7E6E6" w:themeFill="background2"/>
            <w:vAlign w:val="center"/>
          </w:tcPr>
          <w:p w14:paraId="10B696A4" w14:textId="77777777" w:rsidR="00E16161" w:rsidRPr="008E2EB0" w:rsidRDefault="00E16161" w:rsidP="00E16161">
            <w:pPr>
              <w:ind w:hanging="26"/>
              <w:jc w:val="center"/>
              <w:rPr>
                <w:rFonts w:ascii="Times New Roman" w:hAnsi="Times New Roman" w:cs="Times New Roman"/>
                <w:b/>
                <w:sz w:val="20"/>
                <w:szCs w:val="20"/>
              </w:rPr>
            </w:pPr>
            <w:r w:rsidRPr="008E2EB0">
              <w:rPr>
                <w:rFonts w:ascii="Times New Roman" w:hAnsi="Times New Roman" w:cs="Times New Roman"/>
                <w:b/>
                <w:sz w:val="20"/>
                <w:szCs w:val="20"/>
              </w:rPr>
              <w:t>Вариант 0:</w:t>
            </w:r>
          </w:p>
          <w:p w14:paraId="47BDDD2E" w14:textId="77777777" w:rsidR="00E16161" w:rsidRPr="008E2EB0" w:rsidRDefault="00E16161" w:rsidP="00E16161">
            <w:pPr>
              <w:ind w:hanging="26"/>
              <w:jc w:val="center"/>
              <w:rPr>
                <w:rFonts w:ascii="Times New Roman" w:hAnsi="Times New Roman" w:cs="Times New Roman"/>
                <w:b/>
                <w:sz w:val="20"/>
                <w:szCs w:val="20"/>
              </w:rPr>
            </w:pPr>
            <w:r w:rsidRPr="008E2EB0">
              <w:rPr>
                <w:rFonts w:ascii="Times New Roman" w:hAnsi="Times New Roman" w:cs="Times New Roman"/>
                <w:b/>
                <w:sz w:val="20"/>
                <w:szCs w:val="20"/>
              </w:rPr>
              <w:t>„Без действие“</w:t>
            </w:r>
          </w:p>
        </w:tc>
        <w:tc>
          <w:tcPr>
            <w:tcW w:w="1837" w:type="dxa"/>
            <w:shd w:val="clear" w:color="auto" w:fill="E7E6E6" w:themeFill="background2"/>
            <w:vAlign w:val="center"/>
          </w:tcPr>
          <w:p w14:paraId="59DB121D" w14:textId="77777777" w:rsidR="00E16161" w:rsidRPr="008E2EB0" w:rsidRDefault="00E16161" w:rsidP="00E16161">
            <w:pPr>
              <w:ind w:hanging="26"/>
              <w:jc w:val="center"/>
              <w:rPr>
                <w:rFonts w:ascii="Times New Roman" w:hAnsi="Times New Roman" w:cs="Times New Roman"/>
                <w:b/>
                <w:sz w:val="20"/>
                <w:szCs w:val="20"/>
              </w:rPr>
            </w:pPr>
            <w:r w:rsidRPr="008E2EB0">
              <w:rPr>
                <w:rFonts w:ascii="Times New Roman" w:hAnsi="Times New Roman" w:cs="Times New Roman"/>
                <w:b/>
                <w:sz w:val="20"/>
                <w:szCs w:val="20"/>
              </w:rPr>
              <w:t>Вариант 1: „Нерегулаторен“</w:t>
            </w:r>
          </w:p>
        </w:tc>
        <w:tc>
          <w:tcPr>
            <w:tcW w:w="1691" w:type="dxa"/>
            <w:shd w:val="clear" w:color="auto" w:fill="E7E6E6" w:themeFill="background2"/>
            <w:vAlign w:val="center"/>
          </w:tcPr>
          <w:p w14:paraId="4452CBA9" w14:textId="77777777" w:rsidR="00E16161" w:rsidRPr="008E2EB0" w:rsidRDefault="00E16161" w:rsidP="00E16161">
            <w:pPr>
              <w:ind w:hanging="26"/>
              <w:jc w:val="center"/>
              <w:rPr>
                <w:rFonts w:ascii="Times New Roman" w:hAnsi="Times New Roman" w:cs="Times New Roman"/>
                <w:b/>
                <w:sz w:val="20"/>
                <w:szCs w:val="20"/>
              </w:rPr>
            </w:pPr>
            <w:r w:rsidRPr="008E2EB0">
              <w:rPr>
                <w:rFonts w:ascii="Times New Roman" w:hAnsi="Times New Roman" w:cs="Times New Roman"/>
                <w:b/>
                <w:sz w:val="20"/>
                <w:szCs w:val="20"/>
              </w:rPr>
              <w:t>Вариант 2: „Регулаторен - промени в действащата правна уредба“</w:t>
            </w:r>
          </w:p>
        </w:tc>
        <w:tc>
          <w:tcPr>
            <w:tcW w:w="1691" w:type="dxa"/>
            <w:shd w:val="clear" w:color="auto" w:fill="E7E6E6" w:themeFill="background2"/>
            <w:vAlign w:val="center"/>
          </w:tcPr>
          <w:p w14:paraId="375BE62A" w14:textId="77777777" w:rsidR="00E16161" w:rsidRPr="008E2EB0" w:rsidRDefault="00E16161" w:rsidP="00E16161">
            <w:pPr>
              <w:ind w:hanging="26"/>
              <w:jc w:val="center"/>
              <w:rPr>
                <w:rFonts w:ascii="Times New Roman" w:hAnsi="Times New Roman" w:cs="Times New Roman"/>
                <w:b/>
                <w:sz w:val="20"/>
                <w:szCs w:val="20"/>
              </w:rPr>
            </w:pPr>
            <w:r w:rsidRPr="008E2EB0">
              <w:rPr>
                <w:rFonts w:ascii="Times New Roman" w:hAnsi="Times New Roman" w:cs="Times New Roman"/>
                <w:b/>
                <w:sz w:val="20"/>
                <w:szCs w:val="20"/>
              </w:rPr>
              <w:t>Вариант 3: „Регулаторен – изцяло нов специален закон“</w:t>
            </w:r>
          </w:p>
        </w:tc>
      </w:tr>
      <w:tr w:rsidR="00E16161" w:rsidRPr="008E2EB0" w14:paraId="3C6E3B6D" w14:textId="77777777" w:rsidTr="000244AC">
        <w:tc>
          <w:tcPr>
            <w:tcW w:w="2287" w:type="dxa"/>
            <w:shd w:val="clear" w:color="auto" w:fill="E7E6E6" w:themeFill="background2"/>
            <w:vAlign w:val="center"/>
          </w:tcPr>
          <w:p w14:paraId="32E5D2D7" w14:textId="77777777" w:rsidR="00E16161" w:rsidRPr="008E2EB0" w:rsidRDefault="00E16161" w:rsidP="00E16161">
            <w:pPr>
              <w:jc w:val="right"/>
              <w:rPr>
                <w:rFonts w:ascii="Times New Roman" w:hAnsi="Times New Roman" w:cs="Times New Roman"/>
                <w:b/>
                <w:sz w:val="20"/>
                <w:szCs w:val="20"/>
              </w:rPr>
            </w:pPr>
            <w:r w:rsidRPr="008E2EB0">
              <w:rPr>
                <w:rFonts w:ascii="Times New Roman" w:hAnsi="Times New Roman" w:cs="Times New Roman"/>
                <w:b/>
                <w:sz w:val="20"/>
                <w:szCs w:val="20"/>
              </w:rPr>
              <w:t>Ескалация на административните разходи</w:t>
            </w:r>
          </w:p>
        </w:tc>
        <w:tc>
          <w:tcPr>
            <w:tcW w:w="1556" w:type="dxa"/>
            <w:shd w:val="clear" w:color="auto" w:fill="BDD6EE" w:themeFill="accent1" w:themeFillTint="66"/>
            <w:vAlign w:val="center"/>
          </w:tcPr>
          <w:p w14:paraId="35D65859" w14:textId="77777777" w:rsidR="00E16161" w:rsidRPr="008E2EB0" w:rsidRDefault="00E16161" w:rsidP="00E16161">
            <w:pPr>
              <w:rPr>
                <w:rFonts w:ascii="Times New Roman" w:hAnsi="Times New Roman" w:cs="Times New Roman"/>
                <w:sz w:val="20"/>
                <w:szCs w:val="20"/>
              </w:rPr>
            </w:pPr>
            <w:r w:rsidRPr="008E2EB0">
              <w:rPr>
                <w:rFonts w:ascii="Times New Roman" w:hAnsi="Times New Roman" w:cs="Times New Roman"/>
                <w:sz w:val="20"/>
                <w:szCs w:val="20"/>
              </w:rPr>
              <w:t>1 (L=1, I=1)</w:t>
            </w:r>
          </w:p>
        </w:tc>
        <w:tc>
          <w:tcPr>
            <w:tcW w:w="1837" w:type="dxa"/>
            <w:shd w:val="clear" w:color="auto" w:fill="BDD6EE" w:themeFill="accent1" w:themeFillTint="66"/>
            <w:vAlign w:val="center"/>
          </w:tcPr>
          <w:p w14:paraId="7B082ACA" w14:textId="77777777" w:rsidR="00E16161" w:rsidRPr="008E2EB0" w:rsidRDefault="00E16161" w:rsidP="00E16161">
            <w:pPr>
              <w:rPr>
                <w:rFonts w:ascii="Times New Roman" w:hAnsi="Times New Roman" w:cs="Times New Roman"/>
                <w:sz w:val="20"/>
                <w:szCs w:val="20"/>
              </w:rPr>
            </w:pPr>
            <w:r w:rsidRPr="008E2EB0">
              <w:rPr>
                <w:rFonts w:ascii="Times New Roman" w:hAnsi="Times New Roman" w:cs="Times New Roman"/>
                <w:sz w:val="20"/>
                <w:szCs w:val="20"/>
              </w:rPr>
              <w:t>4 (L=2, I=2)</w:t>
            </w:r>
          </w:p>
        </w:tc>
        <w:tc>
          <w:tcPr>
            <w:tcW w:w="1691" w:type="dxa"/>
            <w:shd w:val="clear" w:color="auto" w:fill="BDD6EE" w:themeFill="accent1" w:themeFillTint="66"/>
            <w:vAlign w:val="center"/>
          </w:tcPr>
          <w:p w14:paraId="035E8D22" w14:textId="77777777" w:rsidR="00E16161" w:rsidRPr="008E2EB0" w:rsidRDefault="00E16161" w:rsidP="00E16161">
            <w:pPr>
              <w:rPr>
                <w:rFonts w:ascii="Times New Roman" w:hAnsi="Times New Roman" w:cs="Times New Roman"/>
                <w:sz w:val="20"/>
                <w:szCs w:val="20"/>
              </w:rPr>
            </w:pPr>
            <w:r w:rsidRPr="008E2EB0">
              <w:rPr>
                <w:rFonts w:ascii="Times New Roman" w:hAnsi="Times New Roman" w:cs="Times New Roman"/>
                <w:sz w:val="20"/>
                <w:szCs w:val="20"/>
              </w:rPr>
              <w:t>6 (L=3, I=2)</w:t>
            </w:r>
          </w:p>
        </w:tc>
        <w:tc>
          <w:tcPr>
            <w:tcW w:w="1691" w:type="dxa"/>
            <w:shd w:val="clear" w:color="auto" w:fill="BDD6EE" w:themeFill="accent1" w:themeFillTint="66"/>
            <w:vAlign w:val="center"/>
          </w:tcPr>
          <w:p w14:paraId="5D590DAB" w14:textId="77777777" w:rsidR="00E16161" w:rsidRPr="008E2EB0" w:rsidRDefault="00E16161" w:rsidP="00E16161">
            <w:pPr>
              <w:rPr>
                <w:rFonts w:ascii="Times New Roman" w:hAnsi="Times New Roman" w:cs="Times New Roman"/>
                <w:sz w:val="20"/>
                <w:szCs w:val="20"/>
              </w:rPr>
            </w:pPr>
            <w:r w:rsidRPr="008E2EB0">
              <w:rPr>
                <w:rFonts w:ascii="Times New Roman" w:hAnsi="Times New Roman" w:cs="Times New Roman"/>
                <w:sz w:val="20"/>
                <w:szCs w:val="20"/>
              </w:rPr>
              <w:t>20 (L=5, I=4)</w:t>
            </w:r>
          </w:p>
        </w:tc>
      </w:tr>
      <w:tr w:rsidR="00E16161" w:rsidRPr="008E2EB0" w14:paraId="788D5420" w14:textId="77777777" w:rsidTr="000244AC">
        <w:tc>
          <w:tcPr>
            <w:tcW w:w="2287" w:type="dxa"/>
            <w:shd w:val="clear" w:color="auto" w:fill="E7E6E6" w:themeFill="background2"/>
            <w:vAlign w:val="center"/>
          </w:tcPr>
          <w:p w14:paraId="6BEAAA6C" w14:textId="77777777" w:rsidR="00E16161" w:rsidRPr="008E2EB0" w:rsidRDefault="00E16161" w:rsidP="00E16161">
            <w:pPr>
              <w:jc w:val="right"/>
              <w:rPr>
                <w:rFonts w:ascii="Times New Roman" w:hAnsi="Times New Roman" w:cs="Times New Roman"/>
                <w:b/>
                <w:sz w:val="20"/>
                <w:szCs w:val="20"/>
              </w:rPr>
            </w:pPr>
            <w:r w:rsidRPr="008E2EB0">
              <w:rPr>
                <w:rFonts w:ascii="Times New Roman" w:hAnsi="Times New Roman" w:cs="Times New Roman"/>
                <w:b/>
                <w:sz w:val="20"/>
                <w:szCs w:val="20"/>
              </w:rPr>
              <w:t>Отрицателни въздействия върху МСП</w:t>
            </w:r>
          </w:p>
        </w:tc>
        <w:tc>
          <w:tcPr>
            <w:tcW w:w="1556" w:type="dxa"/>
            <w:shd w:val="clear" w:color="auto" w:fill="BDD6EE" w:themeFill="accent1" w:themeFillTint="66"/>
            <w:vAlign w:val="center"/>
          </w:tcPr>
          <w:p w14:paraId="2498EBAB" w14:textId="77777777" w:rsidR="00E16161" w:rsidRPr="008E2EB0" w:rsidRDefault="00E16161" w:rsidP="00E16161">
            <w:pPr>
              <w:rPr>
                <w:rFonts w:ascii="Times New Roman" w:hAnsi="Times New Roman" w:cs="Times New Roman"/>
                <w:sz w:val="20"/>
                <w:szCs w:val="20"/>
              </w:rPr>
            </w:pPr>
            <w:r w:rsidRPr="008E2EB0">
              <w:rPr>
                <w:rFonts w:ascii="Times New Roman" w:hAnsi="Times New Roman" w:cs="Times New Roman"/>
                <w:sz w:val="20"/>
                <w:szCs w:val="20"/>
              </w:rPr>
              <w:t>20 (L=5, I=4)</w:t>
            </w:r>
          </w:p>
        </w:tc>
        <w:tc>
          <w:tcPr>
            <w:tcW w:w="1837" w:type="dxa"/>
            <w:shd w:val="clear" w:color="auto" w:fill="BDD6EE" w:themeFill="accent1" w:themeFillTint="66"/>
            <w:vAlign w:val="center"/>
          </w:tcPr>
          <w:p w14:paraId="1995D178" w14:textId="77777777" w:rsidR="00E16161" w:rsidRPr="008E2EB0" w:rsidRDefault="00E16161" w:rsidP="00E16161">
            <w:pPr>
              <w:rPr>
                <w:rFonts w:ascii="Times New Roman" w:hAnsi="Times New Roman" w:cs="Times New Roman"/>
                <w:sz w:val="20"/>
                <w:szCs w:val="20"/>
              </w:rPr>
            </w:pPr>
            <w:r w:rsidRPr="008E2EB0">
              <w:rPr>
                <w:rFonts w:ascii="Times New Roman" w:hAnsi="Times New Roman" w:cs="Times New Roman"/>
                <w:sz w:val="20"/>
                <w:szCs w:val="20"/>
              </w:rPr>
              <w:t>16 (L=4, I=4)</w:t>
            </w:r>
          </w:p>
        </w:tc>
        <w:tc>
          <w:tcPr>
            <w:tcW w:w="1691" w:type="dxa"/>
            <w:shd w:val="clear" w:color="auto" w:fill="BDD6EE" w:themeFill="accent1" w:themeFillTint="66"/>
            <w:vAlign w:val="center"/>
          </w:tcPr>
          <w:p w14:paraId="2391B3F9" w14:textId="77777777" w:rsidR="00E16161" w:rsidRPr="008E2EB0" w:rsidRDefault="00E16161" w:rsidP="00E16161">
            <w:pPr>
              <w:rPr>
                <w:rFonts w:ascii="Times New Roman" w:hAnsi="Times New Roman" w:cs="Times New Roman"/>
                <w:sz w:val="20"/>
                <w:szCs w:val="20"/>
              </w:rPr>
            </w:pPr>
            <w:r w:rsidRPr="008E2EB0">
              <w:rPr>
                <w:rFonts w:ascii="Times New Roman" w:hAnsi="Times New Roman" w:cs="Times New Roman"/>
                <w:sz w:val="20"/>
                <w:szCs w:val="20"/>
              </w:rPr>
              <w:t>4 (L=2, I=2)</w:t>
            </w:r>
          </w:p>
        </w:tc>
        <w:tc>
          <w:tcPr>
            <w:tcW w:w="1691" w:type="dxa"/>
            <w:shd w:val="clear" w:color="auto" w:fill="BDD6EE" w:themeFill="accent1" w:themeFillTint="66"/>
            <w:vAlign w:val="center"/>
          </w:tcPr>
          <w:p w14:paraId="27B226F5" w14:textId="77777777" w:rsidR="00E16161" w:rsidRPr="008E2EB0" w:rsidRDefault="00E16161" w:rsidP="00E16161">
            <w:pPr>
              <w:rPr>
                <w:rFonts w:ascii="Times New Roman" w:hAnsi="Times New Roman" w:cs="Times New Roman"/>
                <w:sz w:val="20"/>
                <w:szCs w:val="20"/>
              </w:rPr>
            </w:pPr>
            <w:r w:rsidRPr="008E2EB0">
              <w:rPr>
                <w:rFonts w:ascii="Times New Roman" w:hAnsi="Times New Roman" w:cs="Times New Roman"/>
                <w:sz w:val="20"/>
                <w:szCs w:val="20"/>
              </w:rPr>
              <w:t>12 (L=3, I=4)</w:t>
            </w:r>
          </w:p>
        </w:tc>
      </w:tr>
      <w:tr w:rsidR="00E16161" w:rsidRPr="008E2EB0" w14:paraId="7AF24C9E" w14:textId="77777777" w:rsidTr="000244AC">
        <w:tc>
          <w:tcPr>
            <w:tcW w:w="2287" w:type="dxa"/>
            <w:shd w:val="clear" w:color="auto" w:fill="E7E6E6" w:themeFill="background2"/>
            <w:vAlign w:val="center"/>
          </w:tcPr>
          <w:p w14:paraId="60E148A2" w14:textId="77777777" w:rsidR="00E16161" w:rsidRPr="008E2EB0" w:rsidRDefault="00E16161" w:rsidP="00E16161">
            <w:pPr>
              <w:jc w:val="right"/>
              <w:rPr>
                <w:rFonts w:ascii="Times New Roman" w:hAnsi="Times New Roman" w:cs="Times New Roman"/>
                <w:b/>
                <w:sz w:val="20"/>
                <w:szCs w:val="20"/>
              </w:rPr>
            </w:pPr>
            <w:r w:rsidRPr="008E2EB0">
              <w:rPr>
                <w:rFonts w:ascii="Times New Roman" w:hAnsi="Times New Roman" w:cs="Times New Roman"/>
                <w:b/>
                <w:sz w:val="20"/>
                <w:szCs w:val="20"/>
              </w:rPr>
              <w:t>Изкривявания на пазара/непредвидени</w:t>
            </w:r>
          </w:p>
        </w:tc>
        <w:tc>
          <w:tcPr>
            <w:tcW w:w="1556" w:type="dxa"/>
            <w:shd w:val="clear" w:color="auto" w:fill="BDD6EE" w:themeFill="accent1" w:themeFillTint="66"/>
            <w:vAlign w:val="center"/>
          </w:tcPr>
          <w:p w14:paraId="3DAC562E" w14:textId="77777777" w:rsidR="00E16161" w:rsidRPr="008E2EB0" w:rsidRDefault="00E16161" w:rsidP="00E16161">
            <w:pPr>
              <w:rPr>
                <w:rFonts w:ascii="Times New Roman" w:hAnsi="Times New Roman" w:cs="Times New Roman"/>
                <w:sz w:val="20"/>
                <w:szCs w:val="20"/>
              </w:rPr>
            </w:pPr>
            <w:r w:rsidRPr="008E2EB0">
              <w:rPr>
                <w:rFonts w:ascii="Times New Roman" w:hAnsi="Times New Roman" w:cs="Times New Roman"/>
                <w:sz w:val="20"/>
                <w:szCs w:val="20"/>
              </w:rPr>
              <w:t>12 (L=4, I=3)</w:t>
            </w:r>
          </w:p>
        </w:tc>
        <w:tc>
          <w:tcPr>
            <w:tcW w:w="1837" w:type="dxa"/>
            <w:shd w:val="clear" w:color="auto" w:fill="BDD6EE" w:themeFill="accent1" w:themeFillTint="66"/>
            <w:vAlign w:val="center"/>
          </w:tcPr>
          <w:p w14:paraId="1772E8B2" w14:textId="77777777" w:rsidR="00E16161" w:rsidRPr="008E2EB0" w:rsidRDefault="00E16161" w:rsidP="00E16161">
            <w:pPr>
              <w:rPr>
                <w:rFonts w:ascii="Times New Roman" w:hAnsi="Times New Roman" w:cs="Times New Roman"/>
                <w:sz w:val="20"/>
                <w:szCs w:val="20"/>
              </w:rPr>
            </w:pPr>
            <w:r w:rsidRPr="008E2EB0">
              <w:rPr>
                <w:rFonts w:ascii="Times New Roman" w:hAnsi="Times New Roman" w:cs="Times New Roman"/>
                <w:sz w:val="20"/>
                <w:szCs w:val="20"/>
              </w:rPr>
              <w:t>1 (L=1, I=1)</w:t>
            </w:r>
          </w:p>
        </w:tc>
        <w:tc>
          <w:tcPr>
            <w:tcW w:w="1691" w:type="dxa"/>
            <w:shd w:val="clear" w:color="auto" w:fill="BDD6EE" w:themeFill="accent1" w:themeFillTint="66"/>
            <w:vAlign w:val="center"/>
          </w:tcPr>
          <w:p w14:paraId="2E55C12B" w14:textId="77777777" w:rsidR="00E16161" w:rsidRPr="008E2EB0" w:rsidRDefault="00E16161" w:rsidP="00E16161">
            <w:pPr>
              <w:rPr>
                <w:rFonts w:ascii="Times New Roman" w:hAnsi="Times New Roman" w:cs="Times New Roman"/>
                <w:sz w:val="20"/>
                <w:szCs w:val="20"/>
              </w:rPr>
            </w:pPr>
            <w:r w:rsidRPr="008E2EB0">
              <w:rPr>
                <w:rFonts w:ascii="Times New Roman" w:hAnsi="Times New Roman" w:cs="Times New Roman"/>
                <w:sz w:val="20"/>
                <w:szCs w:val="20"/>
              </w:rPr>
              <w:t>2 (L=1, I=2)</w:t>
            </w:r>
          </w:p>
        </w:tc>
        <w:tc>
          <w:tcPr>
            <w:tcW w:w="1691" w:type="dxa"/>
            <w:shd w:val="clear" w:color="auto" w:fill="BDD6EE" w:themeFill="accent1" w:themeFillTint="66"/>
            <w:vAlign w:val="center"/>
          </w:tcPr>
          <w:p w14:paraId="2AE0538F" w14:textId="77777777" w:rsidR="00E16161" w:rsidRPr="008E2EB0" w:rsidRDefault="00E16161" w:rsidP="00E16161">
            <w:pPr>
              <w:rPr>
                <w:rFonts w:ascii="Times New Roman" w:hAnsi="Times New Roman" w:cs="Times New Roman"/>
                <w:sz w:val="20"/>
                <w:szCs w:val="20"/>
              </w:rPr>
            </w:pPr>
            <w:r w:rsidRPr="008E2EB0">
              <w:rPr>
                <w:rFonts w:ascii="Times New Roman" w:hAnsi="Times New Roman" w:cs="Times New Roman"/>
                <w:sz w:val="20"/>
                <w:szCs w:val="20"/>
              </w:rPr>
              <w:t>20 (L=4, I=5)</w:t>
            </w:r>
          </w:p>
        </w:tc>
      </w:tr>
      <w:tr w:rsidR="00E16161" w:rsidRPr="008E2EB0" w14:paraId="7EC16246" w14:textId="77777777" w:rsidTr="000244AC">
        <w:tc>
          <w:tcPr>
            <w:tcW w:w="2287" w:type="dxa"/>
            <w:shd w:val="clear" w:color="auto" w:fill="E7E6E6" w:themeFill="background2"/>
            <w:vAlign w:val="center"/>
          </w:tcPr>
          <w:p w14:paraId="3C724807" w14:textId="77777777" w:rsidR="00E16161" w:rsidRPr="008E2EB0" w:rsidRDefault="00E16161" w:rsidP="00E16161">
            <w:pPr>
              <w:ind w:firstLine="567"/>
              <w:jc w:val="right"/>
              <w:rPr>
                <w:rFonts w:ascii="Times New Roman" w:hAnsi="Times New Roman" w:cs="Times New Roman"/>
                <w:b/>
                <w:sz w:val="20"/>
                <w:szCs w:val="20"/>
              </w:rPr>
            </w:pPr>
            <w:r w:rsidRPr="008E2EB0">
              <w:rPr>
                <w:rFonts w:ascii="Times New Roman" w:hAnsi="Times New Roman" w:cs="Times New Roman"/>
                <w:b/>
                <w:sz w:val="20"/>
                <w:szCs w:val="20"/>
              </w:rPr>
              <w:t>Неуспешно изпълнение (без полза)</w:t>
            </w:r>
          </w:p>
        </w:tc>
        <w:tc>
          <w:tcPr>
            <w:tcW w:w="1556" w:type="dxa"/>
            <w:shd w:val="clear" w:color="auto" w:fill="BDD6EE" w:themeFill="accent1" w:themeFillTint="66"/>
            <w:vAlign w:val="center"/>
          </w:tcPr>
          <w:p w14:paraId="07420D7D" w14:textId="77777777" w:rsidR="00E16161" w:rsidRPr="008E2EB0" w:rsidRDefault="00E16161" w:rsidP="00E16161">
            <w:pPr>
              <w:rPr>
                <w:rFonts w:ascii="Times New Roman" w:hAnsi="Times New Roman" w:cs="Times New Roman"/>
                <w:sz w:val="20"/>
                <w:szCs w:val="20"/>
              </w:rPr>
            </w:pPr>
            <w:r w:rsidRPr="008E2EB0">
              <w:rPr>
                <w:rFonts w:ascii="Times New Roman" w:hAnsi="Times New Roman" w:cs="Times New Roman"/>
                <w:sz w:val="20"/>
                <w:szCs w:val="20"/>
              </w:rPr>
              <w:t>20 (L=5, I=4)</w:t>
            </w:r>
          </w:p>
        </w:tc>
        <w:tc>
          <w:tcPr>
            <w:tcW w:w="1837" w:type="dxa"/>
            <w:shd w:val="clear" w:color="auto" w:fill="BDD6EE" w:themeFill="accent1" w:themeFillTint="66"/>
            <w:vAlign w:val="center"/>
          </w:tcPr>
          <w:p w14:paraId="0C0C18D4" w14:textId="77777777" w:rsidR="00E16161" w:rsidRPr="008E2EB0" w:rsidRDefault="00E16161" w:rsidP="00E16161">
            <w:pPr>
              <w:rPr>
                <w:rFonts w:ascii="Times New Roman" w:hAnsi="Times New Roman" w:cs="Times New Roman"/>
                <w:sz w:val="20"/>
                <w:szCs w:val="20"/>
              </w:rPr>
            </w:pPr>
            <w:r w:rsidRPr="008E2EB0">
              <w:rPr>
                <w:rFonts w:ascii="Times New Roman" w:hAnsi="Times New Roman" w:cs="Times New Roman"/>
                <w:sz w:val="20"/>
                <w:szCs w:val="20"/>
              </w:rPr>
              <w:t>15 (L=5, I=3)</w:t>
            </w:r>
          </w:p>
        </w:tc>
        <w:tc>
          <w:tcPr>
            <w:tcW w:w="1691" w:type="dxa"/>
            <w:shd w:val="clear" w:color="auto" w:fill="BDD6EE" w:themeFill="accent1" w:themeFillTint="66"/>
            <w:vAlign w:val="center"/>
          </w:tcPr>
          <w:p w14:paraId="47213B22" w14:textId="77777777" w:rsidR="00E16161" w:rsidRPr="008E2EB0" w:rsidRDefault="00E16161" w:rsidP="00E16161">
            <w:pPr>
              <w:rPr>
                <w:rFonts w:ascii="Times New Roman" w:hAnsi="Times New Roman" w:cs="Times New Roman"/>
                <w:sz w:val="20"/>
                <w:szCs w:val="20"/>
              </w:rPr>
            </w:pPr>
            <w:r w:rsidRPr="008E2EB0">
              <w:rPr>
                <w:rFonts w:ascii="Times New Roman" w:hAnsi="Times New Roman" w:cs="Times New Roman"/>
                <w:sz w:val="20"/>
                <w:szCs w:val="20"/>
              </w:rPr>
              <w:t>16 (L=4, I=4)</w:t>
            </w:r>
          </w:p>
        </w:tc>
        <w:tc>
          <w:tcPr>
            <w:tcW w:w="1691" w:type="dxa"/>
            <w:shd w:val="clear" w:color="auto" w:fill="BDD6EE" w:themeFill="accent1" w:themeFillTint="66"/>
            <w:vAlign w:val="center"/>
          </w:tcPr>
          <w:p w14:paraId="60E65114" w14:textId="77777777" w:rsidR="00E16161" w:rsidRPr="008E2EB0" w:rsidRDefault="00E16161" w:rsidP="00E16161">
            <w:pPr>
              <w:rPr>
                <w:rFonts w:ascii="Times New Roman" w:hAnsi="Times New Roman" w:cs="Times New Roman"/>
                <w:sz w:val="20"/>
                <w:szCs w:val="20"/>
              </w:rPr>
            </w:pPr>
            <w:r w:rsidRPr="008E2EB0">
              <w:rPr>
                <w:rFonts w:ascii="Times New Roman" w:hAnsi="Times New Roman" w:cs="Times New Roman"/>
                <w:sz w:val="20"/>
                <w:szCs w:val="20"/>
              </w:rPr>
              <w:t>15 (L=3, I=5)</w:t>
            </w:r>
          </w:p>
        </w:tc>
      </w:tr>
      <w:tr w:rsidR="00E16161" w:rsidRPr="008E2EB0" w14:paraId="596BB9B2" w14:textId="77777777" w:rsidTr="000244AC">
        <w:tc>
          <w:tcPr>
            <w:tcW w:w="2287" w:type="dxa"/>
            <w:shd w:val="clear" w:color="auto" w:fill="E7E6E6" w:themeFill="background2"/>
            <w:vAlign w:val="center"/>
          </w:tcPr>
          <w:p w14:paraId="5BE41ADA" w14:textId="77777777" w:rsidR="00E16161" w:rsidRPr="008E2EB0" w:rsidRDefault="00E16161" w:rsidP="00E16161">
            <w:pPr>
              <w:ind w:firstLine="567"/>
              <w:jc w:val="right"/>
              <w:rPr>
                <w:rFonts w:ascii="Times New Roman" w:hAnsi="Times New Roman" w:cs="Times New Roman"/>
                <w:b/>
                <w:sz w:val="20"/>
                <w:szCs w:val="20"/>
              </w:rPr>
            </w:pPr>
            <w:r w:rsidRPr="008E2EB0">
              <w:rPr>
                <w:rFonts w:ascii="Times New Roman" w:hAnsi="Times New Roman" w:cs="Times New Roman"/>
                <w:b/>
                <w:sz w:val="20"/>
                <w:szCs w:val="20"/>
              </w:rPr>
              <w:t>Ниско съответствие</w:t>
            </w:r>
          </w:p>
        </w:tc>
        <w:tc>
          <w:tcPr>
            <w:tcW w:w="1556" w:type="dxa"/>
            <w:shd w:val="clear" w:color="auto" w:fill="BDD6EE" w:themeFill="accent1" w:themeFillTint="66"/>
            <w:vAlign w:val="center"/>
          </w:tcPr>
          <w:p w14:paraId="58E70E1C" w14:textId="77777777" w:rsidR="00E16161" w:rsidRPr="008E2EB0" w:rsidRDefault="00E16161" w:rsidP="00E16161">
            <w:pPr>
              <w:rPr>
                <w:rFonts w:ascii="Times New Roman" w:hAnsi="Times New Roman" w:cs="Times New Roman"/>
                <w:sz w:val="20"/>
                <w:szCs w:val="20"/>
              </w:rPr>
            </w:pPr>
            <w:r w:rsidRPr="008E2EB0">
              <w:rPr>
                <w:rFonts w:ascii="Times New Roman" w:hAnsi="Times New Roman" w:cs="Times New Roman"/>
                <w:sz w:val="20"/>
                <w:szCs w:val="20"/>
              </w:rPr>
              <w:t>15 (L=5, I=3)</w:t>
            </w:r>
          </w:p>
        </w:tc>
        <w:tc>
          <w:tcPr>
            <w:tcW w:w="1837" w:type="dxa"/>
            <w:shd w:val="clear" w:color="auto" w:fill="BDD6EE" w:themeFill="accent1" w:themeFillTint="66"/>
            <w:vAlign w:val="center"/>
          </w:tcPr>
          <w:p w14:paraId="33153E1C" w14:textId="77777777" w:rsidR="00E16161" w:rsidRPr="008E2EB0" w:rsidRDefault="00E16161" w:rsidP="00E16161">
            <w:pPr>
              <w:rPr>
                <w:rFonts w:ascii="Times New Roman" w:hAnsi="Times New Roman" w:cs="Times New Roman"/>
                <w:sz w:val="20"/>
                <w:szCs w:val="20"/>
              </w:rPr>
            </w:pPr>
            <w:r w:rsidRPr="008E2EB0">
              <w:rPr>
                <w:rFonts w:ascii="Times New Roman" w:hAnsi="Times New Roman" w:cs="Times New Roman"/>
                <w:sz w:val="20"/>
                <w:szCs w:val="20"/>
              </w:rPr>
              <w:t>15 (L=5, I=3)</w:t>
            </w:r>
          </w:p>
        </w:tc>
        <w:tc>
          <w:tcPr>
            <w:tcW w:w="1691" w:type="dxa"/>
            <w:shd w:val="clear" w:color="auto" w:fill="BDD6EE" w:themeFill="accent1" w:themeFillTint="66"/>
            <w:vAlign w:val="center"/>
          </w:tcPr>
          <w:p w14:paraId="50FC8E44" w14:textId="77777777" w:rsidR="00E16161" w:rsidRPr="008E2EB0" w:rsidRDefault="00E16161" w:rsidP="00E16161">
            <w:pPr>
              <w:rPr>
                <w:rFonts w:ascii="Times New Roman" w:hAnsi="Times New Roman" w:cs="Times New Roman"/>
                <w:sz w:val="20"/>
                <w:szCs w:val="20"/>
              </w:rPr>
            </w:pPr>
            <w:r w:rsidRPr="008E2EB0">
              <w:rPr>
                <w:rFonts w:ascii="Times New Roman" w:hAnsi="Times New Roman" w:cs="Times New Roman"/>
                <w:sz w:val="20"/>
                <w:szCs w:val="20"/>
              </w:rPr>
              <w:t>9 (L=3, I=3)</w:t>
            </w:r>
          </w:p>
        </w:tc>
        <w:tc>
          <w:tcPr>
            <w:tcW w:w="1691" w:type="dxa"/>
            <w:shd w:val="clear" w:color="auto" w:fill="BDD6EE" w:themeFill="accent1" w:themeFillTint="66"/>
            <w:vAlign w:val="center"/>
          </w:tcPr>
          <w:p w14:paraId="03EA953B" w14:textId="77777777" w:rsidR="00E16161" w:rsidRPr="008E2EB0" w:rsidRDefault="00E16161" w:rsidP="00E16161">
            <w:pPr>
              <w:rPr>
                <w:rFonts w:ascii="Times New Roman" w:hAnsi="Times New Roman" w:cs="Times New Roman"/>
                <w:sz w:val="20"/>
                <w:szCs w:val="20"/>
              </w:rPr>
            </w:pPr>
            <w:r w:rsidRPr="008E2EB0">
              <w:rPr>
                <w:rFonts w:ascii="Times New Roman" w:hAnsi="Times New Roman" w:cs="Times New Roman"/>
                <w:sz w:val="20"/>
                <w:szCs w:val="20"/>
              </w:rPr>
              <w:t>16 (L=4, I=4)</w:t>
            </w:r>
          </w:p>
        </w:tc>
      </w:tr>
    </w:tbl>
    <w:p w14:paraId="14BFC386"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p>
    <w:p w14:paraId="743B14BB" w14:textId="77777777" w:rsidR="0061783C" w:rsidRDefault="0061783C" w:rsidP="00E16161">
      <w:pPr>
        <w:spacing w:after="0" w:line="240" w:lineRule="auto"/>
        <w:ind w:firstLine="567"/>
        <w:jc w:val="both"/>
        <w:rPr>
          <w:rFonts w:ascii="Times New Roman" w:eastAsia="Times New Roman" w:hAnsi="Times New Roman" w:cs="Times New Roman"/>
          <w:sz w:val="24"/>
          <w:szCs w:val="24"/>
        </w:rPr>
      </w:pPr>
    </w:p>
    <w:p w14:paraId="1BBCA7B3" w14:textId="77777777" w:rsidR="00E16161" w:rsidRPr="008C3960" w:rsidRDefault="00E16161" w:rsidP="00E16161">
      <w:pPr>
        <w:spacing w:after="0" w:line="240" w:lineRule="auto"/>
        <w:jc w:val="center"/>
        <w:rPr>
          <w:rFonts w:ascii="Times New Roman" w:eastAsia="Times New Roman" w:hAnsi="Times New Roman" w:cs="Times New Roman"/>
          <w:sz w:val="24"/>
          <w:szCs w:val="24"/>
        </w:rPr>
      </w:pPr>
      <w:r>
        <w:rPr>
          <w:noProof/>
          <w:lang w:val="en-US"/>
        </w:rPr>
        <w:lastRenderedPageBreak/>
        <w:drawing>
          <wp:inline distT="0" distB="0" distL="0" distR="0" wp14:anchorId="7CF3ABBA" wp14:editId="2B1003CB">
            <wp:extent cx="6096000" cy="3566160"/>
            <wp:effectExtent l="0" t="0" r="0" b="15240"/>
            <wp:docPr id="2" name="Chart 2">
              <a:extLst xmlns:a="http://schemas.openxmlformats.org/drawingml/2006/main">
                <a:ext uri="{FF2B5EF4-FFF2-40B4-BE49-F238E27FC236}">
                  <a16:creationId xmlns:a16="http://schemas.microsoft.com/office/drawing/2014/main" id="{0BF88B57-05F4-4D40-BB2D-CD01D9B433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0A132D2" w14:textId="512DC614" w:rsidR="00E16161" w:rsidRDefault="00E16161" w:rsidP="00E16161">
      <w:pPr>
        <w:spacing w:after="0" w:line="240" w:lineRule="auto"/>
        <w:ind w:firstLine="567"/>
        <w:jc w:val="both"/>
        <w:rPr>
          <w:rFonts w:ascii="Times New Roman" w:eastAsia="Times New Roman" w:hAnsi="Times New Roman" w:cs="Times New Roman"/>
          <w:b/>
          <w:iCs/>
          <w:sz w:val="24"/>
          <w:szCs w:val="24"/>
        </w:rPr>
      </w:pPr>
      <w:r w:rsidRPr="00E16161">
        <w:rPr>
          <w:rFonts w:ascii="Times New Roman" w:eastAsia="Times New Roman" w:hAnsi="Times New Roman" w:cs="Times New Roman"/>
          <w:b/>
          <w:iCs/>
          <w:sz w:val="24"/>
          <w:szCs w:val="24"/>
        </w:rPr>
        <w:t xml:space="preserve">Фигура 7. Сравнителна матрица на риска на </w:t>
      </w:r>
      <w:r>
        <w:rPr>
          <w:rFonts w:ascii="Times New Roman" w:eastAsia="Times New Roman" w:hAnsi="Times New Roman" w:cs="Times New Roman"/>
          <w:b/>
          <w:iCs/>
          <w:sz w:val="24"/>
          <w:szCs w:val="24"/>
        </w:rPr>
        <w:t xml:space="preserve">оценяваните </w:t>
      </w:r>
      <w:r w:rsidRPr="00E16161">
        <w:rPr>
          <w:rFonts w:ascii="Times New Roman" w:eastAsia="Times New Roman" w:hAnsi="Times New Roman" w:cs="Times New Roman"/>
          <w:b/>
          <w:iCs/>
          <w:sz w:val="24"/>
          <w:szCs w:val="24"/>
        </w:rPr>
        <w:t>вариант</w:t>
      </w:r>
      <w:r>
        <w:rPr>
          <w:rFonts w:ascii="Times New Roman" w:eastAsia="Times New Roman" w:hAnsi="Times New Roman" w:cs="Times New Roman"/>
          <w:b/>
          <w:iCs/>
          <w:sz w:val="24"/>
          <w:szCs w:val="24"/>
        </w:rPr>
        <w:t>и</w:t>
      </w:r>
    </w:p>
    <w:p w14:paraId="5C501592" w14:textId="77777777" w:rsidR="002E5D77" w:rsidRDefault="002E5D77" w:rsidP="000244AC">
      <w:pPr>
        <w:spacing w:after="0" w:line="240" w:lineRule="auto"/>
        <w:ind w:firstLine="567"/>
        <w:jc w:val="both"/>
        <w:rPr>
          <w:rFonts w:ascii="Times New Roman" w:eastAsia="Times New Roman" w:hAnsi="Times New Roman" w:cs="Times New Roman"/>
          <w:sz w:val="24"/>
          <w:szCs w:val="24"/>
        </w:rPr>
      </w:pPr>
    </w:p>
    <w:p w14:paraId="0C5769E5" w14:textId="4259CA8B" w:rsidR="002E5D77" w:rsidRDefault="002E5D77" w:rsidP="002E5D77">
      <w:pPr>
        <w:spacing w:after="0" w:line="240" w:lineRule="auto"/>
        <w:ind w:firstLine="567"/>
        <w:jc w:val="both"/>
        <w:rPr>
          <w:rFonts w:ascii="Times New Roman" w:eastAsia="Times New Roman" w:hAnsi="Times New Roman" w:cs="Times New Roman"/>
          <w:sz w:val="24"/>
          <w:szCs w:val="24"/>
        </w:rPr>
      </w:pPr>
      <w:r w:rsidRPr="002E5D77">
        <w:rPr>
          <w:rFonts w:ascii="Times New Roman" w:eastAsia="Times New Roman" w:hAnsi="Times New Roman" w:cs="Times New Roman"/>
          <w:sz w:val="24"/>
          <w:szCs w:val="24"/>
        </w:rPr>
        <w:t>Сравнителна</w:t>
      </w:r>
      <w:r>
        <w:rPr>
          <w:rFonts w:ascii="Times New Roman" w:eastAsia="Times New Roman" w:hAnsi="Times New Roman" w:cs="Times New Roman"/>
          <w:sz w:val="24"/>
          <w:szCs w:val="24"/>
        </w:rPr>
        <w:t>та</w:t>
      </w:r>
      <w:r w:rsidRPr="002E5D77">
        <w:rPr>
          <w:rFonts w:ascii="Times New Roman" w:eastAsia="Times New Roman" w:hAnsi="Times New Roman" w:cs="Times New Roman"/>
          <w:sz w:val="24"/>
          <w:szCs w:val="24"/>
        </w:rPr>
        <w:t xml:space="preserve"> матрица на риска на оценяваните варианти</w:t>
      </w:r>
      <w:r>
        <w:rPr>
          <w:rFonts w:ascii="Times New Roman" w:eastAsia="Times New Roman" w:hAnsi="Times New Roman" w:cs="Times New Roman"/>
          <w:sz w:val="24"/>
          <w:szCs w:val="24"/>
        </w:rPr>
        <w:t>, представена по</w:t>
      </w:r>
      <w:r w:rsidR="00ED64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горе показва, че </w:t>
      </w:r>
      <w:r w:rsidRPr="002E5D77">
        <w:rPr>
          <w:rFonts w:ascii="Times New Roman" w:eastAsia="Times New Roman" w:hAnsi="Times New Roman" w:cs="Times New Roman"/>
          <w:sz w:val="24"/>
          <w:szCs w:val="24"/>
        </w:rPr>
        <w:t xml:space="preserve"> </w:t>
      </w:r>
      <w:r w:rsidR="00E16161" w:rsidRPr="008C3960">
        <w:rPr>
          <w:rFonts w:ascii="Times New Roman" w:eastAsia="Times New Roman" w:hAnsi="Times New Roman" w:cs="Times New Roman"/>
          <w:sz w:val="24"/>
          <w:szCs w:val="24"/>
        </w:rPr>
        <w:t>Вариант 0 и 1 са с нисък риск по отношение на разходите, но с висок риск по отношение на</w:t>
      </w:r>
      <w:r w:rsidR="00E16161">
        <w:rPr>
          <w:rFonts w:ascii="Times New Roman" w:eastAsia="Times New Roman" w:hAnsi="Times New Roman" w:cs="Times New Roman"/>
          <w:sz w:val="24"/>
          <w:szCs w:val="24"/>
        </w:rPr>
        <w:t xml:space="preserve"> неуспешно решаване на проблеми</w:t>
      </w:r>
      <w:r>
        <w:rPr>
          <w:rFonts w:ascii="Times New Roman" w:eastAsia="Times New Roman" w:hAnsi="Times New Roman" w:cs="Times New Roman"/>
          <w:sz w:val="24"/>
          <w:szCs w:val="24"/>
        </w:rPr>
        <w:t xml:space="preserve"> (Вж. Фигура 7)</w:t>
      </w:r>
      <w:r w:rsidR="00E16161">
        <w:rPr>
          <w:rFonts w:ascii="Times New Roman" w:eastAsia="Times New Roman" w:hAnsi="Times New Roman" w:cs="Times New Roman"/>
          <w:sz w:val="24"/>
          <w:szCs w:val="24"/>
        </w:rPr>
        <w:t>.</w:t>
      </w:r>
      <w:r w:rsidR="00E16161" w:rsidRPr="008C3960">
        <w:rPr>
          <w:rFonts w:ascii="Times New Roman" w:eastAsia="Times New Roman" w:hAnsi="Times New Roman" w:cs="Times New Roman"/>
          <w:sz w:val="24"/>
          <w:szCs w:val="24"/>
        </w:rPr>
        <w:t xml:space="preserve"> </w:t>
      </w:r>
      <w:r w:rsidR="000244AC">
        <w:rPr>
          <w:rFonts w:ascii="Times New Roman" w:eastAsia="Times New Roman" w:hAnsi="Times New Roman" w:cs="Times New Roman"/>
          <w:sz w:val="24"/>
          <w:szCs w:val="24"/>
        </w:rPr>
        <w:t>И</w:t>
      </w:r>
      <w:r w:rsidR="000244AC" w:rsidRPr="008C3960">
        <w:rPr>
          <w:rFonts w:ascii="Times New Roman" w:eastAsia="Times New Roman" w:hAnsi="Times New Roman" w:cs="Times New Roman"/>
          <w:sz w:val="24"/>
          <w:szCs w:val="24"/>
        </w:rPr>
        <w:t xml:space="preserve"> двата </w:t>
      </w:r>
      <w:r w:rsidR="000244AC">
        <w:rPr>
          <w:rFonts w:ascii="Times New Roman" w:eastAsia="Times New Roman" w:hAnsi="Times New Roman" w:cs="Times New Roman"/>
          <w:sz w:val="24"/>
          <w:szCs w:val="24"/>
        </w:rPr>
        <w:t xml:space="preserve">са проблематични от гледна точка на </w:t>
      </w:r>
      <w:r w:rsidR="000244AC" w:rsidRPr="008C3960">
        <w:rPr>
          <w:rFonts w:ascii="Times New Roman" w:eastAsia="Times New Roman" w:hAnsi="Times New Roman" w:cs="Times New Roman"/>
          <w:sz w:val="24"/>
          <w:szCs w:val="24"/>
        </w:rPr>
        <w:t xml:space="preserve">въздействие върху МСП и прилагане/спазване, което означава, че </w:t>
      </w:r>
      <w:r w:rsidR="000244AC" w:rsidRPr="001A73EC">
        <w:rPr>
          <w:rFonts w:ascii="Times New Roman" w:eastAsia="Times New Roman" w:hAnsi="Times New Roman" w:cs="Times New Roman"/>
          <w:bCs/>
          <w:sz w:val="24"/>
          <w:szCs w:val="24"/>
        </w:rPr>
        <w:t>бездействието или чисто доброволно</w:t>
      </w:r>
      <w:r w:rsidR="000244AC">
        <w:rPr>
          <w:rFonts w:ascii="Times New Roman" w:eastAsia="Times New Roman" w:hAnsi="Times New Roman" w:cs="Times New Roman"/>
          <w:bCs/>
          <w:sz w:val="24"/>
          <w:szCs w:val="24"/>
        </w:rPr>
        <w:t>то</w:t>
      </w:r>
      <w:r w:rsidR="000244AC" w:rsidRPr="001A73EC">
        <w:rPr>
          <w:rFonts w:ascii="Times New Roman" w:eastAsia="Times New Roman" w:hAnsi="Times New Roman" w:cs="Times New Roman"/>
          <w:bCs/>
          <w:sz w:val="24"/>
          <w:szCs w:val="24"/>
        </w:rPr>
        <w:t xml:space="preserve"> действие носят най-висок риск от липса на икономически ползи и ситуация, в която се наблюдава продължаващо нанасяне на вреди за МСП</w:t>
      </w:r>
      <w:r w:rsidR="000244AC" w:rsidRPr="001A73EC">
        <w:rPr>
          <w:rFonts w:ascii="Times New Roman" w:eastAsia="Times New Roman" w:hAnsi="Times New Roman" w:cs="Times New Roman"/>
          <w:sz w:val="24"/>
          <w:szCs w:val="24"/>
        </w:rPr>
        <w:t>.</w:t>
      </w:r>
      <w:r w:rsidR="000244AC" w:rsidRPr="008C3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43C025F0" w14:textId="10862F4A" w:rsidR="002E5D77" w:rsidRDefault="00E16161" w:rsidP="002E5D77">
      <w:pPr>
        <w:spacing w:after="0" w:line="240" w:lineRule="auto"/>
        <w:ind w:firstLine="567"/>
        <w:jc w:val="both"/>
        <w:rPr>
          <w:rFonts w:ascii="Times New Roman" w:eastAsia="Times New Roman" w:hAnsi="Times New Roman" w:cs="Times New Roman"/>
          <w:sz w:val="24"/>
          <w:szCs w:val="24"/>
        </w:rPr>
      </w:pPr>
      <w:r w:rsidRPr="008C3960">
        <w:rPr>
          <w:rFonts w:ascii="Times New Roman" w:eastAsia="Times New Roman" w:hAnsi="Times New Roman" w:cs="Times New Roman"/>
          <w:sz w:val="24"/>
          <w:szCs w:val="24"/>
        </w:rPr>
        <w:t>Ва</w:t>
      </w:r>
      <w:r>
        <w:rPr>
          <w:rFonts w:ascii="Times New Roman" w:eastAsia="Times New Roman" w:hAnsi="Times New Roman" w:cs="Times New Roman"/>
          <w:sz w:val="24"/>
          <w:szCs w:val="24"/>
        </w:rPr>
        <w:t xml:space="preserve">риант 2 </w:t>
      </w:r>
      <w:r w:rsidR="000244AC">
        <w:rPr>
          <w:rFonts w:ascii="Times New Roman" w:eastAsia="Times New Roman" w:hAnsi="Times New Roman" w:cs="Times New Roman"/>
          <w:sz w:val="24"/>
          <w:szCs w:val="24"/>
        </w:rPr>
        <w:t xml:space="preserve">споделя подобен рисков профил, но </w:t>
      </w:r>
      <w:r>
        <w:rPr>
          <w:rFonts w:ascii="Times New Roman" w:eastAsia="Times New Roman" w:hAnsi="Times New Roman" w:cs="Times New Roman"/>
          <w:sz w:val="24"/>
          <w:szCs w:val="24"/>
        </w:rPr>
        <w:t>намира средно ниво с относително</w:t>
      </w:r>
      <w:r w:rsidRPr="008C3960">
        <w:rPr>
          <w:rFonts w:ascii="Times New Roman" w:eastAsia="Times New Roman" w:hAnsi="Times New Roman" w:cs="Times New Roman"/>
          <w:sz w:val="24"/>
          <w:szCs w:val="24"/>
        </w:rPr>
        <w:t xml:space="preserve"> ниски рискове, но</w:t>
      </w:r>
      <w:r w:rsidR="004503C8">
        <w:rPr>
          <w:rFonts w:ascii="Times New Roman" w:eastAsia="Times New Roman" w:hAnsi="Times New Roman" w:cs="Times New Roman"/>
          <w:sz w:val="24"/>
          <w:szCs w:val="24"/>
        </w:rPr>
        <w:t xml:space="preserve"> с</w:t>
      </w:r>
      <w:r w:rsidRPr="008C3960">
        <w:rPr>
          <w:rFonts w:ascii="Times New Roman" w:eastAsia="Times New Roman" w:hAnsi="Times New Roman" w:cs="Times New Roman"/>
          <w:sz w:val="24"/>
          <w:szCs w:val="24"/>
        </w:rPr>
        <w:t xml:space="preserve"> мал</w:t>
      </w:r>
      <w:r w:rsidR="000244AC">
        <w:rPr>
          <w:rFonts w:ascii="Times New Roman" w:eastAsia="Times New Roman" w:hAnsi="Times New Roman" w:cs="Times New Roman"/>
          <w:sz w:val="24"/>
          <w:szCs w:val="24"/>
        </w:rPr>
        <w:t xml:space="preserve">ко по-нисък потенциален обхват. Той </w:t>
      </w:r>
      <w:r w:rsidRPr="008C3960">
        <w:rPr>
          <w:rFonts w:ascii="Times New Roman" w:eastAsia="Times New Roman" w:hAnsi="Times New Roman" w:cs="Times New Roman"/>
          <w:sz w:val="24"/>
          <w:szCs w:val="24"/>
        </w:rPr>
        <w:t xml:space="preserve">получава най-нисък резултат за повечето рискове, което означава, че е най-безопасният по отношение на избягването на нови проблеми – той добавя малко тежест и изкривяване. </w:t>
      </w:r>
      <w:r w:rsidR="004503C8">
        <w:rPr>
          <w:rFonts w:ascii="Times New Roman" w:eastAsia="Times New Roman" w:hAnsi="Times New Roman" w:cs="Times New Roman"/>
          <w:sz w:val="24"/>
          <w:szCs w:val="24"/>
        </w:rPr>
        <w:t>Той страда от сериозен дефицит, свързан</w:t>
      </w:r>
      <w:r w:rsidRPr="008C3960">
        <w:rPr>
          <w:rFonts w:ascii="Times New Roman" w:eastAsia="Times New Roman" w:hAnsi="Times New Roman" w:cs="Times New Roman"/>
          <w:sz w:val="24"/>
          <w:szCs w:val="24"/>
        </w:rPr>
        <w:t xml:space="preserve"> </w:t>
      </w:r>
      <w:r w:rsidR="004503C8">
        <w:rPr>
          <w:rFonts w:ascii="Times New Roman" w:eastAsia="Times New Roman" w:hAnsi="Times New Roman" w:cs="Times New Roman"/>
          <w:sz w:val="24"/>
          <w:szCs w:val="24"/>
        </w:rPr>
        <w:t>с</w:t>
      </w:r>
      <w:r w:rsidRPr="008C3960">
        <w:rPr>
          <w:rFonts w:ascii="Times New Roman" w:eastAsia="Times New Roman" w:hAnsi="Times New Roman" w:cs="Times New Roman"/>
          <w:sz w:val="24"/>
          <w:szCs w:val="24"/>
        </w:rPr>
        <w:t xml:space="preserve"> прилагането, въпреки че дори и там е наравно с другите.</w:t>
      </w:r>
    </w:p>
    <w:p w14:paraId="5F8B26BA" w14:textId="3D7C4F5D" w:rsidR="000244AC" w:rsidRDefault="000244AC" w:rsidP="002E5D77">
      <w:pPr>
        <w:spacing w:after="0" w:line="240" w:lineRule="auto"/>
        <w:ind w:firstLine="567"/>
        <w:jc w:val="both"/>
        <w:rPr>
          <w:rFonts w:ascii="Times New Roman" w:eastAsia="Times New Roman" w:hAnsi="Times New Roman" w:cs="Times New Roman"/>
          <w:sz w:val="24"/>
          <w:szCs w:val="24"/>
        </w:rPr>
      </w:pPr>
      <w:r w:rsidRPr="008C3960">
        <w:rPr>
          <w:rFonts w:ascii="Times New Roman" w:eastAsia="Times New Roman" w:hAnsi="Times New Roman" w:cs="Times New Roman"/>
          <w:sz w:val="24"/>
          <w:szCs w:val="24"/>
        </w:rPr>
        <w:t xml:space="preserve">Вариант 3 е с висок риск по отношение на изпълнението и страничните ефекти, но </w:t>
      </w:r>
      <w:r>
        <w:rPr>
          <w:rFonts w:ascii="Times New Roman" w:eastAsia="Times New Roman" w:hAnsi="Times New Roman" w:cs="Times New Roman"/>
          <w:sz w:val="24"/>
          <w:szCs w:val="24"/>
        </w:rPr>
        <w:t xml:space="preserve">води до най-пълноценно </w:t>
      </w:r>
      <w:r w:rsidRPr="008C3960">
        <w:rPr>
          <w:rFonts w:ascii="Times New Roman" w:eastAsia="Times New Roman" w:hAnsi="Times New Roman" w:cs="Times New Roman"/>
          <w:sz w:val="24"/>
          <w:szCs w:val="24"/>
        </w:rPr>
        <w:t>разреш</w:t>
      </w:r>
      <w:r>
        <w:rPr>
          <w:rFonts w:ascii="Times New Roman" w:eastAsia="Times New Roman" w:hAnsi="Times New Roman" w:cs="Times New Roman"/>
          <w:sz w:val="24"/>
          <w:szCs w:val="24"/>
        </w:rPr>
        <w:t>аване на</w:t>
      </w:r>
      <w:r w:rsidRPr="008C3960">
        <w:rPr>
          <w:rFonts w:ascii="Times New Roman" w:eastAsia="Times New Roman" w:hAnsi="Times New Roman" w:cs="Times New Roman"/>
          <w:sz w:val="24"/>
          <w:szCs w:val="24"/>
        </w:rPr>
        <w:t xml:space="preserve"> проблемите</w:t>
      </w:r>
      <w:r>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w:t>
      </w:r>
      <w:r w:rsidRPr="000244AC">
        <w:rPr>
          <w:rFonts w:ascii="Times New Roman" w:eastAsia="Times New Roman" w:hAnsi="Times New Roman" w:cs="Times New Roman"/>
          <w:bCs/>
          <w:sz w:val="24"/>
          <w:szCs w:val="24"/>
        </w:rPr>
        <w:t>Вариант 3</w:t>
      </w:r>
      <w:r w:rsidRPr="008C3960">
        <w:rPr>
          <w:rFonts w:ascii="Times New Roman" w:eastAsia="Times New Roman" w:hAnsi="Times New Roman" w:cs="Times New Roman"/>
          <w:b/>
          <w:bCs/>
          <w:sz w:val="24"/>
          <w:szCs w:val="24"/>
        </w:rPr>
        <w:t xml:space="preserve"> </w:t>
      </w:r>
      <w:r w:rsidRPr="008C3960">
        <w:rPr>
          <w:rFonts w:ascii="Times New Roman" w:eastAsia="Times New Roman" w:hAnsi="Times New Roman" w:cs="Times New Roman"/>
          <w:sz w:val="24"/>
          <w:szCs w:val="24"/>
        </w:rPr>
        <w:t>показва висок риск в няколко категории</w:t>
      </w:r>
      <w:r>
        <w:rPr>
          <w:rFonts w:ascii="Times New Roman" w:eastAsia="Times New Roman" w:hAnsi="Times New Roman" w:cs="Times New Roman"/>
          <w:sz w:val="24"/>
          <w:szCs w:val="24"/>
        </w:rPr>
        <w:t>.</w:t>
      </w:r>
      <w:r w:rsidRPr="008C3960">
        <w:rPr>
          <w:rFonts w:ascii="Times New Roman" w:eastAsia="Times New Roman" w:hAnsi="Times New Roman" w:cs="Times New Roman"/>
          <w:sz w:val="24"/>
          <w:szCs w:val="24"/>
        </w:rPr>
        <w:t xml:space="preserve"> </w:t>
      </w:r>
      <w:r w:rsidR="00A679D5" w:rsidRPr="00122DE6">
        <w:rPr>
          <w:rFonts w:ascii="Times New Roman" w:eastAsia="Times New Roman" w:hAnsi="Times New Roman" w:cs="Times New Roman"/>
          <w:sz w:val="24"/>
          <w:szCs w:val="24"/>
        </w:rPr>
        <w:t xml:space="preserve">Най-съществени сред тях са </w:t>
      </w:r>
      <w:r w:rsidR="00A679D5">
        <w:rPr>
          <w:rFonts w:ascii="Times New Roman" w:eastAsia="Times New Roman" w:hAnsi="Times New Roman" w:cs="Times New Roman"/>
          <w:sz w:val="24"/>
          <w:szCs w:val="24"/>
        </w:rPr>
        <w:t xml:space="preserve">ескалацията на </w:t>
      </w:r>
      <w:r w:rsidR="00A679D5" w:rsidRPr="00122DE6">
        <w:rPr>
          <w:rFonts w:ascii="Times New Roman" w:eastAsia="Times New Roman" w:hAnsi="Times New Roman" w:cs="Times New Roman"/>
          <w:sz w:val="24"/>
          <w:szCs w:val="24"/>
        </w:rPr>
        <w:t>административните разходи и рискът от пазарно изкривяване.</w:t>
      </w:r>
      <w:r>
        <w:rPr>
          <w:rFonts w:ascii="Times New Roman" w:eastAsia="Times New Roman" w:hAnsi="Times New Roman" w:cs="Times New Roman"/>
          <w:sz w:val="24"/>
          <w:szCs w:val="24"/>
        </w:rPr>
        <w:t xml:space="preserve"> </w:t>
      </w:r>
    </w:p>
    <w:p w14:paraId="06D0ED19" w14:textId="77777777" w:rsidR="002E5D77" w:rsidRDefault="000244AC" w:rsidP="000244AC">
      <w:pPr>
        <w:spacing w:after="0" w:line="240" w:lineRule="auto"/>
        <w:ind w:firstLine="567"/>
        <w:jc w:val="both"/>
        <w:rPr>
          <w:rFonts w:ascii="Times New Roman" w:eastAsia="Times New Roman" w:hAnsi="Times New Roman" w:cs="Times New Roman"/>
          <w:sz w:val="24"/>
          <w:szCs w:val="24"/>
        </w:rPr>
      </w:pPr>
      <w:r w:rsidRPr="008C3960">
        <w:rPr>
          <w:rFonts w:ascii="Times New Roman" w:eastAsia="Times New Roman" w:hAnsi="Times New Roman" w:cs="Times New Roman"/>
          <w:sz w:val="24"/>
          <w:szCs w:val="24"/>
        </w:rPr>
        <w:t xml:space="preserve">В обобщение, </w:t>
      </w:r>
      <w:r w:rsidRPr="00A679D5">
        <w:rPr>
          <w:rFonts w:ascii="Times New Roman" w:eastAsia="Times New Roman" w:hAnsi="Times New Roman" w:cs="Times New Roman"/>
          <w:bCs/>
          <w:sz w:val="24"/>
          <w:szCs w:val="24"/>
        </w:rPr>
        <w:t xml:space="preserve">варианти 0 и 1 </w:t>
      </w:r>
      <w:r w:rsidRPr="00A679D5">
        <w:rPr>
          <w:rFonts w:ascii="Times New Roman" w:eastAsia="Times New Roman" w:hAnsi="Times New Roman" w:cs="Times New Roman"/>
          <w:sz w:val="24"/>
          <w:szCs w:val="24"/>
        </w:rPr>
        <w:t>носят висок риск в категориите, свързани с продължаващи нелоялни практики (</w:t>
      </w:r>
      <w:r>
        <w:rPr>
          <w:rFonts w:ascii="Times New Roman" w:eastAsia="Times New Roman" w:hAnsi="Times New Roman" w:cs="Times New Roman"/>
          <w:sz w:val="24"/>
          <w:szCs w:val="24"/>
        </w:rPr>
        <w:t>загуби</w:t>
      </w:r>
      <w:r w:rsidRPr="00A679D5">
        <w:rPr>
          <w:rFonts w:ascii="Times New Roman" w:eastAsia="Times New Roman" w:hAnsi="Times New Roman" w:cs="Times New Roman"/>
          <w:sz w:val="24"/>
          <w:szCs w:val="24"/>
        </w:rPr>
        <w:t xml:space="preserve"> на МСП, неуспешно прилагане, слабо съответствие) поради липсата на ефективна намеса. </w:t>
      </w:r>
      <w:r w:rsidRPr="00A679D5">
        <w:rPr>
          <w:rFonts w:ascii="Times New Roman" w:eastAsia="Times New Roman" w:hAnsi="Times New Roman" w:cs="Times New Roman"/>
          <w:bCs/>
          <w:sz w:val="24"/>
          <w:szCs w:val="24"/>
        </w:rPr>
        <w:t>Вариант 2</w:t>
      </w:r>
      <w:r w:rsidRPr="008C3960">
        <w:rPr>
          <w:rFonts w:ascii="Times New Roman" w:eastAsia="Times New Roman" w:hAnsi="Times New Roman" w:cs="Times New Roman"/>
          <w:b/>
          <w:bCs/>
          <w:sz w:val="24"/>
          <w:szCs w:val="24"/>
        </w:rPr>
        <w:t xml:space="preserve"> </w:t>
      </w:r>
      <w:r w:rsidRPr="008C3960">
        <w:rPr>
          <w:rFonts w:ascii="Times New Roman" w:eastAsia="Times New Roman" w:hAnsi="Times New Roman" w:cs="Times New Roman"/>
          <w:sz w:val="24"/>
          <w:szCs w:val="24"/>
        </w:rPr>
        <w:t xml:space="preserve">като цяло има най-ниските рискови резултати в категориите, което показва по-умерен рисков профил. </w:t>
      </w:r>
      <w:r>
        <w:rPr>
          <w:rFonts w:ascii="Times New Roman" w:eastAsia="Times New Roman" w:hAnsi="Times New Roman" w:cs="Times New Roman"/>
          <w:bCs/>
          <w:sz w:val="24"/>
          <w:szCs w:val="24"/>
        </w:rPr>
        <w:t>При Вариант 3 има</w:t>
      </w:r>
      <w:r w:rsidRPr="008C3960">
        <w:rPr>
          <w:rFonts w:ascii="Times New Roman" w:eastAsia="Times New Roman" w:hAnsi="Times New Roman" w:cs="Times New Roman"/>
          <w:sz w:val="24"/>
          <w:szCs w:val="24"/>
        </w:rPr>
        <w:t xml:space="preserve"> зони с най-висок риск, което отразява предизвикателства при </w:t>
      </w:r>
      <w:r w:rsidRPr="008C3960">
        <w:rPr>
          <w:rFonts w:ascii="Times New Roman" w:eastAsia="Times New Roman" w:hAnsi="Times New Roman" w:cs="Times New Roman"/>
          <w:sz w:val="24"/>
          <w:szCs w:val="24"/>
        </w:rPr>
        <w:lastRenderedPageBreak/>
        <w:t xml:space="preserve">осъществяването </w:t>
      </w:r>
      <w:r>
        <w:rPr>
          <w:rFonts w:ascii="Times New Roman" w:eastAsia="Times New Roman" w:hAnsi="Times New Roman" w:cs="Times New Roman"/>
          <w:sz w:val="24"/>
          <w:szCs w:val="24"/>
        </w:rPr>
        <w:t>му</w:t>
      </w:r>
      <w:r w:rsidRPr="008C39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22DE6">
        <w:rPr>
          <w:rFonts w:ascii="Times New Roman" w:eastAsia="Times New Roman" w:hAnsi="Times New Roman" w:cs="Times New Roman"/>
          <w:sz w:val="24"/>
          <w:szCs w:val="24"/>
        </w:rPr>
        <w:t>Оценката на риска</w:t>
      </w:r>
      <w:r>
        <w:rPr>
          <w:rFonts w:ascii="Times New Roman" w:eastAsia="Times New Roman" w:hAnsi="Times New Roman" w:cs="Times New Roman"/>
          <w:sz w:val="24"/>
          <w:szCs w:val="24"/>
        </w:rPr>
        <w:t xml:space="preserve"> при него</w:t>
      </w:r>
      <w:r w:rsidRPr="00122DE6">
        <w:rPr>
          <w:rFonts w:ascii="Times New Roman" w:eastAsia="Times New Roman" w:hAnsi="Times New Roman" w:cs="Times New Roman"/>
          <w:sz w:val="24"/>
          <w:szCs w:val="24"/>
        </w:rPr>
        <w:t xml:space="preserve"> идентифицира няколко „червени“ зони, т.е. категории с високо равнище на риск.</w:t>
      </w:r>
      <w:r w:rsidR="002E5D77">
        <w:rPr>
          <w:rFonts w:ascii="Times New Roman" w:eastAsia="Times New Roman" w:hAnsi="Times New Roman" w:cs="Times New Roman"/>
          <w:sz w:val="24"/>
          <w:szCs w:val="24"/>
        </w:rPr>
        <w:t xml:space="preserve"> </w:t>
      </w:r>
    </w:p>
    <w:p w14:paraId="621E2A84" w14:textId="182488F0" w:rsidR="000244AC" w:rsidRDefault="000244AC" w:rsidP="000244A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Сравнителната матрица на риска</w:t>
      </w:r>
      <w:r w:rsidRPr="008C3960">
        <w:rPr>
          <w:rFonts w:ascii="Times New Roman" w:eastAsia="Times New Roman" w:hAnsi="Times New Roman" w:cs="Times New Roman"/>
          <w:sz w:val="24"/>
          <w:szCs w:val="24"/>
        </w:rPr>
        <w:t xml:space="preserve"> подчертава компромис</w:t>
      </w:r>
      <w:r w:rsidRPr="001A73EC">
        <w:rPr>
          <w:rFonts w:ascii="Times New Roman" w:eastAsia="Times New Roman" w:hAnsi="Times New Roman" w:cs="Times New Roman"/>
          <w:sz w:val="24"/>
          <w:szCs w:val="24"/>
        </w:rPr>
        <w:t xml:space="preserve">: </w:t>
      </w:r>
      <w:r w:rsidRPr="001A73EC">
        <w:rPr>
          <w:rFonts w:ascii="Times New Roman" w:eastAsia="Times New Roman" w:hAnsi="Times New Roman" w:cs="Times New Roman"/>
          <w:bCs/>
          <w:sz w:val="24"/>
          <w:szCs w:val="24"/>
        </w:rPr>
        <w:t>правенето на по-малко (Вариант 0/1) избягва добавянето на разходи, но рискува продължаване на текущите проблеми</w:t>
      </w:r>
      <w:r w:rsidRPr="001A73EC">
        <w:rPr>
          <w:rFonts w:ascii="Times New Roman" w:eastAsia="Times New Roman" w:hAnsi="Times New Roman" w:cs="Times New Roman"/>
          <w:sz w:val="24"/>
          <w:szCs w:val="24"/>
        </w:rPr>
        <w:t xml:space="preserve">, докато </w:t>
      </w:r>
      <w:r w:rsidRPr="001A73EC">
        <w:rPr>
          <w:rFonts w:ascii="Times New Roman" w:eastAsia="Times New Roman" w:hAnsi="Times New Roman" w:cs="Times New Roman"/>
          <w:bCs/>
          <w:sz w:val="24"/>
          <w:szCs w:val="24"/>
        </w:rPr>
        <w:t>правенето на повече (Вариант 3) може да реши проблемите, но с риск от нови разходи и изкривявания</w:t>
      </w:r>
      <w:r w:rsidRPr="001A73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Представената по-долу </w:t>
      </w:r>
      <w:r w:rsidRPr="008C3960">
        <w:rPr>
          <w:rFonts w:ascii="Times New Roman" w:eastAsia="Times New Roman" w:hAnsi="Times New Roman" w:cs="Times New Roman"/>
          <w:sz w:val="24"/>
          <w:szCs w:val="24"/>
        </w:rPr>
        <w:t>визуализация подчертава, че вс</w:t>
      </w:r>
      <w:r>
        <w:rPr>
          <w:rFonts w:ascii="Times New Roman" w:eastAsia="Times New Roman" w:hAnsi="Times New Roman" w:cs="Times New Roman"/>
          <w:sz w:val="24"/>
          <w:szCs w:val="24"/>
        </w:rPr>
        <w:t>е</w:t>
      </w:r>
      <w:r w:rsidRPr="008C3960">
        <w:rPr>
          <w:rFonts w:ascii="Times New Roman" w:eastAsia="Times New Roman" w:hAnsi="Times New Roman" w:cs="Times New Roman"/>
          <w:sz w:val="24"/>
          <w:szCs w:val="24"/>
        </w:rPr>
        <w:t>к</w:t>
      </w:r>
      <w:r>
        <w:rPr>
          <w:rFonts w:ascii="Times New Roman" w:eastAsia="Times New Roman" w:hAnsi="Times New Roman" w:cs="Times New Roman"/>
          <w:sz w:val="24"/>
          <w:szCs w:val="24"/>
        </w:rPr>
        <w:t>и</w:t>
      </w:r>
      <w:r w:rsidRPr="008C3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вариант</w:t>
      </w:r>
      <w:r w:rsidRPr="008C3960">
        <w:rPr>
          <w:rFonts w:ascii="Times New Roman" w:eastAsia="Times New Roman" w:hAnsi="Times New Roman" w:cs="Times New Roman"/>
          <w:sz w:val="24"/>
          <w:szCs w:val="24"/>
        </w:rPr>
        <w:t xml:space="preserve"> има различен модел на риск</w:t>
      </w:r>
      <w:r>
        <w:rPr>
          <w:rFonts w:ascii="Times New Roman" w:eastAsia="Times New Roman" w:hAnsi="Times New Roman" w:cs="Times New Roman"/>
          <w:sz w:val="24"/>
          <w:szCs w:val="24"/>
        </w:rPr>
        <w:t xml:space="preserve">. </w:t>
      </w:r>
      <w:r w:rsidRPr="00122DE6">
        <w:rPr>
          <w:rFonts w:ascii="Times New Roman" w:eastAsia="Times New Roman" w:hAnsi="Times New Roman" w:cs="Times New Roman"/>
          <w:sz w:val="24"/>
          <w:szCs w:val="24"/>
        </w:rPr>
        <w:t xml:space="preserve">(Вж. Фигура </w:t>
      </w:r>
      <w:r>
        <w:rPr>
          <w:rFonts w:ascii="Times New Roman" w:eastAsia="Times New Roman" w:hAnsi="Times New Roman" w:cs="Times New Roman"/>
          <w:sz w:val="24"/>
          <w:szCs w:val="24"/>
        </w:rPr>
        <w:t>8</w:t>
      </w:r>
      <w:r w:rsidRPr="00122DE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bl>
      <w:tblPr>
        <w:tblW w:w="9067" w:type="dxa"/>
        <w:tblLook w:val="04A0" w:firstRow="1" w:lastRow="0" w:firstColumn="1" w:lastColumn="0" w:noHBand="0" w:noVBand="1"/>
      </w:tblPr>
      <w:tblGrid>
        <w:gridCol w:w="2474"/>
        <w:gridCol w:w="1126"/>
        <w:gridCol w:w="1164"/>
        <w:gridCol w:w="1359"/>
        <w:gridCol w:w="1359"/>
        <w:gridCol w:w="368"/>
        <w:gridCol w:w="349"/>
        <w:gridCol w:w="868"/>
      </w:tblGrid>
      <w:tr w:rsidR="00A679D5" w:rsidRPr="00611A93" w14:paraId="2F1ED274" w14:textId="77777777" w:rsidTr="002E5D77">
        <w:trPr>
          <w:trHeight w:val="116"/>
        </w:trPr>
        <w:tc>
          <w:tcPr>
            <w:tcW w:w="2474" w:type="dxa"/>
            <w:shd w:val="clear" w:color="auto" w:fill="auto"/>
            <w:noWrap/>
            <w:vAlign w:val="bottom"/>
            <w:hideMark/>
          </w:tcPr>
          <w:p w14:paraId="6609ABDF" w14:textId="77777777" w:rsidR="00A679D5" w:rsidRPr="00A679D5" w:rsidRDefault="00A679D5" w:rsidP="00A679D5">
            <w:pPr>
              <w:spacing w:after="0" w:line="240" w:lineRule="auto"/>
              <w:rPr>
                <w:rFonts w:ascii="Times New Roman" w:eastAsia="Times New Roman" w:hAnsi="Times New Roman" w:cs="Times New Roman"/>
                <w:sz w:val="24"/>
                <w:szCs w:val="24"/>
                <w:lang w:val="ru-RU"/>
              </w:rPr>
            </w:pPr>
          </w:p>
        </w:tc>
        <w:tc>
          <w:tcPr>
            <w:tcW w:w="1126" w:type="dxa"/>
            <w:shd w:val="clear" w:color="auto" w:fill="auto"/>
            <w:noWrap/>
            <w:vAlign w:val="bottom"/>
            <w:hideMark/>
          </w:tcPr>
          <w:p w14:paraId="1C137C0E" w14:textId="77777777" w:rsidR="00A679D5" w:rsidRPr="00A679D5" w:rsidRDefault="00A679D5" w:rsidP="00A679D5">
            <w:pPr>
              <w:spacing w:after="0" w:line="240" w:lineRule="auto"/>
              <w:rPr>
                <w:rFonts w:ascii="Times New Roman" w:eastAsia="Times New Roman" w:hAnsi="Times New Roman" w:cs="Times New Roman"/>
                <w:sz w:val="20"/>
                <w:szCs w:val="20"/>
                <w:lang w:val="ru-RU"/>
              </w:rPr>
            </w:pPr>
          </w:p>
        </w:tc>
        <w:tc>
          <w:tcPr>
            <w:tcW w:w="1164" w:type="dxa"/>
            <w:shd w:val="clear" w:color="auto" w:fill="auto"/>
            <w:noWrap/>
            <w:vAlign w:val="bottom"/>
            <w:hideMark/>
          </w:tcPr>
          <w:p w14:paraId="328AEA19" w14:textId="77777777" w:rsidR="00A679D5" w:rsidRPr="00A679D5" w:rsidRDefault="00A679D5" w:rsidP="00A679D5">
            <w:pPr>
              <w:spacing w:after="0" w:line="240" w:lineRule="auto"/>
              <w:rPr>
                <w:rFonts w:ascii="Times New Roman" w:eastAsia="Times New Roman" w:hAnsi="Times New Roman" w:cs="Times New Roman"/>
                <w:sz w:val="20"/>
                <w:szCs w:val="20"/>
                <w:lang w:val="ru-RU"/>
              </w:rPr>
            </w:pPr>
          </w:p>
        </w:tc>
        <w:tc>
          <w:tcPr>
            <w:tcW w:w="1359" w:type="dxa"/>
            <w:shd w:val="clear" w:color="auto" w:fill="auto"/>
            <w:noWrap/>
            <w:vAlign w:val="bottom"/>
            <w:hideMark/>
          </w:tcPr>
          <w:p w14:paraId="16437FBA" w14:textId="77777777" w:rsidR="00A679D5" w:rsidRPr="00A679D5" w:rsidRDefault="00A679D5" w:rsidP="00A679D5">
            <w:pPr>
              <w:spacing w:after="0" w:line="240" w:lineRule="auto"/>
              <w:rPr>
                <w:rFonts w:ascii="Times New Roman" w:eastAsia="Times New Roman" w:hAnsi="Times New Roman" w:cs="Times New Roman"/>
                <w:sz w:val="20"/>
                <w:szCs w:val="20"/>
                <w:lang w:val="ru-RU"/>
              </w:rPr>
            </w:pPr>
          </w:p>
        </w:tc>
        <w:tc>
          <w:tcPr>
            <w:tcW w:w="1359" w:type="dxa"/>
            <w:shd w:val="clear" w:color="auto" w:fill="auto"/>
            <w:noWrap/>
            <w:vAlign w:val="bottom"/>
            <w:hideMark/>
          </w:tcPr>
          <w:p w14:paraId="3687B05A" w14:textId="77777777" w:rsidR="00A679D5" w:rsidRPr="00A679D5" w:rsidRDefault="00A679D5" w:rsidP="00A679D5">
            <w:pPr>
              <w:spacing w:after="0" w:line="240" w:lineRule="auto"/>
              <w:rPr>
                <w:rFonts w:ascii="Times New Roman" w:eastAsia="Times New Roman" w:hAnsi="Times New Roman" w:cs="Times New Roman"/>
                <w:sz w:val="20"/>
                <w:szCs w:val="20"/>
                <w:lang w:val="ru-RU"/>
              </w:rPr>
            </w:pPr>
          </w:p>
        </w:tc>
        <w:tc>
          <w:tcPr>
            <w:tcW w:w="368" w:type="dxa"/>
            <w:shd w:val="clear" w:color="auto" w:fill="auto"/>
            <w:noWrap/>
            <w:vAlign w:val="bottom"/>
            <w:hideMark/>
          </w:tcPr>
          <w:p w14:paraId="0E8545DD" w14:textId="77777777" w:rsidR="00A679D5" w:rsidRPr="00A679D5" w:rsidRDefault="00A679D5" w:rsidP="00A679D5">
            <w:pPr>
              <w:spacing w:after="0" w:line="240" w:lineRule="auto"/>
              <w:rPr>
                <w:rFonts w:ascii="Times New Roman" w:eastAsia="Times New Roman" w:hAnsi="Times New Roman" w:cs="Times New Roman"/>
                <w:sz w:val="20"/>
                <w:szCs w:val="20"/>
                <w:lang w:val="ru-RU"/>
              </w:rPr>
            </w:pPr>
          </w:p>
        </w:tc>
        <w:tc>
          <w:tcPr>
            <w:tcW w:w="349" w:type="dxa"/>
            <w:shd w:val="clear" w:color="auto" w:fill="auto"/>
            <w:noWrap/>
            <w:vAlign w:val="bottom"/>
            <w:hideMark/>
          </w:tcPr>
          <w:p w14:paraId="29D5E89B" w14:textId="77777777" w:rsidR="00A679D5" w:rsidRPr="00A679D5" w:rsidRDefault="00A679D5" w:rsidP="00A679D5">
            <w:pPr>
              <w:spacing w:after="0" w:line="240" w:lineRule="auto"/>
              <w:rPr>
                <w:rFonts w:ascii="Times New Roman" w:eastAsia="Times New Roman" w:hAnsi="Times New Roman" w:cs="Times New Roman"/>
                <w:sz w:val="20"/>
                <w:szCs w:val="20"/>
                <w:lang w:val="ru-RU"/>
              </w:rPr>
            </w:pPr>
          </w:p>
        </w:tc>
        <w:tc>
          <w:tcPr>
            <w:tcW w:w="868" w:type="dxa"/>
            <w:shd w:val="clear" w:color="auto" w:fill="auto"/>
            <w:noWrap/>
            <w:vAlign w:val="bottom"/>
            <w:hideMark/>
          </w:tcPr>
          <w:p w14:paraId="0E495A6D" w14:textId="77777777" w:rsidR="00A679D5" w:rsidRPr="00A679D5" w:rsidRDefault="00A679D5" w:rsidP="00A679D5">
            <w:pPr>
              <w:spacing w:after="0" w:line="240" w:lineRule="auto"/>
              <w:rPr>
                <w:rFonts w:ascii="Times New Roman" w:eastAsia="Times New Roman" w:hAnsi="Times New Roman" w:cs="Times New Roman"/>
                <w:sz w:val="20"/>
                <w:szCs w:val="20"/>
                <w:lang w:val="ru-RU"/>
              </w:rPr>
            </w:pPr>
          </w:p>
        </w:tc>
      </w:tr>
      <w:tr w:rsidR="00A679D5" w:rsidRPr="00611A93" w14:paraId="36252948" w14:textId="77777777" w:rsidTr="002E5D77">
        <w:trPr>
          <w:trHeight w:val="194"/>
        </w:trPr>
        <w:tc>
          <w:tcPr>
            <w:tcW w:w="2474" w:type="dxa"/>
            <w:shd w:val="clear" w:color="auto" w:fill="auto"/>
            <w:vAlign w:val="center"/>
            <w:hideMark/>
          </w:tcPr>
          <w:p w14:paraId="4C7C7139" w14:textId="77777777" w:rsidR="00A679D5" w:rsidRPr="00611A93" w:rsidRDefault="00A679D5" w:rsidP="00A679D5">
            <w:pPr>
              <w:spacing w:after="0" w:line="240" w:lineRule="auto"/>
              <w:jc w:val="right"/>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rPr>
              <w:t>Ескалация на административните разходи</w:t>
            </w:r>
          </w:p>
        </w:tc>
        <w:tc>
          <w:tcPr>
            <w:tcW w:w="1126" w:type="dxa"/>
            <w:shd w:val="clear" w:color="000000" w:fill="FFF2CC"/>
            <w:vAlign w:val="center"/>
            <w:hideMark/>
          </w:tcPr>
          <w:p w14:paraId="5D1083AD" w14:textId="77777777" w:rsidR="00A679D5" w:rsidRPr="00611A93" w:rsidRDefault="00A679D5" w:rsidP="00A679D5">
            <w:pPr>
              <w:spacing w:after="0" w:line="240" w:lineRule="auto"/>
              <w:jc w:val="center"/>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rPr>
              <w:t>1</w:t>
            </w:r>
          </w:p>
        </w:tc>
        <w:tc>
          <w:tcPr>
            <w:tcW w:w="1164" w:type="dxa"/>
            <w:shd w:val="clear" w:color="000000" w:fill="FFF2CC"/>
            <w:vAlign w:val="center"/>
            <w:hideMark/>
          </w:tcPr>
          <w:p w14:paraId="5D987A3C" w14:textId="77777777" w:rsidR="00A679D5" w:rsidRPr="00611A93" w:rsidRDefault="00A679D5" w:rsidP="00A679D5">
            <w:pPr>
              <w:spacing w:after="0" w:line="240" w:lineRule="auto"/>
              <w:jc w:val="center"/>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rPr>
              <w:t>4</w:t>
            </w:r>
          </w:p>
        </w:tc>
        <w:tc>
          <w:tcPr>
            <w:tcW w:w="1359" w:type="dxa"/>
            <w:shd w:val="clear" w:color="000000" w:fill="FFD966"/>
            <w:vAlign w:val="center"/>
            <w:hideMark/>
          </w:tcPr>
          <w:p w14:paraId="3D962956" w14:textId="77777777" w:rsidR="00A679D5" w:rsidRPr="00611A93" w:rsidRDefault="00A679D5" w:rsidP="00A679D5">
            <w:pPr>
              <w:spacing w:after="0" w:line="240" w:lineRule="auto"/>
              <w:jc w:val="center"/>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rPr>
              <w:t>6</w:t>
            </w:r>
          </w:p>
        </w:tc>
        <w:tc>
          <w:tcPr>
            <w:tcW w:w="1359" w:type="dxa"/>
            <w:shd w:val="clear" w:color="000000" w:fill="C00000"/>
            <w:vAlign w:val="center"/>
            <w:hideMark/>
          </w:tcPr>
          <w:p w14:paraId="44BCA467" w14:textId="77777777" w:rsidR="00A679D5" w:rsidRPr="00611A93" w:rsidRDefault="00A679D5" w:rsidP="00A679D5">
            <w:pPr>
              <w:spacing w:after="0" w:line="240" w:lineRule="auto"/>
              <w:jc w:val="center"/>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rPr>
              <w:t>20</w:t>
            </w:r>
          </w:p>
        </w:tc>
        <w:tc>
          <w:tcPr>
            <w:tcW w:w="368" w:type="dxa"/>
            <w:shd w:val="clear" w:color="auto" w:fill="auto"/>
            <w:noWrap/>
            <w:vAlign w:val="bottom"/>
            <w:hideMark/>
          </w:tcPr>
          <w:p w14:paraId="13FBED4B" w14:textId="77777777" w:rsidR="00A679D5" w:rsidRPr="00611A93" w:rsidRDefault="00A679D5" w:rsidP="00A679D5">
            <w:pPr>
              <w:spacing w:after="0" w:line="240" w:lineRule="auto"/>
              <w:jc w:val="center"/>
              <w:rPr>
                <w:rFonts w:ascii="Times New Roman" w:eastAsia="Times New Roman" w:hAnsi="Times New Roman" w:cs="Times New Roman"/>
                <w:color w:val="000000"/>
                <w:sz w:val="20"/>
                <w:szCs w:val="20"/>
                <w:lang w:val="en-US"/>
              </w:rPr>
            </w:pPr>
          </w:p>
        </w:tc>
        <w:tc>
          <w:tcPr>
            <w:tcW w:w="349" w:type="dxa"/>
            <w:shd w:val="clear" w:color="000000" w:fill="C00000"/>
            <w:noWrap/>
            <w:vAlign w:val="bottom"/>
            <w:hideMark/>
          </w:tcPr>
          <w:p w14:paraId="42CB22F9" w14:textId="77777777" w:rsidR="00A679D5" w:rsidRPr="00611A93" w:rsidRDefault="00A679D5" w:rsidP="00A679D5">
            <w:pPr>
              <w:spacing w:after="0" w:line="240" w:lineRule="auto"/>
              <w:rPr>
                <w:rFonts w:ascii="Calibri" w:eastAsia="Times New Roman" w:hAnsi="Calibri" w:cs="Calibri"/>
                <w:color w:val="000000"/>
                <w:lang w:val="en-US"/>
              </w:rPr>
            </w:pPr>
            <w:r w:rsidRPr="00611A93">
              <w:rPr>
                <w:rFonts w:ascii="Calibri" w:eastAsia="Times New Roman" w:hAnsi="Calibri" w:cs="Calibri"/>
                <w:color w:val="000000"/>
                <w:lang w:val="en-US"/>
              </w:rPr>
              <w:t> </w:t>
            </w:r>
          </w:p>
        </w:tc>
        <w:tc>
          <w:tcPr>
            <w:tcW w:w="868" w:type="dxa"/>
            <w:shd w:val="clear" w:color="auto" w:fill="auto"/>
            <w:hideMark/>
          </w:tcPr>
          <w:p w14:paraId="0609844D" w14:textId="77777777" w:rsidR="00A679D5" w:rsidRPr="00611A93" w:rsidRDefault="00A679D5" w:rsidP="00A679D5">
            <w:pPr>
              <w:spacing w:after="0" w:line="240" w:lineRule="auto"/>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lang w:val="en-US"/>
              </w:rPr>
              <w:t>25</w:t>
            </w:r>
          </w:p>
        </w:tc>
      </w:tr>
      <w:tr w:rsidR="00A679D5" w:rsidRPr="00611A93" w14:paraId="08A4F4FE" w14:textId="77777777" w:rsidTr="002E5D77">
        <w:trPr>
          <w:trHeight w:val="194"/>
        </w:trPr>
        <w:tc>
          <w:tcPr>
            <w:tcW w:w="2474" w:type="dxa"/>
            <w:shd w:val="clear" w:color="auto" w:fill="auto"/>
            <w:vAlign w:val="center"/>
            <w:hideMark/>
          </w:tcPr>
          <w:p w14:paraId="4AAD888C" w14:textId="77777777" w:rsidR="00A679D5" w:rsidRPr="00611A93" w:rsidRDefault="00A679D5" w:rsidP="00A679D5">
            <w:pPr>
              <w:spacing w:after="0" w:line="240" w:lineRule="auto"/>
              <w:jc w:val="right"/>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rPr>
              <w:t>Отрицателни въздействия върху МСП</w:t>
            </w:r>
          </w:p>
        </w:tc>
        <w:tc>
          <w:tcPr>
            <w:tcW w:w="1126" w:type="dxa"/>
            <w:shd w:val="clear" w:color="000000" w:fill="C00000"/>
            <w:vAlign w:val="center"/>
            <w:hideMark/>
          </w:tcPr>
          <w:p w14:paraId="7E5C3115" w14:textId="77777777" w:rsidR="00A679D5" w:rsidRPr="00611A93" w:rsidRDefault="00A679D5" w:rsidP="00A679D5">
            <w:pPr>
              <w:spacing w:after="0" w:line="240" w:lineRule="auto"/>
              <w:jc w:val="center"/>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rPr>
              <w:t>20</w:t>
            </w:r>
          </w:p>
        </w:tc>
        <w:tc>
          <w:tcPr>
            <w:tcW w:w="1164" w:type="dxa"/>
            <w:shd w:val="clear" w:color="000000" w:fill="FF0000"/>
            <w:vAlign w:val="center"/>
            <w:hideMark/>
          </w:tcPr>
          <w:p w14:paraId="31D3E4BF" w14:textId="77777777" w:rsidR="00A679D5" w:rsidRPr="00611A93" w:rsidRDefault="00A679D5" w:rsidP="00A679D5">
            <w:pPr>
              <w:spacing w:after="0" w:line="240" w:lineRule="auto"/>
              <w:jc w:val="center"/>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rPr>
              <w:t>16</w:t>
            </w:r>
          </w:p>
        </w:tc>
        <w:tc>
          <w:tcPr>
            <w:tcW w:w="1359" w:type="dxa"/>
            <w:shd w:val="clear" w:color="000000" w:fill="FFF2CC"/>
            <w:vAlign w:val="center"/>
            <w:hideMark/>
          </w:tcPr>
          <w:p w14:paraId="28FB3F71" w14:textId="77777777" w:rsidR="00A679D5" w:rsidRPr="00611A93" w:rsidRDefault="00A679D5" w:rsidP="00A679D5">
            <w:pPr>
              <w:spacing w:after="0" w:line="240" w:lineRule="auto"/>
              <w:jc w:val="center"/>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rPr>
              <w:t>4</w:t>
            </w:r>
          </w:p>
        </w:tc>
        <w:tc>
          <w:tcPr>
            <w:tcW w:w="1359" w:type="dxa"/>
            <w:shd w:val="clear" w:color="000000" w:fill="FFC000"/>
            <w:vAlign w:val="center"/>
            <w:hideMark/>
          </w:tcPr>
          <w:p w14:paraId="49BD938A" w14:textId="77777777" w:rsidR="00A679D5" w:rsidRPr="00611A93" w:rsidRDefault="00A679D5" w:rsidP="00A679D5">
            <w:pPr>
              <w:spacing w:after="0" w:line="240" w:lineRule="auto"/>
              <w:jc w:val="center"/>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rPr>
              <w:t>12</w:t>
            </w:r>
          </w:p>
        </w:tc>
        <w:tc>
          <w:tcPr>
            <w:tcW w:w="368" w:type="dxa"/>
            <w:shd w:val="clear" w:color="auto" w:fill="auto"/>
            <w:noWrap/>
            <w:vAlign w:val="bottom"/>
            <w:hideMark/>
          </w:tcPr>
          <w:p w14:paraId="08D1E589" w14:textId="77777777" w:rsidR="00A679D5" w:rsidRPr="00611A93" w:rsidRDefault="00A679D5" w:rsidP="00A679D5">
            <w:pPr>
              <w:spacing w:after="0" w:line="240" w:lineRule="auto"/>
              <w:jc w:val="center"/>
              <w:rPr>
                <w:rFonts w:ascii="Times New Roman" w:eastAsia="Times New Roman" w:hAnsi="Times New Roman" w:cs="Times New Roman"/>
                <w:color w:val="000000"/>
                <w:sz w:val="20"/>
                <w:szCs w:val="20"/>
                <w:lang w:val="en-US"/>
              </w:rPr>
            </w:pPr>
          </w:p>
        </w:tc>
        <w:tc>
          <w:tcPr>
            <w:tcW w:w="349" w:type="dxa"/>
            <w:shd w:val="clear" w:color="000000" w:fill="FF0000"/>
            <w:noWrap/>
            <w:vAlign w:val="bottom"/>
            <w:hideMark/>
          </w:tcPr>
          <w:p w14:paraId="775F686C" w14:textId="77777777" w:rsidR="00A679D5" w:rsidRPr="00611A93" w:rsidRDefault="00A679D5" w:rsidP="00A679D5">
            <w:pPr>
              <w:spacing w:after="0" w:line="240" w:lineRule="auto"/>
              <w:rPr>
                <w:rFonts w:ascii="Calibri" w:eastAsia="Times New Roman" w:hAnsi="Calibri" w:cs="Calibri"/>
                <w:color w:val="000000"/>
                <w:lang w:val="en-US"/>
              </w:rPr>
            </w:pPr>
            <w:r w:rsidRPr="00611A93">
              <w:rPr>
                <w:rFonts w:ascii="Calibri" w:eastAsia="Times New Roman" w:hAnsi="Calibri" w:cs="Calibri"/>
                <w:color w:val="000000"/>
                <w:lang w:val="en-US"/>
              </w:rPr>
              <w:t> </w:t>
            </w:r>
          </w:p>
        </w:tc>
        <w:tc>
          <w:tcPr>
            <w:tcW w:w="868" w:type="dxa"/>
            <w:shd w:val="clear" w:color="auto" w:fill="auto"/>
            <w:hideMark/>
          </w:tcPr>
          <w:p w14:paraId="2235E528" w14:textId="77777777" w:rsidR="00A679D5" w:rsidRPr="00611A93" w:rsidRDefault="00A679D5" w:rsidP="00A679D5">
            <w:pPr>
              <w:spacing w:after="0" w:line="240" w:lineRule="auto"/>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lang w:val="en-US"/>
              </w:rPr>
              <w:t>20</w:t>
            </w:r>
          </w:p>
        </w:tc>
      </w:tr>
      <w:tr w:rsidR="00A679D5" w:rsidRPr="00611A93" w14:paraId="60100EC0" w14:textId="77777777" w:rsidTr="002E5D77">
        <w:trPr>
          <w:trHeight w:val="194"/>
        </w:trPr>
        <w:tc>
          <w:tcPr>
            <w:tcW w:w="2474" w:type="dxa"/>
            <w:shd w:val="clear" w:color="auto" w:fill="auto"/>
            <w:vAlign w:val="center"/>
            <w:hideMark/>
          </w:tcPr>
          <w:p w14:paraId="3B57765C" w14:textId="77777777" w:rsidR="00A679D5" w:rsidRPr="00611A93" w:rsidRDefault="00A679D5" w:rsidP="00A679D5">
            <w:pPr>
              <w:spacing w:after="0" w:line="240" w:lineRule="auto"/>
              <w:jc w:val="right"/>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rPr>
              <w:t>Изкривявания на пазара/непредвидени</w:t>
            </w:r>
          </w:p>
        </w:tc>
        <w:tc>
          <w:tcPr>
            <w:tcW w:w="1126" w:type="dxa"/>
            <w:shd w:val="clear" w:color="000000" w:fill="FFC000"/>
            <w:vAlign w:val="center"/>
            <w:hideMark/>
          </w:tcPr>
          <w:p w14:paraId="25648935" w14:textId="77777777" w:rsidR="00A679D5" w:rsidRPr="00611A93" w:rsidRDefault="00A679D5" w:rsidP="00A679D5">
            <w:pPr>
              <w:spacing w:after="0" w:line="240" w:lineRule="auto"/>
              <w:jc w:val="center"/>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rPr>
              <w:t>12</w:t>
            </w:r>
          </w:p>
        </w:tc>
        <w:tc>
          <w:tcPr>
            <w:tcW w:w="1164" w:type="dxa"/>
            <w:shd w:val="clear" w:color="000000" w:fill="FFF2CC"/>
            <w:vAlign w:val="center"/>
            <w:hideMark/>
          </w:tcPr>
          <w:p w14:paraId="1CF06B4E" w14:textId="77777777" w:rsidR="00A679D5" w:rsidRPr="00611A93" w:rsidRDefault="00A679D5" w:rsidP="00A679D5">
            <w:pPr>
              <w:spacing w:after="0" w:line="240" w:lineRule="auto"/>
              <w:jc w:val="center"/>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rPr>
              <w:t>1</w:t>
            </w:r>
          </w:p>
        </w:tc>
        <w:tc>
          <w:tcPr>
            <w:tcW w:w="1359" w:type="dxa"/>
            <w:shd w:val="clear" w:color="000000" w:fill="FFF2CC"/>
            <w:vAlign w:val="center"/>
            <w:hideMark/>
          </w:tcPr>
          <w:p w14:paraId="4E5159E4" w14:textId="77777777" w:rsidR="00A679D5" w:rsidRPr="00611A93" w:rsidRDefault="00A679D5" w:rsidP="00A679D5">
            <w:pPr>
              <w:spacing w:after="0" w:line="240" w:lineRule="auto"/>
              <w:jc w:val="center"/>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rPr>
              <w:t>2</w:t>
            </w:r>
          </w:p>
        </w:tc>
        <w:tc>
          <w:tcPr>
            <w:tcW w:w="1359" w:type="dxa"/>
            <w:shd w:val="clear" w:color="000000" w:fill="C00000"/>
            <w:vAlign w:val="center"/>
            <w:hideMark/>
          </w:tcPr>
          <w:p w14:paraId="21F24F67" w14:textId="77777777" w:rsidR="00A679D5" w:rsidRPr="00611A93" w:rsidRDefault="00A679D5" w:rsidP="00A679D5">
            <w:pPr>
              <w:spacing w:after="0" w:line="240" w:lineRule="auto"/>
              <w:jc w:val="center"/>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rPr>
              <w:t>20</w:t>
            </w:r>
          </w:p>
        </w:tc>
        <w:tc>
          <w:tcPr>
            <w:tcW w:w="368" w:type="dxa"/>
            <w:shd w:val="clear" w:color="auto" w:fill="auto"/>
            <w:noWrap/>
            <w:vAlign w:val="bottom"/>
            <w:hideMark/>
          </w:tcPr>
          <w:p w14:paraId="67DCF882" w14:textId="77777777" w:rsidR="00A679D5" w:rsidRPr="00611A93" w:rsidRDefault="00A679D5" w:rsidP="00A679D5">
            <w:pPr>
              <w:spacing w:after="0" w:line="240" w:lineRule="auto"/>
              <w:jc w:val="center"/>
              <w:rPr>
                <w:rFonts w:ascii="Times New Roman" w:eastAsia="Times New Roman" w:hAnsi="Times New Roman" w:cs="Times New Roman"/>
                <w:color w:val="000000"/>
                <w:sz w:val="20"/>
                <w:szCs w:val="20"/>
                <w:lang w:val="en-US"/>
              </w:rPr>
            </w:pPr>
          </w:p>
        </w:tc>
        <w:tc>
          <w:tcPr>
            <w:tcW w:w="349" w:type="dxa"/>
            <w:shd w:val="clear" w:color="000000" w:fill="FFC000"/>
            <w:noWrap/>
            <w:vAlign w:val="bottom"/>
            <w:hideMark/>
          </w:tcPr>
          <w:p w14:paraId="2336881E" w14:textId="77777777" w:rsidR="00A679D5" w:rsidRPr="00611A93" w:rsidRDefault="00A679D5" w:rsidP="00A679D5">
            <w:pPr>
              <w:spacing w:after="0" w:line="240" w:lineRule="auto"/>
              <w:rPr>
                <w:rFonts w:ascii="Calibri" w:eastAsia="Times New Roman" w:hAnsi="Calibri" w:cs="Calibri"/>
                <w:color w:val="000000"/>
                <w:lang w:val="en-US"/>
              </w:rPr>
            </w:pPr>
            <w:r w:rsidRPr="00611A93">
              <w:rPr>
                <w:rFonts w:ascii="Calibri" w:eastAsia="Times New Roman" w:hAnsi="Calibri" w:cs="Calibri"/>
                <w:color w:val="000000"/>
                <w:lang w:val="en-US"/>
              </w:rPr>
              <w:t> </w:t>
            </w:r>
          </w:p>
        </w:tc>
        <w:tc>
          <w:tcPr>
            <w:tcW w:w="868" w:type="dxa"/>
            <w:shd w:val="clear" w:color="auto" w:fill="auto"/>
            <w:hideMark/>
          </w:tcPr>
          <w:p w14:paraId="7E10A828" w14:textId="77777777" w:rsidR="00A679D5" w:rsidRPr="00611A93" w:rsidRDefault="00A679D5" w:rsidP="00A679D5">
            <w:pPr>
              <w:spacing w:after="0" w:line="240" w:lineRule="auto"/>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lang w:val="en-US"/>
              </w:rPr>
              <w:t>15</w:t>
            </w:r>
          </w:p>
        </w:tc>
      </w:tr>
      <w:tr w:rsidR="00A679D5" w:rsidRPr="00611A93" w14:paraId="7A9D80EF" w14:textId="77777777" w:rsidTr="002E5D77">
        <w:trPr>
          <w:trHeight w:val="194"/>
        </w:trPr>
        <w:tc>
          <w:tcPr>
            <w:tcW w:w="2474" w:type="dxa"/>
            <w:shd w:val="clear" w:color="auto" w:fill="auto"/>
            <w:vAlign w:val="center"/>
            <w:hideMark/>
          </w:tcPr>
          <w:p w14:paraId="6312BE47" w14:textId="77777777" w:rsidR="00A679D5" w:rsidRPr="00611A93" w:rsidRDefault="00A679D5" w:rsidP="00A679D5">
            <w:pPr>
              <w:spacing w:after="0" w:line="240" w:lineRule="auto"/>
              <w:jc w:val="right"/>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rPr>
              <w:t>Неуспешно изпълнение (без полза)</w:t>
            </w:r>
          </w:p>
        </w:tc>
        <w:tc>
          <w:tcPr>
            <w:tcW w:w="1126" w:type="dxa"/>
            <w:shd w:val="clear" w:color="000000" w:fill="C00000"/>
            <w:vAlign w:val="center"/>
            <w:hideMark/>
          </w:tcPr>
          <w:p w14:paraId="611AA486" w14:textId="77777777" w:rsidR="00A679D5" w:rsidRPr="00611A93" w:rsidRDefault="00A679D5" w:rsidP="00A679D5">
            <w:pPr>
              <w:spacing w:after="0" w:line="240" w:lineRule="auto"/>
              <w:jc w:val="center"/>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rPr>
              <w:t>20</w:t>
            </w:r>
          </w:p>
        </w:tc>
        <w:tc>
          <w:tcPr>
            <w:tcW w:w="1164" w:type="dxa"/>
            <w:shd w:val="clear" w:color="000000" w:fill="FFC000"/>
            <w:vAlign w:val="center"/>
            <w:hideMark/>
          </w:tcPr>
          <w:p w14:paraId="562696C0" w14:textId="77777777" w:rsidR="00A679D5" w:rsidRPr="00611A93" w:rsidRDefault="00A679D5" w:rsidP="00A679D5">
            <w:pPr>
              <w:spacing w:after="0" w:line="240" w:lineRule="auto"/>
              <w:jc w:val="center"/>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rPr>
              <w:t>15</w:t>
            </w:r>
          </w:p>
        </w:tc>
        <w:tc>
          <w:tcPr>
            <w:tcW w:w="1359" w:type="dxa"/>
            <w:shd w:val="clear" w:color="000000" w:fill="FF0000"/>
            <w:vAlign w:val="center"/>
            <w:hideMark/>
          </w:tcPr>
          <w:p w14:paraId="21721713" w14:textId="77777777" w:rsidR="00A679D5" w:rsidRPr="00611A93" w:rsidRDefault="00A679D5" w:rsidP="00A679D5">
            <w:pPr>
              <w:spacing w:after="0" w:line="240" w:lineRule="auto"/>
              <w:jc w:val="center"/>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rPr>
              <w:t>16</w:t>
            </w:r>
          </w:p>
        </w:tc>
        <w:tc>
          <w:tcPr>
            <w:tcW w:w="1359" w:type="dxa"/>
            <w:shd w:val="clear" w:color="000000" w:fill="FFC000"/>
            <w:vAlign w:val="center"/>
            <w:hideMark/>
          </w:tcPr>
          <w:p w14:paraId="30EBE6C8" w14:textId="77777777" w:rsidR="00A679D5" w:rsidRPr="00611A93" w:rsidRDefault="00A679D5" w:rsidP="00A679D5">
            <w:pPr>
              <w:spacing w:after="0" w:line="240" w:lineRule="auto"/>
              <w:jc w:val="center"/>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rPr>
              <w:t>15</w:t>
            </w:r>
          </w:p>
        </w:tc>
        <w:tc>
          <w:tcPr>
            <w:tcW w:w="368" w:type="dxa"/>
            <w:shd w:val="clear" w:color="auto" w:fill="auto"/>
            <w:noWrap/>
            <w:vAlign w:val="bottom"/>
            <w:hideMark/>
          </w:tcPr>
          <w:p w14:paraId="650146F1" w14:textId="77777777" w:rsidR="00A679D5" w:rsidRPr="00611A93" w:rsidRDefault="00A679D5" w:rsidP="00A679D5">
            <w:pPr>
              <w:spacing w:after="0" w:line="240" w:lineRule="auto"/>
              <w:jc w:val="center"/>
              <w:rPr>
                <w:rFonts w:ascii="Times New Roman" w:eastAsia="Times New Roman" w:hAnsi="Times New Roman" w:cs="Times New Roman"/>
                <w:color w:val="000000"/>
                <w:sz w:val="20"/>
                <w:szCs w:val="20"/>
                <w:lang w:val="en-US"/>
              </w:rPr>
            </w:pPr>
          </w:p>
        </w:tc>
        <w:tc>
          <w:tcPr>
            <w:tcW w:w="349" w:type="dxa"/>
            <w:shd w:val="clear" w:color="000000" w:fill="FFD966"/>
            <w:noWrap/>
            <w:vAlign w:val="bottom"/>
            <w:hideMark/>
          </w:tcPr>
          <w:p w14:paraId="7D0B85E8" w14:textId="77777777" w:rsidR="00A679D5" w:rsidRPr="00611A93" w:rsidRDefault="00A679D5" w:rsidP="00A679D5">
            <w:pPr>
              <w:spacing w:after="0" w:line="240" w:lineRule="auto"/>
              <w:rPr>
                <w:rFonts w:ascii="Calibri" w:eastAsia="Times New Roman" w:hAnsi="Calibri" w:cs="Calibri"/>
                <w:color w:val="000000"/>
                <w:lang w:val="en-US"/>
              </w:rPr>
            </w:pPr>
            <w:r w:rsidRPr="00611A93">
              <w:rPr>
                <w:rFonts w:ascii="Calibri" w:eastAsia="Times New Roman" w:hAnsi="Calibri" w:cs="Calibri"/>
                <w:color w:val="000000"/>
                <w:lang w:val="en-US"/>
              </w:rPr>
              <w:t> </w:t>
            </w:r>
          </w:p>
        </w:tc>
        <w:tc>
          <w:tcPr>
            <w:tcW w:w="868" w:type="dxa"/>
            <w:shd w:val="clear" w:color="auto" w:fill="auto"/>
            <w:hideMark/>
          </w:tcPr>
          <w:p w14:paraId="3E1D06DF" w14:textId="77777777" w:rsidR="00A679D5" w:rsidRPr="00611A93" w:rsidRDefault="00A679D5" w:rsidP="00A679D5">
            <w:pPr>
              <w:spacing w:after="0" w:line="240" w:lineRule="auto"/>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lang w:val="en-US"/>
              </w:rPr>
              <w:t>10</w:t>
            </w:r>
          </w:p>
        </w:tc>
      </w:tr>
      <w:tr w:rsidR="00A679D5" w:rsidRPr="00611A93" w14:paraId="11985C59" w14:textId="77777777" w:rsidTr="002E5D77">
        <w:trPr>
          <w:trHeight w:val="200"/>
        </w:trPr>
        <w:tc>
          <w:tcPr>
            <w:tcW w:w="2474" w:type="dxa"/>
            <w:shd w:val="clear" w:color="auto" w:fill="auto"/>
            <w:vAlign w:val="center"/>
            <w:hideMark/>
          </w:tcPr>
          <w:p w14:paraId="07684E8F" w14:textId="77777777" w:rsidR="00A679D5" w:rsidRPr="00611A93" w:rsidRDefault="00A679D5" w:rsidP="00A679D5">
            <w:pPr>
              <w:spacing w:after="0" w:line="240" w:lineRule="auto"/>
              <w:jc w:val="right"/>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rPr>
              <w:t>Ниско съответствие</w:t>
            </w:r>
          </w:p>
        </w:tc>
        <w:tc>
          <w:tcPr>
            <w:tcW w:w="1126" w:type="dxa"/>
            <w:shd w:val="clear" w:color="000000" w:fill="FFC000"/>
            <w:vAlign w:val="center"/>
            <w:hideMark/>
          </w:tcPr>
          <w:p w14:paraId="479A6FA2" w14:textId="77777777" w:rsidR="00A679D5" w:rsidRPr="00611A93" w:rsidRDefault="00A679D5" w:rsidP="00A679D5">
            <w:pPr>
              <w:spacing w:after="0" w:line="240" w:lineRule="auto"/>
              <w:jc w:val="center"/>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rPr>
              <w:t>15</w:t>
            </w:r>
          </w:p>
        </w:tc>
        <w:tc>
          <w:tcPr>
            <w:tcW w:w="1164" w:type="dxa"/>
            <w:shd w:val="clear" w:color="000000" w:fill="FFC000"/>
            <w:vAlign w:val="center"/>
            <w:hideMark/>
          </w:tcPr>
          <w:p w14:paraId="0AB96FB9" w14:textId="77777777" w:rsidR="00A679D5" w:rsidRPr="00611A93" w:rsidRDefault="00A679D5" w:rsidP="00A679D5">
            <w:pPr>
              <w:spacing w:after="0" w:line="240" w:lineRule="auto"/>
              <w:jc w:val="center"/>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rPr>
              <w:t>15</w:t>
            </w:r>
          </w:p>
        </w:tc>
        <w:tc>
          <w:tcPr>
            <w:tcW w:w="1359" w:type="dxa"/>
            <w:shd w:val="clear" w:color="000000" w:fill="FFD966"/>
            <w:vAlign w:val="center"/>
            <w:hideMark/>
          </w:tcPr>
          <w:p w14:paraId="06FFC5D5" w14:textId="77777777" w:rsidR="00A679D5" w:rsidRPr="00611A93" w:rsidRDefault="00A679D5" w:rsidP="00A679D5">
            <w:pPr>
              <w:spacing w:after="0" w:line="240" w:lineRule="auto"/>
              <w:jc w:val="center"/>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rPr>
              <w:t>9</w:t>
            </w:r>
          </w:p>
        </w:tc>
        <w:tc>
          <w:tcPr>
            <w:tcW w:w="1359" w:type="dxa"/>
            <w:shd w:val="clear" w:color="000000" w:fill="FF0000"/>
            <w:vAlign w:val="center"/>
            <w:hideMark/>
          </w:tcPr>
          <w:p w14:paraId="1D5523A5" w14:textId="77777777" w:rsidR="00A679D5" w:rsidRPr="00611A93" w:rsidRDefault="00A679D5" w:rsidP="00A679D5">
            <w:pPr>
              <w:spacing w:after="0" w:line="240" w:lineRule="auto"/>
              <w:jc w:val="center"/>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rPr>
              <w:t>16</w:t>
            </w:r>
          </w:p>
        </w:tc>
        <w:tc>
          <w:tcPr>
            <w:tcW w:w="368" w:type="dxa"/>
            <w:shd w:val="clear" w:color="auto" w:fill="auto"/>
            <w:noWrap/>
            <w:vAlign w:val="bottom"/>
            <w:hideMark/>
          </w:tcPr>
          <w:p w14:paraId="66452B4F" w14:textId="77777777" w:rsidR="00A679D5" w:rsidRPr="00611A93" w:rsidRDefault="00A679D5" w:rsidP="00A679D5">
            <w:pPr>
              <w:spacing w:after="0" w:line="240" w:lineRule="auto"/>
              <w:jc w:val="center"/>
              <w:rPr>
                <w:rFonts w:ascii="Times New Roman" w:eastAsia="Times New Roman" w:hAnsi="Times New Roman" w:cs="Times New Roman"/>
                <w:color w:val="000000"/>
                <w:sz w:val="20"/>
                <w:szCs w:val="20"/>
                <w:lang w:val="en-US"/>
              </w:rPr>
            </w:pPr>
          </w:p>
        </w:tc>
        <w:tc>
          <w:tcPr>
            <w:tcW w:w="349" w:type="dxa"/>
            <w:shd w:val="clear" w:color="000000" w:fill="FFF2CC"/>
            <w:noWrap/>
            <w:vAlign w:val="bottom"/>
            <w:hideMark/>
          </w:tcPr>
          <w:p w14:paraId="069B62A6" w14:textId="77777777" w:rsidR="00A679D5" w:rsidRPr="00611A93" w:rsidRDefault="00A679D5" w:rsidP="00A679D5">
            <w:pPr>
              <w:spacing w:after="0" w:line="240" w:lineRule="auto"/>
              <w:rPr>
                <w:rFonts w:ascii="Calibri" w:eastAsia="Times New Roman" w:hAnsi="Calibri" w:cs="Calibri"/>
                <w:color w:val="000000"/>
                <w:lang w:val="en-US"/>
              </w:rPr>
            </w:pPr>
            <w:r w:rsidRPr="00611A93">
              <w:rPr>
                <w:rFonts w:ascii="Calibri" w:eastAsia="Times New Roman" w:hAnsi="Calibri" w:cs="Calibri"/>
                <w:color w:val="000000"/>
                <w:lang w:val="en-US"/>
              </w:rPr>
              <w:t> </w:t>
            </w:r>
          </w:p>
        </w:tc>
        <w:tc>
          <w:tcPr>
            <w:tcW w:w="868" w:type="dxa"/>
            <w:shd w:val="clear" w:color="auto" w:fill="auto"/>
            <w:hideMark/>
          </w:tcPr>
          <w:p w14:paraId="122431D4" w14:textId="77777777" w:rsidR="00A679D5" w:rsidRPr="00611A93" w:rsidRDefault="00A679D5" w:rsidP="00A679D5">
            <w:pPr>
              <w:spacing w:after="0" w:line="240" w:lineRule="auto"/>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lang w:val="en-US"/>
              </w:rPr>
              <w:t>5</w:t>
            </w:r>
          </w:p>
        </w:tc>
      </w:tr>
      <w:tr w:rsidR="00A679D5" w:rsidRPr="00611A93" w14:paraId="6D1083FA" w14:textId="77777777" w:rsidTr="002E5D77">
        <w:trPr>
          <w:trHeight w:val="284"/>
        </w:trPr>
        <w:tc>
          <w:tcPr>
            <w:tcW w:w="2474" w:type="dxa"/>
            <w:shd w:val="clear" w:color="auto" w:fill="auto"/>
            <w:noWrap/>
            <w:vAlign w:val="bottom"/>
            <w:hideMark/>
          </w:tcPr>
          <w:p w14:paraId="1D1B7D01" w14:textId="77777777" w:rsidR="00A679D5" w:rsidRPr="00611A93" w:rsidRDefault="00A679D5" w:rsidP="00A679D5">
            <w:pPr>
              <w:spacing w:after="0" w:line="240" w:lineRule="auto"/>
              <w:rPr>
                <w:rFonts w:ascii="Times New Roman" w:eastAsia="Times New Roman" w:hAnsi="Times New Roman" w:cs="Times New Roman"/>
                <w:color w:val="000000"/>
                <w:sz w:val="20"/>
                <w:szCs w:val="20"/>
                <w:lang w:val="en-US"/>
              </w:rPr>
            </w:pPr>
          </w:p>
        </w:tc>
        <w:tc>
          <w:tcPr>
            <w:tcW w:w="1126" w:type="dxa"/>
            <w:vMerge w:val="restart"/>
            <w:shd w:val="clear" w:color="auto" w:fill="auto"/>
            <w:hideMark/>
          </w:tcPr>
          <w:p w14:paraId="42974B75" w14:textId="77777777" w:rsidR="00A679D5" w:rsidRPr="00611A93" w:rsidRDefault="00A679D5" w:rsidP="00A679D5">
            <w:pPr>
              <w:spacing w:after="0" w:line="240" w:lineRule="auto"/>
              <w:jc w:val="center"/>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rPr>
              <w:t>Вариант 0: „Без действие“</w:t>
            </w:r>
          </w:p>
        </w:tc>
        <w:tc>
          <w:tcPr>
            <w:tcW w:w="1164" w:type="dxa"/>
            <w:vMerge w:val="restart"/>
            <w:shd w:val="clear" w:color="auto" w:fill="auto"/>
            <w:hideMark/>
          </w:tcPr>
          <w:p w14:paraId="413694E8" w14:textId="77777777" w:rsidR="00A679D5" w:rsidRPr="00611A93" w:rsidRDefault="00A679D5" w:rsidP="00A679D5">
            <w:pPr>
              <w:spacing w:after="0" w:line="240" w:lineRule="auto"/>
              <w:jc w:val="center"/>
              <w:rPr>
                <w:rFonts w:ascii="Times New Roman" w:eastAsia="Times New Roman" w:hAnsi="Times New Roman" w:cs="Times New Roman"/>
                <w:color w:val="000000"/>
                <w:sz w:val="20"/>
                <w:szCs w:val="20"/>
                <w:lang w:val="en-US"/>
              </w:rPr>
            </w:pPr>
            <w:r w:rsidRPr="00611A93">
              <w:rPr>
                <w:rFonts w:ascii="Times New Roman" w:eastAsia="Times New Roman" w:hAnsi="Times New Roman" w:cs="Times New Roman"/>
                <w:color w:val="000000"/>
                <w:sz w:val="20"/>
                <w:szCs w:val="20"/>
              </w:rPr>
              <w:t>Вариант 1: „Нерегула-торен“</w:t>
            </w:r>
          </w:p>
        </w:tc>
        <w:tc>
          <w:tcPr>
            <w:tcW w:w="1359" w:type="dxa"/>
            <w:vMerge w:val="restart"/>
            <w:shd w:val="clear" w:color="auto" w:fill="auto"/>
            <w:hideMark/>
          </w:tcPr>
          <w:p w14:paraId="65FB541B" w14:textId="77777777" w:rsidR="00A679D5" w:rsidRPr="00F7453A" w:rsidRDefault="00A679D5" w:rsidP="00A679D5">
            <w:pPr>
              <w:spacing w:after="0" w:line="240" w:lineRule="auto"/>
              <w:jc w:val="center"/>
              <w:rPr>
                <w:rFonts w:ascii="Times New Roman" w:eastAsia="Times New Roman" w:hAnsi="Times New Roman" w:cs="Times New Roman"/>
                <w:color w:val="000000"/>
                <w:sz w:val="20"/>
                <w:szCs w:val="20"/>
                <w:lang w:val="ru-RU"/>
              </w:rPr>
            </w:pPr>
            <w:r w:rsidRPr="00611A93">
              <w:rPr>
                <w:rFonts w:ascii="Times New Roman" w:eastAsia="Times New Roman" w:hAnsi="Times New Roman" w:cs="Times New Roman"/>
                <w:color w:val="000000"/>
                <w:sz w:val="20"/>
                <w:szCs w:val="20"/>
              </w:rPr>
              <w:t>Вариант 2: „Регулаторен - промени в действащата правна уредба“</w:t>
            </w:r>
          </w:p>
        </w:tc>
        <w:tc>
          <w:tcPr>
            <w:tcW w:w="1359" w:type="dxa"/>
            <w:vMerge w:val="restart"/>
            <w:shd w:val="clear" w:color="auto" w:fill="auto"/>
            <w:hideMark/>
          </w:tcPr>
          <w:p w14:paraId="75D6891D" w14:textId="77777777" w:rsidR="00A679D5" w:rsidRPr="00F7453A" w:rsidRDefault="00A679D5" w:rsidP="00A679D5">
            <w:pPr>
              <w:spacing w:after="0" w:line="240" w:lineRule="auto"/>
              <w:jc w:val="center"/>
              <w:rPr>
                <w:rFonts w:ascii="Times New Roman" w:eastAsia="Times New Roman" w:hAnsi="Times New Roman" w:cs="Times New Roman"/>
                <w:color w:val="000000"/>
                <w:sz w:val="20"/>
                <w:szCs w:val="20"/>
                <w:lang w:val="ru-RU"/>
              </w:rPr>
            </w:pPr>
            <w:r w:rsidRPr="00611A93">
              <w:rPr>
                <w:rFonts w:ascii="Times New Roman" w:eastAsia="Times New Roman" w:hAnsi="Times New Roman" w:cs="Times New Roman"/>
                <w:color w:val="000000"/>
                <w:sz w:val="20"/>
                <w:szCs w:val="20"/>
              </w:rPr>
              <w:t>Вариант 3: „Регулаторен – изцяло нов специален закон“</w:t>
            </w:r>
          </w:p>
        </w:tc>
        <w:tc>
          <w:tcPr>
            <w:tcW w:w="368" w:type="dxa"/>
            <w:shd w:val="clear" w:color="auto" w:fill="auto"/>
            <w:noWrap/>
            <w:vAlign w:val="bottom"/>
            <w:hideMark/>
          </w:tcPr>
          <w:p w14:paraId="425720A9" w14:textId="77777777" w:rsidR="00A679D5" w:rsidRPr="00F7453A" w:rsidRDefault="00A679D5" w:rsidP="00A679D5">
            <w:pPr>
              <w:spacing w:after="0" w:line="240" w:lineRule="auto"/>
              <w:jc w:val="center"/>
              <w:rPr>
                <w:rFonts w:ascii="Times New Roman" w:eastAsia="Times New Roman" w:hAnsi="Times New Roman" w:cs="Times New Roman"/>
                <w:color w:val="000000"/>
                <w:sz w:val="20"/>
                <w:szCs w:val="20"/>
                <w:lang w:val="ru-RU"/>
              </w:rPr>
            </w:pPr>
          </w:p>
        </w:tc>
        <w:tc>
          <w:tcPr>
            <w:tcW w:w="349" w:type="dxa"/>
            <w:shd w:val="clear" w:color="auto" w:fill="auto"/>
            <w:noWrap/>
            <w:vAlign w:val="bottom"/>
            <w:hideMark/>
          </w:tcPr>
          <w:p w14:paraId="238CC871" w14:textId="77777777" w:rsidR="00A679D5" w:rsidRPr="00F7453A" w:rsidRDefault="00A679D5" w:rsidP="00A679D5">
            <w:pPr>
              <w:spacing w:after="0" w:line="240" w:lineRule="auto"/>
              <w:rPr>
                <w:rFonts w:ascii="Times New Roman" w:eastAsia="Times New Roman" w:hAnsi="Times New Roman" w:cs="Times New Roman"/>
                <w:sz w:val="20"/>
                <w:szCs w:val="20"/>
                <w:lang w:val="ru-RU"/>
              </w:rPr>
            </w:pPr>
          </w:p>
        </w:tc>
        <w:tc>
          <w:tcPr>
            <w:tcW w:w="868" w:type="dxa"/>
            <w:shd w:val="clear" w:color="auto" w:fill="auto"/>
            <w:noWrap/>
            <w:vAlign w:val="bottom"/>
            <w:hideMark/>
          </w:tcPr>
          <w:p w14:paraId="6AF250BE" w14:textId="77777777" w:rsidR="00A679D5" w:rsidRPr="00F7453A" w:rsidRDefault="00A679D5" w:rsidP="00A679D5">
            <w:pPr>
              <w:spacing w:after="0" w:line="240" w:lineRule="auto"/>
              <w:rPr>
                <w:rFonts w:ascii="Times New Roman" w:eastAsia="Times New Roman" w:hAnsi="Times New Roman" w:cs="Times New Roman"/>
                <w:sz w:val="20"/>
                <w:szCs w:val="20"/>
                <w:lang w:val="ru-RU"/>
              </w:rPr>
            </w:pPr>
          </w:p>
        </w:tc>
      </w:tr>
      <w:tr w:rsidR="00A679D5" w:rsidRPr="00611A93" w14:paraId="10FC6F71" w14:textId="77777777" w:rsidTr="002E5D77">
        <w:trPr>
          <w:trHeight w:val="116"/>
        </w:trPr>
        <w:tc>
          <w:tcPr>
            <w:tcW w:w="2474" w:type="dxa"/>
            <w:shd w:val="clear" w:color="auto" w:fill="auto"/>
            <w:noWrap/>
            <w:vAlign w:val="bottom"/>
            <w:hideMark/>
          </w:tcPr>
          <w:p w14:paraId="2DA410DF" w14:textId="77777777" w:rsidR="00A679D5" w:rsidRPr="00F7453A" w:rsidRDefault="00A679D5" w:rsidP="00A679D5">
            <w:pPr>
              <w:spacing w:after="0" w:line="240" w:lineRule="auto"/>
              <w:rPr>
                <w:rFonts w:ascii="Times New Roman" w:eastAsia="Times New Roman" w:hAnsi="Times New Roman" w:cs="Times New Roman"/>
                <w:sz w:val="20"/>
                <w:szCs w:val="20"/>
                <w:lang w:val="ru-RU"/>
              </w:rPr>
            </w:pPr>
          </w:p>
        </w:tc>
        <w:tc>
          <w:tcPr>
            <w:tcW w:w="1126" w:type="dxa"/>
            <w:vMerge/>
            <w:vAlign w:val="center"/>
            <w:hideMark/>
          </w:tcPr>
          <w:p w14:paraId="0A280904" w14:textId="77777777" w:rsidR="00A679D5" w:rsidRPr="00F7453A" w:rsidRDefault="00A679D5" w:rsidP="00A679D5">
            <w:pPr>
              <w:spacing w:after="0" w:line="240" w:lineRule="auto"/>
              <w:rPr>
                <w:rFonts w:ascii="Times New Roman" w:eastAsia="Times New Roman" w:hAnsi="Times New Roman" w:cs="Times New Roman"/>
                <w:color w:val="000000"/>
                <w:sz w:val="20"/>
                <w:szCs w:val="20"/>
                <w:lang w:val="ru-RU"/>
              </w:rPr>
            </w:pPr>
          </w:p>
        </w:tc>
        <w:tc>
          <w:tcPr>
            <w:tcW w:w="1164" w:type="dxa"/>
            <w:vMerge/>
            <w:vAlign w:val="center"/>
            <w:hideMark/>
          </w:tcPr>
          <w:p w14:paraId="3CEE954D" w14:textId="77777777" w:rsidR="00A679D5" w:rsidRPr="00F7453A" w:rsidRDefault="00A679D5" w:rsidP="00A679D5">
            <w:pPr>
              <w:spacing w:after="0" w:line="240" w:lineRule="auto"/>
              <w:rPr>
                <w:rFonts w:ascii="Times New Roman" w:eastAsia="Times New Roman" w:hAnsi="Times New Roman" w:cs="Times New Roman"/>
                <w:color w:val="000000"/>
                <w:sz w:val="20"/>
                <w:szCs w:val="20"/>
                <w:lang w:val="ru-RU"/>
              </w:rPr>
            </w:pPr>
          </w:p>
        </w:tc>
        <w:tc>
          <w:tcPr>
            <w:tcW w:w="1359" w:type="dxa"/>
            <w:vMerge/>
            <w:vAlign w:val="center"/>
            <w:hideMark/>
          </w:tcPr>
          <w:p w14:paraId="27E28351" w14:textId="77777777" w:rsidR="00A679D5" w:rsidRPr="00F7453A" w:rsidRDefault="00A679D5" w:rsidP="00A679D5">
            <w:pPr>
              <w:spacing w:after="0" w:line="240" w:lineRule="auto"/>
              <w:rPr>
                <w:rFonts w:ascii="Times New Roman" w:eastAsia="Times New Roman" w:hAnsi="Times New Roman" w:cs="Times New Roman"/>
                <w:color w:val="000000"/>
                <w:sz w:val="20"/>
                <w:szCs w:val="20"/>
                <w:lang w:val="ru-RU"/>
              </w:rPr>
            </w:pPr>
          </w:p>
        </w:tc>
        <w:tc>
          <w:tcPr>
            <w:tcW w:w="1359" w:type="dxa"/>
            <w:vMerge/>
            <w:vAlign w:val="center"/>
            <w:hideMark/>
          </w:tcPr>
          <w:p w14:paraId="37D473D2" w14:textId="77777777" w:rsidR="00A679D5" w:rsidRPr="00F7453A" w:rsidRDefault="00A679D5" w:rsidP="00A679D5">
            <w:pPr>
              <w:spacing w:after="0" w:line="240" w:lineRule="auto"/>
              <w:rPr>
                <w:rFonts w:ascii="Times New Roman" w:eastAsia="Times New Roman" w:hAnsi="Times New Roman" w:cs="Times New Roman"/>
                <w:color w:val="000000"/>
                <w:sz w:val="20"/>
                <w:szCs w:val="20"/>
                <w:lang w:val="ru-RU"/>
              </w:rPr>
            </w:pPr>
          </w:p>
        </w:tc>
        <w:tc>
          <w:tcPr>
            <w:tcW w:w="368" w:type="dxa"/>
            <w:shd w:val="clear" w:color="auto" w:fill="auto"/>
            <w:noWrap/>
            <w:vAlign w:val="bottom"/>
            <w:hideMark/>
          </w:tcPr>
          <w:p w14:paraId="6C6C1E5F" w14:textId="77777777" w:rsidR="00A679D5" w:rsidRPr="00F7453A" w:rsidRDefault="00A679D5" w:rsidP="00A679D5">
            <w:pPr>
              <w:spacing w:after="0" w:line="240" w:lineRule="auto"/>
              <w:rPr>
                <w:rFonts w:ascii="Times New Roman" w:eastAsia="Times New Roman" w:hAnsi="Times New Roman" w:cs="Times New Roman"/>
                <w:sz w:val="20"/>
                <w:szCs w:val="20"/>
                <w:lang w:val="ru-RU"/>
              </w:rPr>
            </w:pPr>
          </w:p>
        </w:tc>
        <w:tc>
          <w:tcPr>
            <w:tcW w:w="349" w:type="dxa"/>
            <w:shd w:val="clear" w:color="auto" w:fill="auto"/>
            <w:noWrap/>
            <w:vAlign w:val="bottom"/>
            <w:hideMark/>
          </w:tcPr>
          <w:p w14:paraId="0AD60F9C" w14:textId="77777777" w:rsidR="00A679D5" w:rsidRPr="00F7453A" w:rsidRDefault="00A679D5" w:rsidP="00A679D5">
            <w:pPr>
              <w:spacing w:after="0" w:line="240" w:lineRule="auto"/>
              <w:rPr>
                <w:rFonts w:ascii="Times New Roman" w:eastAsia="Times New Roman" w:hAnsi="Times New Roman" w:cs="Times New Roman"/>
                <w:sz w:val="20"/>
                <w:szCs w:val="20"/>
                <w:lang w:val="ru-RU"/>
              </w:rPr>
            </w:pPr>
          </w:p>
        </w:tc>
        <w:tc>
          <w:tcPr>
            <w:tcW w:w="868" w:type="dxa"/>
            <w:shd w:val="clear" w:color="auto" w:fill="auto"/>
            <w:noWrap/>
            <w:vAlign w:val="bottom"/>
            <w:hideMark/>
          </w:tcPr>
          <w:p w14:paraId="51219921" w14:textId="77777777" w:rsidR="00A679D5" w:rsidRPr="00F7453A" w:rsidRDefault="00A679D5" w:rsidP="00A679D5">
            <w:pPr>
              <w:spacing w:after="0" w:line="240" w:lineRule="auto"/>
              <w:rPr>
                <w:rFonts w:ascii="Times New Roman" w:eastAsia="Times New Roman" w:hAnsi="Times New Roman" w:cs="Times New Roman"/>
                <w:sz w:val="20"/>
                <w:szCs w:val="20"/>
                <w:lang w:val="ru-RU"/>
              </w:rPr>
            </w:pPr>
          </w:p>
        </w:tc>
      </w:tr>
    </w:tbl>
    <w:p w14:paraId="50ADE15B" w14:textId="77777777" w:rsidR="00A679D5" w:rsidRDefault="00A679D5" w:rsidP="002E5D77">
      <w:pPr>
        <w:spacing w:after="0" w:line="240" w:lineRule="auto"/>
        <w:ind w:firstLine="567"/>
        <w:jc w:val="both"/>
        <w:rPr>
          <w:rFonts w:ascii="Times New Roman" w:eastAsia="Times New Roman" w:hAnsi="Times New Roman" w:cs="Times New Roman"/>
          <w:b/>
          <w:bCs/>
          <w:sz w:val="24"/>
          <w:szCs w:val="24"/>
        </w:rPr>
      </w:pPr>
      <w:r w:rsidRPr="00903C2F">
        <w:rPr>
          <w:rFonts w:ascii="Times New Roman" w:eastAsia="Times New Roman" w:hAnsi="Times New Roman" w:cs="Times New Roman"/>
          <w:b/>
          <w:iCs/>
          <w:sz w:val="24"/>
          <w:szCs w:val="24"/>
        </w:rPr>
        <w:t>Фигура</w:t>
      </w:r>
      <w:r w:rsidRPr="00E16161">
        <w:rPr>
          <w:rFonts w:ascii="Times New Roman" w:eastAsia="Times New Roman" w:hAnsi="Times New Roman" w:cs="Times New Roman"/>
          <w:b/>
          <w:iCs/>
          <w:sz w:val="24"/>
          <w:szCs w:val="24"/>
        </w:rPr>
        <w:t xml:space="preserve"> </w:t>
      </w:r>
      <w:r>
        <w:rPr>
          <w:rFonts w:ascii="Times New Roman" w:eastAsia="Times New Roman" w:hAnsi="Times New Roman" w:cs="Times New Roman"/>
          <w:b/>
          <w:iCs/>
          <w:sz w:val="24"/>
          <w:szCs w:val="24"/>
        </w:rPr>
        <w:t>8</w:t>
      </w:r>
      <w:r w:rsidRPr="00E16161">
        <w:rPr>
          <w:rFonts w:ascii="Times New Roman" w:eastAsia="Times New Roman" w:hAnsi="Times New Roman" w:cs="Times New Roman"/>
          <w:b/>
          <w:iCs/>
          <w:sz w:val="24"/>
          <w:szCs w:val="24"/>
        </w:rPr>
        <w:t xml:space="preserve">. </w:t>
      </w:r>
      <w:r>
        <w:rPr>
          <w:rFonts w:ascii="Times New Roman" w:eastAsia="Times New Roman" w:hAnsi="Times New Roman" w:cs="Times New Roman"/>
          <w:b/>
          <w:iCs/>
          <w:sz w:val="24"/>
          <w:szCs w:val="24"/>
        </w:rPr>
        <w:t>Визуализация на</w:t>
      </w:r>
      <w:r w:rsidRPr="00E16161">
        <w:rPr>
          <w:rFonts w:ascii="Times New Roman" w:eastAsia="Times New Roman" w:hAnsi="Times New Roman" w:cs="Times New Roman"/>
          <w:b/>
          <w:iCs/>
          <w:sz w:val="24"/>
          <w:szCs w:val="24"/>
        </w:rPr>
        <w:t xml:space="preserve"> матрица</w:t>
      </w:r>
      <w:r>
        <w:rPr>
          <w:rFonts w:ascii="Times New Roman" w:eastAsia="Times New Roman" w:hAnsi="Times New Roman" w:cs="Times New Roman"/>
          <w:b/>
          <w:iCs/>
          <w:sz w:val="24"/>
          <w:szCs w:val="24"/>
        </w:rPr>
        <w:t xml:space="preserve">та на риска </w:t>
      </w:r>
      <w:r w:rsidRPr="00E16161">
        <w:rPr>
          <w:rFonts w:ascii="Times New Roman" w:eastAsia="Times New Roman" w:hAnsi="Times New Roman" w:cs="Times New Roman"/>
          <w:b/>
          <w:iCs/>
          <w:sz w:val="24"/>
          <w:szCs w:val="24"/>
        </w:rPr>
        <w:t xml:space="preserve">на </w:t>
      </w:r>
      <w:r>
        <w:rPr>
          <w:rFonts w:ascii="Times New Roman" w:eastAsia="Times New Roman" w:hAnsi="Times New Roman" w:cs="Times New Roman"/>
          <w:b/>
          <w:iCs/>
          <w:sz w:val="24"/>
          <w:szCs w:val="24"/>
        </w:rPr>
        <w:t xml:space="preserve">оценяваните </w:t>
      </w:r>
      <w:r w:rsidRPr="00E16161">
        <w:rPr>
          <w:rFonts w:ascii="Times New Roman" w:eastAsia="Times New Roman" w:hAnsi="Times New Roman" w:cs="Times New Roman"/>
          <w:b/>
          <w:iCs/>
          <w:sz w:val="24"/>
          <w:szCs w:val="24"/>
        </w:rPr>
        <w:t>вариант</w:t>
      </w:r>
      <w:r>
        <w:rPr>
          <w:rFonts w:ascii="Times New Roman" w:eastAsia="Times New Roman" w:hAnsi="Times New Roman" w:cs="Times New Roman"/>
          <w:b/>
          <w:iCs/>
          <w:sz w:val="24"/>
          <w:szCs w:val="24"/>
        </w:rPr>
        <w:t>и</w:t>
      </w:r>
    </w:p>
    <w:p w14:paraId="7D3C5368" w14:textId="77777777" w:rsidR="00903C2F" w:rsidRDefault="00903C2F" w:rsidP="002E5D77">
      <w:pPr>
        <w:ind w:firstLine="567"/>
        <w:jc w:val="both"/>
        <w:rPr>
          <w:rFonts w:ascii="Times New Roman" w:eastAsia="Times New Roman" w:hAnsi="Times New Roman" w:cs="Times New Roman"/>
          <w:sz w:val="24"/>
          <w:szCs w:val="24"/>
        </w:rPr>
      </w:pPr>
    </w:p>
    <w:p w14:paraId="3929C6B5" w14:textId="0E58B63E" w:rsidR="00E16161" w:rsidRDefault="00122DE6" w:rsidP="002E5D77">
      <w:pPr>
        <w:ind w:firstLine="567"/>
        <w:jc w:val="both"/>
        <w:rPr>
          <w:rFonts w:ascii="Times New Roman" w:eastAsia="Times New Roman" w:hAnsi="Times New Roman" w:cs="Times New Roman"/>
          <w:sz w:val="24"/>
          <w:szCs w:val="24"/>
        </w:rPr>
      </w:pPr>
      <w:r w:rsidRPr="00122DE6">
        <w:rPr>
          <w:rFonts w:ascii="Times New Roman" w:eastAsia="Times New Roman" w:hAnsi="Times New Roman" w:cs="Times New Roman"/>
          <w:sz w:val="24"/>
          <w:szCs w:val="24"/>
        </w:rPr>
        <w:t xml:space="preserve">В заключение, от оценката и сравнението на икономическите рискове по всички варианти става ясно, </w:t>
      </w:r>
      <w:r w:rsidR="00533455">
        <w:rPr>
          <w:rFonts w:ascii="Times New Roman" w:eastAsia="Times New Roman" w:hAnsi="Times New Roman" w:cs="Times New Roman"/>
          <w:sz w:val="24"/>
          <w:szCs w:val="24"/>
        </w:rPr>
        <w:t xml:space="preserve">че </w:t>
      </w:r>
      <w:r w:rsidR="00533455" w:rsidRPr="00533455">
        <w:rPr>
          <w:rFonts w:ascii="Times New Roman" w:eastAsia="Times New Roman" w:hAnsi="Times New Roman" w:cs="Times New Roman"/>
          <w:sz w:val="24"/>
          <w:szCs w:val="24"/>
        </w:rPr>
        <w:t>Вариант 2 предлага балансиран и умерен подход с нисък рисков профил, който позволява подобрение в съществуващата рамка с ограничени странични ефекти. Той е по-лесен за прилагане, носи по-ниска административна тежест и избягва сериозни пазарни намеси. Въпреки това, обхватът на въздействието му остава ограничен</w:t>
      </w:r>
      <w:r w:rsidR="00533455">
        <w:rPr>
          <w:rFonts w:ascii="Times New Roman" w:eastAsia="Times New Roman" w:hAnsi="Times New Roman" w:cs="Times New Roman"/>
          <w:sz w:val="24"/>
          <w:szCs w:val="24"/>
        </w:rPr>
        <w:t>. Вариант 2</w:t>
      </w:r>
      <w:r w:rsidR="00533455" w:rsidRPr="00533455">
        <w:rPr>
          <w:rFonts w:ascii="Times New Roman" w:eastAsia="Times New Roman" w:hAnsi="Times New Roman" w:cs="Times New Roman"/>
          <w:sz w:val="24"/>
          <w:szCs w:val="24"/>
        </w:rPr>
        <w:t xml:space="preserve"> надгражда, но не променя фундаментално модела на отношения в сектора</w:t>
      </w:r>
      <w:r w:rsidRPr="00122DE6">
        <w:rPr>
          <w:rFonts w:ascii="Times New Roman" w:eastAsia="Times New Roman" w:hAnsi="Times New Roman" w:cs="Times New Roman"/>
          <w:sz w:val="24"/>
          <w:szCs w:val="24"/>
        </w:rPr>
        <w:t xml:space="preserve">. </w:t>
      </w:r>
      <w:r w:rsidR="00533455" w:rsidRPr="00533455">
        <w:rPr>
          <w:rFonts w:ascii="Times New Roman" w:eastAsia="Times New Roman" w:hAnsi="Times New Roman" w:cs="Times New Roman"/>
          <w:sz w:val="24"/>
          <w:szCs w:val="24"/>
        </w:rPr>
        <w:t xml:space="preserve">Въпреки че Вариант 3 е свързан с най-висок рисков профил поради обхвата на предвидените мерки и необходимостта от нови административни усилия, той е и единственият вариант, който адресира в пълна степен </w:t>
      </w:r>
      <w:r w:rsidR="002E5D77">
        <w:rPr>
          <w:rFonts w:ascii="Times New Roman" w:eastAsia="Times New Roman" w:hAnsi="Times New Roman" w:cs="Times New Roman"/>
          <w:sz w:val="24"/>
          <w:szCs w:val="24"/>
        </w:rPr>
        <w:t>идентифицираните</w:t>
      </w:r>
      <w:r w:rsidR="00533455" w:rsidRPr="00533455">
        <w:rPr>
          <w:rFonts w:ascii="Times New Roman" w:eastAsia="Times New Roman" w:hAnsi="Times New Roman" w:cs="Times New Roman"/>
          <w:sz w:val="24"/>
          <w:szCs w:val="24"/>
        </w:rPr>
        <w:t xml:space="preserve"> проблеми по веригата на доставка и има потенциала да постигне устойчива промяна в полза на по-слабите участници</w:t>
      </w:r>
      <w:r w:rsidR="002E5D77">
        <w:rPr>
          <w:rFonts w:ascii="Times New Roman" w:eastAsia="Times New Roman" w:hAnsi="Times New Roman" w:cs="Times New Roman"/>
          <w:sz w:val="24"/>
          <w:szCs w:val="24"/>
        </w:rPr>
        <w:t xml:space="preserve"> в нея</w:t>
      </w:r>
      <w:r w:rsidR="00533455" w:rsidRPr="00533455">
        <w:rPr>
          <w:rFonts w:ascii="Times New Roman" w:eastAsia="Times New Roman" w:hAnsi="Times New Roman" w:cs="Times New Roman"/>
          <w:sz w:val="24"/>
          <w:szCs w:val="24"/>
        </w:rPr>
        <w:t>, особено местните производители</w:t>
      </w:r>
      <w:r w:rsidR="004503C8">
        <w:rPr>
          <w:rFonts w:ascii="Times New Roman" w:eastAsia="Times New Roman" w:hAnsi="Times New Roman" w:cs="Times New Roman"/>
          <w:sz w:val="24"/>
          <w:szCs w:val="24"/>
        </w:rPr>
        <w:t>, с което може да бъде най-полезен</w:t>
      </w:r>
      <w:r w:rsidR="00533455" w:rsidRPr="00533455">
        <w:rPr>
          <w:rFonts w:ascii="Times New Roman" w:eastAsia="Times New Roman" w:hAnsi="Times New Roman" w:cs="Times New Roman"/>
          <w:sz w:val="24"/>
          <w:szCs w:val="24"/>
        </w:rPr>
        <w:t xml:space="preserve">. Докато останалите варианти предлагат по-ниски преки рискове, те не осигуряват ефективна защита срещу нелоялните </w:t>
      </w:r>
      <w:r w:rsidR="002E5D77">
        <w:rPr>
          <w:rFonts w:ascii="Times New Roman" w:eastAsia="Times New Roman" w:hAnsi="Times New Roman" w:cs="Times New Roman"/>
          <w:sz w:val="24"/>
          <w:szCs w:val="24"/>
        </w:rPr>
        <w:t xml:space="preserve">търговски </w:t>
      </w:r>
      <w:r w:rsidR="00533455" w:rsidRPr="00533455">
        <w:rPr>
          <w:rFonts w:ascii="Times New Roman" w:eastAsia="Times New Roman" w:hAnsi="Times New Roman" w:cs="Times New Roman"/>
          <w:sz w:val="24"/>
          <w:szCs w:val="24"/>
        </w:rPr>
        <w:t xml:space="preserve">практики и не създават реални предпоставки за икономическо развитие в селските райони. </w:t>
      </w:r>
      <w:r w:rsidRPr="00122DE6">
        <w:rPr>
          <w:rFonts w:ascii="Times New Roman" w:eastAsia="Times New Roman" w:hAnsi="Times New Roman" w:cs="Times New Roman"/>
          <w:sz w:val="24"/>
          <w:szCs w:val="24"/>
        </w:rPr>
        <w:t>Варианти 0 и 1 остават уязвими поради липсата на ефективни решения за съществуващите проблеми, което само по себе си носи икономически риск</w:t>
      </w:r>
      <w:r>
        <w:rPr>
          <w:rFonts w:ascii="Times New Roman" w:eastAsia="Times New Roman" w:hAnsi="Times New Roman" w:cs="Times New Roman"/>
          <w:sz w:val="24"/>
          <w:szCs w:val="24"/>
        </w:rPr>
        <w:t>,</w:t>
      </w:r>
      <w:r w:rsidRPr="00122DE6">
        <w:rPr>
          <w:rFonts w:ascii="Times New Roman" w:eastAsia="Times New Roman" w:hAnsi="Times New Roman" w:cs="Times New Roman"/>
          <w:sz w:val="24"/>
          <w:szCs w:val="24"/>
        </w:rPr>
        <w:t xml:space="preserve"> включително загуба на потенциални ползи и продължаване на не</w:t>
      </w:r>
      <w:r>
        <w:rPr>
          <w:rFonts w:ascii="Times New Roman" w:eastAsia="Times New Roman" w:hAnsi="Times New Roman" w:cs="Times New Roman"/>
          <w:sz w:val="24"/>
          <w:szCs w:val="24"/>
        </w:rPr>
        <w:t>лоялни търговски</w:t>
      </w:r>
      <w:r w:rsidRPr="00122DE6">
        <w:rPr>
          <w:rFonts w:ascii="Times New Roman" w:eastAsia="Times New Roman" w:hAnsi="Times New Roman" w:cs="Times New Roman"/>
          <w:sz w:val="24"/>
          <w:szCs w:val="24"/>
        </w:rPr>
        <w:t xml:space="preserve"> практики на пазара.</w:t>
      </w:r>
      <w:r>
        <w:rPr>
          <w:rFonts w:ascii="Times New Roman" w:eastAsia="Times New Roman" w:hAnsi="Times New Roman" w:cs="Times New Roman"/>
          <w:sz w:val="24"/>
          <w:szCs w:val="24"/>
        </w:rPr>
        <w:t xml:space="preserve"> </w:t>
      </w:r>
      <w:r w:rsidRPr="00122DE6">
        <w:rPr>
          <w:rFonts w:ascii="Times New Roman" w:eastAsia="Times New Roman" w:hAnsi="Times New Roman" w:cs="Times New Roman"/>
          <w:sz w:val="24"/>
          <w:szCs w:val="24"/>
        </w:rPr>
        <w:t xml:space="preserve">Ако бъде придружен от адекватна институционална подготовка и ефективни механизми за изпълнение, Вариант 3 има потенциал да постигне </w:t>
      </w:r>
      <w:r w:rsidR="002E5D77">
        <w:rPr>
          <w:rFonts w:ascii="Times New Roman" w:eastAsia="Times New Roman" w:hAnsi="Times New Roman" w:cs="Times New Roman"/>
          <w:sz w:val="24"/>
          <w:szCs w:val="24"/>
        </w:rPr>
        <w:t xml:space="preserve">своите </w:t>
      </w:r>
      <w:r w:rsidRPr="00122DE6">
        <w:rPr>
          <w:rFonts w:ascii="Times New Roman" w:eastAsia="Times New Roman" w:hAnsi="Times New Roman" w:cs="Times New Roman"/>
          <w:sz w:val="24"/>
          <w:szCs w:val="24"/>
        </w:rPr>
        <w:t xml:space="preserve">целите на интервенцията. Изборът следва </w:t>
      </w:r>
      <w:r w:rsidRPr="00122DE6">
        <w:rPr>
          <w:rFonts w:ascii="Times New Roman" w:eastAsia="Times New Roman" w:hAnsi="Times New Roman" w:cs="Times New Roman"/>
          <w:sz w:val="24"/>
          <w:szCs w:val="24"/>
        </w:rPr>
        <w:lastRenderedPageBreak/>
        <w:t xml:space="preserve">да се основава на реалистична оценка </w:t>
      </w:r>
      <w:r>
        <w:rPr>
          <w:rFonts w:ascii="Times New Roman" w:eastAsia="Times New Roman" w:hAnsi="Times New Roman" w:cs="Times New Roman"/>
          <w:sz w:val="24"/>
          <w:szCs w:val="24"/>
        </w:rPr>
        <w:t>за необходимостта от подходящ</w:t>
      </w:r>
      <w:r w:rsidRPr="00122DE6">
        <w:rPr>
          <w:rFonts w:ascii="Times New Roman" w:eastAsia="Times New Roman" w:hAnsi="Times New Roman" w:cs="Times New Roman"/>
          <w:sz w:val="24"/>
          <w:szCs w:val="24"/>
        </w:rPr>
        <w:t xml:space="preserve"> </w:t>
      </w:r>
      <w:r w:rsidR="00CE5AB9" w:rsidRPr="00122DE6">
        <w:rPr>
          <w:rFonts w:ascii="Times New Roman" w:eastAsia="Times New Roman" w:hAnsi="Times New Roman" w:cs="Times New Roman"/>
          <w:sz w:val="24"/>
          <w:szCs w:val="24"/>
        </w:rPr>
        <w:t>административ</w:t>
      </w:r>
      <w:r w:rsidR="00CE5AB9">
        <w:rPr>
          <w:rFonts w:ascii="Times New Roman" w:eastAsia="Times New Roman" w:hAnsi="Times New Roman" w:cs="Times New Roman"/>
          <w:sz w:val="24"/>
          <w:szCs w:val="24"/>
        </w:rPr>
        <w:t>ен</w:t>
      </w:r>
      <w:r w:rsidR="00CE5AB9" w:rsidRPr="00122DE6">
        <w:rPr>
          <w:rFonts w:ascii="Times New Roman" w:eastAsia="Times New Roman" w:hAnsi="Times New Roman" w:cs="Times New Roman"/>
          <w:sz w:val="24"/>
          <w:szCs w:val="24"/>
        </w:rPr>
        <w:t xml:space="preserve"> </w:t>
      </w:r>
      <w:r w:rsidRPr="00122DE6">
        <w:rPr>
          <w:rFonts w:ascii="Times New Roman" w:eastAsia="Times New Roman" w:hAnsi="Times New Roman" w:cs="Times New Roman"/>
          <w:sz w:val="24"/>
          <w:szCs w:val="24"/>
        </w:rPr>
        <w:t>капацитет за прилагане на</w:t>
      </w:r>
      <w:r>
        <w:rPr>
          <w:rFonts w:ascii="Times New Roman" w:eastAsia="Times New Roman" w:hAnsi="Times New Roman" w:cs="Times New Roman"/>
          <w:sz w:val="24"/>
          <w:szCs w:val="24"/>
        </w:rPr>
        <w:t xml:space="preserve"> тази</w:t>
      </w:r>
      <w:r w:rsidRPr="00122DE6">
        <w:rPr>
          <w:rFonts w:ascii="Times New Roman" w:eastAsia="Times New Roman" w:hAnsi="Times New Roman" w:cs="Times New Roman"/>
          <w:sz w:val="24"/>
          <w:szCs w:val="24"/>
        </w:rPr>
        <w:t xml:space="preserve"> сложа</w:t>
      </w:r>
      <w:r w:rsidR="002E5D77">
        <w:rPr>
          <w:rFonts w:ascii="Times New Roman" w:eastAsia="Times New Roman" w:hAnsi="Times New Roman" w:cs="Times New Roman"/>
          <w:sz w:val="24"/>
          <w:szCs w:val="24"/>
        </w:rPr>
        <w:t xml:space="preserve"> и всеобхватна нова</w:t>
      </w:r>
      <w:r w:rsidRPr="00122DE6">
        <w:rPr>
          <w:rFonts w:ascii="Times New Roman" w:eastAsia="Times New Roman" w:hAnsi="Times New Roman" w:cs="Times New Roman"/>
          <w:sz w:val="24"/>
          <w:szCs w:val="24"/>
        </w:rPr>
        <w:t xml:space="preserve"> регулаторна рамка.</w:t>
      </w:r>
    </w:p>
    <w:p w14:paraId="32876562" w14:textId="77777777" w:rsidR="00D62206" w:rsidRPr="002E5D77" w:rsidRDefault="00D62206" w:rsidP="008D0E15">
      <w:pPr>
        <w:pStyle w:val="Heading2"/>
        <w:numPr>
          <w:ilvl w:val="1"/>
          <w:numId w:val="1"/>
        </w:numPr>
        <w:tabs>
          <w:tab w:val="left" w:pos="900"/>
        </w:tabs>
        <w:ind w:left="360" w:firstLine="0"/>
        <w:rPr>
          <w:rFonts w:ascii="Times New Roman" w:hAnsi="Times New Roman"/>
        </w:rPr>
      </w:pPr>
      <w:bookmarkStart w:id="22" w:name="_Toc198633089"/>
      <w:r w:rsidRPr="002E5D77">
        <w:rPr>
          <w:rFonts w:ascii="Times New Roman" w:hAnsi="Times New Roman"/>
        </w:rPr>
        <w:t>Административна тежест</w:t>
      </w:r>
      <w:bookmarkEnd w:id="22"/>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376BFB" w:rsidRPr="007B4A99" w14:paraId="1DE54FB9" w14:textId="77777777" w:rsidTr="00DD69D5">
        <w:trPr>
          <w:trHeight w:val="40"/>
        </w:trPr>
        <w:tc>
          <w:tcPr>
            <w:tcW w:w="9062" w:type="dxa"/>
          </w:tcPr>
          <w:p w14:paraId="0F49270A" w14:textId="77777777" w:rsidR="00376BFB" w:rsidRPr="007B4A99" w:rsidRDefault="00376BFB" w:rsidP="00DD69D5">
            <w:pPr>
              <w:pStyle w:val="7878"/>
              <w:ind w:left="0"/>
              <w:rPr>
                <w:rFonts w:ascii="Times New Roman" w:hAnsi="Times New Roman"/>
                <w:sz w:val="16"/>
                <w:szCs w:val="16"/>
              </w:rPr>
            </w:pPr>
            <w:r w:rsidRPr="007B4A99">
              <w:rPr>
                <w:rFonts w:ascii="Times New Roman" w:hAnsi="Times New Roman"/>
                <w:sz w:val="16"/>
                <w:szCs w:val="16"/>
              </w:rPr>
              <w:t>[Административната тежест представлява специфично въздействие на всеки един от предложените варианти, за решаването на всеки един от дефинираните проблеми за решаване.</w:t>
            </w:r>
          </w:p>
          <w:p w14:paraId="046B5439" w14:textId="77777777" w:rsidR="00376BFB" w:rsidRPr="007B4A99" w:rsidRDefault="00376BFB" w:rsidP="00DD69D5">
            <w:pPr>
              <w:pStyle w:val="7878"/>
              <w:ind w:left="0"/>
              <w:rPr>
                <w:rFonts w:ascii="Times New Roman" w:hAnsi="Times New Roman"/>
                <w:sz w:val="16"/>
                <w:szCs w:val="16"/>
              </w:rPr>
            </w:pPr>
            <w:r w:rsidRPr="007B4A99">
              <w:rPr>
                <w:rFonts w:ascii="Times New Roman" w:hAnsi="Times New Roman"/>
                <w:sz w:val="16"/>
                <w:szCs w:val="16"/>
              </w:rPr>
              <w:t>Изчисляването на административната тежест е основата част на оценката на въздействието и е прието да се изчислява чрез Модела на стандартните разходи (Ръководство, РМС № 728 от 2019 г., стр. 39)]</w:t>
            </w:r>
          </w:p>
          <w:p w14:paraId="248ABAEB" w14:textId="77777777" w:rsidR="00376BFB" w:rsidRPr="007B4A99" w:rsidRDefault="00376BFB" w:rsidP="00DD69D5">
            <w:pPr>
              <w:spacing w:line="240" w:lineRule="auto"/>
              <w:jc w:val="both"/>
              <w:rPr>
                <w:rFonts w:ascii="Times New Roman" w:hAnsi="Times New Roman" w:cs="Times New Roman"/>
                <w:i/>
                <w:sz w:val="16"/>
                <w:szCs w:val="16"/>
              </w:rPr>
            </w:pPr>
            <w:r w:rsidRPr="007B4A99">
              <w:rPr>
                <w:rFonts w:ascii="Times New Roman" w:hAnsi="Times New Roman" w:cs="Times New Roman"/>
                <w:i/>
                <w:sz w:val="16"/>
                <w:szCs w:val="16"/>
              </w:rPr>
              <w:t>Опишете промяната на административната тежест по отношение на заинтересованите страни за всеки от вариантите при решаването на всеки проблем, включително в случай на нови регулаторни режими и регистри.</w:t>
            </w:r>
          </w:p>
          <w:p w14:paraId="7931834A" w14:textId="77777777" w:rsidR="00376BFB" w:rsidRPr="007B4A99" w:rsidRDefault="00376BFB" w:rsidP="00DD69D5">
            <w:pPr>
              <w:spacing w:line="240" w:lineRule="auto"/>
              <w:jc w:val="both"/>
              <w:rPr>
                <w:rFonts w:ascii="Times New Roman" w:hAnsi="Times New Roman" w:cs="Times New Roman"/>
                <w:i/>
                <w:color w:val="1F4E79" w:themeColor="accent1" w:themeShade="80"/>
                <w:sz w:val="16"/>
                <w:szCs w:val="16"/>
              </w:rPr>
            </w:pPr>
            <w:r w:rsidRPr="007B4A99">
              <w:rPr>
                <w:rFonts w:ascii="Times New Roman" w:hAnsi="Times New Roman" w:cs="Times New Roman"/>
                <w:i/>
                <w:color w:val="1F4E79" w:themeColor="accent1" w:themeShade="80"/>
                <w:sz w:val="16"/>
                <w:szCs w:val="16"/>
              </w:rPr>
              <w:t>Опишете в следната поредност:</w:t>
            </w:r>
          </w:p>
          <w:p w14:paraId="7B869761" w14:textId="77777777" w:rsidR="00376BFB" w:rsidRPr="007B4A99" w:rsidRDefault="00376BFB" w:rsidP="00DD69D5">
            <w:pPr>
              <w:spacing w:line="240" w:lineRule="auto"/>
              <w:jc w:val="both"/>
              <w:rPr>
                <w:rFonts w:ascii="Times New Roman" w:hAnsi="Times New Roman" w:cs="Times New Roman"/>
                <w:b/>
                <w:i/>
                <w:sz w:val="16"/>
                <w:szCs w:val="16"/>
                <w:u w:val="single"/>
              </w:rPr>
            </w:pPr>
            <w:r w:rsidRPr="007B4A99">
              <w:rPr>
                <w:rFonts w:ascii="Times New Roman" w:hAnsi="Times New Roman" w:cs="Times New Roman"/>
                <w:b/>
                <w:i/>
                <w:color w:val="1F4E79" w:themeColor="accent1" w:themeShade="80"/>
                <w:sz w:val="16"/>
                <w:szCs w:val="16"/>
                <w:u w:val="single"/>
              </w:rPr>
              <w:t>Проблем 1.</w:t>
            </w:r>
          </w:p>
          <w:p w14:paraId="756A5AD9" w14:textId="77777777" w:rsidR="00376BFB" w:rsidRPr="007B4A99" w:rsidRDefault="00376BFB" w:rsidP="00DD69D5">
            <w:pPr>
              <w:spacing w:line="240" w:lineRule="auto"/>
              <w:ind w:firstLine="708"/>
              <w:jc w:val="both"/>
              <w:rPr>
                <w:rFonts w:ascii="Times New Roman" w:hAnsi="Times New Roman" w:cs="Times New Roman"/>
                <w:b/>
                <w:i/>
                <w:sz w:val="16"/>
                <w:szCs w:val="16"/>
              </w:rPr>
            </w:pPr>
            <w:r w:rsidRPr="007B4A99">
              <w:rPr>
                <w:rFonts w:ascii="Times New Roman" w:hAnsi="Times New Roman" w:cs="Times New Roman"/>
                <w:b/>
                <w:i/>
                <w:color w:val="2E74B5" w:themeColor="accent1" w:themeShade="BF"/>
                <w:sz w:val="16"/>
                <w:szCs w:val="16"/>
              </w:rPr>
              <w:t>Вариант 1</w:t>
            </w:r>
          </w:p>
          <w:p w14:paraId="0C2C255B"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b/>
                <w:i/>
                <w:color w:val="9CC2E5" w:themeColor="accent1" w:themeTint="99"/>
                <w:sz w:val="16"/>
                <w:szCs w:val="16"/>
              </w:rPr>
              <w:t>Специфично въздействие</w:t>
            </w:r>
            <w:r w:rsidRPr="007B4A99">
              <w:rPr>
                <w:rFonts w:ascii="Times New Roman" w:hAnsi="Times New Roman" w:cs="Times New Roman"/>
                <w:i/>
                <w:sz w:val="16"/>
                <w:szCs w:val="16"/>
              </w:rPr>
              <w:t>: административна тежест (Модел на стандартните разходи)</w:t>
            </w:r>
          </w:p>
          <w:p w14:paraId="14A1C48A" w14:textId="77777777" w:rsidR="00376BFB" w:rsidRPr="007B4A99" w:rsidRDefault="00376BFB" w:rsidP="00DD69D5">
            <w:pPr>
              <w:spacing w:line="240" w:lineRule="auto"/>
              <w:ind w:firstLine="708"/>
              <w:jc w:val="both"/>
              <w:rPr>
                <w:rFonts w:ascii="Times New Roman" w:hAnsi="Times New Roman" w:cs="Times New Roman"/>
                <w:b/>
                <w:i/>
                <w:sz w:val="16"/>
                <w:szCs w:val="16"/>
              </w:rPr>
            </w:pPr>
            <w:r w:rsidRPr="007B4A99">
              <w:rPr>
                <w:rFonts w:ascii="Times New Roman" w:hAnsi="Times New Roman" w:cs="Times New Roman"/>
                <w:b/>
                <w:i/>
                <w:color w:val="2E74B5" w:themeColor="accent1" w:themeShade="BF"/>
                <w:sz w:val="16"/>
                <w:szCs w:val="16"/>
              </w:rPr>
              <w:t>Вариант 2</w:t>
            </w:r>
          </w:p>
          <w:p w14:paraId="1CFDA99E"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b/>
                <w:i/>
                <w:color w:val="9CC2E5" w:themeColor="accent1" w:themeTint="99"/>
                <w:sz w:val="16"/>
                <w:szCs w:val="16"/>
              </w:rPr>
              <w:t>Специфично въздействие</w:t>
            </w:r>
            <w:r w:rsidRPr="007B4A99">
              <w:rPr>
                <w:rFonts w:ascii="Times New Roman" w:hAnsi="Times New Roman" w:cs="Times New Roman"/>
                <w:i/>
                <w:sz w:val="16"/>
                <w:szCs w:val="16"/>
              </w:rPr>
              <w:t>: административна тежест (Модел на стандартните разходи)</w:t>
            </w:r>
          </w:p>
          <w:p w14:paraId="4A60D0D0" w14:textId="77777777" w:rsidR="00376BFB" w:rsidRPr="007B4A99" w:rsidRDefault="00376BFB" w:rsidP="00DD69D5">
            <w:pPr>
              <w:spacing w:line="240" w:lineRule="auto"/>
              <w:ind w:firstLine="708"/>
              <w:jc w:val="both"/>
              <w:rPr>
                <w:rFonts w:ascii="Times New Roman" w:hAnsi="Times New Roman" w:cs="Times New Roman"/>
                <w:b/>
                <w:i/>
                <w:sz w:val="16"/>
                <w:szCs w:val="16"/>
              </w:rPr>
            </w:pPr>
            <w:r w:rsidRPr="007B4A99">
              <w:rPr>
                <w:rFonts w:ascii="Times New Roman" w:hAnsi="Times New Roman" w:cs="Times New Roman"/>
                <w:b/>
                <w:i/>
                <w:color w:val="2E74B5" w:themeColor="accent1" w:themeShade="BF"/>
                <w:sz w:val="16"/>
                <w:szCs w:val="16"/>
              </w:rPr>
              <w:t>Вариант 3</w:t>
            </w:r>
          </w:p>
          <w:p w14:paraId="7F37A129"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b/>
                <w:i/>
                <w:color w:val="9CC2E5" w:themeColor="accent1" w:themeTint="99"/>
                <w:sz w:val="16"/>
                <w:szCs w:val="16"/>
              </w:rPr>
              <w:t>Специфично въздействие</w:t>
            </w:r>
            <w:r w:rsidRPr="007B4A99">
              <w:rPr>
                <w:rFonts w:ascii="Times New Roman" w:hAnsi="Times New Roman" w:cs="Times New Roman"/>
                <w:i/>
                <w:sz w:val="16"/>
                <w:szCs w:val="16"/>
              </w:rPr>
              <w:t>: административна тежест (Модел на стандартните разходи)</w:t>
            </w:r>
          </w:p>
          <w:p w14:paraId="142EADCA" w14:textId="77777777" w:rsidR="00376BFB" w:rsidRPr="007B4A99" w:rsidRDefault="00376BFB" w:rsidP="00DD69D5">
            <w:pPr>
              <w:spacing w:line="240" w:lineRule="auto"/>
              <w:ind w:firstLine="708"/>
              <w:jc w:val="both"/>
              <w:rPr>
                <w:rFonts w:ascii="Times New Roman" w:hAnsi="Times New Roman" w:cs="Times New Roman"/>
                <w:i/>
                <w:sz w:val="16"/>
                <w:szCs w:val="16"/>
              </w:rPr>
            </w:pPr>
          </w:p>
          <w:p w14:paraId="5DCDD6A7" w14:textId="77777777" w:rsidR="00376BFB" w:rsidRPr="007B4A99" w:rsidRDefault="00376BFB" w:rsidP="00DD69D5">
            <w:pPr>
              <w:spacing w:line="240" w:lineRule="auto"/>
              <w:jc w:val="both"/>
              <w:rPr>
                <w:rFonts w:ascii="Times New Roman" w:hAnsi="Times New Roman" w:cs="Times New Roman"/>
                <w:b/>
                <w:i/>
                <w:sz w:val="16"/>
                <w:szCs w:val="16"/>
                <w:u w:val="single"/>
              </w:rPr>
            </w:pPr>
            <w:r w:rsidRPr="007B4A99">
              <w:rPr>
                <w:rFonts w:ascii="Times New Roman" w:hAnsi="Times New Roman" w:cs="Times New Roman"/>
                <w:b/>
                <w:i/>
                <w:color w:val="1F4E79" w:themeColor="accent1" w:themeShade="80"/>
                <w:sz w:val="16"/>
                <w:szCs w:val="16"/>
                <w:u w:val="single"/>
              </w:rPr>
              <w:t>Проблем 2.</w:t>
            </w:r>
          </w:p>
          <w:p w14:paraId="3CB0AE51" w14:textId="77777777" w:rsidR="00376BFB" w:rsidRPr="007B4A99" w:rsidRDefault="00376BFB" w:rsidP="00DD69D5">
            <w:pPr>
              <w:spacing w:line="240" w:lineRule="auto"/>
              <w:ind w:firstLine="708"/>
              <w:jc w:val="both"/>
              <w:rPr>
                <w:rFonts w:ascii="Times New Roman" w:hAnsi="Times New Roman" w:cs="Times New Roman"/>
                <w:b/>
                <w:i/>
                <w:sz w:val="16"/>
                <w:szCs w:val="16"/>
              </w:rPr>
            </w:pPr>
            <w:r w:rsidRPr="007B4A99">
              <w:rPr>
                <w:rFonts w:ascii="Times New Roman" w:hAnsi="Times New Roman" w:cs="Times New Roman"/>
                <w:b/>
                <w:i/>
                <w:color w:val="2E74B5" w:themeColor="accent1" w:themeShade="BF"/>
                <w:sz w:val="16"/>
                <w:szCs w:val="16"/>
              </w:rPr>
              <w:t>Вариант 1</w:t>
            </w:r>
          </w:p>
          <w:p w14:paraId="611C379C"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b/>
                <w:i/>
                <w:color w:val="9CC2E5" w:themeColor="accent1" w:themeTint="99"/>
                <w:sz w:val="16"/>
                <w:szCs w:val="16"/>
              </w:rPr>
              <w:t>Специфично въздействие</w:t>
            </w:r>
            <w:r w:rsidRPr="007B4A99">
              <w:rPr>
                <w:rFonts w:ascii="Times New Roman" w:hAnsi="Times New Roman" w:cs="Times New Roman"/>
                <w:i/>
                <w:sz w:val="16"/>
                <w:szCs w:val="16"/>
              </w:rPr>
              <w:t>: административна тежест (Модел на стандартните разходи)</w:t>
            </w:r>
          </w:p>
          <w:p w14:paraId="128E41E1" w14:textId="77777777" w:rsidR="00376BFB" w:rsidRPr="007B4A99" w:rsidRDefault="00376BFB" w:rsidP="00DD69D5">
            <w:pPr>
              <w:spacing w:line="240" w:lineRule="auto"/>
              <w:ind w:firstLine="708"/>
              <w:jc w:val="both"/>
              <w:rPr>
                <w:rFonts w:ascii="Times New Roman" w:hAnsi="Times New Roman" w:cs="Times New Roman"/>
                <w:b/>
                <w:i/>
                <w:sz w:val="16"/>
                <w:szCs w:val="16"/>
              </w:rPr>
            </w:pPr>
            <w:r w:rsidRPr="007B4A99">
              <w:rPr>
                <w:rFonts w:ascii="Times New Roman" w:hAnsi="Times New Roman" w:cs="Times New Roman"/>
                <w:b/>
                <w:i/>
                <w:color w:val="2E74B5" w:themeColor="accent1" w:themeShade="BF"/>
                <w:sz w:val="16"/>
                <w:szCs w:val="16"/>
              </w:rPr>
              <w:t>Вариант 2</w:t>
            </w:r>
          </w:p>
          <w:p w14:paraId="7681FEEB"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b/>
                <w:i/>
                <w:color w:val="9CC2E5" w:themeColor="accent1" w:themeTint="99"/>
                <w:sz w:val="16"/>
                <w:szCs w:val="16"/>
              </w:rPr>
              <w:t>Специфично въздействие</w:t>
            </w:r>
            <w:r w:rsidRPr="007B4A99">
              <w:rPr>
                <w:rFonts w:ascii="Times New Roman" w:hAnsi="Times New Roman" w:cs="Times New Roman"/>
                <w:i/>
                <w:sz w:val="16"/>
                <w:szCs w:val="16"/>
              </w:rPr>
              <w:t>: административна тежест (Модел на стандартните разходи)</w:t>
            </w:r>
          </w:p>
          <w:p w14:paraId="741D87B0" w14:textId="77777777" w:rsidR="00376BFB" w:rsidRPr="007B4A99" w:rsidRDefault="00376BFB" w:rsidP="00DD69D5">
            <w:pPr>
              <w:spacing w:line="240" w:lineRule="auto"/>
              <w:ind w:firstLine="708"/>
              <w:jc w:val="both"/>
              <w:rPr>
                <w:rFonts w:ascii="Times New Roman" w:hAnsi="Times New Roman" w:cs="Times New Roman"/>
                <w:b/>
                <w:i/>
                <w:sz w:val="16"/>
                <w:szCs w:val="16"/>
              </w:rPr>
            </w:pPr>
            <w:r w:rsidRPr="007B4A99">
              <w:rPr>
                <w:rFonts w:ascii="Times New Roman" w:hAnsi="Times New Roman" w:cs="Times New Roman"/>
                <w:b/>
                <w:i/>
                <w:color w:val="2E74B5" w:themeColor="accent1" w:themeShade="BF"/>
                <w:sz w:val="16"/>
                <w:szCs w:val="16"/>
              </w:rPr>
              <w:t>Вариант 3</w:t>
            </w:r>
          </w:p>
          <w:p w14:paraId="2BEB50C4"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b/>
                <w:i/>
                <w:color w:val="9CC2E5" w:themeColor="accent1" w:themeTint="99"/>
                <w:sz w:val="16"/>
                <w:szCs w:val="16"/>
              </w:rPr>
              <w:t>Специфично въздействие</w:t>
            </w:r>
            <w:r w:rsidRPr="007B4A99">
              <w:rPr>
                <w:rFonts w:ascii="Times New Roman" w:hAnsi="Times New Roman" w:cs="Times New Roman"/>
                <w:i/>
                <w:sz w:val="16"/>
                <w:szCs w:val="16"/>
              </w:rPr>
              <w:t>: административна тежест (Модел на стандартните разходи)</w:t>
            </w:r>
          </w:p>
          <w:p w14:paraId="7D864358" w14:textId="77777777" w:rsidR="00376BFB" w:rsidRPr="007B4A99" w:rsidRDefault="00376BFB" w:rsidP="00DD69D5">
            <w:pPr>
              <w:spacing w:line="240" w:lineRule="auto"/>
              <w:ind w:firstLine="708"/>
              <w:jc w:val="both"/>
              <w:rPr>
                <w:rFonts w:ascii="Times New Roman" w:hAnsi="Times New Roman" w:cs="Times New Roman"/>
                <w:i/>
                <w:color w:val="1F4E79" w:themeColor="accent1" w:themeShade="80"/>
                <w:sz w:val="16"/>
                <w:szCs w:val="16"/>
              </w:rPr>
            </w:pPr>
          </w:p>
          <w:p w14:paraId="22D28680" w14:textId="77777777" w:rsidR="00376BFB" w:rsidRPr="007B4A99" w:rsidRDefault="00376BFB" w:rsidP="00DD69D5">
            <w:pPr>
              <w:spacing w:line="240" w:lineRule="auto"/>
              <w:jc w:val="both"/>
              <w:rPr>
                <w:rFonts w:ascii="Times New Roman" w:hAnsi="Times New Roman" w:cs="Times New Roman"/>
                <w:b/>
                <w:i/>
                <w:sz w:val="16"/>
                <w:szCs w:val="16"/>
                <w:u w:val="single"/>
              </w:rPr>
            </w:pPr>
            <w:r w:rsidRPr="007B4A99">
              <w:rPr>
                <w:rFonts w:ascii="Times New Roman" w:hAnsi="Times New Roman" w:cs="Times New Roman"/>
                <w:b/>
                <w:i/>
                <w:color w:val="1F4E79" w:themeColor="accent1" w:themeShade="80"/>
                <w:sz w:val="16"/>
                <w:szCs w:val="16"/>
                <w:u w:val="single"/>
              </w:rPr>
              <w:t>Проблем 3.</w:t>
            </w:r>
          </w:p>
          <w:p w14:paraId="017E95F9" w14:textId="77777777" w:rsidR="00376BFB" w:rsidRPr="007B4A99" w:rsidRDefault="00376BFB" w:rsidP="00DD69D5">
            <w:pPr>
              <w:spacing w:line="240" w:lineRule="auto"/>
              <w:ind w:firstLine="708"/>
              <w:jc w:val="both"/>
              <w:rPr>
                <w:rFonts w:ascii="Times New Roman" w:hAnsi="Times New Roman" w:cs="Times New Roman"/>
                <w:b/>
                <w:i/>
                <w:sz w:val="16"/>
                <w:szCs w:val="16"/>
              </w:rPr>
            </w:pPr>
            <w:r w:rsidRPr="007B4A99">
              <w:rPr>
                <w:rFonts w:ascii="Times New Roman" w:hAnsi="Times New Roman" w:cs="Times New Roman"/>
                <w:b/>
                <w:i/>
                <w:color w:val="2E74B5" w:themeColor="accent1" w:themeShade="BF"/>
                <w:sz w:val="16"/>
                <w:szCs w:val="16"/>
              </w:rPr>
              <w:t>Вариант 1</w:t>
            </w:r>
          </w:p>
          <w:p w14:paraId="704C3125"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b/>
                <w:i/>
                <w:color w:val="9CC2E5" w:themeColor="accent1" w:themeTint="99"/>
                <w:sz w:val="16"/>
                <w:szCs w:val="16"/>
              </w:rPr>
              <w:t>Специфично въздействие</w:t>
            </w:r>
            <w:r w:rsidRPr="007B4A99">
              <w:rPr>
                <w:rFonts w:ascii="Times New Roman" w:hAnsi="Times New Roman" w:cs="Times New Roman"/>
                <w:i/>
                <w:sz w:val="16"/>
                <w:szCs w:val="16"/>
              </w:rPr>
              <w:t>: административна тежест (Модел на стандартните разходи)</w:t>
            </w:r>
          </w:p>
          <w:p w14:paraId="3606416B" w14:textId="77777777" w:rsidR="00376BFB" w:rsidRPr="007B4A99" w:rsidRDefault="00376BFB" w:rsidP="00DD69D5">
            <w:pPr>
              <w:spacing w:line="240" w:lineRule="auto"/>
              <w:ind w:firstLine="708"/>
              <w:jc w:val="both"/>
              <w:rPr>
                <w:rFonts w:ascii="Times New Roman" w:hAnsi="Times New Roman" w:cs="Times New Roman"/>
                <w:b/>
                <w:i/>
                <w:sz w:val="16"/>
                <w:szCs w:val="16"/>
              </w:rPr>
            </w:pPr>
            <w:r w:rsidRPr="007B4A99">
              <w:rPr>
                <w:rFonts w:ascii="Times New Roman" w:hAnsi="Times New Roman" w:cs="Times New Roman"/>
                <w:b/>
                <w:i/>
                <w:color w:val="2E74B5" w:themeColor="accent1" w:themeShade="BF"/>
                <w:sz w:val="16"/>
                <w:szCs w:val="16"/>
              </w:rPr>
              <w:t>Вариант 2</w:t>
            </w:r>
          </w:p>
          <w:p w14:paraId="29087752"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b/>
                <w:i/>
                <w:color w:val="9CC2E5" w:themeColor="accent1" w:themeTint="99"/>
                <w:sz w:val="16"/>
                <w:szCs w:val="16"/>
              </w:rPr>
              <w:t>Специфично въздействие</w:t>
            </w:r>
            <w:r w:rsidRPr="007B4A99">
              <w:rPr>
                <w:rFonts w:ascii="Times New Roman" w:hAnsi="Times New Roman" w:cs="Times New Roman"/>
                <w:i/>
                <w:sz w:val="16"/>
                <w:szCs w:val="16"/>
              </w:rPr>
              <w:t>: административна тежест (Модел на стандартните разходи)</w:t>
            </w:r>
          </w:p>
          <w:p w14:paraId="44D64946" w14:textId="77777777" w:rsidR="00376BFB" w:rsidRPr="007B4A99" w:rsidRDefault="00376BFB" w:rsidP="00DD69D5">
            <w:pPr>
              <w:spacing w:line="240" w:lineRule="auto"/>
              <w:ind w:firstLine="708"/>
              <w:jc w:val="both"/>
              <w:rPr>
                <w:rFonts w:ascii="Times New Roman" w:hAnsi="Times New Roman" w:cs="Times New Roman"/>
                <w:b/>
                <w:i/>
                <w:sz w:val="16"/>
                <w:szCs w:val="16"/>
              </w:rPr>
            </w:pPr>
            <w:r w:rsidRPr="007B4A99">
              <w:rPr>
                <w:rFonts w:ascii="Times New Roman" w:hAnsi="Times New Roman" w:cs="Times New Roman"/>
                <w:b/>
                <w:i/>
                <w:color w:val="2E74B5" w:themeColor="accent1" w:themeShade="BF"/>
                <w:sz w:val="16"/>
                <w:szCs w:val="16"/>
              </w:rPr>
              <w:t>Вариант 3</w:t>
            </w:r>
          </w:p>
          <w:p w14:paraId="6BC5DD04" w14:textId="77777777" w:rsidR="00376BFB" w:rsidRPr="007B4A99" w:rsidRDefault="00376BFB" w:rsidP="00DD69D5">
            <w:pPr>
              <w:spacing w:line="240" w:lineRule="auto"/>
              <w:ind w:firstLine="708"/>
              <w:jc w:val="both"/>
              <w:rPr>
                <w:rFonts w:ascii="Times New Roman" w:hAnsi="Times New Roman" w:cs="Times New Roman"/>
                <w:i/>
                <w:sz w:val="16"/>
                <w:szCs w:val="16"/>
              </w:rPr>
            </w:pPr>
            <w:r w:rsidRPr="007B4A99">
              <w:rPr>
                <w:rFonts w:ascii="Times New Roman" w:hAnsi="Times New Roman" w:cs="Times New Roman"/>
                <w:b/>
                <w:i/>
                <w:color w:val="9CC2E5" w:themeColor="accent1" w:themeTint="99"/>
                <w:sz w:val="16"/>
                <w:szCs w:val="16"/>
              </w:rPr>
              <w:t>Специфично въздействие</w:t>
            </w:r>
            <w:r w:rsidRPr="007B4A99">
              <w:rPr>
                <w:rFonts w:ascii="Times New Roman" w:hAnsi="Times New Roman" w:cs="Times New Roman"/>
                <w:i/>
                <w:sz w:val="16"/>
                <w:szCs w:val="16"/>
              </w:rPr>
              <w:t>: административна тежест (Модел на стандартните разходи)</w:t>
            </w:r>
          </w:p>
          <w:p w14:paraId="070892F6" w14:textId="77777777" w:rsidR="00376BFB" w:rsidRPr="007B4A99" w:rsidRDefault="00376BFB" w:rsidP="00DD69D5">
            <w:pPr>
              <w:spacing w:line="240" w:lineRule="auto"/>
              <w:jc w:val="both"/>
              <w:rPr>
                <w:rFonts w:ascii="Times New Roman" w:hAnsi="Times New Roman" w:cs="Times New Roman"/>
                <w:i/>
                <w:color w:val="1F4E79" w:themeColor="accent1" w:themeShade="80"/>
                <w:sz w:val="16"/>
                <w:szCs w:val="16"/>
              </w:rPr>
            </w:pPr>
            <w:r w:rsidRPr="007B4A99">
              <w:rPr>
                <w:rFonts w:ascii="Times New Roman" w:hAnsi="Times New Roman" w:cs="Times New Roman"/>
                <w:i/>
                <w:color w:val="1F4E79" w:themeColor="accent1" w:themeShade="80"/>
                <w:sz w:val="16"/>
                <w:szCs w:val="16"/>
              </w:rPr>
              <w:t>Възможни методи за анализа на въздействията</w:t>
            </w:r>
            <w:r w:rsidR="00417586" w:rsidRPr="007B4A99">
              <w:rPr>
                <w:rFonts w:ascii="Times New Roman" w:hAnsi="Times New Roman" w:cs="Times New Roman"/>
                <w:i/>
                <w:color w:val="1F4E79" w:themeColor="accent1" w:themeShade="80"/>
                <w:sz w:val="16"/>
                <w:szCs w:val="16"/>
              </w:rPr>
              <w:t>:</w:t>
            </w:r>
          </w:p>
          <w:p w14:paraId="6EFA92F9" w14:textId="252C5CFE" w:rsidR="00376BFB" w:rsidRPr="007B4A99" w:rsidRDefault="00376BFB" w:rsidP="00DD69D5">
            <w:pPr>
              <w:numPr>
                <w:ilvl w:val="0"/>
                <w:numId w:val="2"/>
              </w:numPr>
              <w:spacing w:line="240" w:lineRule="auto"/>
              <w:contextualSpacing/>
              <w:jc w:val="both"/>
              <w:rPr>
                <w:rFonts w:ascii="Times New Roman" w:hAnsi="Times New Roman" w:cs="Times New Roman"/>
                <w:i/>
              </w:rPr>
            </w:pPr>
            <w:r w:rsidRPr="007B4A99">
              <w:rPr>
                <w:rFonts w:ascii="Times New Roman" w:hAnsi="Times New Roman" w:cs="Times New Roman"/>
                <w:i/>
                <w:sz w:val="16"/>
                <w:szCs w:val="16"/>
              </w:rPr>
              <w:t>Модел на стандартните разходи</w:t>
            </w:r>
            <w:r w:rsidR="00536C32" w:rsidRPr="007B4A99">
              <w:rPr>
                <w:rFonts w:ascii="Times New Roman" w:hAnsi="Times New Roman" w:cs="Times New Roman"/>
                <w:i/>
                <w:sz w:val="16"/>
                <w:szCs w:val="16"/>
              </w:rPr>
              <w:t>.</w:t>
            </w:r>
          </w:p>
        </w:tc>
      </w:tr>
    </w:tbl>
    <w:p w14:paraId="01302A07" w14:textId="77777777" w:rsidR="00755195" w:rsidRPr="007B4A99" w:rsidRDefault="00755195" w:rsidP="009678BA">
      <w:pPr>
        <w:tabs>
          <w:tab w:val="left" w:pos="851"/>
        </w:tabs>
        <w:spacing w:after="0"/>
        <w:ind w:firstLine="567"/>
        <w:jc w:val="both"/>
        <w:rPr>
          <w:rFonts w:ascii="Times New Roman" w:hAnsi="Times New Roman"/>
          <w:sz w:val="24"/>
          <w:szCs w:val="24"/>
        </w:rPr>
      </w:pPr>
    </w:p>
    <w:p w14:paraId="2FC8FC67" w14:textId="5FF7756E" w:rsidR="00D612ED" w:rsidRPr="007B4A99" w:rsidRDefault="009678BA" w:rsidP="009678BA">
      <w:pPr>
        <w:tabs>
          <w:tab w:val="left" w:pos="851"/>
        </w:tabs>
        <w:spacing w:after="0"/>
        <w:ind w:firstLine="567"/>
        <w:jc w:val="both"/>
        <w:rPr>
          <w:rFonts w:ascii="Times New Roman" w:hAnsi="Times New Roman"/>
          <w:sz w:val="24"/>
          <w:szCs w:val="24"/>
        </w:rPr>
      </w:pPr>
      <w:r w:rsidRPr="007B4A99">
        <w:rPr>
          <w:rFonts w:ascii="Times New Roman" w:hAnsi="Times New Roman"/>
          <w:sz w:val="24"/>
          <w:szCs w:val="24"/>
        </w:rPr>
        <w:t xml:space="preserve">Административната тежест </w:t>
      </w:r>
      <w:r w:rsidR="00536C32" w:rsidRPr="007B4A99">
        <w:rPr>
          <w:rFonts w:ascii="Times New Roman" w:hAnsi="Times New Roman"/>
          <w:sz w:val="24"/>
          <w:szCs w:val="24"/>
        </w:rPr>
        <w:t>е вид</w:t>
      </w:r>
      <w:r w:rsidRPr="007B4A99">
        <w:rPr>
          <w:rFonts w:ascii="Times New Roman" w:hAnsi="Times New Roman"/>
          <w:sz w:val="24"/>
          <w:szCs w:val="24"/>
        </w:rPr>
        <w:t xml:space="preserve"> специфично въздействие</w:t>
      </w:r>
      <w:r w:rsidR="0048055B" w:rsidRPr="007B4A99">
        <w:rPr>
          <w:rFonts w:ascii="Times New Roman" w:hAnsi="Times New Roman"/>
          <w:sz w:val="24"/>
          <w:szCs w:val="24"/>
        </w:rPr>
        <w:t>, което</w:t>
      </w:r>
      <w:r w:rsidRPr="007B4A99">
        <w:rPr>
          <w:rFonts w:ascii="Times New Roman" w:hAnsi="Times New Roman"/>
          <w:sz w:val="24"/>
          <w:szCs w:val="24"/>
        </w:rPr>
        <w:t xml:space="preserve"> </w:t>
      </w:r>
      <w:r w:rsidR="00A87501" w:rsidRPr="007B4A99">
        <w:rPr>
          <w:rFonts w:ascii="Times New Roman" w:hAnsi="Times New Roman"/>
          <w:sz w:val="24"/>
          <w:szCs w:val="24"/>
        </w:rPr>
        <w:t xml:space="preserve">може да съпътства всеки един от </w:t>
      </w:r>
      <w:r w:rsidR="0048055B" w:rsidRPr="007B4A99">
        <w:rPr>
          <w:rFonts w:ascii="Times New Roman" w:hAnsi="Times New Roman"/>
          <w:sz w:val="24"/>
          <w:szCs w:val="24"/>
        </w:rPr>
        <w:t>разглежданите</w:t>
      </w:r>
      <w:r w:rsidRPr="007B4A99">
        <w:rPr>
          <w:rFonts w:ascii="Times New Roman" w:hAnsi="Times New Roman"/>
          <w:sz w:val="24"/>
          <w:szCs w:val="24"/>
        </w:rPr>
        <w:t xml:space="preserve"> варианти за решаването </w:t>
      </w:r>
      <w:r w:rsidR="00D612ED" w:rsidRPr="007B4A99">
        <w:rPr>
          <w:rFonts w:ascii="Times New Roman" w:hAnsi="Times New Roman"/>
          <w:sz w:val="24"/>
          <w:szCs w:val="24"/>
        </w:rPr>
        <w:t xml:space="preserve">на </w:t>
      </w:r>
      <w:r w:rsidRPr="007B4A99">
        <w:rPr>
          <w:rFonts w:ascii="Times New Roman" w:hAnsi="Times New Roman"/>
          <w:sz w:val="24"/>
          <w:szCs w:val="24"/>
        </w:rPr>
        <w:t>дефинирани</w:t>
      </w:r>
      <w:r w:rsidR="00D612ED" w:rsidRPr="007B4A99">
        <w:rPr>
          <w:rFonts w:ascii="Times New Roman" w:hAnsi="Times New Roman"/>
          <w:sz w:val="24"/>
          <w:szCs w:val="24"/>
        </w:rPr>
        <w:t>я</w:t>
      </w:r>
      <w:r w:rsidRPr="007B4A99">
        <w:rPr>
          <w:rFonts w:ascii="Times New Roman" w:hAnsi="Times New Roman"/>
          <w:sz w:val="24"/>
          <w:szCs w:val="24"/>
        </w:rPr>
        <w:t xml:space="preserve"> проблем.</w:t>
      </w:r>
      <w:r w:rsidR="00935B84">
        <w:rPr>
          <w:rFonts w:ascii="Times New Roman" w:hAnsi="Times New Roman"/>
          <w:sz w:val="24"/>
          <w:szCs w:val="24"/>
        </w:rPr>
        <w:t xml:space="preserve"> </w:t>
      </w:r>
      <w:r w:rsidR="00DE2073" w:rsidRPr="007B4A99">
        <w:rPr>
          <w:rFonts w:ascii="Times New Roman" w:hAnsi="Times New Roman"/>
          <w:sz w:val="24"/>
          <w:szCs w:val="24"/>
        </w:rPr>
        <w:t>Административните разходи се определят като разходите, които предприятията, гражданските организации, потребителите, гражданите и публичните власти са длъжни да правят в изпълнение на техните задължения за пред</w:t>
      </w:r>
      <w:r w:rsidR="00A87501" w:rsidRPr="007B4A99">
        <w:rPr>
          <w:rFonts w:ascii="Times New Roman" w:hAnsi="Times New Roman"/>
          <w:sz w:val="24"/>
          <w:szCs w:val="24"/>
        </w:rPr>
        <w:t>о</w:t>
      </w:r>
      <w:r w:rsidR="00DE2073" w:rsidRPr="007B4A99">
        <w:rPr>
          <w:rFonts w:ascii="Times New Roman" w:hAnsi="Times New Roman"/>
          <w:sz w:val="24"/>
          <w:szCs w:val="24"/>
        </w:rPr>
        <w:t>ставяне на информация за тяхната дейност или производство, към други публични органи</w:t>
      </w:r>
      <w:r w:rsidR="00D612ED" w:rsidRPr="007B4A99">
        <w:rPr>
          <w:rFonts w:ascii="Times New Roman" w:hAnsi="Times New Roman"/>
          <w:sz w:val="24"/>
          <w:szCs w:val="24"/>
        </w:rPr>
        <w:t>, институции</w:t>
      </w:r>
      <w:r w:rsidR="00DE2073" w:rsidRPr="007B4A99">
        <w:rPr>
          <w:rFonts w:ascii="Times New Roman" w:hAnsi="Times New Roman"/>
          <w:sz w:val="24"/>
          <w:szCs w:val="24"/>
        </w:rPr>
        <w:t xml:space="preserve"> или частни лица. </w:t>
      </w:r>
    </w:p>
    <w:p w14:paraId="4C87B530" w14:textId="31FA7899" w:rsidR="00D612ED" w:rsidRDefault="00DE2073" w:rsidP="009678BA">
      <w:pPr>
        <w:tabs>
          <w:tab w:val="left" w:pos="851"/>
        </w:tabs>
        <w:spacing w:after="0"/>
        <w:ind w:firstLine="567"/>
        <w:jc w:val="both"/>
        <w:rPr>
          <w:rFonts w:ascii="Times New Roman" w:hAnsi="Times New Roman"/>
          <w:sz w:val="24"/>
          <w:szCs w:val="24"/>
        </w:rPr>
      </w:pPr>
      <w:r w:rsidRPr="007B4A99">
        <w:rPr>
          <w:rFonts w:ascii="Times New Roman" w:hAnsi="Times New Roman"/>
          <w:sz w:val="24"/>
          <w:szCs w:val="24"/>
        </w:rPr>
        <w:t xml:space="preserve">Регулаторните разходи са онези, които правните субекти правят, за да спазват </w:t>
      </w:r>
      <w:r w:rsidR="00D612ED" w:rsidRPr="007B4A99">
        <w:rPr>
          <w:rFonts w:ascii="Times New Roman" w:hAnsi="Times New Roman"/>
          <w:sz w:val="24"/>
          <w:szCs w:val="24"/>
        </w:rPr>
        <w:t xml:space="preserve">наложените им </w:t>
      </w:r>
      <w:r w:rsidR="00536C32" w:rsidRPr="007B4A99">
        <w:rPr>
          <w:rFonts w:ascii="Times New Roman" w:hAnsi="Times New Roman"/>
          <w:sz w:val="24"/>
          <w:szCs w:val="24"/>
        </w:rPr>
        <w:t>от държавата задължения</w:t>
      </w:r>
      <w:r w:rsidR="00D612ED" w:rsidRPr="007B4A99">
        <w:rPr>
          <w:rFonts w:ascii="Times New Roman" w:hAnsi="Times New Roman"/>
          <w:sz w:val="24"/>
          <w:szCs w:val="24"/>
        </w:rPr>
        <w:t xml:space="preserve">. Когато </w:t>
      </w:r>
      <w:r w:rsidR="00536C32" w:rsidRPr="007B4A99">
        <w:rPr>
          <w:rFonts w:ascii="Times New Roman" w:hAnsi="Times New Roman"/>
          <w:sz w:val="24"/>
          <w:szCs w:val="24"/>
        </w:rPr>
        <w:t>задълженията са въведени чрез</w:t>
      </w:r>
      <w:r w:rsidR="00D612ED" w:rsidRPr="007B4A99">
        <w:rPr>
          <w:rFonts w:ascii="Times New Roman" w:hAnsi="Times New Roman"/>
          <w:sz w:val="24"/>
          <w:szCs w:val="24"/>
        </w:rPr>
        <w:t xml:space="preserve"> мерки </w:t>
      </w:r>
      <w:r w:rsidR="00536C32" w:rsidRPr="007B4A99">
        <w:rPr>
          <w:rFonts w:ascii="Times New Roman" w:hAnsi="Times New Roman"/>
          <w:sz w:val="24"/>
          <w:szCs w:val="24"/>
        </w:rPr>
        <w:t>за</w:t>
      </w:r>
      <w:r w:rsidR="00D612ED" w:rsidRPr="007B4A99">
        <w:rPr>
          <w:rFonts w:ascii="Times New Roman" w:hAnsi="Times New Roman"/>
          <w:sz w:val="24"/>
          <w:szCs w:val="24"/>
        </w:rPr>
        <w:t xml:space="preserve"> регулиране, тези разходи представляват</w:t>
      </w:r>
      <w:r w:rsidRPr="007B4A99">
        <w:rPr>
          <w:rFonts w:ascii="Times New Roman" w:hAnsi="Times New Roman"/>
          <w:sz w:val="24"/>
          <w:szCs w:val="24"/>
        </w:rPr>
        <w:t xml:space="preserve"> цената на регулирането</w:t>
      </w:r>
      <w:r w:rsidR="00D612ED" w:rsidRPr="007B4A99">
        <w:rPr>
          <w:rFonts w:ascii="Times New Roman" w:hAnsi="Times New Roman"/>
          <w:sz w:val="24"/>
          <w:szCs w:val="24"/>
        </w:rPr>
        <w:t xml:space="preserve">. Изразяват се в стойността на </w:t>
      </w:r>
      <w:r w:rsidRPr="007B4A99">
        <w:rPr>
          <w:rFonts w:ascii="Times New Roman" w:hAnsi="Times New Roman"/>
          <w:sz w:val="24"/>
          <w:szCs w:val="24"/>
        </w:rPr>
        <w:t>това</w:t>
      </w:r>
      <w:r w:rsidR="00D612ED" w:rsidRPr="007B4A99">
        <w:rPr>
          <w:rFonts w:ascii="Times New Roman" w:hAnsi="Times New Roman"/>
          <w:sz w:val="24"/>
          <w:szCs w:val="24"/>
        </w:rPr>
        <w:t>,</w:t>
      </w:r>
      <w:r w:rsidRPr="007B4A99">
        <w:rPr>
          <w:rFonts w:ascii="Times New Roman" w:hAnsi="Times New Roman"/>
          <w:sz w:val="24"/>
          <w:szCs w:val="24"/>
        </w:rPr>
        <w:t xml:space="preserve"> което </w:t>
      </w:r>
      <w:r w:rsidR="00A87501" w:rsidRPr="007B4A99">
        <w:rPr>
          <w:rFonts w:ascii="Times New Roman" w:hAnsi="Times New Roman"/>
          <w:sz w:val="24"/>
          <w:szCs w:val="24"/>
        </w:rPr>
        <w:t>нормативната</w:t>
      </w:r>
      <w:r w:rsidR="00536C32" w:rsidRPr="007B4A99">
        <w:rPr>
          <w:rFonts w:ascii="Times New Roman" w:hAnsi="Times New Roman"/>
          <w:sz w:val="24"/>
          <w:szCs w:val="24"/>
        </w:rPr>
        <w:t xml:space="preserve"> рамка</w:t>
      </w:r>
      <w:r w:rsidRPr="007B4A99">
        <w:rPr>
          <w:rFonts w:ascii="Times New Roman" w:hAnsi="Times New Roman"/>
          <w:sz w:val="24"/>
          <w:szCs w:val="24"/>
        </w:rPr>
        <w:t xml:space="preserve"> изисква </w:t>
      </w:r>
      <w:r w:rsidR="00536C32" w:rsidRPr="007B4A99">
        <w:rPr>
          <w:rFonts w:ascii="Times New Roman" w:hAnsi="Times New Roman"/>
          <w:sz w:val="24"/>
          <w:szCs w:val="24"/>
        </w:rPr>
        <w:t xml:space="preserve">те </w:t>
      </w:r>
      <w:r w:rsidR="00D612ED" w:rsidRPr="007B4A99">
        <w:rPr>
          <w:rFonts w:ascii="Times New Roman" w:hAnsi="Times New Roman"/>
          <w:sz w:val="24"/>
          <w:szCs w:val="24"/>
        </w:rPr>
        <w:t>да разходят</w:t>
      </w:r>
      <w:r w:rsidRPr="007B4A99">
        <w:rPr>
          <w:rFonts w:ascii="Times New Roman" w:hAnsi="Times New Roman"/>
          <w:sz w:val="24"/>
          <w:szCs w:val="24"/>
        </w:rPr>
        <w:t>, за да постигнат и поддържат нормосъобразно поведение.</w:t>
      </w:r>
      <w:r w:rsidR="00D612ED" w:rsidRPr="007B4A99">
        <w:rPr>
          <w:rFonts w:ascii="Times New Roman" w:hAnsi="Times New Roman"/>
          <w:sz w:val="24"/>
          <w:szCs w:val="24"/>
        </w:rPr>
        <w:t xml:space="preserve"> Съответно</w:t>
      </w:r>
      <w:r w:rsidR="009C4544" w:rsidRPr="007B4A99">
        <w:rPr>
          <w:rFonts w:ascii="Times New Roman" w:hAnsi="Times New Roman"/>
          <w:sz w:val="24"/>
          <w:szCs w:val="24"/>
        </w:rPr>
        <w:t>,</w:t>
      </w:r>
      <w:r w:rsidR="00D612ED" w:rsidRPr="007B4A99">
        <w:rPr>
          <w:rFonts w:ascii="Times New Roman" w:hAnsi="Times New Roman"/>
          <w:sz w:val="24"/>
          <w:szCs w:val="24"/>
        </w:rPr>
        <w:t xml:space="preserve"> съвкупността от разходите, които ед</w:t>
      </w:r>
      <w:r w:rsidR="00800051" w:rsidRPr="007B4A99">
        <w:rPr>
          <w:rFonts w:ascii="Times New Roman" w:hAnsi="Times New Roman"/>
          <w:sz w:val="24"/>
          <w:szCs w:val="24"/>
        </w:rPr>
        <w:t>и</w:t>
      </w:r>
      <w:r w:rsidR="00D612ED" w:rsidRPr="007B4A99">
        <w:rPr>
          <w:rFonts w:ascii="Times New Roman" w:hAnsi="Times New Roman"/>
          <w:sz w:val="24"/>
          <w:szCs w:val="24"/>
        </w:rPr>
        <w:t>н</w:t>
      </w:r>
      <w:r w:rsidR="00800051" w:rsidRPr="007B4A99">
        <w:rPr>
          <w:rFonts w:ascii="Times New Roman" w:hAnsi="Times New Roman"/>
          <w:sz w:val="24"/>
          <w:szCs w:val="24"/>
        </w:rPr>
        <w:t xml:space="preserve"> регулаторен вариант</w:t>
      </w:r>
      <w:r w:rsidR="00D612ED" w:rsidRPr="007B4A99">
        <w:rPr>
          <w:rFonts w:ascii="Times New Roman" w:hAnsi="Times New Roman"/>
          <w:sz w:val="24"/>
          <w:szCs w:val="24"/>
        </w:rPr>
        <w:t xml:space="preserve"> </w:t>
      </w:r>
      <w:r w:rsidR="00800051" w:rsidRPr="007B4A99">
        <w:rPr>
          <w:rFonts w:ascii="Times New Roman" w:hAnsi="Times New Roman"/>
          <w:sz w:val="24"/>
          <w:szCs w:val="24"/>
        </w:rPr>
        <w:t>изисква от</w:t>
      </w:r>
      <w:r w:rsidR="00D612ED" w:rsidRPr="007B4A99">
        <w:rPr>
          <w:rFonts w:ascii="Times New Roman" w:hAnsi="Times New Roman"/>
          <w:sz w:val="24"/>
          <w:szCs w:val="24"/>
        </w:rPr>
        <w:t xml:space="preserve"> с</w:t>
      </w:r>
      <w:r w:rsidR="00800051" w:rsidRPr="007B4A99">
        <w:rPr>
          <w:rFonts w:ascii="Times New Roman" w:hAnsi="Times New Roman"/>
          <w:sz w:val="24"/>
          <w:szCs w:val="24"/>
        </w:rPr>
        <w:t xml:space="preserve">ъответните </w:t>
      </w:r>
      <w:r w:rsidR="00D612ED" w:rsidRPr="007B4A99">
        <w:rPr>
          <w:rFonts w:ascii="Times New Roman" w:hAnsi="Times New Roman"/>
          <w:sz w:val="24"/>
          <w:szCs w:val="24"/>
        </w:rPr>
        <w:t>адресати</w:t>
      </w:r>
      <w:r w:rsidR="009C4544" w:rsidRPr="007B4A99">
        <w:rPr>
          <w:rFonts w:ascii="Times New Roman" w:hAnsi="Times New Roman"/>
          <w:sz w:val="24"/>
          <w:szCs w:val="24"/>
        </w:rPr>
        <w:t>,</w:t>
      </w:r>
      <w:r w:rsidR="00536C32" w:rsidRPr="007B4A99">
        <w:rPr>
          <w:rFonts w:ascii="Times New Roman" w:hAnsi="Times New Roman"/>
          <w:sz w:val="24"/>
          <w:szCs w:val="24"/>
        </w:rPr>
        <w:t xml:space="preserve"> образува регулаторната  тежест, коя</w:t>
      </w:r>
      <w:r w:rsidR="00800051" w:rsidRPr="007B4A99">
        <w:rPr>
          <w:rFonts w:ascii="Times New Roman" w:hAnsi="Times New Roman"/>
          <w:sz w:val="24"/>
          <w:szCs w:val="24"/>
        </w:rPr>
        <w:t xml:space="preserve">то той налага. </w:t>
      </w:r>
    </w:p>
    <w:p w14:paraId="09EACE6F" w14:textId="0CE5D2A6" w:rsidR="00E16161" w:rsidRDefault="00E16161" w:rsidP="00E16161">
      <w:pPr>
        <w:tabs>
          <w:tab w:val="left" w:pos="851"/>
        </w:tabs>
        <w:spacing w:after="0"/>
        <w:ind w:firstLine="567"/>
        <w:jc w:val="both"/>
        <w:rPr>
          <w:rFonts w:ascii="Times New Roman" w:eastAsia="Times New Roman" w:hAnsi="Times New Roman" w:cs="Times New Roman"/>
          <w:sz w:val="24"/>
          <w:szCs w:val="24"/>
        </w:rPr>
      </w:pPr>
      <w:r>
        <w:rPr>
          <w:rFonts w:ascii="Times New Roman" w:hAnsi="Times New Roman"/>
          <w:sz w:val="24"/>
          <w:szCs w:val="24"/>
        </w:rPr>
        <w:t xml:space="preserve">За целите на настоящата ОВ административната тежест е разгледана като един от критериите за </w:t>
      </w:r>
      <w:r w:rsidRPr="0091765E">
        <w:rPr>
          <w:rFonts w:ascii="Times New Roman" w:eastAsia="Times New Roman" w:hAnsi="Times New Roman" w:cs="Times New Roman"/>
          <w:sz w:val="24"/>
          <w:szCs w:val="24"/>
        </w:rPr>
        <w:t>мултикритериен анализ</w:t>
      </w:r>
      <w:r>
        <w:rPr>
          <w:rFonts w:ascii="Times New Roman" w:eastAsia="Times New Roman" w:hAnsi="Times New Roman" w:cs="Times New Roman"/>
          <w:sz w:val="24"/>
          <w:szCs w:val="24"/>
        </w:rPr>
        <w:t xml:space="preserve">, който </w:t>
      </w:r>
      <w:r w:rsidRPr="0091765E">
        <w:rPr>
          <w:rFonts w:ascii="Times New Roman" w:eastAsia="Times New Roman" w:hAnsi="Times New Roman" w:cs="Times New Roman"/>
          <w:sz w:val="24"/>
          <w:szCs w:val="24"/>
        </w:rPr>
        <w:t>оценява</w:t>
      </w:r>
      <w:r>
        <w:rPr>
          <w:rFonts w:ascii="Times New Roman" w:eastAsia="Times New Roman" w:hAnsi="Times New Roman" w:cs="Times New Roman"/>
          <w:sz w:val="24"/>
          <w:szCs w:val="24"/>
        </w:rPr>
        <w:t xml:space="preserve"> разглежданите 4 варианта на действие</w:t>
      </w:r>
      <w:r w:rsidRPr="0091765E">
        <w:rPr>
          <w:rFonts w:ascii="Times New Roman" w:eastAsia="Times New Roman" w:hAnsi="Times New Roman" w:cs="Times New Roman"/>
          <w:sz w:val="24"/>
          <w:szCs w:val="24"/>
        </w:rPr>
        <w:t xml:space="preserve"> по няколко ключови критерия, с цел обективно да се определи ко</w:t>
      </w:r>
      <w:r>
        <w:rPr>
          <w:rFonts w:ascii="Times New Roman" w:eastAsia="Times New Roman" w:hAnsi="Times New Roman" w:cs="Times New Roman"/>
          <w:sz w:val="24"/>
          <w:szCs w:val="24"/>
        </w:rPr>
        <w:t>й</w:t>
      </w:r>
      <w:r w:rsidRPr="009176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 тях</w:t>
      </w:r>
      <w:r w:rsidRPr="0091765E">
        <w:rPr>
          <w:rFonts w:ascii="Times New Roman" w:eastAsia="Times New Roman" w:hAnsi="Times New Roman" w:cs="Times New Roman"/>
          <w:sz w:val="24"/>
          <w:szCs w:val="24"/>
        </w:rPr>
        <w:t xml:space="preserve"> е най-предпочитан. Анализът се основава на достоверни официални източници</w:t>
      </w:r>
      <w:r>
        <w:rPr>
          <w:rFonts w:ascii="Times New Roman" w:eastAsia="Times New Roman" w:hAnsi="Times New Roman" w:cs="Times New Roman"/>
          <w:sz w:val="24"/>
          <w:szCs w:val="24"/>
        </w:rPr>
        <w:t xml:space="preserve"> като</w:t>
      </w:r>
      <w:r w:rsidRPr="009176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официални </w:t>
      </w:r>
      <w:r w:rsidRPr="0091765E">
        <w:rPr>
          <w:rFonts w:ascii="Times New Roman" w:eastAsia="Times New Roman" w:hAnsi="Times New Roman" w:cs="Times New Roman"/>
          <w:sz w:val="24"/>
          <w:szCs w:val="24"/>
        </w:rPr>
        <w:t xml:space="preserve">статистически данни от Националния статистически институт (НСИ) и бюджетни документи на </w:t>
      </w:r>
      <w:r>
        <w:rPr>
          <w:rFonts w:ascii="Times New Roman" w:eastAsia="Times New Roman" w:hAnsi="Times New Roman" w:cs="Times New Roman"/>
          <w:sz w:val="24"/>
          <w:szCs w:val="24"/>
        </w:rPr>
        <w:t>М</w:t>
      </w:r>
      <w:r w:rsidRPr="0091765E">
        <w:rPr>
          <w:rFonts w:ascii="Times New Roman" w:eastAsia="Times New Roman" w:hAnsi="Times New Roman" w:cs="Times New Roman"/>
          <w:sz w:val="24"/>
          <w:szCs w:val="24"/>
        </w:rPr>
        <w:t xml:space="preserve">ЗХ за </w:t>
      </w:r>
      <w:r>
        <w:rPr>
          <w:rFonts w:ascii="Times New Roman" w:eastAsia="Times New Roman" w:hAnsi="Times New Roman" w:cs="Times New Roman"/>
          <w:sz w:val="24"/>
          <w:szCs w:val="24"/>
        </w:rPr>
        <w:t xml:space="preserve">периода от </w:t>
      </w:r>
      <w:r w:rsidRPr="0091765E">
        <w:rPr>
          <w:rFonts w:ascii="Times New Roman" w:eastAsia="Times New Roman" w:hAnsi="Times New Roman" w:cs="Times New Roman"/>
          <w:sz w:val="24"/>
          <w:szCs w:val="24"/>
        </w:rPr>
        <w:t>2023</w:t>
      </w:r>
      <w:r>
        <w:rPr>
          <w:rFonts w:ascii="Times New Roman" w:eastAsia="Times New Roman" w:hAnsi="Times New Roman" w:cs="Times New Roman"/>
          <w:sz w:val="24"/>
          <w:szCs w:val="24"/>
        </w:rPr>
        <w:t xml:space="preserve"> година до </w:t>
      </w:r>
      <w:r w:rsidRPr="0091765E">
        <w:rPr>
          <w:rFonts w:ascii="Times New Roman" w:eastAsia="Times New Roman" w:hAnsi="Times New Roman" w:cs="Times New Roman"/>
          <w:sz w:val="24"/>
          <w:szCs w:val="24"/>
        </w:rPr>
        <w:t>2025 г</w:t>
      </w:r>
      <w:r>
        <w:rPr>
          <w:rFonts w:ascii="Times New Roman" w:eastAsia="Times New Roman" w:hAnsi="Times New Roman" w:cs="Times New Roman"/>
          <w:sz w:val="24"/>
          <w:szCs w:val="24"/>
        </w:rPr>
        <w:t>одина включително</w:t>
      </w:r>
      <w:r w:rsidRPr="0091765E">
        <w:rPr>
          <w:rFonts w:ascii="Times New Roman" w:eastAsia="Times New Roman" w:hAnsi="Times New Roman" w:cs="Times New Roman"/>
          <w:sz w:val="24"/>
          <w:szCs w:val="24"/>
        </w:rPr>
        <w:t>.</w:t>
      </w:r>
    </w:p>
    <w:p w14:paraId="0FFE255C"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p>
    <w:p w14:paraId="23EBF445" w14:textId="77777777" w:rsidR="00E16161" w:rsidRPr="00935B84" w:rsidRDefault="00E16161" w:rsidP="00E16161">
      <w:pPr>
        <w:spacing w:after="0" w:line="240" w:lineRule="auto"/>
        <w:ind w:firstLine="567"/>
        <w:jc w:val="both"/>
        <w:rPr>
          <w:rFonts w:ascii="Times New Roman" w:eastAsia="Times New Roman" w:hAnsi="Times New Roman" w:cs="Times New Roman"/>
          <w:noProof/>
          <w:sz w:val="24"/>
          <w:szCs w:val="24"/>
        </w:rPr>
      </w:pPr>
      <w:r>
        <w:rPr>
          <w:rFonts w:ascii="Times New Roman" w:eastAsia="Times New Roman" w:hAnsi="Times New Roman" w:cs="Times New Roman"/>
          <w:b/>
          <w:sz w:val="24"/>
          <w:szCs w:val="24"/>
        </w:rPr>
        <w:t>І</w:t>
      </w:r>
      <w:r w:rsidRPr="00935B84">
        <w:rPr>
          <w:rFonts w:ascii="Times New Roman" w:eastAsia="Times New Roman" w:hAnsi="Times New Roman" w:cs="Times New Roman"/>
          <w:b/>
          <w:noProof/>
          <w:sz w:val="24"/>
          <w:szCs w:val="24"/>
        </w:rPr>
        <w:t>. Подбор на критерии за мултикритериен анализ</w:t>
      </w:r>
      <w:r w:rsidRPr="00935B84">
        <w:rPr>
          <w:rStyle w:val="FootnoteReference"/>
          <w:rFonts w:ascii="Times New Roman" w:eastAsia="Times New Roman" w:hAnsi="Times New Roman" w:cs="Times New Roman"/>
          <w:noProof/>
          <w:sz w:val="24"/>
          <w:szCs w:val="24"/>
        </w:rPr>
        <w:t xml:space="preserve"> </w:t>
      </w:r>
    </w:p>
    <w:p w14:paraId="2E06B73C" w14:textId="77777777" w:rsidR="00E16161" w:rsidRPr="00ED6430" w:rsidRDefault="00E16161" w:rsidP="00E16161">
      <w:pPr>
        <w:spacing w:after="0" w:line="240" w:lineRule="auto"/>
        <w:ind w:firstLine="567"/>
        <w:jc w:val="both"/>
        <w:rPr>
          <w:rFonts w:ascii="Times New Roman" w:eastAsia="Times New Roman" w:hAnsi="Times New Roman" w:cs="Times New Roman"/>
          <w:b/>
          <w:i/>
          <w:noProof/>
          <w:color w:val="000000"/>
          <w:sz w:val="24"/>
          <w:szCs w:val="24"/>
        </w:rPr>
      </w:pPr>
      <w:r w:rsidRPr="00ED6430">
        <w:rPr>
          <w:rFonts w:ascii="Times New Roman" w:eastAsia="Times New Roman" w:hAnsi="Times New Roman" w:cs="Times New Roman"/>
          <w:b/>
          <w:i/>
          <w:noProof/>
          <w:color w:val="000000"/>
          <w:sz w:val="24"/>
          <w:szCs w:val="24"/>
        </w:rPr>
        <w:t xml:space="preserve">1. Ефективност </w:t>
      </w:r>
    </w:p>
    <w:p w14:paraId="52B04D2A" w14:textId="25D3FD3B" w:rsidR="00E16161" w:rsidRPr="00935B84" w:rsidRDefault="00E16161" w:rsidP="00E16161">
      <w:pPr>
        <w:spacing w:after="0" w:line="240" w:lineRule="auto"/>
        <w:ind w:firstLine="567"/>
        <w:jc w:val="both"/>
        <w:rPr>
          <w:rFonts w:ascii="Times New Roman" w:eastAsia="Times New Roman" w:hAnsi="Times New Roman" w:cs="Times New Roman"/>
          <w:noProof/>
          <w:color w:val="000000"/>
          <w:sz w:val="24"/>
          <w:szCs w:val="24"/>
        </w:rPr>
      </w:pPr>
      <w:r w:rsidRPr="00935B84">
        <w:rPr>
          <w:rFonts w:ascii="Times New Roman" w:eastAsia="Times New Roman" w:hAnsi="Times New Roman" w:cs="Times New Roman"/>
          <w:noProof/>
          <w:color w:val="000000"/>
          <w:sz w:val="24"/>
          <w:szCs w:val="24"/>
        </w:rPr>
        <w:t>Този критерий отчита в каква степен вариантът решава идентифицираните проблеми (липса на прозрачност и проследяемост, водещи до неравнопоставеност и непропорционалност</w:t>
      </w:r>
      <w:r w:rsidR="00372254">
        <w:rPr>
          <w:rFonts w:ascii="Times New Roman" w:eastAsia="Times New Roman" w:hAnsi="Times New Roman" w:cs="Times New Roman"/>
          <w:noProof/>
          <w:color w:val="000000"/>
          <w:sz w:val="24"/>
          <w:szCs w:val="24"/>
        </w:rPr>
        <w:t xml:space="preserve"> в отношенията по вригата на доставки</w:t>
      </w:r>
      <w:r w:rsidRPr="00935B84">
        <w:rPr>
          <w:rFonts w:ascii="Times New Roman" w:eastAsia="Times New Roman" w:hAnsi="Times New Roman" w:cs="Times New Roman"/>
          <w:noProof/>
          <w:color w:val="000000"/>
          <w:sz w:val="24"/>
          <w:szCs w:val="24"/>
        </w:rPr>
        <w:t>) и изпълнява целите на политиката, включително изпълнение на поети ангажименти към ЕС. Този критерий е от критично значение, тъй като основната цел е да се постигне добре функционираща, равнопоставена и устойчива верига на доставки. Например, Вариант 3 би отстранил фундаменталните дефицити и би елиминирал нелоялните</w:t>
      </w:r>
      <w:r w:rsidR="00372254">
        <w:rPr>
          <w:rFonts w:ascii="Times New Roman" w:eastAsia="Times New Roman" w:hAnsi="Times New Roman" w:cs="Times New Roman"/>
          <w:noProof/>
          <w:color w:val="000000"/>
          <w:sz w:val="24"/>
          <w:szCs w:val="24"/>
        </w:rPr>
        <w:t xml:space="preserve"> търговск</w:t>
      </w:r>
      <w:r w:rsidRPr="00935B84">
        <w:rPr>
          <w:rFonts w:ascii="Times New Roman" w:eastAsia="Times New Roman" w:hAnsi="Times New Roman" w:cs="Times New Roman"/>
          <w:noProof/>
          <w:color w:val="000000"/>
          <w:sz w:val="24"/>
          <w:szCs w:val="24"/>
        </w:rPr>
        <w:t xml:space="preserve"> практики, давайки най-пълно решение, докато при Вариант 0 тези проблеми биха продължили и дори биха се задълбочили.</w:t>
      </w:r>
    </w:p>
    <w:p w14:paraId="508D3254" w14:textId="77777777" w:rsidR="00E16161" w:rsidRPr="00935B84" w:rsidRDefault="00E16161" w:rsidP="00E16161">
      <w:pPr>
        <w:spacing w:after="0" w:line="240" w:lineRule="auto"/>
        <w:ind w:firstLine="567"/>
        <w:jc w:val="both"/>
        <w:rPr>
          <w:rFonts w:ascii="Times New Roman" w:eastAsia="Times New Roman" w:hAnsi="Times New Roman" w:cs="Times New Roman"/>
          <w:b/>
          <w:noProof/>
          <w:color w:val="000000"/>
          <w:sz w:val="24"/>
          <w:szCs w:val="24"/>
        </w:rPr>
      </w:pPr>
    </w:p>
    <w:p w14:paraId="53D093D6" w14:textId="77777777" w:rsidR="00E16161" w:rsidRPr="00ED6430" w:rsidRDefault="00E16161" w:rsidP="00E16161">
      <w:pPr>
        <w:spacing w:after="0" w:line="240" w:lineRule="auto"/>
        <w:ind w:firstLine="567"/>
        <w:jc w:val="both"/>
        <w:rPr>
          <w:rFonts w:ascii="Times New Roman" w:eastAsia="Times New Roman" w:hAnsi="Times New Roman" w:cs="Times New Roman"/>
          <w:b/>
          <w:i/>
          <w:noProof/>
          <w:color w:val="000000"/>
          <w:sz w:val="24"/>
          <w:szCs w:val="24"/>
        </w:rPr>
      </w:pPr>
      <w:r w:rsidRPr="00ED6430">
        <w:rPr>
          <w:rFonts w:ascii="Times New Roman" w:eastAsia="Times New Roman" w:hAnsi="Times New Roman" w:cs="Times New Roman"/>
          <w:b/>
          <w:i/>
          <w:noProof/>
          <w:color w:val="000000"/>
          <w:sz w:val="24"/>
          <w:szCs w:val="24"/>
        </w:rPr>
        <w:t>2. Икономическо въздействие</w:t>
      </w:r>
    </w:p>
    <w:p w14:paraId="03C451FC" w14:textId="3D5A3320" w:rsidR="00E16161" w:rsidRPr="00935B84" w:rsidRDefault="00E16161" w:rsidP="00E16161">
      <w:pPr>
        <w:spacing w:after="0" w:line="240" w:lineRule="auto"/>
        <w:ind w:firstLine="567"/>
        <w:jc w:val="both"/>
        <w:rPr>
          <w:rFonts w:ascii="Times New Roman" w:eastAsia="Times New Roman" w:hAnsi="Times New Roman" w:cs="Times New Roman"/>
          <w:noProof/>
          <w:color w:val="000000"/>
          <w:sz w:val="24"/>
          <w:szCs w:val="24"/>
        </w:rPr>
      </w:pPr>
      <w:r w:rsidRPr="00935B84">
        <w:rPr>
          <w:rFonts w:ascii="Times New Roman" w:eastAsia="Times New Roman" w:hAnsi="Times New Roman" w:cs="Times New Roman"/>
          <w:noProof/>
          <w:color w:val="000000"/>
          <w:sz w:val="24"/>
          <w:szCs w:val="24"/>
        </w:rPr>
        <w:t xml:space="preserve">Критерият анализира очакваният ефект </w:t>
      </w:r>
      <w:r w:rsidR="00372254">
        <w:rPr>
          <w:rFonts w:ascii="Times New Roman" w:eastAsia="Times New Roman" w:hAnsi="Times New Roman" w:cs="Times New Roman"/>
          <w:noProof/>
          <w:color w:val="000000"/>
          <w:sz w:val="24"/>
          <w:szCs w:val="24"/>
        </w:rPr>
        <w:t xml:space="preserve">на всеки от вариантите </w:t>
      </w:r>
      <w:r w:rsidRPr="00935B84">
        <w:rPr>
          <w:rFonts w:ascii="Times New Roman" w:eastAsia="Times New Roman" w:hAnsi="Times New Roman" w:cs="Times New Roman"/>
          <w:noProof/>
          <w:color w:val="000000"/>
          <w:sz w:val="24"/>
          <w:szCs w:val="24"/>
        </w:rPr>
        <w:t xml:space="preserve">върху </w:t>
      </w:r>
      <w:r w:rsidR="00372254">
        <w:rPr>
          <w:rFonts w:ascii="Times New Roman" w:eastAsia="Times New Roman" w:hAnsi="Times New Roman" w:cs="Times New Roman"/>
          <w:noProof/>
          <w:color w:val="000000"/>
          <w:sz w:val="24"/>
          <w:szCs w:val="24"/>
        </w:rPr>
        <w:t>икономиката на сектора и пазара, като</w:t>
      </w:r>
      <w:r w:rsidRPr="00935B84">
        <w:rPr>
          <w:rFonts w:ascii="Times New Roman" w:eastAsia="Times New Roman" w:hAnsi="Times New Roman" w:cs="Times New Roman"/>
          <w:noProof/>
          <w:color w:val="000000"/>
          <w:sz w:val="24"/>
          <w:szCs w:val="24"/>
        </w:rPr>
        <w:t xml:space="preserve"> включва</w:t>
      </w:r>
      <w:r w:rsidR="00372254">
        <w:rPr>
          <w:rFonts w:ascii="Times New Roman" w:eastAsia="Times New Roman" w:hAnsi="Times New Roman" w:cs="Times New Roman"/>
          <w:noProof/>
          <w:color w:val="000000"/>
          <w:sz w:val="24"/>
          <w:szCs w:val="24"/>
        </w:rPr>
        <w:t>:</w:t>
      </w:r>
      <w:r w:rsidRPr="00935B84">
        <w:rPr>
          <w:rFonts w:ascii="Times New Roman" w:eastAsia="Times New Roman" w:hAnsi="Times New Roman" w:cs="Times New Roman"/>
          <w:noProof/>
          <w:color w:val="000000"/>
          <w:sz w:val="24"/>
          <w:szCs w:val="24"/>
        </w:rPr>
        <w:t xml:space="preserve"> растеж, инвестиции, конкуренция, цени за потребителите, доходи и стабилност на фермери и доставчици. Например, при изцяло нов специален закон (Вариант 3) се очакват положителни ефекти върху най-уязвимите участници по веригата на доставки – земеделските производители (повече сигурност за реализация на продукцията), повишаване на конкуренцията и в дългосрочен план увеличаване на заетостта и продуктивността. Обратно, липсата на </w:t>
      </w:r>
      <w:r w:rsidRPr="00935B84">
        <w:rPr>
          <w:rFonts w:ascii="Times New Roman" w:eastAsia="Times New Roman" w:hAnsi="Times New Roman" w:cs="Times New Roman"/>
          <w:noProof/>
          <w:color w:val="000000"/>
          <w:sz w:val="24"/>
          <w:szCs w:val="24"/>
        </w:rPr>
        <w:lastRenderedPageBreak/>
        <w:t>действие (Вариант 0) би запазила неконкурентна среда</w:t>
      </w:r>
      <w:r w:rsidR="00372254">
        <w:rPr>
          <w:rFonts w:ascii="Times New Roman" w:eastAsia="Times New Roman" w:hAnsi="Times New Roman" w:cs="Times New Roman"/>
          <w:noProof/>
          <w:color w:val="000000"/>
          <w:sz w:val="24"/>
          <w:szCs w:val="24"/>
        </w:rPr>
        <w:t>та</w:t>
      </w:r>
      <w:r w:rsidRPr="00935B84">
        <w:rPr>
          <w:rFonts w:ascii="Times New Roman" w:eastAsia="Times New Roman" w:hAnsi="Times New Roman" w:cs="Times New Roman"/>
          <w:noProof/>
          <w:color w:val="000000"/>
          <w:sz w:val="24"/>
          <w:szCs w:val="24"/>
        </w:rPr>
        <w:t xml:space="preserve"> и може да доведе до спад в производството и заетостта, тъй като дребни доставчици биха били изтласкани от пазара.</w:t>
      </w:r>
    </w:p>
    <w:p w14:paraId="1D89F0D6" w14:textId="77777777" w:rsidR="00E16161" w:rsidRPr="00935B84" w:rsidRDefault="00E16161" w:rsidP="00E16161">
      <w:pPr>
        <w:spacing w:after="0" w:line="240" w:lineRule="auto"/>
        <w:ind w:firstLine="567"/>
        <w:jc w:val="both"/>
        <w:rPr>
          <w:rFonts w:ascii="Times New Roman" w:eastAsia="Times New Roman" w:hAnsi="Times New Roman" w:cs="Times New Roman"/>
          <w:noProof/>
          <w:color w:val="000000"/>
          <w:sz w:val="24"/>
          <w:szCs w:val="24"/>
        </w:rPr>
      </w:pPr>
    </w:p>
    <w:p w14:paraId="4FE915BC" w14:textId="77777777" w:rsidR="00E16161" w:rsidRPr="00ED6430" w:rsidRDefault="00E16161" w:rsidP="00E16161">
      <w:pPr>
        <w:spacing w:after="0" w:line="240" w:lineRule="auto"/>
        <w:ind w:firstLine="567"/>
        <w:jc w:val="both"/>
        <w:rPr>
          <w:rFonts w:ascii="Times New Roman" w:eastAsia="Times New Roman" w:hAnsi="Times New Roman" w:cs="Times New Roman"/>
          <w:b/>
          <w:i/>
          <w:noProof/>
          <w:color w:val="000000"/>
          <w:sz w:val="24"/>
          <w:szCs w:val="24"/>
        </w:rPr>
      </w:pPr>
      <w:r w:rsidRPr="00ED6430">
        <w:rPr>
          <w:rFonts w:ascii="Times New Roman" w:eastAsia="Times New Roman" w:hAnsi="Times New Roman" w:cs="Times New Roman"/>
          <w:b/>
          <w:i/>
          <w:noProof/>
          <w:color w:val="000000"/>
          <w:sz w:val="24"/>
          <w:szCs w:val="24"/>
        </w:rPr>
        <w:t>3. Въздействие върху малките и средните предприятия</w:t>
      </w:r>
    </w:p>
    <w:p w14:paraId="3BF3BEE4" w14:textId="0D9FB6CF" w:rsidR="00E16161" w:rsidRPr="00372254" w:rsidRDefault="00E16161" w:rsidP="00E16161">
      <w:pPr>
        <w:spacing w:after="0" w:line="240" w:lineRule="auto"/>
        <w:ind w:firstLine="567"/>
        <w:jc w:val="both"/>
        <w:rPr>
          <w:rFonts w:ascii="Times New Roman" w:eastAsia="Times New Roman" w:hAnsi="Times New Roman" w:cs="Times New Roman"/>
          <w:b/>
          <w:noProof/>
          <w:sz w:val="24"/>
          <w:szCs w:val="24"/>
        </w:rPr>
      </w:pPr>
      <w:r w:rsidRPr="00372254">
        <w:rPr>
          <w:rFonts w:ascii="Times New Roman" w:eastAsia="Times New Roman" w:hAnsi="Times New Roman" w:cs="Times New Roman"/>
          <w:noProof/>
          <w:color w:val="000000"/>
          <w:sz w:val="24"/>
          <w:szCs w:val="24"/>
        </w:rPr>
        <w:t>Този критерий взема предвид специфичното въздействие на вариантите спрямо малките земеделски стопанства, производители и малки търговци. МСП са гръбнакът на аграрния сектор в България – над 90% от фермите са малки (само 9% от фермите обработват 85% от земята, което означава, че огромен брой дребни стопанства си поделят едва 15% от земеделската земя). Именно тези по-дребни производители често са „по-слабата страна“ във веригата на доставки и търпят тежестта на нелоялните практики. Затова е важно да се оцени кой вариант ги облагодетелства или им вреди най-много. Чрез този анализ се отчитат както преки ползи (напр</w:t>
      </w:r>
      <w:r w:rsidR="009210D9" w:rsidRPr="00372254">
        <w:rPr>
          <w:rFonts w:ascii="Times New Roman" w:eastAsia="Times New Roman" w:hAnsi="Times New Roman" w:cs="Times New Roman"/>
          <w:noProof/>
          <w:color w:val="000000"/>
          <w:sz w:val="24"/>
          <w:szCs w:val="24"/>
        </w:rPr>
        <w:t xml:space="preserve">имер, </w:t>
      </w:r>
      <w:r w:rsidRPr="00372254">
        <w:rPr>
          <w:rFonts w:ascii="Times New Roman" w:eastAsia="Times New Roman" w:hAnsi="Times New Roman" w:cs="Times New Roman"/>
          <w:noProof/>
          <w:color w:val="000000"/>
          <w:sz w:val="24"/>
          <w:szCs w:val="24"/>
        </w:rPr>
        <w:t xml:space="preserve">защита от несправедливи договорни условия, гарантиране на навременно заплащане), така и непреднамерени </w:t>
      </w:r>
      <w:r w:rsidR="00372254">
        <w:rPr>
          <w:rFonts w:ascii="Times New Roman" w:eastAsia="Times New Roman" w:hAnsi="Times New Roman" w:cs="Times New Roman"/>
          <w:noProof/>
          <w:color w:val="000000"/>
          <w:sz w:val="24"/>
          <w:szCs w:val="24"/>
        </w:rPr>
        <w:t>загуб</w:t>
      </w:r>
      <w:r w:rsidR="00CE5AB9">
        <w:rPr>
          <w:rFonts w:ascii="Times New Roman" w:eastAsia="Times New Roman" w:hAnsi="Times New Roman" w:cs="Times New Roman"/>
          <w:noProof/>
          <w:color w:val="000000"/>
          <w:sz w:val="24"/>
          <w:szCs w:val="24"/>
        </w:rPr>
        <w:t>и</w:t>
      </w:r>
      <w:r w:rsidRPr="00372254">
        <w:rPr>
          <w:rFonts w:ascii="Times New Roman" w:eastAsia="Times New Roman" w:hAnsi="Times New Roman" w:cs="Times New Roman"/>
          <w:noProof/>
          <w:color w:val="000000"/>
          <w:sz w:val="24"/>
          <w:szCs w:val="24"/>
        </w:rPr>
        <w:t xml:space="preserve"> (напр</w:t>
      </w:r>
      <w:r w:rsidR="009210D9" w:rsidRPr="00372254">
        <w:rPr>
          <w:rFonts w:ascii="Times New Roman" w:eastAsia="Times New Roman" w:hAnsi="Times New Roman" w:cs="Times New Roman"/>
          <w:noProof/>
          <w:color w:val="000000"/>
          <w:sz w:val="24"/>
          <w:szCs w:val="24"/>
        </w:rPr>
        <w:t>имер,</w:t>
      </w:r>
      <w:r w:rsidRPr="00372254">
        <w:rPr>
          <w:rFonts w:ascii="Times New Roman" w:eastAsia="Times New Roman" w:hAnsi="Times New Roman" w:cs="Times New Roman"/>
          <w:noProof/>
          <w:color w:val="000000"/>
          <w:sz w:val="24"/>
          <w:szCs w:val="24"/>
        </w:rPr>
        <w:t xml:space="preserve"> нови регулаторни задължения или разходи за съответствие, които МСП трябва да понасят). </w:t>
      </w:r>
      <w:r w:rsidR="009210D9" w:rsidRPr="00372254">
        <w:rPr>
          <w:rFonts w:ascii="Times New Roman" w:eastAsia="Times New Roman" w:hAnsi="Times New Roman" w:cs="Times New Roman"/>
          <w:noProof/>
          <w:color w:val="000000"/>
          <w:sz w:val="24"/>
          <w:szCs w:val="24"/>
        </w:rPr>
        <w:t>П</w:t>
      </w:r>
      <w:r w:rsidRPr="00372254">
        <w:rPr>
          <w:rFonts w:ascii="Times New Roman" w:eastAsia="Times New Roman" w:hAnsi="Times New Roman" w:cs="Times New Roman"/>
          <w:noProof/>
          <w:color w:val="000000"/>
          <w:sz w:val="24"/>
          <w:szCs w:val="24"/>
        </w:rPr>
        <w:t>ри Вариант 3 малките доставчици ще бъдат значително по-добре защитени</w:t>
      </w:r>
      <w:r w:rsidR="009210D9" w:rsidRPr="00372254">
        <w:rPr>
          <w:rFonts w:ascii="Times New Roman" w:eastAsia="Times New Roman" w:hAnsi="Times New Roman" w:cs="Times New Roman"/>
          <w:noProof/>
          <w:color w:val="000000"/>
          <w:sz w:val="24"/>
          <w:szCs w:val="24"/>
        </w:rPr>
        <w:t>, тъй като</w:t>
      </w:r>
      <w:r w:rsidRPr="00372254">
        <w:rPr>
          <w:rFonts w:ascii="Times New Roman" w:eastAsia="Times New Roman" w:hAnsi="Times New Roman" w:cs="Times New Roman"/>
          <w:noProof/>
          <w:color w:val="000000"/>
          <w:sz w:val="24"/>
          <w:szCs w:val="24"/>
        </w:rPr>
        <w:t xml:space="preserve"> новият закон би адресирал напълно неравнопоставеността и правната несигурност, елиминирайки възможността големите купувачи да злоупотребяват с по-слабите. При Вариант 0 МСП остават в най-неблагоприятна позиция – диспропорциите и липсата на защита продължават, което може да принуди много малки производители да се откажат от основните си канали за продажба (например</w:t>
      </w:r>
      <w:r w:rsidR="009210D9" w:rsidRPr="00372254">
        <w:rPr>
          <w:rFonts w:ascii="Times New Roman" w:eastAsia="Times New Roman" w:hAnsi="Times New Roman" w:cs="Times New Roman"/>
          <w:noProof/>
          <w:color w:val="000000"/>
          <w:sz w:val="24"/>
          <w:szCs w:val="24"/>
        </w:rPr>
        <w:t>,</w:t>
      </w:r>
      <w:r w:rsidRPr="00372254">
        <w:rPr>
          <w:rFonts w:ascii="Times New Roman" w:eastAsia="Times New Roman" w:hAnsi="Times New Roman" w:cs="Times New Roman"/>
          <w:noProof/>
          <w:color w:val="000000"/>
          <w:sz w:val="24"/>
          <w:szCs w:val="24"/>
        </w:rPr>
        <w:t xml:space="preserve"> да спрат да снабдяват големите вериги поради натиск и неизгодни условия). Вариант 1 вероятно няма да създаде допълнителни тежести за МСП, но и няма да </w:t>
      </w:r>
      <w:r w:rsidR="00372254">
        <w:rPr>
          <w:rFonts w:ascii="Times New Roman" w:eastAsia="Times New Roman" w:hAnsi="Times New Roman" w:cs="Times New Roman"/>
          <w:noProof/>
          <w:color w:val="000000"/>
          <w:sz w:val="24"/>
          <w:szCs w:val="24"/>
        </w:rPr>
        <w:t>им даде съществени нови защити и</w:t>
      </w:r>
      <w:r w:rsidRPr="00372254">
        <w:rPr>
          <w:rFonts w:ascii="Times New Roman" w:eastAsia="Times New Roman" w:hAnsi="Times New Roman" w:cs="Times New Roman"/>
          <w:noProof/>
          <w:color w:val="000000"/>
          <w:sz w:val="24"/>
          <w:szCs w:val="24"/>
        </w:rPr>
        <w:t xml:space="preserve"> следователно те биха продължили да търпят негативите на </w:t>
      </w:r>
      <w:r w:rsidR="00372254">
        <w:rPr>
          <w:rFonts w:ascii="Times New Roman" w:eastAsia="Times New Roman" w:hAnsi="Times New Roman" w:cs="Times New Roman"/>
          <w:noProof/>
          <w:color w:val="000000"/>
          <w:sz w:val="24"/>
          <w:szCs w:val="24"/>
        </w:rPr>
        <w:t>съществуващата</w:t>
      </w:r>
      <w:r w:rsidRPr="00372254">
        <w:rPr>
          <w:rFonts w:ascii="Times New Roman" w:eastAsia="Times New Roman" w:hAnsi="Times New Roman" w:cs="Times New Roman"/>
          <w:noProof/>
          <w:color w:val="000000"/>
          <w:sz w:val="24"/>
          <w:szCs w:val="24"/>
        </w:rPr>
        <w:t xml:space="preserve"> среда. Вариант 2 би подобрил донякъде положението на МСП, но тъй като не адресира напълно всички проблеми, някои нелоялни практики биха продължили и малките производители пак биха били частично уязвими.</w:t>
      </w:r>
    </w:p>
    <w:p w14:paraId="10EEF265" w14:textId="77777777" w:rsidR="00E16161" w:rsidRPr="00372254" w:rsidRDefault="00E16161" w:rsidP="00E16161">
      <w:pPr>
        <w:spacing w:after="0" w:line="240" w:lineRule="auto"/>
        <w:ind w:firstLine="567"/>
        <w:jc w:val="both"/>
        <w:rPr>
          <w:rFonts w:ascii="Times New Roman" w:eastAsia="Times New Roman" w:hAnsi="Times New Roman" w:cs="Times New Roman"/>
          <w:noProof/>
          <w:color w:val="000000"/>
          <w:sz w:val="24"/>
          <w:szCs w:val="24"/>
        </w:rPr>
      </w:pPr>
    </w:p>
    <w:p w14:paraId="39D5BDB2" w14:textId="77777777" w:rsidR="00E16161" w:rsidRPr="00ED6430" w:rsidRDefault="00E16161" w:rsidP="00E16161">
      <w:pPr>
        <w:spacing w:after="0" w:line="240" w:lineRule="auto"/>
        <w:ind w:firstLine="567"/>
        <w:jc w:val="both"/>
        <w:rPr>
          <w:rFonts w:ascii="Times New Roman" w:eastAsia="Times New Roman" w:hAnsi="Times New Roman" w:cs="Times New Roman"/>
          <w:b/>
          <w:i/>
          <w:noProof/>
          <w:color w:val="000000"/>
          <w:sz w:val="24"/>
          <w:szCs w:val="24"/>
        </w:rPr>
      </w:pPr>
      <w:r w:rsidRPr="00ED6430">
        <w:rPr>
          <w:rFonts w:ascii="Times New Roman" w:eastAsia="Times New Roman" w:hAnsi="Times New Roman" w:cs="Times New Roman"/>
          <w:b/>
          <w:i/>
          <w:noProof/>
          <w:color w:val="000000"/>
          <w:sz w:val="24"/>
          <w:szCs w:val="24"/>
        </w:rPr>
        <w:t>4. Административна тежест</w:t>
      </w:r>
    </w:p>
    <w:p w14:paraId="57DB278F" w14:textId="771844D4" w:rsidR="00E16161" w:rsidRPr="00372254" w:rsidRDefault="00E16161" w:rsidP="00E16161">
      <w:pPr>
        <w:spacing w:after="0" w:line="240" w:lineRule="auto"/>
        <w:ind w:firstLine="567"/>
        <w:jc w:val="both"/>
        <w:rPr>
          <w:rFonts w:ascii="Times New Roman" w:eastAsia="Times New Roman" w:hAnsi="Times New Roman" w:cs="Times New Roman"/>
          <w:noProof/>
          <w:color w:val="000000"/>
          <w:sz w:val="24"/>
          <w:szCs w:val="24"/>
        </w:rPr>
      </w:pPr>
      <w:r w:rsidRPr="00372254">
        <w:rPr>
          <w:rFonts w:ascii="Times New Roman" w:eastAsia="Times New Roman" w:hAnsi="Times New Roman" w:cs="Times New Roman"/>
          <w:noProof/>
          <w:color w:val="000000"/>
          <w:sz w:val="24"/>
          <w:szCs w:val="24"/>
        </w:rPr>
        <w:t>Критерият измерва какви административни дейности и бреме за адресатите на регулирането</w:t>
      </w:r>
      <w:r w:rsidR="00372254">
        <w:rPr>
          <w:rFonts w:ascii="Times New Roman" w:eastAsia="Times New Roman" w:hAnsi="Times New Roman" w:cs="Times New Roman"/>
          <w:noProof/>
          <w:color w:val="000000"/>
          <w:sz w:val="24"/>
          <w:szCs w:val="24"/>
        </w:rPr>
        <w:t xml:space="preserve"> би наложил всеки от вариантите.</w:t>
      </w:r>
      <w:r w:rsidRPr="00372254">
        <w:rPr>
          <w:rFonts w:ascii="Times New Roman" w:eastAsia="Times New Roman" w:hAnsi="Times New Roman" w:cs="Times New Roman"/>
          <w:noProof/>
          <w:color w:val="000000"/>
          <w:sz w:val="24"/>
          <w:szCs w:val="24"/>
        </w:rPr>
        <w:t xml:space="preserve"> Това обхваща както задълженията за представяне на информация от адресатите</w:t>
      </w:r>
      <w:r w:rsidR="00372254">
        <w:rPr>
          <w:rFonts w:ascii="Times New Roman" w:eastAsia="Times New Roman" w:hAnsi="Times New Roman" w:cs="Times New Roman"/>
          <w:noProof/>
          <w:color w:val="000000"/>
          <w:sz w:val="24"/>
          <w:szCs w:val="24"/>
        </w:rPr>
        <w:t xml:space="preserve"> на регулирането</w:t>
      </w:r>
      <w:r w:rsidRPr="00372254">
        <w:rPr>
          <w:rFonts w:ascii="Times New Roman" w:eastAsia="Times New Roman" w:hAnsi="Times New Roman" w:cs="Times New Roman"/>
          <w:noProof/>
          <w:color w:val="000000"/>
          <w:sz w:val="24"/>
          <w:szCs w:val="24"/>
        </w:rPr>
        <w:t xml:space="preserve">, така и сложността на администриране и мониторинг. Вариант 0 по дефиниция не налага нови разходи или процедури. Вариант 1 (нерегулаторен подход) би изисквал минимални средства (напр. за насърчаване на доброволни </w:t>
      </w:r>
      <w:r w:rsidR="00372254">
        <w:rPr>
          <w:rFonts w:ascii="Times New Roman" w:eastAsia="Times New Roman" w:hAnsi="Times New Roman" w:cs="Times New Roman"/>
          <w:noProof/>
          <w:color w:val="000000"/>
          <w:sz w:val="24"/>
          <w:szCs w:val="24"/>
        </w:rPr>
        <w:t>кодекси и споразумения</w:t>
      </w:r>
      <w:r w:rsidRPr="00372254">
        <w:rPr>
          <w:rFonts w:ascii="Times New Roman" w:eastAsia="Times New Roman" w:hAnsi="Times New Roman" w:cs="Times New Roman"/>
          <w:noProof/>
          <w:color w:val="000000"/>
          <w:sz w:val="24"/>
          <w:szCs w:val="24"/>
        </w:rPr>
        <w:t>). При Вариант 2 може да има частично увеличени разходи за държавата (адаптиране на съществуващи</w:t>
      </w:r>
      <w:r w:rsidR="009210D9" w:rsidRPr="00372254">
        <w:rPr>
          <w:rFonts w:ascii="Times New Roman" w:eastAsia="Times New Roman" w:hAnsi="Times New Roman" w:cs="Times New Roman"/>
          <w:noProof/>
          <w:color w:val="000000"/>
          <w:sz w:val="24"/>
          <w:szCs w:val="24"/>
        </w:rPr>
        <w:t>те</w:t>
      </w:r>
      <w:r w:rsidRPr="00372254">
        <w:rPr>
          <w:rFonts w:ascii="Times New Roman" w:eastAsia="Times New Roman" w:hAnsi="Times New Roman" w:cs="Times New Roman"/>
          <w:noProof/>
          <w:color w:val="000000"/>
          <w:sz w:val="24"/>
          <w:szCs w:val="24"/>
        </w:rPr>
        <w:t xml:space="preserve"> институции да прилагат промените). Вариант 3 вероятно е най-ресурсоемък</w:t>
      </w:r>
      <w:r w:rsidR="000B4B12" w:rsidRPr="00372254">
        <w:rPr>
          <w:rFonts w:ascii="Times New Roman" w:eastAsia="Times New Roman" w:hAnsi="Times New Roman" w:cs="Times New Roman"/>
          <w:noProof/>
          <w:color w:val="000000"/>
          <w:sz w:val="24"/>
          <w:szCs w:val="24"/>
        </w:rPr>
        <w:t>,</w:t>
      </w:r>
      <w:r w:rsidRPr="00372254">
        <w:rPr>
          <w:rFonts w:ascii="Times New Roman" w:eastAsia="Times New Roman" w:hAnsi="Times New Roman" w:cs="Times New Roman"/>
          <w:noProof/>
          <w:color w:val="000000"/>
          <w:sz w:val="24"/>
          <w:szCs w:val="24"/>
        </w:rPr>
        <w:t xml:space="preserve"> защото приемането на нов закон изисква създаване на нови правила и функционалности, което означава повече разходи. </w:t>
      </w:r>
    </w:p>
    <w:p w14:paraId="0D89873F" w14:textId="77777777" w:rsidR="00E16161" w:rsidRPr="008175B8" w:rsidRDefault="00E16161" w:rsidP="00E16161">
      <w:pPr>
        <w:spacing w:after="0" w:line="240" w:lineRule="auto"/>
        <w:ind w:firstLine="567"/>
        <w:jc w:val="both"/>
        <w:rPr>
          <w:rFonts w:ascii="Times New Roman" w:eastAsia="Times New Roman" w:hAnsi="Times New Roman" w:cs="Times New Roman"/>
          <w:b/>
          <w:noProof/>
          <w:sz w:val="24"/>
          <w:szCs w:val="24"/>
        </w:rPr>
      </w:pPr>
    </w:p>
    <w:p w14:paraId="70163DBF" w14:textId="77777777" w:rsidR="00E16161" w:rsidRPr="00ED6430" w:rsidRDefault="00E16161" w:rsidP="00E16161">
      <w:pPr>
        <w:spacing w:after="0" w:line="240" w:lineRule="auto"/>
        <w:ind w:firstLine="567"/>
        <w:jc w:val="both"/>
        <w:rPr>
          <w:rFonts w:ascii="Times New Roman" w:eastAsia="Times New Roman" w:hAnsi="Times New Roman" w:cs="Times New Roman"/>
          <w:b/>
          <w:i/>
          <w:noProof/>
          <w:sz w:val="24"/>
          <w:szCs w:val="24"/>
        </w:rPr>
      </w:pPr>
      <w:r w:rsidRPr="00ED6430">
        <w:rPr>
          <w:rFonts w:ascii="Times New Roman" w:eastAsia="Times New Roman" w:hAnsi="Times New Roman" w:cs="Times New Roman"/>
          <w:b/>
          <w:i/>
          <w:noProof/>
          <w:sz w:val="24"/>
          <w:szCs w:val="24"/>
        </w:rPr>
        <w:t>5. Приложимост и осъществимост</w:t>
      </w:r>
    </w:p>
    <w:p w14:paraId="204BBBA1" w14:textId="25A924BB" w:rsidR="00E16161" w:rsidRPr="008175B8" w:rsidRDefault="00E16161" w:rsidP="00E16161">
      <w:pPr>
        <w:spacing w:after="0" w:line="240" w:lineRule="auto"/>
        <w:ind w:firstLine="567"/>
        <w:jc w:val="both"/>
        <w:rPr>
          <w:rFonts w:ascii="Times New Roman" w:eastAsia="Times New Roman" w:hAnsi="Times New Roman" w:cs="Times New Roman"/>
          <w:noProof/>
          <w:color w:val="000000"/>
          <w:sz w:val="24"/>
          <w:szCs w:val="24"/>
        </w:rPr>
      </w:pPr>
      <w:r w:rsidRPr="008175B8">
        <w:rPr>
          <w:rFonts w:ascii="Times New Roman" w:eastAsia="Times New Roman" w:hAnsi="Times New Roman" w:cs="Times New Roman"/>
          <w:noProof/>
          <w:color w:val="000000"/>
          <w:sz w:val="24"/>
          <w:szCs w:val="24"/>
        </w:rPr>
        <w:t xml:space="preserve">Критерият позволява да бъдат разгледани реалистичността и практическите трудности за въвеждане на нови мерки на политики, включително необходимо време, </w:t>
      </w:r>
      <w:r w:rsidRPr="008175B8">
        <w:rPr>
          <w:rFonts w:ascii="Times New Roman" w:eastAsia="Times New Roman" w:hAnsi="Times New Roman" w:cs="Times New Roman"/>
          <w:noProof/>
          <w:color w:val="000000"/>
          <w:sz w:val="24"/>
          <w:szCs w:val="24"/>
        </w:rPr>
        <w:lastRenderedPageBreak/>
        <w:t xml:space="preserve">политическа подкрепа и рискове при изпълнението. Той позволява да се анализира колко бързо и лесно може да се приведе в изпълнение съответното решение. Например, „без действие“ </w:t>
      </w:r>
      <w:r w:rsidR="008175B8">
        <w:rPr>
          <w:rFonts w:ascii="Times New Roman" w:eastAsia="Times New Roman" w:hAnsi="Times New Roman" w:cs="Times New Roman"/>
          <w:noProof/>
          <w:color w:val="000000"/>
          <w:sz w:val="24"/>
          <w:szCs w:val="24"/>
        </w:rPr>
        <w:t>(</w:t>
      </w:r>
      <w:r w:rsidR="008175B8" w:rsidRPr="00372254">
        <w:rPr>
          <w:rFonts w:ascii="Times New Roman" w:eastAsia="Times New Roman" w:hAnsi="Times New Roman" w:cs="Times New Roman"/>
          <w:noProof/>
          <w:color w:val="000000"/>
          <w:sz w:val="24"/>
          <w:szCs w:val="24"/>
        </w:rPr>
        <w:t>Вариант 0</w:t>
      </w:r>
      <w:r w:rsidR="008175B8">
        <w:rPr>
          <w:rFonts w:ascii="Times New Roman" w:eastAsia="Times New Roman" w:hAnsi="Times New Roman" w:cs="Times New Roman"/>
          <w:noProof/>
          <w:color w:val="000000"/>
          <w:sz w:val="24"/>
          <w:szCs w:val="24"/>
        </w:rPr>
        <w:t xml:space="preserve">) </w:t>
      </w:r>
      <w:r w:rsidRPr="008175B8">
        <w:rPr>
          <w:rFonts w:ascii="Times New Roman" w:eastAsia="Times New Roman" w:hAnsi="Times New Roman" w:cs="Times New Roman"/>
          <w:noProof/>
          <w:color w:val="000000"/>
          <w:sz w:val="24"/>
          <w:szCs w:val="24"/>
        </w:rPr>
        <w:t>е формално най-лесният избор (няма нужда от никакви промени). Нерегулаторният подход</w:t>
      </w:r>
      <w:r w:rsidR="008175B8">
        <w:rPr>
          <w:rFonts w:ascii="Times New Roman" w:eastAsia="Times New Roman" w:hAnsi="Times New Roman" w:cs="Times New Roman"/>
          <w:noProof/>
          <w:color w:val="000000"/>
          <w:sz w:val="24"/>
          <w:szCs w:val="24"/>
        </w:rPr>
        <w:t xml:space="preserve"> (</w:t>
      </w:r>
      <w:r w:rsidR="008175B8" w:rsidRPr="00372254">
        <w:rPr>
          <w:rFonts w:ascii="Times New Roman" w:eastAsia="Times New Roman" w:hAnsi="Times New Roman" w:cs="Times New Roman"/>
          <w:noProof/>
          <w:color w:val="000000"/>
          <w:sz w:val="24"/>
          <w:szCs w:val="24"/>
        </w:rPr>
        <w:t>Вариант 1</w:t>
      </w:r>
      <w:r w:rsidR="008175B8">
        <w:rPr>
          <w:rFonts w:ascii="Times New Roman" w:eastAsia="Times New Roman" w:hAnsi="Times New Roman" w:cs="Times New Roman"/>
          <w:noProof/>
          <w:color w:val="000000"/>
          <w:sz w:val="24"/>
          <w:szCs w:val="24"/>
        </w:rPr>
        <w:t>)</w:t>
      </w:r>
      <w:r w:rsidRPr="008175B8">
        <w:rPr>
          <w:rFonts w:ascii="Times New Roman" w:eastAsia="Times New Roman" w:hAnsi="Times New Roman" w:cs="Times New Roman"/>
          <w:noProof/>
          <w:color w:val="000000"/>
          <w:sz w:val="24"/>
          <w:szCs w:val="24"/>
        </w:rPr>
        <w:t xml:space="preserve"> също е лесно осъществим в краткосрочен план (може да се </w:t>
      </w:r>
      <w:r w:rsidR="008175B8">
        <w:rPr>
          <w:rFonts w:ascii="Times New Roman" w:eastAsia="Times New Roman" w:hAnsi="Times New Roman" w:cs="Times New Roman"/>
          <w:noProof/>
          <w:color w:val="000000"/>
          <w:sz w:val="24"/>
          <w:szCs w:val="24"/>
        </w:rPr>
        <w:t>започне</w:t>
      </w:r>
      <w:r w:rsidRPr="008175B8">
        <w:rPr>
          <w:rFonts w:ascii="Times New Roman" w:eastAsia="Times New Roman" w:hAnsi="Times New Roman" w:cs="Times New Roman"/>
          <w:noProof/>
          <w:color w:val="000000"/>
          <w:sz w:val="24"/>
          <w:szCs w:val="24"/>
        </w:rPr>
        <w:t xml:space="preserve"> </w:t>
      </w:r>
      <w:r w:rsidR="008175B8">
        <w:rPr>
          <w:rFonts w:ascii="Times New Roman" w:eastAsia="Times New Roman" w:hAnsi="Times New Roman" w:cs="Times New Roman"/>
          <w:noProof/>
          <w:color w:val="000000"/>
          <w:sz w:val="24"/>
          <w:szCs w:val="24"/>
        </w:rPr>
        <w:t xml:space="preserve">с осъществяването му </w:t>
      </w:r>
      <w:r w:rsidRPr="008175B8">
        <w:rPr>
          <w:rFonts w:ascii="Times New Roman" w:eastAsia="Times New Roman" w:hAnsi="Times New Roman" w:cs="Times New Roman"/>
          <w:noProof/>
          <w:color w:val="000000"/>
          <w:sz w:val="24"/>
          <w:szCs w:val="24"/>
        </w:rPr>
        <w:t>веднага чрез кампании и споразумения), но има риск да не постигне съществен ефект и да бъде критикуван като недостатъчен. Приемането на нов специален за</w:t>
      </w:r>
      <w:r w:rsidR="008175B8">
        <w:rPr>
          <w:rFonts w:ascii="Times New Roman" w:eastAsia="Times New Roman" w:hAnsi="Times New Roman" w:cs="Times New Roman"/>
          <w:noProof/>
          <w:color w:val="000000"/>
          <w:sz w:val="24"/>
          <w:szCs w:val="24"/>
        </w:rPr>
        <w:t>кон е най-комплексният вариант. Н</w:t>
      </w:r>
      <w:r w:rsidRPr="008175B8">
        <w:rPr>
          <w:rFonts w:ascii="Times New Roman" w:eastAsia="Times New Roman" w:hAnsi="Times New Roman" w:cs="Times New Roman"/>
          <w:noProof/>
          <w:color w:val="000000"/>
          <w:sz w:val="24"/>
          <w:szCs w:val="24"/>
        </w:rPr>
        <w:t>еобходими са усилия по разработване, обществено обсъждане, междуведомствено съгласуване, приемане, прилагане, спазване, администриране, контрол и отчитане. Критерият „приложимост“ отчита именно всички тези практически аспекти.</w:t>
      </w:r>
    </w:p>
    <w:p w14:paraId="1469D10E" w14:textId="77777777" w:rsidR="00E16161" w:rsidRPr="008175B8" w:rsidRDefault="00E16161" w:rsidP="00E16161">
      <w:pPr>
        <w:spacing w:after="0" w:line="240" w:lineRule="auto"/>
        <w:ind w:firstLine="567"/>
        <w:jc w:val="both"/>
        <w:rPr>
          <w:rFonts w:ascii="Times New Roman" w:eastAsia="Times New Roman" w:hAnsi="Times New Roman" w:cs="Times New Roman"/>
          <w:b/>
          <w:noProof/>
          <w:color w:val="000000"/>
          <w:sz w:val="24"/>
          <w:szCs w:val="24"/>
        </w:rPr>
      </w:pPr>
    </w:p>
    <w:p w14:paraId="3A85B717" w14:textId="77777777" w:rsidR="00E16161" w:rsidRPr="008175B8" w:rsidRDefault="00E16161" w:rsidP="00E16161">
      <w:pPr>
        <w:spacing w:after="0" w:line="240" w:lineRule="auto"/>
        <w:ind w:firstLine="567"/>
        <w:jc w:val="both"/>
        <w:rPr>
          <w:rFonts w:ascii="Times New Roman" w:eastAsia="Times New Roman" w:hAnsi="Times New Roman" w:cs="Times New Roman"/>
          <w:b/>
          <w:noProof/>
          <w:sz w:val="24"/>
          <w:szCs w:val="24"/>
        </w:rPr>
      </w:pPr>
      <w:r w:rsidRPr="008175B8">
        <w:rPr>
          <w:rFonts w:ascii="Times New Roman" w:eastAsia="Times New Roman" w:hAnsi="Times New Roman" w:cs="Times New Roman"/>
          <w:b/>
          <w:noProof/>
          <w:sz w:val="24"/>
          <w:szCs w:val="24"/>
        </w:rPr>
        <w:t>ІІ. Тежести на критериите</w:t>
      </w:r>
    </w:p>
    <w:p w14:paraId="36CDBF41" w14:textId="34C38412" w:rsidR="00E16161" w:rsidRPr="008175B8" w:rsidRDefault="00E16161" w:rsidP="00E16161">
      <w:pPr>
        <w:spacing w:after="0" w:line="240" w:lineRule="auto"/>
        <w:ind w:firstLine="567"/>
        <w:jc w:val="both"/>
        <w:rPr>
          <w:rFonts w:ascii="Times New Roman" w:eastAsia="Times New Roman" w:hAnsi="Times New Roman" w:cs="Times New Roman"/>
          <w:noProof/>
          <w:sz w:val="24"/>
          <w:szCs w:val="24"/>
        </w:rPr>
      </w:pPr>
      <w:r w:rsidRPr="008175B8">
        <w:rPr>
          <w:rFonts w:ascii="Times New Roman" w:eastAsia="Times New Roman" w:hAnsi="Times New Roman" w:cs="Times New Roman"/>
          <w:noProof/>
          <w:sz w:val="24"/>
          <w:szCs w:val="24"/>
        </w:rPr>
        <w:t xml:space="preserve">За целите на мултикритерийния анализ, според спецификите на отношенията и средата, в която попадат изследваните от ОВ варианти, на всеки критерий е присвоена определена </w:t>
      </w:r>
      <w:r w:rsidRPr="008175B8">
        <w:rPr>
          <w:rFonts w:ascii="Times New Roman" w:eastAsia="Times New Roman" w:hAnsi="Times New Roman" w:cs="Times New Roman"/>
          <w:bCs/>
          <w:noProof/>
          <w:sz w:val="24"/>
          <w:szCs w:val="24"/>
        </w:rPr>
        <w:t>тежест</w:t>
      </w:r>
      <w:r w:rsidRPr="008175B8">
        <w:rPr>
          <w:rFonts w:ascii="Times New Roman" w:eastAsia="Times New Roman" w:hAnsi="Times New Roman" w:cs="Times New Roman"/>
          <w:noProof/>
          <w:sz w:val="24"/>
          <w:szCs w:val="24"/>
        </w:rPr>
        <w:t xml:space="preserve"> (Вж. Таблица </w:t>
      </w:r>
      <w:r w:rsidR="008C0E40">
        <w:rPr>
          <w:rFonts w:ascii="Times New Roman" w:eastAsia="Times New Roman" w:hAnsi="Times New Roman" w:cs="Times New Roman"/>
          <w:noProof/>
          <w:sz w:val="24"/>
          <w:szCs w:val="24"/>
        </w:rPr>
        <w:t>9</w:t>
      </w:r>
      <w:r w:rsidRPr="008175B8">
        <w:rPr>
          <w:rFonts w:ascii="Times New Roman" w:eastAsia="Times New Roman" w:hAnsi="Times New Roman" w:cs="Times New Roman"/>
          <w:noProof/>
          <w:sz w:val="24"/>
          <w:szCs w:val="24"/>
        </w:rPr>
        <w:t>).</w:t>
      </w:r>
    </w:p>
    <w:p w14:paraId="0E2EE88C" w14:textId="77777777" w:rsidR="00E16161" w:rsidRPr="00D85532" w:rsidRDefault="00E16161" w:rsidP="00E16161">
      <w:pPr>
        <w:spacing w:after="0" w:line="240" w:lineRule="auto"/>
        <w:ind w:firstLine="567"/>
        <w:jc w:val="both"/>
        <w:rPr>
          <w:rFonts w:ascii="Times New Roman" w:eastAsia="Times New Roman" w:hAnsi="Times New Roman" w:cs="Times New Roman"/>
          <w:noProof/>
          <w:sz w:val="24"/>
          <w:szCs w:val="24"/>
        </w:rPr>
      </w:pPr>
    </w:p>
    <w:p w14:paraId="389C04B9" w14:textId="77777777" w:rsidR="00E16161" w:rsidRPr="00D85532" w:rsidRDefault="00E16161" w:rsidP="00E16161">
      <w:pPr>
        <w:spacing w:after="0" w:line="240" w:lineRule="auto"/>
        <w:ind w:firstLine="567"/>
        <w:jc w:val="both"/>
        <w:rPr>
          <w:rFonts w:ascii="Times New Roman" w:eastAsia="Times New Roman" w:hAnsi="Times New Roman" w:cs="Times New Roman"/>
          <w:b/>
          <w:bCs/>
          <w:noProof/>
          <w:sz w:val="24"/>
          <w:szCs w:val="24"/>
        </w:rPr>
      </w:pPr>
      <w:r w:rsidRPr="00D85532">
        <w:rPr>
          <w:rFonts w:ascii="Times New Roman" w:eastAsia="Times New Roman" w:hAnsi="Times New Roman" w:cs="Times New Roman"/>
          <w:noProof/>
          <w:sz w:val="24"/>
          <w:szCs w:val="24"/>
        </w:rPr>
        <w:t xml:space="preserve">1. </w:t>
      </w:r>
      <w:r w:rsidRPr="00D85532">
        <w:rPr>
          <w:rFonts w:ascii="Times New Roman" w:eastAsia="Times New Roman" w:hAnsi="Times New Roman" w:cs="Times New Roman"/>
          <w:b/>
          <w:bCs/>
          <w:noProof/>
          <w:sz w:val="24"/>
          <w:szCs w:val="24"/>
        </w:rPr>
        <w:t>Ефективност - 30%</w:t>
      </w:r>
      <w:r w:rsidRPr="00D85532">
        <w:rPr>
          <w:rFonts w:ascii="Times New Roman" w:eastAsia="Times New Roman" w:hAnsi="Times New Roman" w:cs="Times New Roman"/>
          <w:noProof/>
          <w:sz w:val="24"/>
          <w:szCs w:val="24"/>
        </w:rPr>
        <w:t xml:space="preserve"> </w:t>
      </w:r>
    </w:p>
    <w:p w14:paraId="546DFA15" w14:textId="1DE79928" w:rsidR="00E16161" w:rsidRPr="00D85532" w:rsidRDefault="00E16161" w:rsidP="00E16161">
      <w:pPr>
        <w:spacing w:after="0" w:line="240" w:lineRule="auto"/>
        <w:ind w:firstLine="567"/>
        <w:jc w:val="both"/>
        <w:rPr>
          <w:rFonts w:ascii="Times New Roman" w:eastAsia="Times New Roman" w:hAnsi="Times New Roman" w:cs="Times New Roman"/>
          <w:noProof/>
          <w:sz w:val="24"/>
          <w:szCs w:val="24"/>
        </w:rPr>
      </w:pPr>
      <w:r w:rsidRPr="00D85532">
        <w:rPr>
          <w:rFonts w:ascii="Times New Roman" w:eastAsia="Times New Roman" w:hAnsi="Times New Roman" w:cs="Times New Roman"/>
          <w:bCs/>
          <w:noProof/>
          <w:sz w:val="24"/>
          <w:szCs w:val="24"/>
        </w:rPr>
        <w:t>Критерият е с н</w:t>
      </w:r>
      <w:r w:rsidRPr="00D85532">
        <w:rPr>
          <w:rFonts w:ascii="Times New Roman" w:eastAsia="Times New Roman" w:hAnsi="Times New Roman" w:cs="Times New Roman"/>
          <w:noProof/>
          <w:sz w:val="24"/>
          <w:szCs w:val="24"/>
        </w:rPr>
        <w:t>ай-висока тежест, тъй като без постигане на основните цели  самата интервенция би била безпредметна. Също така</w:t>
      </w:r>
      <w:r w:rsidR="00CE5AB9">
        <w:rPr>
          <w:rFonts w:ascii="Times New Roman" w:eastAsia="Times New Roman" w:hAnsi="Times New Roman" w:cs="Times New Roman"/>
          <w:noProof/>
          <w:sz w:val="24"/>
          <w:szCs w:val="24"/>
        </w:rPr>
        <w:t>,</w:t>
      </w:r>
      <w:r w:rsidRPr="00D85532">
        <w:rPr>
          <w:rFonts w:ascii="Times New Roman" w:eastAsia="Times New Roman" w:hAnsi="Times New Roman" w:cs="Times New Roman"/>
          <w:noProof/>
          <w:sz w:val="24"/>
          <w:szCs w:val="24"/>
        </w:rPr>
        <w:t xml:space="preserve"> неизпълнението на ангажименти към ЕС (както би било при Вариант 0) носи риск от санкции и пропуснати ползи. Следователно</w:t>
      </w:r>
      <w:r w:rsidR="000B4B12" w:rsidRPr="00D85532">
        <w:rPr>
          <w:rFonts w:ascii="Times New Roman" w:eastAsia="Times New Roman" w:hAnsi="Times New Roman" w:cs="Times New Roman"/>
          <w:noProof/>
          <w:sz w:val="24"/>
          <w:szCs w:val="24"/>
        </w:rPr>
        <w:t>,</w:t>
      </w:r>
      <w:r w:rsidRPr="00D85532">
        <w:rPr>
          <w:rFonts w:ascii="Times New Roman" w:eastAsia="Times New Roman" w:hAnsi="Times New Roman" w:cs="Times New Roman"/>
          <w:noProof/>
          <w:sz w:val="24"/>
          <w:szCs w:val="24"/>
        </w:rPr>
        <w:t xml:space="preserve"> крите</w:t>
      </w:r>
      <w:r w:rsidR="00D85532">
        <w:rPr>
          <w:rFonts w:ascii="Times New Roman" w:eastAsia="Times New Roman" w:hAnsi="Times New Roman" w:cs="Times New Roman"/>
          <w:noProof/>
          <w:sz w:val="24"/>
          <w:szCs w:val="24"/>
        </w:rPr>
        <w:t>рият</w:t>
      </w:r>
      <w:r w:rsidRPr="00D85532">
        <w:rPr>
          <w:rFonts w:ascii="Times New Roman" w:eastAsia="Times New Roman" w:hAnsi="Times New Roman" w:cs="Times New Roman"/>
          <w:noProof/>
          <w:sz w:val="24"/>
          <w:szCs w:val="24"/>
        </w:rPr>
        <w:t xml:space="preserve"> „ефективност“ е </w:t>
      </w:r>
      <w:r w:rsidR="000B4B12" w:rsidRPr="00D85532">
        <w:rPr>
          <w:rFonts w:ascii="Times New Roman" w:eastAsia="Times New Roman" w:hAnsi="Times New Roman" w:cs="Times New Roman"/>
          <w:noProof/>
          <w:sz w:val="24"/>
          <w:szCs w:val="24"/>
        </w:rPr>
        <w:t>най-</w:t>
      </w:r>
      <w:r w:rsidRPr="00D85532">
        <w:rPr>
          <w:rFonts w:ascii="Times New Roman" w:eastAsia="Times New Roman" w:hAnsi="Times New Roman" w:cs="Times New Roman"/>
          <w:noProof/>
          <w:sz w:val="24"/>
          <w:szCs w:val="24"/>
        </w:rPr>
        <w:t>решаващ за мултикритерийния анализ и ОВ изобщо.</w:t>
      </w:r>
    </w:p>
    <w:p w14:paraId="1A1FDF68" w14:textId="77777777" w:rsidR="00E16161" w:rsidRPr="00D85532" w:rsidRDefault="00E16161" w:rsidP="00E16161">
      <w:pPr>
        <w:spacing w:after="0" w:line="240" w:lineRule="auto"/>
        <w:ind w:firstLine="567"/>
        <w:jc w:val="both"/>
        <w:rPr>
          <w:rFonts w:ascii="Times New Roman" w:eastAsia="Times New Roman" w:hAnsi="Times New Roman" w:cs="Times New Roman"/>
          <w:b/>
          <w:bCs/>
          <w:noProof/>
          <w:sz w:val="24"/>
          <w:szCs w:val="24"/>
        </w:rPr>
      </w:pPr>
    </w:p>
    <w:p w14:paraId="53CA6236"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r w:rsidRPr="00F449C3">
        <w:rPr>
          <w:rFonts w:ascii="Times New Roman" w:eastAsia="Times New Roman" w:hAnsi="Times New Roman" w:cs="Times New Roman"/>
          <w:bCs/>
          <w:sz w:val="24"/>
          <w:szCs w:val="24"/>
        </w:rPr>
        <w:t>2.</w:t>
      </w:r>
      <w:r>
        <w:rPr>
          <w:rFonts w:ascii="Times New Roman" w:eastAsia="Times New Roman" w:hAnsi="Times New Roman" w:cs="Times New Roman"/>
          <w:b/>
          <w:bCs/>
          <w:sz w:val="24"/>
          <w:szCs w:val="24"/>
        </w:rPr>
        <w:t xml:space="preserve"> </w:t>
      </w:r>
      <w:r w:rsidRPr="0091765E">
        <w:rPr>
          <w:rFonts w:ascii="Times New Roman" w:eastAsia="Times New Roman" w:hAnsi="Times New Roman" w:cs="Times New Roman"/>
          <w:b/>
          <w:bCs/>
          <w:sz w:val="24"/>
          <w:szCs w:val="24"/>
        </w:rPr>
        <w:t xml:space="preserve">Икономическо въздействие </w:t>
      </w:r>
      <w:r>
        <w:rPr>
          <w:rFonts w:ascii="Times New Roman" w:eastAsia="Times New Roman" w:hAnsi="Times New Roman" w:cs="Times New Roman"/>
          <w:b/>
          <w:bCs/>
          <w:sz w:val="24"/>
          <w:szCs w:val="24"/>
        </w:rPr>
        <w:t>- 20%</w:t>
      </w:r>
      <w:r w:rsidRPr="0091765E">
        <w:rPr>
          <w:rFonts w:ascii="Times New Roman" w:eastAsia="Times New Roman" w:hAnsi="Times New Roman" w:cs="Times New Roman"/>
          <w:sz w:val="24"/>
          <w:szCs w:val="24"/>
        </w:rPr>
        <w:t xml:space="preserve"> </w:t>
      </w:r>
    </w:p>
    <w:p w14:paraId="16268BC2" w14:textId="0CA85121" w:rsidR="00E16161" w:rsidRDefault="00E16161" w:rsidP="00E161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Този критерий има з</w:t>
      </w:r>
      <w:r w:rsidRPr="0091765E">
        <w:rPr>
          <w:rFonts w:ascii="Times New Roman" w:eastAsia="Times New Roman" w:hAnsi="Times New Roman" w:cs="Times New Roman"/>
          <w:sz w:val="24"/>
          <w:szCs w:val="24"/>
        </w:rPr>
        <w:t xml:space="preserve">начителна тежест, тъй като </w:t>
      </w:r>
      <w:r>
        <w:rPr>
          <w:rFonts w:ascii="Times New Roman" w:eastAsia="Times New Roman" w:hAnsi="Times New Roman" w:cs="Times New Roman"/>
          <w:sz w:val="24"/>
          <w:szCs w:val="24"/>
        </w:rPr>
        <w:t>промените в отношенията в</w:t>
      </w:r>
      <w:r w:rsidRPr="0091765E">
        <w:rPr>
          <w:rFonts w:ascii="Times New Roman" w:eastAsia="Times New Roman" w:hAnsi="Times New Roman" w:cs="Times New Roman"/>
          <w:sz w:val="24"/>
          <w:szCs w:val="24"/>
        </w:rPr>
        <w:t xml:space="preserve"> селскостопанския сектор и </w:t>
      </w:r>
      <w:r>
        <w:rPr>
          <w:rFonts w:ascii="Times New Roman" w:eastAsia="Times New Roman" w:hAnsi="Times New Roman" w:cs="Times New Roman"/>
          <w:sz w:val="24"/>
          <w:szCs w:val="24"/>
        </w:rPr>
        <w:t xml:space="preserve">на </w:t>
      </w:r>
      <w:r w:rsidRPr="0091765E">
        <w:rPr>
          <w:rFonts w:ascii="Times New Roman" w:eastAsia="Times New Roman" w:hAnsi="Times New Roman" w:cs="Times New Roman"/>
          <w:sz w:val="24"/>
          <w:szCs w:val="24"/>
        </w:rPr>
        <w:t>пазара на храни са от голям обществен интерес. Селското стопанство осигурява прехрана и заетост</w:t>
      </w:r>
      <w:r>
        <w:rPr>
          <w:rFonts w:ascii="Times New Roman" w:eastAsia="Times New Roman" w:hAnsi="Times New Roman" w:cs="Times New Roman"/>
          <w:sz w:val="24"/>
          <w:szCs w:val="24"/>
        </w:rPr>
        <w:t xml:space="preserve"> като </w:t>
      </w:r>
      <w:r w:rsidRPr="0091765E">
        <w:rPr>
          <w:rFonts w:ascii="Times New Roman" w:eastAsia="Times New Roman" w:hAnsi="Times New Roman" w:cs="Times New Roman"/>
          <w:sz w:val="24"/>
          <w:szCs w:val="24"/>
        </w:rPr>
        <w:t>над 6% от заетите лица в България са в агросектора</w:t>
      </w:r>
      <w:r>
        <w:rPr>
          <w:rStyle w:val="FootnoteReference"/>
          <w:rFonts w:ascii="Times New Roman" w:eastAsia="Times New Roman" w:hAnsi="Times New Roman" w:cs="Times New Roman"/>
          <w:sz w:val="24"/>
          <w:szCs w:val="24"/>
        </w:rPr>
        <w:footnoteReference w:id="47"/>
      </w:r>
      <w:r w:rsidRPr="0091765E">
        <w:rPr>
          <w:rFonts w:ascii="Times New Roman" w:eastAsia="Times New Roman" w:hAnsi="Times New Roman" w:cs="Times New Roman"/>
          <w:sz w:val="24"/>
          <w:szCs w:val="24"/>
        </w:rPr>
        <w:t xml:space="preserve"> и допринася за продоволствената сигурност. Въпреки по-малкия дял на селското стопанство в БВП (</w:t>
      </w:r>
      <w:r>
        <w:rPr>
          <w:rFonts w:ascii="Times New Roman" w:eastAsia="Times New Roman" w:hAnsi="Times New Roman" w:cs="Times New Roman"/>
          <w:sz w:val="24"/>
          <w:szCs w:val="24"/>
        </w:rPr>
        <w:t xml:space="preserve">около </w:t>
      </w:r>
      <w:r w:rsidRPr="0091765E">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91765E">
        <w:rPr>
          <w:rFonts w:ascii="Times New Roman" w:eastAsia="Times New Roman" w:hAnsi="Times New Roman" w:cs="Times New Roman"/>
          <w:sz w:val="24"/>
          <w:szCs w:val="24"/>
        </w:rPr>
        <w:t>5% през 2023 г.)</w:t>
      </w:r>
      <w:r>
        <w:rPr>
          <w:rStyle w:val="FootnoteReference"/>
          <w:rFonts w:ascii="Times New Roman" w:eastAsia="Times New Roman" w:hAnsi="Times New Roman" w:cs="Times New Roman"/>
          <w:sz w:val="24"/>
          <w:szCs w:val="24"/>
        </w:rPr>
        <w:footnoteReference w:id="48"/>
      </w:r>
      <w:r w:rsidRPr="0091765E">
        <w:rPr>
          <w:rFonts w:ascii="Times New Roman" w:eastAsia="Times New Roman" w:hAnsi="Times New Roman" w:cs="Times New Roman"/>
          <w:sz w:val="24"/>
          <w:szCs w:val="24"/>
        </w:rPr>
        <w:t xml:space="preserve">, ефектите върху цялата верига </w:t>
      </w:r>
      <w:r w:rsidR="00D85532">
        <w:rPr>
          <w:rFonts w:ascii="Times New Roman" w:eastAsia="Times New Roman" w:hAnsi="Times New Roman" w:cs="Times New Roman"/>
          <w:sz w:val="24"/>
          <w:szCs w:val="24"/>
        </w:rPr>
        <w:t xml:space="preserve">на </w:t>
      </w:r>
      <w:r w:rsidRPr="0091765E">
        <w:rPr>
          <w:rFonts w:ascii="Times New Roman" w:eastAsia="Times New Roman" w:hAnsi="Times New Roman" w:cs="Times New Roman"/>
          <w:sz w:val="24"/>
          <w:szCs w:val="24"/>
        </w:rPr>
        <w:t>доставки</w:t>
      </w:r>
      <w:r w:rsidR="00D85532" w:rsidRPr="00D85532">
        <w:t xml:space="preserve"> </w:t>
      </w:r>
      <w:r w:rsidR="00D85532" w:rsidRPr="00D85532">
        <w:rPr>
          <w:rFonts w:ascii="Times New Roman" w:eastAsia="Times New Roman" w:hAnsi="Times New Roman" w:cs="Times New Roman"/>
          <w:sz w:val="24"/>
          <w:szCs w:val="24"/>
        </w:rPr>
        <w:t>на земеделски продукти и храни</w:t>
      </w:r>
      <w:r w:rsidRPr="0091765E">
        <w:rPr>
          <w:rFonts w:ascii="Times New Roman" w:eastAsia="Times New Roman" w:hAnsi="Times New Roman" w:cs="Times New Roman"/>
          <w:sz w:val="24"/>
          <w:szCs w:val="24"/>
        </w:rPr>
        <w:t xml:space="preserve"> и върху потребителите (цени на храните) са критични за благосъстоянието</w:t>
      </w:r>
      <w:r w:rsidR="00D85532">
        <w:rPr>
          <w:rFonts w:ascii="Times New Roman" w:eastAsia="Times New Roman" w:hAnsi="Times New Roman" w:cs="Times New Roman"/>
          <w:sz w:val="24"/>
          <w:szCs w:val="24"/>
        </w:rPr>
        <w:t xml:space="preserve"> на цялото общество</w:t>
      </w:r>
      <w:r w:rsidRPr="0091765E">
        <w:rPr>
          <w:rFonts w:ascii="Times New Roman" w:eastAsia="Times New Roman" w:hAnsi="Times New Roman" w:cs="Times New Roman"/>
          <w:sz w:val="24"/>
          <w:szCs w:val="24"/>
        </w:rPr>
        <w:t>.</w:t>
      </w:r>
    </w:p>
    <w:p w14:paraId="5FCC58A8"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p>
    <w:p w14:paraId="3D72144D" w14:textId="77777777" w:rsidR="00E16161" w:rsidRDefault="00E16161" w:rsidP="00E16161">
      <w:pPr>
        <w:spacing w:after="0" w:line="240" w:lineRule="auto"/>
        <w:ind w:firstLine="567"/>
        <w:jc w:val="both"/>
        <w:rPr>
          <w:rFonts w:ascii="Times New Roman" w:eastAsia="Times New Roman" w:hAnsi="Times New Roman" w:cs="Times New Roman"/>
          <w:b/>
          <w:bCs/>
          <w:sz w:val="24"/>
          <w:szCs w:val="24"/>
        </w:rPr>
      </w:pPr>
      <w:r w:rsidRPr="00F449C3">
        <w:rPr>
          <w:rFonts w:ascii="Times New Roman" w:eastAsia="Times New Roman" w:hAnsi="Times New Roman" w:cs="Times New Roman"/>
          <w:bCs/>
          <w:sz w:val="24"/>
          <w:szCs w:val="24"/>
        </w:rPr>
        <w:t>3.</w:t>
      </w:r>
      <w:r>
        <w:rPr>
          <w:rFonts w:ascii="Times New Roman" w:eastAsia="Times New Roman" w:hAnsi="Times New Roman" w:cs="Times New Roman"/>
          <w:b/>
          <w:bCs/>
          <w:sz w:val="24"/>
          <w:szCs w:val="24"/>
        </w:rPr>
        <w:t xml:space="preserve"> </w:t>
      </w:r>
      <w:r w:rsidRPr="0091765E">
        <w:rPr>
          <w:rFonts w:ascii="Times New Roman" w:eastAsia="Times New Roman" w:hAnsi="Times New Roman" w:cs="Times New Roman"/>
          <w:b/>
          <w:bCs/>
          <w:sz w:val="24"/>
          <w:szCs w:val="24"/>
        </w:rPr>
        <w:t xml:space="preserve">Въздействие върху МСП </w:t>
      </w:r>
      <w:r>
        <w:rPr>
          <w:rFonts w:ascii="Times New Roman" w:eastAsia="Times New Roman" w:hAnsi="Times New Roman" w:cs="Times New Roman"/>
          <w:b/>
          <w:bCs/>
          <w:sz w:val="24"/>
          <w:szCs w:val="24"/>
        </w:rPr>
        <w:t xml:space="preserve">- </w:t>
      </w:r>
      <w:r w:rsidRPr="0091765E">
        <w:rPr>
          <w:rFonts w:ascii="Times New Roman" w:eastAsia="Times New Roman" w:hAnsi="Times New Roman" w:cs="Times New Roman"/>
          <w:b/>
          <w:bCs/>
          <w:sz w:val="24"/>
          <w:szCs w:val="24"/>
        </w:rPr>
        <w:t>20%</w:t>
      </w:r>
    </w:p>
    <w:p w14:paraId="5C819DB2" w14:textId="653BFC6B" w:rsidR="00E16161" w:rsidRDefault="00E16161" w:rsidP="00E16161">
      <w:pPr>
        <w:spacing w:after="0" w:line="240" w:lineRule="auto"/>
        <w:ind w:firstLine="567"/>
        <w:jc w:val="both"/>
        <w:rPr>
          <w:rFonts w:ascii="Times New Roman" w:eastAsia="Times New Roman" w:hAnsi="Times New Roman" w:cs="Times New Roman"/>
          <w:sz w:val="24"/>
          <w:szCs w:val="24"/>
        </w:rPr>
      </w:pPr>
      <w:r w:rsidRPr="00F449C3">
        <w:rPr>
          <w:rFonts w:ascii="Times New Roman" w:eastAsia="Times New Roman" w:hAnsi="Times New Roman" w:cs="Times New Roman"/>
          <w:bCs/>
          <w:sz w:val="24"/>
          <w:szCs w:val="24"/>
        </w:rPr>
        <w:t>Т</w:t>
      </w:r>
      <w:r w:rsidRPr="0091765E">
        <w:rPr>
          <w:rFonts w:ascii="Times New Roman" w:eastAsia="Times New Roman" w:hAnsi="Times New Roman" w:cs="Times New Roman"/>
          <w:sz w:val="24"/>
          <w:szCs w:val="24"/>
        </w:rPr>
        <w:t>ежест</w:t>
      </w:r>
      <w:r>
        <w:rPr>
          <w:rFonts w:ascii="Times New Roman" w:eastAsia="Times New Roman" w:hAnsi="Times New Roman" w:cs="Times New Roman"/>
          <w:sz w:val="24"/>
          <w:szCs w:val="24"/>
        </w:rPr>
        <w:t>та на този критерий е съобразена с обществения интерес от засилена защита</w:t>
      </w:r>
      <w:r w:rsidRPr="0091765E">
        <w:rPr>
          <w:rFonts w:ascii="Times New Roman" w:eastAsia="Times New Roman" w:hAnsi="Times New Roman" w:cs="Times New Roman"/>
          <w:sz w:val="24"/>
          <w:szCs w:val="24"/>
        </w:rPr>
        <w:t xml:space="preserve"> на по-</w:t>
      </w:r>
      <w:r>
        <w:rPr>
          <w:rFonts w:ascii="Times New Roman" w:eastAsia="Times New Roman" w:hAnsi="Times New Roman" w:cs="Times New Roman"/>
          <w:sz w:val="24"/>
          <w:szCs w:val="24"/>
        </w:rPr>
        <w:t>слабите и уязвими</w:t>
      </w:r>
      <w:r w:rsidRPr="0091765E">
        <w:rPr>
          <w:rFonts w:ascii="Times New Roman" w:eastAsia="Times New Roman" w:hAnsi="Times New Roman" w:cs="Times New Roman"/>
          <w:sz w:val="24"/>
          <w:szCs w:val="24"/>
        </w:rPr>
        <w:t xml:space="preserve"> участници</w:t>
      </w:r>
      <w:r>
        <w:rPr>
          <w:rFonts w:ascii="Times New Roman" w:eastAsia="Times New Roman" w:hAnsi="Times New Roman" w:cs="Times New Roman"/>
          <w:sz w:val="24"/>
          <w:szCs w:val="24"/>
        </w:rPr>
        <w:t xml:space="preserve"> по веригата на доставки</w:t>
      </w:r>
      <w:r w:rsidRPr="00F449C3">
        <w:rPr>
          <w:rFonts w:ascii="Times New Roman" w:eastAsia="Times New Roman" w:hAnsi="Times New Roman" w:cs="Times New Roman"/>
          <w:sz w:val="24"/>
          <w:szCs w:val="24"/>
        </w:rPr>
        <w:t xml:space="preserve">. В България </w:t>
      </w:r>
      <w:r w:rsidRPr="00F449C3">
        <w:rPr>
          <w:rFonts w:ascii="Times New Roman" w:eastAsia="Times New Roman" w:hAnsi="Times New Roman" w:cs="Times New Roman"/>
          <w:bCs/>
          <w:sz w:val="24"/>
          <w:szCs w:val="24"/>
        </w:rPr>
        <w:t>структурата на аграрния сектор е доминирана от дребни стопанства</w:t>
      </w:r>
      <w:r w:rsidRPr="00F449C3">
        <w:rPr>
          <w:rFonts w:ascii="Times New Roman" w:eastAsia="Times New Roman" w:hAnsi="Times New Roman" w:cs="Times New Roman"/>
          <w:sz w:val="24"/>
          <w:szCs w:val="24"/>
        </w:rPr>
        <w:t>, к</w:t>
      </w:r>
      <w:r w:rsidRPr="0091765E">
        <w:rPr>
          <w:rFonts w:ascii="Times New Roman" w:eastAsia="Times New Roman" w:hAnsi="Times New Roman" w:cs="Times New Roman"/>
          <w:sz w:val="24"/>
          <w:szCs w:val="24"/>
        </w:rPr>
        <w:t xml:space="preserve">оито традиционно са </w:t>
      </w:r>
      <w:r w:rsidR="002B015E">
        <w:rPr>
          <w:rFonts w:ascii="Times New Roman" w:eastAsia="Times New Roman" w:hAnsi="Times New Roman" w:cs="Times New Roman"/>
          <w:sz w:val="24"/>
          <w:szCs w:val="24"/>
        </w:rPr>
        <w:t>по-</w:t>
      </w:r>
      <w:r w:rsidRPr="0091765E">
        <w:rPr>
          <w:rFonts w:ascii="Times New Roman" w:eastAsia="Times New Roman" w:hAnsi="Times New Roman" w:cs="Times New Roman"/>
          <w:sz w:val="24"/>
          <w:szCs w:val="24"/>
        </w:rPr>
        <w:t>уязвими</w:t>
      </w:r>
      <w:r w:rsidR="002D1F59">
        <w:rPr>
          <w:rFonts w:ascii="Times New Roman" w:eastAsia="Times New Roman" w:hAnsi="Times New Roman" w:cs="Times New Roman"/>
          <w:sz w:val="24"/>
          <w:szCs w:val="24"/>
        </w:rPr>
        <w:t xml:space="preserve"> от всички останали оператори</w:t>
      </w:r>
      <w:r w:rsidRPr="0091765E">
        <w:rPr>
          <w:rFonts w:ascii="Times New Roman" w:eastAsia="Times New Roman" w:hAnsi="Times New Roman" w:cs="Times New Roman"/>
          <w:sz w:val="24"/>
          <w:szCs w:val="24"/>
        </w:rPr>
        <w:t xml:space="preserve">. Политиките на ЕС и </w:t>
      </w:r>
      <w:r>
        <w:rPr>
          <w:rFonts w:ascii="Times New Roman" w:eastAsia="Times New Roman" w:hAnsi="Times New Roman" w:cs="Times New Roman"/>
          <w:sz w:val="24"/>
          <w:szCs w:val="24"/>
        </w:rPr>
        <w:t xml:space="preserve">на </w:t>
      </w:r>
      <w:r w:rsidRPr="0091765E">
        <w:rPr>
          <w:rFonts w:ascii="Times New Roman" w:eastAsia="Times New Roman" w:hAnsi="Times New Roman" w:cs="Times New Roman"/>
          <w:sz w:val="24"/>
          <w:szCs w:val="24"/>
        </w:rPr>
        <w:t xml:space="preserve">национално </w:t>
      </w:r>
      <w:r>
        <w:rPr>
          <w:rFonts w:ascii="Times New Roman" w:eastAsia="Times New Roman" w:hAnsi="Times New Roman" w:cs="Times New Roman"/>
          <w:sz w:val="24"/>
          <w:szCs w:val="24"/>
        </w:rPr>
        <w:lastRenderedPageBreak/>
        <w:t xml:space="preserve">равнище </w:t>
      </w:r>
      <w:r w:rsidRPr="0091765E">
        <w:rPr>
          <w:rFonts w:ascii="Times New Roman" w:eastAsia="Times New Roman" w:hAnsi="Times New Roman" w:cs="Times New Roman"/>
          <w:sz w:val="24"/>
          <w:szCs w:val="24"/>
        </w:rPr>
        <w:t xml:space="preserve">изискват </w:t>
      </w:r>
      <w:r w:rsidR="002D1F59">
        <w:rPr>
          <w:rFonts w:ascii="Times New Roman" w:eastAsia="Times New Roman" w:hAnsi="Times New Roman" w:cs="Times New Roman"/>
          <w:sz w:val="24"/>
          <w:szCs w:val="24"/>
        </w:rPr>
        <w:t xml:space="preserve">извършването на </w:t>
      </w:r>
      <w:r w:rsidRPr="0091765E">
        <w:rPr>
          <w:rFonts w:ascii="Times New Roman" w:eastAsia="Times New Roman" w:hAnsi="Times New Roman" w:cs="Times New Roman"/>
          <w:sz w:val="24"/>
          <w:szCs w:val="24"/>
        </w:rPr>
        <w:t>„МСП</w:t>
      </w:r>
      <w:r>
        <w:rPr>
          <w:rFonts w:ascii="Times New Roman" w:eastAsia="Times New Roman" w:hAnsi="Times New Roman" w:cs="Times New Roman"/>
          <w:sz w:val="24"/>
          <w:szCs w:val="24"/>
        </w:rPr>
        <w:t>-</w:t>
      </w:r>
      <w:r w:rsidRPr="0091765E">
        <w:rPr>
          <w:rFonts w:ascii="Times New Roman" w:eastAsia="Times New Roman" w:hAnsi="Times New Roman" w:cs="Times New Roman"/>
          <w:sz w:val="24"/>
          <w:szCs w:val="24"/>
        </w:rPr>
        <w:t>тест“</w:t>
      </w:r>
      <w:r>
        <w:rPr>
          <w:rStyle w:val="FootnoteReference"/>
          <w:rFonts w:ascii="Times New Roman" w:eastAsia="Times New Roman" w:hAnsi="Times New Roman" w:cs="Times New Roman"/>
          <w:sz w:val="24"/>
          <w:szCs w:val="24"/>
        </w:rPr>
        <w:footnoteReference w:id="49"/>
      </w:r>
      <w:r w:rsidRPr="0091765E">
        <w:rPr>
          <w:rFonts w:ascii="Times New Roman" w:eastAsia="Times New Roman" w:hAnsi="Times New Roman" w:cs="Times New Roman"/>
          <w:sz w:val="24"/>
          <w:szCs w:val="24"/>
        </w:rPr>
        <w:t xml:space="preserve"> и отчитане на специфичното </w:t>
      </w:r>
      <w:r>
        <w:rPr>
          <w:rFonts w:ascii="Times New Roman" w:eastAsia="Times New Roman" w:hAnsi="Times New Roman" w:cs="Times New Roman"/>
          <w:sz w:val="24"/>
          <w:szCs w:val="24"/>
        </w:rPr>
        <w:t>въздействие</w:t>
      </w:r>
      <w:r w:rsidRPr="0091765E">
        <w:rPr>
          <w:rFonts w:ascii="Times New Roman" w:eastAsia="Times New Roman" w:hAnsi="Times New Roman" w:cs="Times New Roman"/>
          <w:sz w:val="24"/>
          <w:szCs w:val="24"/>
        </w:rPr>
        <w:t xml:space="preserve"> върху </w:t>
      </w:r>
      <w:r>
        <w:rPr>
          <w:rFonts w:ascii="Times New Roman" w:eastAsia="Times New Roman" w:hAnsi="Times New Roman" w:cs="Times New Roman"/>
          <w:sz w:val="24"/>
          <w:szCs w:val="24"/>
        </w:rPr>
        <w:t xml:space="preserve">микро-, </w:t>
      </w:r>
      <w:r w:rsidRPr="0091765E">
        <w:rPr>
          <w:rFonts w:ascii="Times New Roman" w:eastAsia="Times New Roman" w:hAnsi="Times New Roman" w:cs="Times New Roman"/>
          <w:sz w:val="24"/>
          <w:szCs w:val="24"/>
        </w:rPr>
        <w:t>малкия</w:t>
      </w:r>
      <w:r>
        <w:rPr>
          <w:rFonts w:ascii="Times New Roman" w:eastAsia="Times New Roman" w:hAnsi="Times New Roman" w:cs="Times New Roman"/>
          <w:sz w:val="24"/>
          <w:szCs w:val="24"/>
        </w:rPr>
        <w:t xml:space="preserve"> и среден</w:t>
      </w:r>
      <w:r w:rsidRPr="0091765E">
        <w:rPr>
          <w:rFonts w:ascii="Times New Roman" w:eastAsia="Times New Roman" w:hAnsi="Times New Roman" w:cs="Times New Roman"/>
          <w:sz w:val="24"/>
          <w:szCs w:val="24"/>
        </w:rPr>
        <w:t xml:space="preserve"> бизнес. Затова този критерий </w:t>
      </w:r>
      <w:r>
        <w:rPr>
          <w:rFonts w:ascii="Times New Roman" w:eastAsia="Times New Roman" w:hAnsi="Times New Roman" w:cs="Times New Roman"/>
          <w:sz w:val="24"/>
          <w:szCs w:val="24"/>
        </w:rPr>
        <w:t>също получава</w:t>
      </w:r>
      <w:r w:rsidRPr="0091765E">
        <w:rPr>
          <w:rFonts w:ascii="Times New Roman" w:eastAsia="Times New Roman" w:hAnsi="Times New Roman" w:cs="Times New Roman"/>
          <w:sz w:val="24"/>
          <w:szCs w:val="24"/>
        </w:rPr>
        <w:t xml:space="preserve"> значителна тежест</w:t>
      </w:r>
      <w:r>
        <w:rPr>
          <w:rFonts w:ascii="Times New Roman" w:eastAsia="Times New Roman" w:hAnsi="Times New Roman" w:cs="Times New Roman"/>
          <w:sz w:val="24"/>
          <w:szCs w:val="24"/>
        </w:rPr>
        <w:t>.</w:t>
      </w:r>
      <w:r w:rsidRPr="009176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w:t>
      </w:r>
      <w:r w:rsidRPr="0091765E">
        <w:rPr>
          <w:rFonts w:ascii="Times New Roman" w:eastAsia="Times New Roman" w:hAnsi="Times New Roman" w:cs="Times New Roman"/>
          <w:sz w:val="24"/>
          <w:szCs w:val="24"/>
        </w:rPr>
        <w:t xml:space="preserve">елта е да не се допусне мярка, която макар и ефективна, непропорционално да </w:t>
      </w:r>
      <w:r>
        <w:rPr>
          <w:rFonts w:ascii="Times New Roman" w:eastAsia="Times New Roman" w:hAnsi="Times New Roman" w:cs="Times New Roman"/>
          <w:sz w:val="24"/>
          <w:szCs w:val="24"/>
        </w:rPr>
        <w:t>засегне тези МСП</w:t>
      </w:r>
      <w:r w:rsidRPr="0091765E">
        <w:rPr>
          <w:rFonts w:ascii="Times New Roman" w:eastAsia="Times New Roman" w:hAnsi="Times New Roman" w:cs="Times New Roman"/>
          <w:sz w:val="24"/>
          <w:szCs w:val="24"/>
        </w:rPr>
        <w:t xml:space="preserve">. </w:t>
      </w:r>
    </w:p>
    <w:p w14:paraId="738B99B1"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p>
    <w:p w14:paraId="4D9407F2" w14:textId="3FA06A67" w:rsidR="00E16161" w:rsidRDefault="00E16161" w:rsidP="00E16161">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4. </w:t>
      </w:r>
      <w:r w:rsidRPr="0091765E">
        <w:rPr>
          <w:rFonts w:ascii="Times New Roman" w:eastAsia="Times New Roman" w:hAnsi="Times New Roman" w:cs="Times New Roman"/>
          <w:b/>
          <w:bCs/>
          <w:sz w:val="24"/>
          <w:szCs w:val="24"/>
        </w:rPr>
        <w:t xml:space="preserve">Административна тежест </w:t>
      </w:r>
      <w:r>
        <w:rPr>
          <w:rFonts w:ascii="Times New Roman" w:eastAsia="Times New Roman" w:hAnsi="Times New Roman" w:cs="Times New Roman"/>
          <w:b/>
          <w:bCs/>
          <w:sz w:val="24"/>
          <w:szCs w:val="24"/>
        </w:rPr>
        <w:t>- 15%</w:t>
      </w:r>
    </w:p>
    <w:p w14:paraId="4301B770" w14:textId="09B2B71D" w:rsidR="00E16161" w:rsidRDefault="00E16161" w:rsidP="00E161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Този критерий получава с</w:t>
      </w:r>
      <w:r w:rsidRPr="0091765E">
        <w:rPr>
          <w:rFonts w:ascii="Times New Roman" w:eastAsia="Times New Roman" w:hAnsi="Times New Roman" w:cs="Times New Roman"/>
          <w:sz w:val="24"/>
          <w:szCs w:val="24"/>
        </w:rPr>
        <w:t>редна по значимост тежест. В</w:t>
      </w:r>
      <w:r>
        <w:rPr>
          <w:rFonts w:ascii="Times New Roman" w:eastAsia="Times New Roman" w:hAnsi="Times New Roman" w:cs="Times New Roman"/>
          <w:sz w:val="24"/>
          <w:szCs w:val="24"/>
        </w:rPr>
        <w:t xml:space="preserve"> конкретния случай е в</w:t>
      </w:r>
      <w:r w:rsidRPr="0091765E">
        <w:rPr>
          <w:rFonts w:ascii="Times New Roman" w:eastAsia="Times New Roman" w:hAnsi="Times New Roman" w:cs="Times New Roman"/>
          <w:sz w:val="24"/>
          <w:szCs w:val="24"/>
        </w:rPr>
        <w:t xml:space="preserve">ажно </w:t>
      </w:r>
      <w:r>
        <w:rPr>
          <w:rFonts w:ascii="Times New Roman" w:eastAsia="Times New Roman" w:hAnsi="Times New Roman" w:cs="Times New Roman"/>
          <w:sz w:val="24"/>
          <w:szCs w:val="24"/>
        </w:rPr>
        <w:t>вариантът</w:t>
      </w:r>
      <w:r w:rsidRPr="0091765E">
        <w:rPr>
          <w:rFonts w:ascii="Times New Roman" w:eastAsia="Times New Roman" w:hAnsi="Times New Roman" w:cs="Times New Roman"/>
          <w:sz w:val="24"/>
          <w:szCs w:val="24"/>
        </w:rPr>
        <w:t xml:space="preserve"> да е изпълним в рамките на разумни ресурси и без прекомерна бюрокрация. Държавният бюджет е ограничен</w:t>
      </w:r>
      <w:r>
        <w:rPr>
          <w:rFonts w:ascii="Times New Roman" w:eastAsia="Times New Roman" w:hAnsi="Times New Roman" w:cs="Times New Roman"/>
          <w:sz w:val="24"/>
          <w:szCs w:val="24"/>
        </w:rPr>
        <w:t>,</w:t>
      </w:r>
      <w:r w:rsidRPr="0091765E">
        <w:rPr>
          <w:rFonts w:ascii="Times New Roman" w:eastAsia="Times New Roman" w:hAnsi="Times New Roman" w:cs="Times New Roman"/>
          <w:sz w:val="24"/>
          <w:szCs w:val="24"/>
        </w:rPr>
        <w:t xml:space="preserve"> административният капацитет </w:t>
      </w:r>
      <w:r>
        <w:rPr>
          <w:rFonts w:ascii="Times New Roman" w:eastAsia="Times New Roman" w:hAnsi="Times New Roman" w:cs="Times New Roman"/>
          <w:sz w:val="24"/>
          <w:szCs w:val="24"/>
        </w:rPr>
        <w:t>е</w:t>
      </w:r>
      <w:r w:rsidRPr="0091765E">
        <w:rPr>
          <w:rFonts w:ascii="Times New Roman" w:eastAsia="Times New Roman" w:hAnsi="Times New Roman" w:cs="Times New Roman"/>
          <w:sz w:val="24"/>
          <w:szCs w:val="24"/>
        </w:rPr>
        <w:t xml:space="preserve"> ценен. </w:t>
      </w:r>
      <w:r>
        <w:rPr>
          <w:rFonts w:ascii="Times New Roman" w:eastAsia="Times New Roman" w:hAnsi="Times New Roman" w:cs="Times New Roman"/>
          <w:sz w:val="24"/>
          <w:szCs w:val="24"/>
        </w:rPr>
        <w:t>В случай, че някой от вариантите</w:t>
      </w:r>
      <w:r w:rsidRPr="0091765E">
        <w:rPr>
          <w:rFonts w:ascii="Times New Roman" w:eastAsia="Times New Roman" w:hAnsi="Times New Roman" w:cs="Times New Roman"/>
          <w:sz w:val="24"/>
          <w:szCs w:val="24"/>
        </w:rPr>
        <w:t xml:space="preserve"> изисква </w:t>
      </w:r>
      <w:r>
        <w:rPr>
          <w:rFonts w:ascii="Times New Roman" w:eastAsia="Times New Roman" w:hAnsi="Times New Roman" w:cs="Times New Roman"/>
          <w:sz w:val="24"/>
          <w:szCs w:val="24"/>
        </w:rPr>
        <w:t xml:space="preserve">създаването на </w:t>
      </w:r>
      <w:r w:rsidRPr="0091765E">
        <w:rPr>
          <w:rFonts w:ascii="Times New Roman" w:eastAsia="Times New Roman" w:hAnsi="Times New Roman" w:cs="Times New Roman"/>
          <w:sz w:val="24"/>
          <w:szCs w:val="24"/>
        </w:rPr>
        <w:t xml:space="preserve">много нови </w:t>
      </w:r>
      <w:r>
        <w:rPr>
          <w:rFonts w:ascii="Times New Roman" w:eastAsia="Times New Roman" w:hAnsi="Times New Roman" w:cs="Times New Roman"/>
          <w:sz w:val="24"/>
          <w:szCs w:val="24"/>
        </w:rPr>
        <w:t xml:space="preserve">административни </w:t>
      </w:r>
      <w:r w:rsidRPr="0091765E">
        <w:rPr>
          <w:rFonts w:ascii="Times New Roman" w:eastAsia="Times New Roman" w:hAnsi="Times New Roman" w:cs="Times New Roman"/>
          <w:sz w:val="24"/>
          <w:szCs w:val="24"/>
        </w:rPr>
        <w:t xml:space="preserve">структури, персонал и разходи, това </w:t>
      </w:r>
      <w:r>
        <w:rPr>
          <w:rFonts w:ascii="Times New Roman" w:eastAsia="Times New Roman" w:hAnsi="Times New Roman" w:cs="Times New Roman"/>
          <w:sz w:val="24"/>
          <w:szCs w:val="24"/>
        </w:rPr>
        <w:t>би намалило</w:t>
      </w:r>
      <w:r w:rsidR="002D1F59">
        <w:rPr>
          <w:rFonts w:ascii="Times New Roman" w:eastAsia="Times New Roman" w:hAnsi="Times New Roman" w:cs="Times New Roman"/>
          <w:sz w:val="24"/>
          <w:szCs w:val="24"/>
        </w:rPr>
        <w:t xml:space="preserve"> неговата полезност и</w:t>
      </w:r>
      <w:r w:rsidRPr="0091765E">
        <w:rPr>
          <w:rFonts w:ascii="Times New Roman" w:eastAsia="Times New Roman" w:hAnsi="Times New Roman" w:cs="Times New Roman"/>
          <w:sz w:val="24"/>
          <w:szCs w:val="24"/>
        </w:rPr>
        <w:t xml:space="preserve"> устойчивостта </w:t>
      </w:r>
      <w:r>
        <w:rPr>
          <w:rFonts w:ascii="Times New Roman" w:eastAsia="Times New Roman" w:hAnsi="Times New Roman" w:cs="Times New Roman"/>
          <w:sz w:val="24"/>
          <w:szCs w:val="24"/>
        </w:rPr>
        <w:t>му</w:t>
      </w:r>
      <w:r w:rsidRPr="0091765E">
        <w:rPr>
          <w:rFonts w:ascii="Times New Roman" w:eastAsia="Times New Roman" w:hAnsi="Times New Roman" w:cs="Times New Roman"/>
          <w:sz w:val="24"/>
          <w:szCs w:val="24"/>
        </w:rPr>
        <w:t>. В същото време, ако ед</w:t>
      </w:r>
      <w:r>
        <w:rPr>
          <w:rFonts w:ascii="Times New Roman" w:eastAsia="Times New Roman" w:hAnsi="Times New Roman" w:cs="Times New Roman"/>
          <w:sz w:val="24"/>
          <w:szCs w:val="24"/>
        </w:rPr>
        <w:t>и</w:t>
      </w:r>
      <w:r w:rsidRPr="0091765E">
        <w:rPr>
          <w:rFonts w:ascii="Times New Roman" w:eastAsia="Times New Roman" w:hAnsi="Times New Roman" w:cs="Times New Roman"/>
          <w:sz w:val="24"/>
          <w:szCs w:val="24"/>
        </w:rPr>
        <w:t xml:space="preserve">н </w:t>
      </w:r>
      <w:r>
        <w:rPr>
          <w:rFonts w:ascii="Times New Roman" w:eastAsia="Times New Roman" w:hAnsi="Times New Roman" w:cs="Times New Roman"/>
          <w:sz w:val="24"/>
          <w:szCs w:val="24"/>
        </w:rPr>
        <w:t>вариант</w:t>
      </w:r>
      <w:r w:rsidRPr="0091765E">
        <w:rPr>
          <w:rFonts w:ascii="Times New Roman" w:eastAsia="Times New Roman" w:hAnsi="Times New Roman" w:cs="Times New Roman"/>
          <w:sz w:val="24"/>
          <w:szCs w:val="24"/>
        </w:rPr>
        <w:t xml:space="preserve"> носи изключително високи ползи (ефективност)</w:t>
      </w:r>
      <w:r w:rsidR="00CE5AB9">
        <w:rPr>
          <w:rFonts w:ascii="Times New Roman" w:eastAsia="Times New Roman" w:hAnsi="Times New Roman" w:cs="Times New Roman"/>
          <w:sz w:val="24"/>
          <w:szCs w:val="24"/>
        </w:rPr>
        <w:t>,</w:t>
      </w:r>
      <w:r w:rsidRPr="0091765E">
        <w:rPr>
          <w:rFonts w:ascii="Times New Roman" w:eastAsia="Times New Roman" w:hAnsi="Times New Roman" w:cs="Times New Roman"/>
          <w:sz w:val="24"/>
          <w:szCs w:val="24"/>
        </w:rPr>
        <w:t xml:space="preserve"> може да се оправдае и по-висока административна цена</w:t>
      </w:r>
      <w:r w:rsidR="002D1F59">
        <w:rPr>
          <w:rFonts w:ascii="Times New Roman" w:eastAsia="Times New Roman" w:hAnsi="Times New Roman" w:cs="Times New Roman"/>
          <w:sz w:val="24"/>
          <w:szCs w:val="24"/>
        </w:rPr>
        <w:t xml:space="preserve"> при постигнат необходимия баланс на интересите на всички групи заинтересовани страни – икономически </w:t>
      </w:r>
      <w:r w:rsidR="00E378B1">
        <w:rPr>
          <w:rFonts w:ascii="Times New Roman" w:eastAsia="Times New Roman" w:hAnsi="Times New Roman" w:cs="Times New Roman"/>
          <w:sz w:val="24"/>
          <w:szCs w:val="24"/>
        </w:rPr>
        <w:t xml:space="preserve">оператори, държава, потребители </w:t>
      </w:r>
      <w:r w:rsidR="002D1F59">
        <w:rPr>
          <w:rFonts w:ascii="Times New Roman" w:eastAsia="Times New Roman" w:hAnsi="Times New Roman" w:cs="Times New Roman"/>
          <w:sz w:val="24"/>
          <w:szCs w:val="24"/>
        </w:rPr>
        <w:t>и общество</w:t>
      </w:r>
      <w:r w:rsidRPr="0091765E">
        <w:rPr>
          <w:rFonts w:ascii="Times New Roman" w:eastAsia="Times New Roman" w:hAnsi="Times New Roman" w:cs="Times New Roman"/>
          <w:sz w:val="24"/>
          <w:szCs w:val="24"/>
        </w:rPr>
        <w:t xml:space="preserve">. </w:t>
      </w:r>
    </w:p>
    <w:p w14:paraId="33E72C70"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p>
    <w:p w14:paraId="46A09BFB"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bCs/>
          <w:sz w:val="24"/>
          <w:szCs w:val="24"/>
        </w:rPr>
        <w:t>Приложимост и осъществимост - 15%</w:t>
      </w:r>
    </w:p>
    <w:p w14:paraId="1A8CB71D" w14:textId="1DB905A9" w:rsidR="00E16161" w:rsidRDefault="00E16161" w:rsidP="00E161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Критерият е с тежест</w:t>
      </w:r>
      <w:r w:rsidR="002B01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w:t>
      </w:r>
      <w:r w:rsidRPr="0091765E">
        <w:rPr>
          <w:rFonts w:ascii="Times New Roman" w:eastAsia="Times New Roman" w:hAnsi="Times New Roman" w:cs="Times New Roman"/>
          <w:sz w:val="24"/>
          <w:szCs w:val="24"/>
        </w:rPr>
        <w:t xml:space="preserve">авна </w:t>
      </w:r>
      <w:r>
        <w:rPr>
          <w:rFonts w:ascii="Times New Roman" w:eastAsia="Times New Roman" w:hAnsi="Times New Roman" w:cs="Times New Roman"/>
          <w:sz w:val="24"/>
          <w:szCs w:val="24"/>
        </w:rPr>
        <w:t>на тази на предходния</w:t>
      </w:r>
      <w:r w:rsidRPr="0091765E">
        <w:rPr>
          <w:rFonts w:ascii="Times New Roman" w:eastAsia="Times New Roman" w:hAnsi="Times New Roman" w:cs="Times New Roman"/>
          <w:sz w:val="24"/>
          <w:szCs w:val="24"/>
        </w:rPr>
        <w:t xml:space="preserve">, тъй като двата критерия са </w:t>
      </w:r>
      <w:r w:rsidRPr="003C248A">
        <w:rPr>
          <w:rFonts w:ascii="Times New Roman" w:eastAsia="Times New Roman" w:hAnsi="Times New Roman" w:cs="Times New Roman"/>
          <w:sz w:val="24"/>
          <w:szCs w:val="24"/>
        </w:rPr>
        <w:t xml:space="preserve">свързани с </w:t>
      </w:r>
      <w:r w:rsidRPr="003C248A">
        <w:rPr>
          <w:rFonts w:ascii="Times New Roman" w:eastAsia="Times New Roman" w:hAnsi="Times New Roman" w:cs="Times New Roman"/>
          <w:bCs/>
          <w:sz w:val="24"/>
          <w:szCs w:val="24"/>
        </w:rPr>
        <w:t>реалната осъществимост на вариантите</w:t>
      </w:r>
      <w:r w:rsidRPr="0091765E">
        <w:rPr>
          <w:rFonts w:ascii="Times New Roman" w:eastAsia="Times New Roman" w:hAnsi="Times New Roman" w:cs="Times New Roman"/>
          <w:sz w:val="24"/>
          <w:szCs w:val="24"/>
        </w:rPr>
        <w:t>. Политически и практически нереалистич</w:t>
      </w:r>
      <w:r>
        <w:rPr>
          <w:rFonts w:ascii="Times New Roman" w:eastAsia="Times New Roman" w:hAnsi="Times New Roman" w:cs="Times New Roman"/>
          <w:sz w:val="24"/>
          <w:szCs w:val="24"/>
        </w:rPr>
        <w:t>е</w:t>
      </w:r>
      <w:r w:rsidRPr="0091765E">
        <w:rPr>
          <w:rFonts w:ascii="Times New Roman" w:eastAsia="Times New Roman" w:hAnsi="Times New Roman" w:cs="Times New Roman"/>
          <w:sz w:val="24"/>
          <w:szCs w:val="24"/>
        </w:rPr>
        <w:t xml:space="preserve">н </w:t>
      </w:r>
      <w:r>
        <w:rPr>
          <w:rFonts w:ascii="Times New Roman" w:eastAsia="Times New Roman" w:hAnsi="Times New Roman" w:cs="Times New Roman"/>
          <w:sz w:val="24"/>
          <w:szCs w:val="24"/>
        </w:rPr>
        <w:t>вариант</w:t>
      </w:r>
      <w:r w:rsidRPr="0091765E">
        <w:rPr>
          <w:rFonts w:ascii="Times New Roman" w:eastAsia="Times New Roman" w:hAnsi="Times New Roman" w:cs="Times New Roman"/>
          <w:sz w:val="24"/>
          <w:szCs w:val="24"/>
        </w:rPr>
        <w:t xml:space="preserve"> би бил ниско оценен, дори ако на хартия изглежда обещаващ. Например, една идеална реформа, която обаче би отнела твърде дълго време или би срещнала масова съпротива</w:t>
      </w:r>
      <w:r w:rsidR="00E378B1">
        <w:rPr>
          <w:rFonts w:ascii="Times New Roman" w:eastAsia="Times New Roman" w:hAnsi="Times New Roman" w:cs="Times New Roman"/>
          <w:sz w:val="24"/>
          <w:szCs w:val="24"/>
        </w:rPr>
        <w:t xml:space="preserve"> от засегнатия сектор и обществото</w:t>
      </w:r>
      <w:r w:rsidRPr="0091765E">
        <w:rPr>
          <w:rFonts w:ascii="Times New Roman" w:eastAsia="Times New Roman" w:hAnsi="Times New Roman" w:cs="Times New Roman"/>
          <w:sz w:val="24"/>
          <w:szCs w:val="24"/>
        </w:rPr>
        <w:t>, на практика няма да реши навреме проблемите. Тук 15% тежест отразява,</w:t>
      </w:r>
      <w:r>
        <w:rPr>
          <w:rFonts w:ascii="Times New Roman" w:eastAsia="Times New Roman" w:hAnsi="Times New Roman" w:cs="Times New Roman"/>
          <w:sz w:val="24"/>
          <w:szCs w:val="24"/>
        </w:rPr>
        <w:t xml:space="preserve"> това</w:t>
      </w:r>
      <w:r w:rsidRPr="0091765E">
        <w:rPr>
          <w:rFonts w:ascii="Times New Roman" w:eastAsia="Times New Roman" w:hAnsi="Times New Roman" w:cs="Times New Roman"/>
          <w:sz w:val="24"/>
          <w:szCs w:val="24"/>
        </w:rPr>
        <w:t xml:space="preserve"> че</w:t>
      </w:r>
      <w:r>
        <w:rPr>
          <w:rFonts w:ascii="Times New Roman" w:eastAsia="Times New Roman" w:hAnsi="Times New Roman" w:cs="Times New Roman"/>
          <w:sz w:val="24"/>
          <w:szCs w:val="24"/>
        </w:rPr>
        <w:t xml:space="preserve"> се</w:t>
      </w:r>
      <w:r w:rsidRPr="0091765E">
        <w:rPr>
          <w:rFonts w:ascii="Times New Roman" w:eastAsia="Times New Roman" w:hAnsi="Times New Roman" w:cs="Times New Roman"/>
          <w:sz w:val="24"/>
          <w:szCs w:val="24"/>
        </w:rPr>
        <w:t xml:space="preserve"> държи сметка за рисковете и бариерите, но без да </w:t>
      </w:r>
      <w:r>
        <w:rPr>
          <w:rFonts w:ascii="Times New Roman" w:eastAsia="Times New Roman" w:hAnsi="Times New Roman" w:cs="Times New Roman"/>
          <w:sz w:val="24"/>
          <w:szCs w:val="24"/>
        </w:rPr>
        <w:t>те да се</w:t>
      </w:r>
      <w:r w:rsidRPr="0091765E">
        <w:rPr>
          <w:rFonts w:ascii="Times New Roman" w:eastAsia="Times New Roman" w:hAnsi="Times New Roman" w:cs="Times New Roman"/>
          <w:sz w:val="24"/>
          <w:szCs w:val="24"/>
        </w:rPr>
        <w:t xml:space="preserve"> поставя</w:t>
      </w:r>
      <w:r>
        <w:rPr>
          <w:rFonts w:ascii="Times New Roman" w:eastAsia="Times New Roman" w:hAnsi="Times New Roman" w:cs="Times New Roman"/>
          <w:sz w:val="24"/>
          <w:szCs w:val="24"/>
        </w:rPr>
        <w:t>т</w:t>
      </w:r>
      <w:r w:rsidRPr="0091765E">
        <w:rPr>
          <w:rFonts w:ascii="Times New Roman" w:eastAsia="Times New Roman" w:hAnsi="Times New Roman" w:cs="Times New Roman"/>
          <w:sz w:val="24"/>
          <w:szCs w:val="24"/>
        </w:rPr>
        <w:t xml:space="preserve"> над самото съдържание на мярката.</w:t>
      </w:r>
    </w:p>
    <w:p w14:paraId="39329205" w14:textId="77777777" w:rsidR="00CE5AB9" w:rsidRDefault="00CE5AB9" w:rsidP="00CB0A97">
      <w:pPr>
        <w:spacing w:after="0" w:line="240" w:lineRule="auto"/>
        <w:ind w:firstLine="567"/>
        <w:jc w:val="both"/>
        <w:rPr>
          <w:rFonts w:ascii="Times New Roman" w:eastAsia="Times New Roman" w:hAnsi="Times New Roman" w:cs="Times New Roman"/>
          <w:b/>
          <w:sz w:val="24"/>
          <w:szCs w:val="24"/>
        </w:rPr>
      </w:pPr>
    </w:p>
    <w:p w14:paraId="3754A300" w14:textId="03A27ECB" w:rsidR="00E16161" w:rsidRDefault="00E16161" w:rsidP="00CB0A97">
      <w:pPr>
        <w:spacing w:after="0" w:line="240" w:lineRule="auto"/>
        <w:ind w:firstLine="567"/>
        <w:jc w:val="both"/>
        <w:rPr>
          <w:rFonts w:ascii="Times New Roman" w:eastAsia="Times New Roman" w:hAnsi="Times New Roman" w:cs="Times New Roman"/>
          <w:b/>
          <w:sz w:val="24"/>
          <w:szCs w:val="24"/>
        </w:rPr>
      </w:pPr>
      <w:r w:rsidRPr="009443DD">
        <w:rPr>
          <w:rFonts w:ascii="Times New Roman" w:eastAsia="Times New Roman" w:hAnsi="Times New Roman" w:cs="Times New Roman"/>
          <w:b/>
          <w:sz w:val="24"/>
          <w:szCs w:val="24"/>
        </w:rPr>
        <w:t>Таблица</w:t>
      </w:r>
      <w:r w:rsidR="00DF704F">
        <w:rPr>
          <w:rFonts w:ascii="Times New Roman" w:eastAsia="Times New Roman" w:hAnsi="Times New Roman" w:cs="Times New Roman"/>
          <w:b/>
          <w:sz w:val="24"/>
          <w:szCs w:val="24"/>
        </w:rPr>
        <w:t xml:space="preserve"> </w:t>
      </w:r>
      <w:r w:rsidR="00D2171D" w:rsidRPr="00D2171D">
        <w:rPr>
          <w:rFonts w:ascii="Times New Roman" w:eastAsia="Times New Roman" w:hAnsi="Times New Roman" w:cs="Times New Roman"/>
          <w:b/>
          <w:sz w:val="24"/>
          <w:szCs w:val="24"/>
        </w:rPr>
        <w:t>№</w:t>
      </w:r>
      <w:r w:rsidRPr="009443DD">
        <w:rPr>
          <w:rFonts w:ascii="Times New Roman" w:eastAsia="Times New Roman" w:hAnsi="Times New Roman" w:cs="Times New Roman"/>
          <w:b/>
          <w:sz w:val="24"/>
          <w:szCs w:val="24"/>
        </w:rPr>
        <w:t xml:space="preserve"> </w:t>
      </w:r>
      <w:r w:rsidR="008C0E40">
        <w:rPr>
          <w:rFonts w:ascii="Times New Roman" w:eastAsia="Times New Roman" w:hAnsi="Times New Roman" w:cs="Times New Roman"/>
          <w:b/>
          <w:sz w:val="24"/>
          <w:szCs w:val="24"/>
        </w:rPr>
        <w:t>9</w:t>
      </w:r>
      <w:r w:rsidRPr="009443D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Обосновани р</w:t>
      </w:r>
      <w:r w:rsidRPr="009443DD">
        <w:rPr>
          <w:rFonts w:ascii="Times New Roman" w:eastAsia="Times New Roman" w:hAnsi="Times New Roman" w:cs="Times New Roman"/>
          <w:b/>
          <w:sz w:val="24"/>
          <w:szCs w:val="24"/>
        </w:rPr>
        <w:t>азпределени тежести на критериите</w:t>
      </w:r>
      <w:r w:rsidR="00CB0A97">
        <w:rPr>
          <w:rFonts w:ascii="Times New Roman" w:eastAsia="Times New Roman" w:hAnsi="Times New Roman" w:cs="Times New Roman"/>
          <w:b/>
          <w:sz w:val="24"/>
          <w:szCs w:val="24"/>
        </w:rPr>
        <w:t xml:space="preserve"> за мултикритериен анализ</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882"/>
        <w:gridCol w:w="5102"/>
      </w:tblGrid>
      <w:tr w:rsidR="00E16161" w:rsidRPr="009443DD" w14:paraId="1BB357F8" w14:textId="77777777" w:rsidTr="00DD69D5">
        <w:trPr>
          <w:trHeight w:val="323"/>
          <w:tblHeader/>
        </w:trPr>
        <w:tc>
          <w:tcPr>
            <w:tcW w:w="3402" w:type="dxa"/>
            <w:shd w:val="clear" w:color="auto" w:fill="BDD6EE" w:themeFill="accent1" w:themeFillTint="66"/>
            <w:vAlign w:val="center"/>
          </w:tcPr>
          <w:p w14:paraId="44FE0513" w14:textId="77777777" w:rsidR="00E16161" w:rsidRPr="009443DD" w:rsidRDefault="00E16161" w:rsidP="00E16161">
            <w:pPr>
              <w:jc w:val="center"/>
              <w:rPr>
                <w:rFonts w:ascii="Times New Roman" w:hAnsi="Times New Roman" w:cs="Times New Roman"/>
                <w:b/>
                <w:sz w:val="20"/>
                <w:szCs w:val="20"/>
              </w:rPr>
            </w:pPr>
            <w:r w:rsidRPr="009443DD">
              <w:rPr>
                <w:rFonts w:ascii="Times New Roman" w:eastAsia="Times New Roman" w:hAnsi="Times New Roman" w:cs="Times New Roman"/>
                <w:b/>
                <w:bCs/>
                <w:color w:val="000000"/>
                <w:sz w:val="20"/>
                <w:szCs w:val="20"/>
              </w:rPr>
              <w:t>Критерий</w:t>
            </w:r>
          </w:p>
        </w:tc>
        <w:tc>
          <w:tcPr>
            <w:tcW w:w="882" w:type="dxa"/>
            <w:shd w:val="clear" w:color="auto" w:fill="00B0F0"/>
            <w:vAlign w:val="center"/>
          </w:tcPr>
          <w:p w14:paraId="60158E14" w14:textId="77777777" w:rsidR="00E16161" w:rsidRPr="009443DD" w:rsidRDefault="00E16161" w:rsidP="00E16161">
            <w:pPr>
              <w:jc w:val="center"/>
              <w:rPr>
                <w:rFonts w:ascii="Times New Roman" w:hAnsi="Times New Roman" w:cs="Times New Roman"/>
                <w:b/>
                <w:sz w:val="20"/>
                <w:szCs w:val="20"/>
              </w:rPr>
            </w:pPr>
            <w:r w:rsidRPr="009443DD">
              <w:rPr>
                <w:rFonts w:ascii="Times New Roman" w:hAnsi="Times New Roman" w:cs="Times New Roman"/>
                <w:b/>
                <w:sz w:val="20"/>
                <w:szCs w:val="20"/>
              </w:rPr>
              <w:t>Т</w:t>
            </w:r>
            <w:r w:rsidRPr="009443DD">
              <w:rPr>
                <w:rFonts w:ascii="Times New Roman" w:hAnsi="Times New Roman" w:cs="Times New Roman"/>
                <w:b/>
                <w:sz w:val="20"/>
                <w:szCs w:val="20"/>
                <w:shd w:val="clear" w:color="auto" w:fill="00B0F0"/>
              </w:rPr>
              <w:t>ежес</w:t>
            </w:r>
            <w:r w:rsidRPr="009443DD">
              <w:rPr>
                <w:rFonts w:ascii="Times New Roman" w:hAnsi="Times New Roman" w:cs="Times New Roman"/>
                <w:b/>
                <w:sz w:val="20"/>
                <w:szCs w:val="20"/>
              </w:rPr>
              <w:t>т</w:t>
            </w:r>
          </w:p>
        </w:tc>
        <w:tc>
          <w:tcPr>
            <w:tcW w:w="5102" w:type="dxa"/>
            <w:shd w:val="clear" w:color="auto" w:fill="E7E6E6" w:themeFill="background2"/>
            <w:vAlign w:val="center"/>
          </w:tcPr>
          <w:p w14:paraId="35F88FD9" w14:textId="77777777" w:rsidR="00E16161" w:rsidRPr="009443DD" w:rsidRDefault="00E16161" w:rsidP="00E16161">
            <w:pPr>
              <w:jc w:val="center"/>
              <w:rPr>
                <w:rFonts w:ascii="Times New Roman" w:hAnsi="Times New Roman" w:cs="Times New Roman"/>
                <w:b/>
                <w:sz w:val="20"/>
                <w:szCs w:val="20"/>
              </w:rPr>
            </w:pPr>
            <w:r w:rsidRPr="009443DD">
              <w:rPr>
                <w:rFonts w:ascii="Times New Roman" w:hAnsi="Times New Roman" w:cs="Times New Roman"/>
                <w:b/>
                <w:sz w:val="20"/>
                <w:szCs w:val="20"/>
              </w:rPr>
              <w:t>Обосновка</w:t>
            </w:r>
          </w:p>
        </w:tc>
      </w:tr>
      <w:tr w:rsidR="00E16161" w:rsidRPr="00486024" w14:paraId="3BDCDB1E" w14:textId="77777777" w:rsidTr="00DD69D5">
        <w:tc>
          <w:tcPr>
            <w:tcW w:w="3402" w:type="dxa"/>
            <w:shd w:val="clear" w:color="auto" w:fill="BDD6EE" w:themeFill="accent1" w:themeFillTint="66"/>
            <w:vAlign w:val="center"/>
          </w:tcPr>
          <w:p w14:paraId="4A427A4B" w14:textId="77777777" w:rsidR="00E16161" w:rsidRPr="00314D0E" w:rsidRDefault="00E16161" w:rsidP="00E16161">
            <w:pPr>
              <w:jc w:val="both"/>
              <w:rPr>
                <w:rFonts w:ascii="Times New Roman" w:eastAsia="Times New Roman" w:hAnsi="Times New Roman" w:cs="Times New Roman"/>
                <w:color w:val="000000"/>
                <w:sz w:val="20"/>
                <w:szCs w:val="20"/>
              </w:rPr>
            </w:pPr>
            <w:r w:rsidRPr="00314D0E">
              <w:rPr>
                <w:rFonts w:ascii="Times New Roman" w:eastAsia="Times New Roman" w:hAnsi="Times New Roman" w:cs="Times New Roman"/>
                <w:color w:val="000000"/>
                <w:sz w:val="20"/>
                <w:szCs w:val="20"/>
              </w:rPr>
              <w:t>Ефективност (постигане на цели, изпълнение на ангажименти)</w:t>
            </w:r>
          </w:p>
        </w:tc>
        <w:tc>
          <w:tcPr>
            <w:tcW w:w="882" w:type="dxa"/>
            <w:shd w:val="clear" w:color="auto" w:fill="00B0F0"/>
            <w:vAlign w:val="center"/>
          </w:tcPr>
          <w:p w14:paraId="735A67BC" w14:textId="77777777" w:rsidR="00E16161" w:rsidRPr="00314D0E" w:rsidRDefault="00E16161" w:rsidP="00E378B1">
            <w:pPr>
              <w:jc w:val="center"/>
              <w:rPr>
                <w:rFonts w:ascii="Times New Roman" w:eastAsia="Times New Roman" w:hAnsi="Times New Roman" w:cs="Times New Roman"/>
                <w:color w:val="000000"/>
                <w:sz w:val="20"/>
                <w:szCs w:val="20"/>
              </w:rPr>
            </w:pPr>
            <w:r w:rsidRPr="00314D0E">
              <w:rPr>
                <w:rFonts w:ascii="Times New Roman" w:eastAsia="Times New Roman" w:hAnsi="Times New Roman" w:cs="Times New Roman"/>
                <w:color w:val="000000"/>
                <w:sz w:val="20"/>
                <w:szCs w:val="20"/>
              </w:rPr>
              <w:t>30%</w:t>
            </w:r>
          </w:p>
        </w:tc>
        <w:tc>
          <w:tcPr>
            <w:tcW w:w="5102" w:type="dxa"/>
            <w:shd w:val="clear" w:color="auto" w:fill="E7E6E6" w:themeFill="background2"/>
            <w:vAlign w:val="center"/>
          </w:tcPr>
          <w:p w14:paraId="6E4A84FD" w14:textId="5A0B7993" w:rsidR="00E16161" w:rsidRPr="00314D0E" w:rsidRDefault="003041EE" w:rsidP="003041E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Ключов</w:t>
            </w:r>
            <w:r w:rsidR="00E16161" w:rsidRPr="00314D0E">
              <w:rPr>
                <w:rFonts w:ascii="Times New Roman" w:eastAsia="Times New Roman" w:hAnsi="Times New Roman" w:cs="Times New Roman"/>
                <w:color w:val="000000"/>
                <w:sz w:val="20"/>
                <w:szCs w:val="20"/>
              </w:rPr>
              <w:t xml:space="preserve"> за успеха на политиката</w:t>
            </w:r>
            <w:r>
              <w:rPr>
                <w:rFonts w:ascii="Times New Roman" w:eastAsia="Times New Roman" w:hAnsi="Times New Roman" w:cs="Times New Roman"/>
                <w:color w:val="000000"/>
                <w:sz w:val="20"/>
                <w:szCs w:val="20"/>
              </w:rPr>
              <w:t xml:space="preserve"> -</w:t>
            </w:r>
            <w:r w:rsidR="00E16161" w:rsidRPr="00314D0E">
              <w:rPr>
                <w:rFonts w:ascii="Times New Roman" w:eastAsia="Times New Roman" w:hAnsi="Times New Roman" w:cs="Times New Roman"/>
                <w:color w:val="000000"/>
                <w:sz w:val="20"/>
                <w:szCs w:val="20"/>
              </w:rPr>
              <w:t xml:space="preserve"> без постигане на целите интервенцията е безсмислена</w:t>
            </w:r>
          </w:p>
        </w:tc>
      </w:tr>
      <w:tr w:rsidR="00E16161" w:rsidRPr="00486024" w14:paraId="614DF8E4" w14:textId="77777777" w:rsidTr="00DD69D5">
        <w:tc>
          <w:tcPr>
            <w:tcW w:w="3402" w:type="dxa"/>
            <w:shd w:val="clear" w:color="auto" w:fill="BDD6EE" w:themeFill="accent1" w:themeFillTint="66"/>
            <w:vAlign w:val="center"/>
          </w:tcPr>
          <w:p w14:paraId="22CED575" w14:textId="77777777" w:rsidR="00E16161" w:rsidRPr="00314D0E" w:rsidRDefault="00E16161" w:rsidP="00E16161">
            <w:pPr>
              <w:jc w:val="both"/>
              <w:rPr>
                <w:rFonts w:ascii="Times New Roman" w:eastAsia="Times New Roman" w:hAnsi="Times New Roman" w:cs="Times New Roman"/>
                <w:color w:val="000000"/>
                <w:sz w:val="20"/>
                <w:szCs w:val="20"/>
              </w:rPr>
            </w:pPr>
            <w:r w:rsidRPr="00314D0E">
              <w:rPr>
                <w:rFonts w:ascii="Times New Roman" w:eastAsia="Times New Roman" w:hAnsi="Times New Roman" w:cs="Times New Roman"/>
                <w:color w:val="000000"/>
                <w:sz w:val="20"/>
                <w:szCs w:val="20"/>
              </w:rPr>
              <w:t>Икономическо въздействие (растеж, пазар, потребители)</w:t>
            </w:r>
          </w:p>
        </w:tc>
        <w:tc>
          <w:tcPr>
            <w:tcW w:w="882" w:type="dxa"/>
            <w:shd w:val="clear" w:color="auto" w:fill="00B0F0"/>
            <w:vAlign w:val="center"/>
          </w:tcPr>
          <w:p w14:paraId="73DFAEE2" w14:textId="77777777" w:rsidR="00E16161" w:rsidRPr="00314D0E" w:rsidRDefault="00E16161" w:rsidP="00E378B1">
            <w:pPr>
              <w:jc w:val="center"/>
              <w:rPr>
                <w:rFonts w:ascii="Times New Roman" w:eastAsia="Times New Roman" w:hAnsi="Times New Roman" w:cs="Times New Roman"/>
                <w:color w:val="000000"/>
                <w:sz w:val="20"/>
                <w:szCs w:val="20"/>
              </w:rPr>
            </w:pPr>
            <w:r w:rsidRPr="00314D0E">
              <w:rPr>
                <w:rFonts w:ascii="Times New Roman" w:eastAsia="Times New Roman" w:hAnsi="Times New Roman" w:cs="Times New Roman"/>
                <w:color w:val="000000"/>
                <w:sz w:val="20"/>
                <w:szCs w:val="20"/>
              </w:rPr>
              <w:t>20%</w:t>
            </w:r>
          </w:p>
        </w:tc>
        <w:tc>
          <w:tcPr>
            <w:tcW w:w="5102" w:type="dxa"/>
            <w:shd w:val="clear" w:color="auto" w:fill="E7E6E6" w:themeFill="background2"/>
            <w:vAlign w:val="center"/>
          </w:tcPr>
          <w:p w14:paraId="67451BF2" w14:textId="26C5743B" w:rsidR="00E16161" w:rsidRPr="00314D0E" w:rsidRDefault="003041EE" w:rsidP="00E16161">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Съществен за сектора и обществото -</w:t>
            </w:r>
            <w:r w:rsidR="00E16161" w:rsidRPr="00314D0E">
              <w:rPr>
                <w:rFonts w:ascii="Times New Roman" w:eastAsia="Times New Roman" w:hAnsi="Times New Roman" w:cs="Times New Roman"/>
                <w:color w:val="000000"/>
                <w:sz w:val="20"/>
                <w:szCs w:val="20"/>
              </w:rPr>
              <w:t xml:space="preserve"> отразява ползи/</w:t>
            </w:r>
            <w:r w:rsidR="00E16161">
              <w:rPr>
                <w:rFonts w:ascii="Times New Roman" w:eastAsia="Times New Roman" w:hAnsi="Times New Roman" w:cs="Times New Roman"/>
                <w:color w:val="000000"/>
                <w:sz w:val="20"/>
                <w:szCs w:val="20"/>
              </w:rPr>
              <w:t>разходи</w:t>
            </w:r>
            <w:r w:rsidR="00E16161" w:rsidRPr="00314D0E">
              <w:rPr>
                <w:rFonts w:ascii="Times New Roman" w:eastAsia="Times New Roman" w:hAnsi="Times New Roman" w:cs="Times New Roman"/>
                <w:color w:val="000000"/>
                <w:sz w:val="20"/>
                <w:szCs w:val="20"/>
              </w:rPr>
              <w:t xml:space="preserve"> за икономиката и цените</w:t>
            </w:r>
          </w:p>
        </w:tc>
      </w:tr>
      <w:tr w:rsidR="00E16161" w:rsidRPr="00486024" w14:paraId="2D9C8931" w14:textId="77777777" w:rsidTr="00DD69D5">
        <w:tc>
          <w:tcPr>
            <w:tcW w:w="3402" w:type="dxa"/>
            <w:shd w:val="clear" w:color="auto" w:fill="BDD6EE" w:themeFill="accent1" w:themeFillTint="66"/>
            <w:vAlign w:val="center"/>
          </w:tcPr>
          <w:p w14:paraId="075224D7" w14:textId="77777777" w:rsidR="00E16161" w:rsidRPr="00314D0E" w:rsidRDefault="00E16161" w:rsidP="00E16161">
            <w:pPr>
              <w:jc w:val="both"/>
              <w:rPr>
                <w:rFonts w:ascii="Times New Roman" w:eastAsia="Times New Roman" w:hAnsi="Times New Roman" w:cs="Times New Roman"/>
                <w:color w:val="000000"/>
                <w:sz w:val="20"/>
                <w:szCs w:val="20"/>
              </w:rPr>
            </w:pPr>
            <w:r w:rsidRPr="00314D0E">
              <w:rPr>
                <w:rFonts w:ascii="Times New Roman" w:eastAsia="Times New Roman" w:hAnsi="Times New Roman" w:cs="Times New Roman"/>
                <w:color w:val="000000"/>
                <w:sz w:val="20"/>
                <w:szCs w:val="20"/>
              </w:rPr>
              <w:t>Въздействие върху МСП (дребни фермери и доставчици)</w:t>
            </w:r>
          </w:p>
        </w:tc>
        <w:tc>
          <w:tcPr>
            <w:tcW w:w="882" w:type="dxa"/>
            <w:shd w:val="clear" w:color="auto" w:fill="00B0F0"/>
            <w:vAlign w:val="center"/>
          </w:tcPr>
          <w:p w14:paraId="755BEFB2" w14:textId="77777777" w:rsidR="00E16161" w:rsidRPr="00314D0E" w:rsidRDefault="00E16161" w:rsidP="00E378B1">
            <w:pPr>
              <w:jc w:val="center"/>
              <w:rPr>
                <w:rFonts w:ascii="Times New Roman" w:eastAsia="Times New Roman" w:hAnsi="Times New Roman" w:cs="Times New Roman"/>
                <w:color w:val="000000"/>
                <w:sz w:val="20"/>
                <w:szCs w:val="20"/>
              </w:rPr>
            </w:pPr>
            <w:r w:rsidRPr="00314D0E">
              <w:rPr>
                <w:rFonts w:ascii="Times New Roman" w:eastAsia="Times New Roman" w:hAnsi="Times New Roman" w:cs="Times New Roman"/>
                <w:color w:val="000000"/>
                <w:sz w:val="20"/>
                <w:szCs w:val="20"/>
              </w:rPr>
              <w:t>20%</w:t>
            </w:r>
          </w:p>
        </w:tc>
        <w:tc>
          <w:tcPr>
            <w:tcW w:w="5102" w:type="dxa"/>
            <w:shd w:val="clear" w:color="auto" w:fill="E7E6E6" w:themeFill="background2"/>
            <w:vAlign w:val="center"/>
          </w:tcPr>
          <w:p w14:paraId="63076437" w14:textId="0E7F82C1" w:rsidR="00E16161" w:rsidRPr="00314D0E" w:rsidRDefault="003041EE" w:rsidP="003041E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Приоритетен – отразява икономическия и публичен приоритет </w:t>
            </w:r>
            <w:r w:rsidR="00E16161" w:rsidRPr="00314D0E">
              <w:rPr>
                <w:rFonts w:ascii="Times New Roman" w:eastAsia="Times New Roman" w:hAnsi="Times New Roman" w:cs="Times New Roman"/>
                <w:color w:val="000000"/>
                <w:sz w:val="20"/>
                <w:szCs w:val="20"/>
              </w:rPr>
              <w:t>за защита на уязвимите участници</w:t>
            </w:r>
          </w:p>
        </w:tc>
      </w:tr>
      <w:tr w:rsidR="00E16161" w:rsidRPr="00486024" w14:paraId="05F39BCB" w14:textId="77777777" w:rsidTr="00DD69D5">
        <w:tc>
          <w:tcPr>
            <w:tcW w:w="3402" w:type="dxa"/>
            <w:shd w:val="clear" w:color="auto" w:fill="BDD6EE" w:themeFill="accent1" w:themeFillTint="66"/>
            <w:vAlign w:val="center"/>
          </w:tcPr>
          <w:p w14:paraId="6947F643" w14:textId="77777777" w:rsidR="00E16161" w:rsidRPr="00314D0E" w:rsidRDefault="00E16161" w:rsidP="00E16161">
            <w:pPr>
              <w:jc w:val="both"/>
              <w:rPr>
                <w:rFonts w:ascii="Times New Roman" w:eastAsia="Times New Roman" w:hAnsi="Times New Roman" w:cs="Times New Roman"/>
                <w:color w:val="000000"/>
                <w:sz w:val="20"/>
                <w:szCs w:val="20"/>
              </w:rPr>
            </w:pPr>
            <w:r w:rsidRPr="00314D0E">
              <w:rPr>
                <w:rFonts w:ascii="Times New Roman" w:eastAsia="Times New Roman" w:hAnsi="Times New Roman" w:cs="Times New Roman"/>
                <w:color w:val="000000"/>
                <w:sz w:val="20"/>
                <w:szCs w:val="20"/>
              </w:rPr>
              <w:t>Административна тежест (разходи, бюрокрация)</w:t>
            </w:r>
          </w:p>
        </w:tc>
        <w:tc>
          <w:tcPr>
            <w:tcW w:w="882" w:type="dxa"/>
            <w:shd w:val="clear" w:color="auto" w:fill="00B0F0"/>
            <w:vAlign w:val="center"/>
          </w:tcPr>
          <w:p w14:paraId="08BF63E6" w14:textId="77777777" w:rsidR="00E16161" w:rsidRPr="00314D0E" w:rsidRDefault="00E16161" w:rsidP="00E378B1">
            <w:pPr>
              <w:jc w:val="center"/>
              <w:rPr>
                <w:rFonts w:ascii="Times New Roman" w:eastAsia="Times New Roman" w:hAnsi="Times New Roman" w:cs="Times New Roman"/>
                <w:color w:val="000000"/>
                <w:sz w:val="20"/>
                <w:szCs w:val="20"/>
              </w:rPr>
            </w:pPr>
            <w:r w:rsidRPr="00314D0E">
              <w:rPr>
                <w:rFonts w:ascii="Times New Roman" w:eastAsia="Times New Roman" w:hAnsi="Times New Roman" w:cs="Times New Roman"/>
                <w:color w:val="000000"/>
                <w:sz w:val="20"/>
                <w:szCs w:val="20"/>
              </w:rPr>
              <w:t>15%</w:t>
            </w:r>
          </w:p>
        </w:tc>
        <w:tc>
          <w:tcPr>
            <w:tcW w:w="5102" w:type="dxa"/>
            <w:shd w:val="clear" w:color="auto" w:fill="E7E6E6" w:themeFill="background2"/>
            <w:vAlign w:val="center"/>
          </w:tcPr>
          <w:p w14:paraId="31683630" w14:textId="4F4DEF0D" w:rsidR="00E16161" w:rsidRPr="00314D0E" w:rsidRDefault="00E16161" w:rsidP="003041EE">
            <w:pPr>
              <w:jc w:val="both"/>
              <w:rPr>
                <w:rFonts w:ascii="Times New Roman" w:eastAsia="Times New Roman" w:hAnsi="Times New Roman" w:cs="Times New Roman"/>
                <w:color w:val="000000"/>
                <w:sz w:val="20"/>
                <w:szCs w:val="20"/>
              </w:rPr>
            </w:pPr>
            <w:r w:rsidRPr="00314D0E">
              <w:rPr>
                <w:rFonts w:ascii="Times New Roman" w:eastAsia="Times New Roman" w:hAnsi="Times New Roman" w:cs="Times New Roman"/>
                <w:color w:val="000000"/>
                <w:sz w:val="20"/>
                <w:szCs w:val="20"/>
              </w:rPr>
              <w:t>Важ</w:t>
            </w:r>
            <w:r w:rsidR="003041EE">
              <w:rPr>
                <w:rFonts w:ascii="Times New Roman" w:eastAsia="Times New Roman" w:hAnsi="Times New Roman" w:cs="Times New Roman"/>
                <w:color w:val="000000"/>
                <w:sz w:val="20"/>
                <w:szCs w:val="20"/>
              </w:rPr>
              <w:t>е</w:t>
            </w:r>
            <w:r w:rsidRPr="00314D0E">
              <w:rPr>
                <w:rFonts w:ascii="Times New Roman" w:eastAsia="Times New Roman" w:hAnsi="Times New Roman" w:cs="Times New Roman"/>
                <w:color w:val="000000"/>
                <w:sz w:val="20"/>
                <w:szCs w:val="20"/>
              </w:rPr>
              <w:t>н за реализацията в рамките на ограничен бюджет и капацитет</w:t>
            </w:r>
          </w:p>
        </w:tc>
      </w:tr>
      <w:tr w:rsidR="00E16161" w:rsidRPr="00486024" w14:paraId="50A8841D" w14:textId="77777777" w:rsidTr="00DD69D5">
        <w:tc>
          <w:tcPr>
            <w:tcW w:w="3402" w:type="dxa"/>
            <w:shd w:val="clear" w:color="auto" w:fill="BDD6EE" w:themeFill="accent1" w:themeFillTint="66"/>
            <w:vAlign w:val="center"/>
          </w:tcPr>
          <w:p w14:paraId="6DAC71BE" w14:textId="77777777" w:rsidR="00E16161" w:rsidRPr="00314D0E" w:rsidRDefault="00E16161" w:rsidP="00E16161">
            <w:pPr>
              <w:jc w:val="both"/>
              <w:rPr>
                <w:rFonts w:ascii="Times New Roman" w:eastAsia="Times New Roman" w:hAnsi="Times New Roman" w:cs="Times New Roman"/>
                <w:color w:val="000000"/>
                <w:sz w:val="20"/>
                <w:szCs w:val="20"/>
              </w:rPr>
            </w:pPr>
            <w:r w:rsidRPr="00314D0E">
              <w:rPr>
                <w:rFonts w:ascii="Times New Roman" w:eastAsia="Times New Roman" w:hAnsi="Times New Roman" w:cs="Times New Roman"/>
                <w:color w:val="000000"/>
                <w:sz w:val="20"/>
                <w:szCs w:val="20"/>
              </w:rPr>
              <w:t>Приложимост (осъществимост на практика)</w:t>
            </w:r>
          </w:p>
        </w:tc>
        <w:tc>
          <w:tcPr>
            <w:tcW w:w="882" w:type="dxa"/>
            <w:shd w:val="clear" w:color="auto" w:fill="00B0F0"/>
            <w:vAlign w:val="center"/>
          </w:tcPr>
          <w:p w14:paraId="0B946C4E" w14:textId="77777777" w:rsidR="00E16161" w:rsidRPr="00314D0E" w:rsidRDefault="00E16161" w:rsidP="00E378B1">
            <w:pPr>
              <w:jc w:val="center"/>
              <w:rPr>
                <w:rFonts w:ascii="Times New Roman" w:eastAsia="Times New Roman" w:hAnsi="Times New Roman" w:cs="Times New Roman"/>
                <w:color w:val="000000"/>
                <w:sz w:val="20"/>
                <w:szCs w:val="20"/>
              </w:rPr>
            </w:pPr>
            <w:r w:rsidRPr="00314D0E">
              <w:rPr>
                <w:rFonts w:ascii="Times New Roman" w:eastAsia="Times New Roman" w:hAnsi="Times New Roman" w:cs="Times New Roman"/>
                <w:color w:val="000000"/>
                <w:sz w:val="20"/>
                <w:szCs w:val="20"/>
              </w:rPr>
              <w:t>15%</w:t>
            </w:r>
          </w:p>
        </w:tc>
        <w:tc>
          <w:tcPr>
            <w:tcW w:w="5102" w:type="dxa"/>
            <w:shd w:val="clear" w:color="auto" w:fill="E7E6E6" w:themeFill="background2"/>
            <w:vAlign w:val="center"/>
          </w:tcPr>
          <w:p w14:paraId="580B9D90" w14:textId="77777777" w:rsidR="00E16161" w:rsidRPr="00314D0E" w:rsidRDefault="00E16161" w:rsidP="00E16161">
            <w:pPr>
              <w:jc w:val="both"/>
              <w:rPr>
                <w:rFonts w:ascii="Times New Roman" w:eastAsia="Times New Roman" w:hAnsi="Times New Roman" w:cs="Times New Roman"/>
                <w:color w:val="000000"/>
                <w:sz w:val="20"/>
                <w:szCs w:val="20"/>
              </w:rPr>
            </w:pPr>
            <w:r w:rsidRPr="00314D0E">
              <w:rPr>
                <w:rFonts w:ascii="Times New Roman" w:eastAsia="Times New Roman" w:hAnsi="Times New Roman" w:cs="Times New Roman"/>
                <w:color w:val="000000"/>
                <w:sz w:val="20"/>
                <w:szCs w:val="20"/>
              </w:rPr>
              <w:t xml:space="preserve">Отчита реалистичността и времевия хоризонт за въвеждане на </w:t>
            </w:r>
            <w:r>
              <w:rPr>
                <w:rFonts w:ascii="Times New Roman" w:eastAsia="Times New Roman" w:hAnsi="Times New Roman" w:cs="Times New Roman"/>
                <w:color w:val="000000"/>
                <w:sz w:val="20"/>
                <w:szCs w:val="20"/>
              </w:rPr>
              <w:t>варианта</w:t>
            </w:r>
          </w:p>
        </w:tc>
      </w:tr>
    </w:tbl>
    <w:p w14:paraId="6BE12E77" w14:textId="77777777" w:rsidR="00E16161" w:rsidRDefault="00E16161" w:rsidP="00E16161">
      <w:pPr>
        <w:pStyle w:val="ListParagraph"/>
        <w:spacing w:after="0" w:line="240" w:lineRule="auto"/>
        <w:jc w:val="both"/>
        <w:rPr>
          <w:rFonts w:ascii="Times New Roman" w:eastAsia="Times New Roman" w:hAnsi="Times New Roman" w:cs="Times New Roman"/>
          <w:b/>
          <w:sz w:val="24"/>
          <w:szCs w:val="24"/>
        </w:rPr>
      </w:pPr>
    </w:p>
    <w:p w14:paraId="38C07495" w14:textId="77777777" w:rsidR="00E16161" w:rsidRPr="00696F4C" w:rsidRDefault="00E16161" w:rsidP="00E16161">
      <w:pPr>
        <w:pStyle w:val="ListParagraph"/>
        <w:spacing w:after="0" w:line="240" w:lineRule="auto"/>
        <w:ind w:left="0"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ІІІ. </w:t>
      </w:r>
      <w:r w:rsidRPr="00696F4C">
        <w:rPr>
          <w:rFonts w:ascii="Times New Roman" w:eastAsia="Times New Roman" w:hAnsi="Times New Roman" w:cs="Times New Roman"/>
          <w:b/>
          <w:sz w:val="24"/>
          <w:szCs w:val="24"/>
        </w:rPr>
        <w:t xml:space="preserve">Скала за оценяване на </w:t>
      </w:r>
      <w:r>
        <w:rPr>
          <w:rFonts w:ascii="Times New Roman" w:eastAsia="Times New Roman" w:hAnsi="Times New Roman" w:cs="Times New Roman"/>
          <w:b/>
          <w:sz w:val="24"/>
          <w:szCs w:val="24"/>
        </w:rPr>
        <w:t>вариантите</w:t>
      </w:r>
    </w:p>
    <w:p w14:paraId="4A453A97" w14:textId="77777777" w:rsidR="00E16161" w:rsidRPr="00E378B1" w:rsidRDefault="00E16161" w:rsidP="00E16161">
      <w:pPr>
        <w:spacing w:after="0" w:line="240" w:lineRule="auto"/>
        <w:ind w:firstLine="567"/>
        <w:jc w:val="both"/>
        <w:rPr>
          <w:rFonts w:ascii="Times New Roman" w:eastAsia="Times New Roman" w:hAnsi="Times New Roman" w:cs="Times New Roman"/>
          <w:sz w:val="24"/>
          <w:szCs w:val="24"/>
        </w:rPr>
      </w:pPr>
      <w:r w:rsidRPr="0091765E">
        <w:rPr>
          <w:rFonts w:ascii="Times New Roman" w:eastAsia="Times New Roman" w:hAnsi="Times New Roman" w:cs="Times New Roman"/>
          <w:sz w:val="24"/>
          <w:szCs w:val="24"/>
        </w:rPr>
        <w:lastRenderedPageBreak/>
        <w:t xml:space="preserve">За да </w:t>
      </w:r>
      <w:r>
        <w:rPr>
          <w:rFonts w:ascii="Times New Roman" w:eastAsia="Times New Roman" w:hAnsi="Times New Roman" w:cs="Times New Roman"/>
          <w:sz w:val="24"/>
          <w:szCs w:val="24"/>
        </w:rPr>
        <w:t xml:space="preserve">бъде </w:t>
      </w:r>
      <w:r w:rsidRPr="0091765E">
        <w:rPr>
          <w:rFonts w:ascii="Times New Roman" w:eastAsia="Times New Roman" w:hAnsi="Times New Roman" w:cs="Times New Roman"/>
          <w:sz w:val="24"/>
          <w:szCs w:val="24"/>
        </w:rPr>
        <w:t>оцен</w:t>
      </w:r>
      <w:r>
        <w:rPr>
          <w:rFonts w:ascii="Times New Roman" w:eastAsia="Times New Roman" w:hAnsi="Times New Roman" w:cs="Times New Roman"/>
          <w:sz w:val="24"/>
          <w:szCs w:val="24"/>
        </w:rPr>
        <w:t xml:space="preserve">ен </w:t>
      </w:r>
      <w:r w:rsidRPr="0091765E">
        <w:rPr>
          <w:rFonts w:ascii="Times New Roman" w:eastAsia="Times New Roman" w:hAnsi="Times New Roman" w:cs="Times New Roman"/>
          <w:sz w:val="24"/>
          <w:szCs w:val="24"/>
        </w:rPr>
        <w:t>вс</w:t>
      </w:r>
      <w:r>
        <w:rPr>
          <w:rFonts w:ascii="Times New Roman" w:eastAsia="Times New Roman" w:hAnsi="Times New Roman" w:cs="Times New Roman"/>
          <w:sz w:val="24"/>
          <w:szCs w:val="24"/>
        </w:rPr>
        <w:t>е</w:t>
      </w:r>
      <w:r w:rsidRPr="0091765E">
        <w:rPr>
          <w:rFonts w:ascii="Times New Roman" w:eastAsia="Times New Roman" w:hAnsi="Times New Roman" w:cs="Times New Roman"/>
          <w:sz w:val="24"/>
          <w:szCs w:val="24"/>
        </w:rPr>
        <w:t>к</w:t>
      </w:r>
      <w:r>
        <w:rPr>
          <w:rFonts w:ascii="Times New Roman" w:eastAsia="Times New Roman" w:hAnsi="Times New Roman" w:cs="Times New Roman"/>
          <w:sz w:val="24"/>
          <w:szCs w:val="24"/>
        </w:rPr>
        <w:t>и</w:t>
      </w:r>
      <w:r w:rsidRPr="009176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вариант </w:t>
      </w:r>
      <w:r w:rsidRPr="0091765E">
        <w:rPr>
          <w:rFonts w:ascii="Times New Roman" w:eastAsia="Times New Roman" w:hAnsi="Times New Roman" w:cs="Times New Roman"/>
          <w:sz w:val="24"/>
          <w:szCs w:val="24"/>
        </w:rPr>
        <w:t xml:space="preserve">по </w:t>
      </w:r>
      <w:r>
        <w:rPr>
          <w:rFonts w:ascii="Times New Roman" w:eastAsia="Times New Roman" w:hAnsi="Times New Roman" w:cs="Times New Roman"/>
          <w:sz w:val="24"/>
          <w:szCs w:val="24"/>
        </w:rPr>
        <w:t xml:space="preserve">посочените </w:t>
      </w:r>
      <w:r w:rsidRPr="0091765E">
        <w:rPr>
          <w:rFonts w:ascii="Times New Roman" w:eastAsia="Times New Roman" w:hAnsi="Times New Roman" w:cs="Times New Roman"/>
          <w:sz w:val="24"/>
          <w:szCs w:val="24"/>
        </w:rPr>
        <w:t>критери</w:t>
      </w:r>
      <w:r>
        <w:rPr>
          <w:rFonts w:ascii="Times New Roman" w:eastAsia="Times New Roman" w:hAnsi="Times New Roman" w:cs="Times New Roman"/>
          <w:sz w:val="24"/>
          <w:szCs w:val="24"/>
        </w:rPr>
        <w:t>и е</w:t>
      </w:r>
      <w:r w:rsidRPr="0091765E">
        <w:rPr>
          <w:rFonts w:ascii="Times New Roman" w:eastAsia="Times New Roman" w:hAnsi="Times New Roman" w:cs="Times New Roman"/>
          <w:sz w:val="24"/>
          <w:szCs w:val="24"/>
        </w:rPr>
        <w:t xml:space="preserve"> използва</w:t>
      </w:r>
      <w:r>
        <w:rPr>
          <w:rFonts w:ascii="Times New Roman" w:eastAsia="Times New Roman" w:hAnsi="Times New Roman" w:cs="Times New Roman"/>
          <w:sz w:val="24"/>
          <w:szCs w:val="24"/>
        </w:rPr>
        <w:t xml:space="preserve">на </w:t>
      </w:r>
      <w:r w:rsidRPr="00E378B1">
        <w:rPr>
          <w:rFonts w:ascii="Times New Roman" w:eastAsia="Times New Roman" w:hAnsi="Times New Roman" w:cs="Times New Roman"/>
          <w:sz w:val="24"/>
          <w:szCs w:val="24"/>
        </w:rPr>
        <w:t xml:space="preserve">петстепенната </w:t>
      </w:r>
      <w:r w:rsidRPr="00E378B1">
        <w:rPr>
          <w:rFonts w:ascii="Times New Roman" w:eastAsia="Times New Roman" w:hAnsi="Times New Roman" w:cs="Times New Roman"/>
          <w:bCs/>
          <w:sz w:val="24"/>
          <w:szCs w:val="24"/>
        </w:rPr>
        <w:t>скала от -2 до +2</w:t>
      </w:r>
      <w:r w:rsidRPr="00E378B1">
        <w:rPr>
          <w:rFonts w:ascii="Times New Roman" w:eastAsia="Times New Roman" w:hAnsi="Times New Roman" w:cs="Times New Roman"/>
          <w:sz w:val="24"/>
          <w:szCs w:val="24"/>
        </w:rPr>
        <w:t xml:space="preserve">. Тя позволява отразяване както на </w:t>
      </w:r>
      <w:r w:rsidRPr="00E378B1">
        <w:rPr>
          <w:rFonts w:ascii="Times New Roman" w:eastAsia="Times New Roman" w:hAnsi="Times New Roman" w:cs="Times New Roman"/>
          <w:bCs/>
          <w:sz w:val="24"/>
          <w:szCs w:val="24"/>
        </w:rPr>
        <w:t>отрицателни въздействия</w:t>
      </w:r>
      <w:r w:rsidRPr="00E378B1">
        <w:rPr>
          <w:rFonts w:ascii="Times New Roman" w:eastAsia="Times New Roman" w:hAnsi="Times New Roman" w:cs="Times New Roman"/>
          <w:sz w:val="24"/>
          <w:szCs w:val="24"/>
        </w:rPr>
        <w:t xml:space="preserve"> (с отрицателни стойности), така и </w:t>
      </w:r>
      <w:r w:rsidRPr="00E378B1">
        <w:rPr>
          <w:rFonts w:ascii="Times New Roman" w:eastAsia="Times New Roman" w:hAnsi="Times New Roman" w:cs="Times New Roman"/>
          <w:bCs/>
          <w:sz w:val="24"/>
          <w:szCs w:val="24"/>
        </w:rPr>
        <w:t>положителни въздействия</w:t>
      </w:r>
      <w:r w:rsidRPr="00E378B1">
        <w:rPr>
          <w:rFonts w:ascii="Times New Roman" w:eastAsia="Times New Roman" w:hAnsi="Times New Roman" w:cs="Times New Roman"/>
          <w:sz w:val="24"/>
          <w:szCs w:val="24"/>
        </w:rPr>
        <w:t xml:space="preserve"> (с положителни стойности), спрямо текущата (базисна) ситуация. Стойност 0 означава </w:t>
      </w:r>
      <w:r w:rsidRPr="00E378B1">
        <w:rPr>
          <w:rFonts w:ascii="Times New Roman" w:eastAsia="Times New Roman" w:hAnsi="Times New Roman" w:cs="Times New Roman"/>
          <w:bCs/>
          <w:sz w:val="24"/>
          <w:szCs w:val="24"/>
        </w:rPr>
        <w:t>неутрален или никакъв съществен ефект</w:t>
      </w:r>
      <w:r w:rsidRPr="00E378B1">
        <w:rPr>
          <w:rFonts w:ascii="Times New Roman" w:eastAsia="Times New Roman" w:hAnsi="Times New Roman" w:cs="Times New Roman"/>
          <w:sz w:val="24"/>
          <w:szCs w:val="24"/>
        </w:rPr>
        <w:t xml:space="preserve"> спрямо изходното положение (т.е. няма промяна).</w:t>
      </w:r>
    </w:p>
    <w:p w14:paraId="5CE5911D" w14:textId="77777777" w:rsidR="00E16161" w:rsidRPr="0091765E" w:rsidRDefault="00E16161" w:rsidP="00E16161">
      <w:pPr>
        <w:spacing w:after="0" w:line="240" w:lineRule="auto"/>
        <w:jc w:val="both"/>
        <w:rPr>
          <w:rFonts w:ascii="Times New Roman" w:eastAsia="Times New Roman" w:hAnsi="Times New Roman" w:cs="Times New Roman"/>
          <w:sz w:val="24"/>
          <w:szCs w:val="24"/>
        </w:rPr>
      </w:pPr>
      <w:r w:rsidRPr="0091765E">
        <w:rPr>
          <w:rFonts w:ascii="Times New Roman" w:eastAsia="Times New Roman" w:hAnsi="Times New Roman" w:cs="Times New Roman"/>
          <w:sz w:val="24"/>
          <w:szCs w:val="24"/>
        </w:rPr>
        <w:t>Конкретното тълкуване на стойностите е следното:</w:t>
      </w:r>
    </w:p>
    <w:p w14:paraId="6DFCF2B4" w14:textId="77777777" w:rsidR="00E16161" w:rsidRPr="0091765E" w:rsidRDefault="00E16161" w:rsidP="00893B6A">
      <w:pPr>
        <w:numPr>
          <w:ilvl w:val="0"/>
          <w:numId w:val="10"/>
        </w:numPr>
        <w:spacing w:after="0" w:line="240" w:lineRule="auto"/>
        <w:jc w:val="both"/>
        <w:rPr>
          <w:rFonts w:ascii="Times New Roman" w:eastAsia="Times New Roman" w:hAnsi="Times New Roman" w:cs="Times New Roman"/>
          <w:sz w:val="24"/>
          <w:szCs w:val="24"/>
        </w:rPr>
      </w:pPr>
      <w:r w:rsidRPr="00E378B1">
        <w:rPr>
          <w:rFonts w:ascii="Times New Roman" w:eastAsia="Times New Roman" w:hAnsi="Times New Roman" w:cs="Times New Roman"/>
          <w:b/>
          <w:bCs/>
          <w:i/>
          <w:sz w:val="24"/>
          <w:szCs w:val="24"/>
        </w:rPr>
        <w:t>–2 = Силно негативно въздействие</w:t>
      </w:r>
      <w:r w:rsidRPr="0091765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вариантът</w:t>
      </w:r>
      <w:r w:rsidRPr="0091765E">
        <w:rPr>
          <w:rFonts w:ascii="Times New Roman" w:eastAsia="Times New Roman" w:hAnsi="Times New Roman" w:cs="Times New Roman"/>
          <w:sz w:val="24"/>
          <w:szCs w:val="24"/>
        </w:rPr>
        <w:t xml:space="preserve"> значително влошава положението по дадения критерий спрямо баз</w:t>
      </w:r>
      <w:r>
        <w:rPr>
          <w:rFonts w:ascii="Times New Roman" w:eastAsia="Times New Roman" w:hAnsi="Times New Roman" w:cs="Times New Roman"/>
          <w:sz w:val="24"/>
          <w:szCs w:val="24"/>
        </w:rPr>
        <w:t>исн</w:t>
      </w:r>
      <w:r w:rsidRPr="0091765E">
        <w:rPr>
          <w:rFonts w:ascii="Times New Roman" w:eastAsia="Times New Roman" w:hAnsi="Times New Roman" w:cs="Times New Roman"/>
          <w:sz w:val="24"/>
          <w:szCs w:val="24"/>
        </w:rPr>
        <w:t>ия сценарий. (Пример: Значително увеличаване на тежестите или сериозно влошаване на конкуренцията)</w:t>
      </w:r>
      <w:r>
        <w:rPr>
          <w:rFonts w:ascii="Times New Roman" w:eastAsia="Times New Roman" w:hAnsi="Times New Roman" w:cs="Times New Roman"/>
          <w:sz w:val="24"/>
          <w:szCs w:val="24"/>
        </w:rPr>
        <w:t>;</w:t>
      </w:r>
    </w:p>
    <w:p w14:paraId="1BF7D62F" w14:textId="6EB2A9FC" w:rsidR="00E16161" w:rsidRPr="0091765E" w:rsidRDefault="00E16161" w:rsidP="00893B6A">
      <w:pPr>
        <w:numPr>
          <w:ilvl w:val="0"/>
          <w:numId w:val="10"/>
        </w:numPr>
        <w:spacing w:after="0" w:line="240" w:lineRule="auto"/>
        <w:jc w:val="both"/>
        <w:rPr>
          <w:rFonts w:ascii="Times New Roman" w:eastAsia="Times New Roman" w:hAnsi="Times New Roman" w:cs="Times New Roman"/>
          <w:sz w:val="24"/>
          <w:szCs w:val="24"/>
        </w:rPr>
      </w:pPr>
      <w:r w:rsidRPr="00E378B1">
        <w:rPr>
          <w:rFonts w:ascii="Times New Roman" w:eastAsia="Times New Roman" w:hAnsi="Times New Roman" w:cs="Times New Roman"/>
          <w:b/>
          <w:bCs/>
          <w:i/>
          <w:sz w:val="24"/>
          <w:szCs w:val="24"/>
        </w:rPr>
        <w:t>–1 = Леко негативно въздействие</w:t>
      </w:r>
      <w:r w:rsidRPr="0091765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вариантът</w:t>
      </w:r>
      <w:r w:rsidRPr="0091765E">
        <w:rPr>
          <w:rFonts w:ascii="Times New Roman" w:eastAsia="Times New Roman" w:hAnsi="Times New Roman" w:cs="Times New Roman"/>
          <w:sz w:val="24"/>
          <w:szCs w:val="24"/>
        </w:rPr>
        <w:t xml:space="preserve"> има донякъде отрицателен ефект,</w:t>
      </w:r>
      <w:r w:rsidR="00E378B1">
        <w:rPr>
          <w:rFonts w:ascii="Times New Roman" w:eastAsia="Times New Roman" w:hAnsi="Times New Roman" w:cs="Times New Roman"/>
          <w:sz w:val="24"/>
          <w:szCs w:val="24"/>
        </w:rPr>
        <w:t xml:space="preserve"> като</w:t>
      </w:r>
      <w:r w:rsidRPr="009176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води до </w:t>
      </w:r>
      <w:r w:rsidRPr="0091765E">
        <w:rPr>
          <w:rFonts w:ascii="Times New Roman" w:eastAsia="Times New Roman" w:hAnsi="Times New Roman" w:cs="Times New Roman"/>
          <w:sz w:val="24"/>
          <w:szCs w:val="24"/>
        </w:rPr>
        <w:t xml:space="preserve">влошаване в малка степен или предотвратява потенциално подобрение. (Пример: Незначително утежняване на процедури или </w:t>
      </w:r>
      <w:r w:rsidR="00F47EE1">
        <w:rPr>
          <w:rFonts w:ascii="Times New Roman" w:eastAsia="Times New Roman" w:hAnsi="Times New Roman" w:cs="Times New Roman"/>
          <w:sz w:val="24"/>
          <w:szCs w:val="24"/>
        </w:rPr>
        <w:t xml:space="preserve">незначителни </w:t>
      </w:r>
      <w:r w:rsidRPr="0091765E">
        <w:rPr>
          <w:rFonts w:ascii="Times New Roman" w:eastAsia="Times New Roman" w:hAnsi="Times New Roman" w:cs="Times New Roman"/>
          <w:sz w:val="24"/>
          <w:szCs w:val="24"/>
        </w:rPr>
        <w:t>икономически загуби)</w:t>
      </w:r>
      <w:r>
        <w:rPr>
          <w:rFonts w:ascii="Times New Roman" w:eastAsia="Times New Roman" w:hAnsi="Times New Roman" w:cs="Times New Roman"/>
          <w:sz w:val="24"/>
          <w:szCs w:val="24"/>
        </w:rPr>
        <w:t>;</w:t>
      </w:r>
    </w:p>
    <w:p w14:paraId="0DE0870B" w14:textId="77777777" w:rsidR="00E16161" w:rsidRPr="0091765E" w:rsidRDefault="00E16161" w:rsidP="00893B6A">
      <w:pPr>
        <w:numPr>
          <w:ilvl w:val="0"/>
          <w:numId w:val="10"/>
        </w:numPr>
        <w:spacing w:after="0" w:line="240" w:lineRule="auto"/>
        <w:jc w:val="both"/>
        <w:rPr>
          <w:rFonts w:ascii="Times New Roman" w:eastAsia="Times New Roman" w:hAnsi="Times New Roman" w:cs="Times New Roman"/>
          <w:sz w:val="24"/>
          <w:szCs w:val="24"/>
        </w:rPr>
      </w:pPr>
      <w:r w:rsidRPr="00E378B1">
        <w:rPr>
          <w:rFonts w:ascii="Times New Roman" w:eastAsia="Times New Roman" w:hAnsi="Times New Roman" w:cs="Times New Roman"/>
          <w:b/>
          <w:bCs/>
          <w:i/>
          <w:sz w:val="24"/>
          <w:szCs w:val="24"/>
        </w:rPr>
        <w:t>0 = Неутрално въздействие/ без промяна</w:t>
      </w:r>
      <w:r w:rsidRPr="0091765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вариантът</w:t>
      </w:r>
      <w:r w:rsidRPr="0091765E">
        <w:rPr>
          <w:rFonts w:ascii="Times New Roman" w:eastAsia="Times New Roman" w:hAnsi="Times New Roman" w:cs="Times New Roman"/>
          <w:sz w:val="24"/>
          <w:szCs w:val="24"/>
        </w:rPr>
        <w:t xml:space="preserve"> по същество запа</w:t>
      </w:r>
      <w:r>
        <w:rPr>
          <w:rFonts w:ascii="Times New Roman" w:eastAsia="Times New Roman" w:hAnsi="Times New Roman" w:cs="Times New Roman"/>
          <w:sz w:val="24"/>
          <w:szCs w:val="24"/>
        </w:rPr>
        <w:t>зва статуквото по този критерий, като при него</w:t>
      </w:r>
      <w:r w:rsidRPr="0091765E">
        <w:rPr>
          <w:rFonts w:ascii="Times New Roman" w:eastAsia="Times New Roman" w:hAnsi="Times New Roman" w:cs="Times New Roman"/>
          <w:sz w:val="24"/>
          <w:szCs w:val="24"/>
        </w:rPr>
        <w:t xml:space="preserve"> няма осезаемо подобрение или влошаване. (Пример: Не променя разходите, не влияе на МСП </w:t>
      </w:r>
      <w:r>
        <w:rPr>
          <w:rFonts w:ascii="Times New Roman" w:eastAsia="Times New Roman" w:hAnsi="Times New Roman" w:cs="Times New Roman"/>
          <w:sz w:val="24"/>
          <w:szCs w:val="24"/>
        </w:rPr>
        <w:t>в сравнение с текущото положение</w:t>
      </w:r>
      <w:r w:rsidRPr="0091765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79A96CC9" w14:textId="77777777" w:rsidR="00E16161" w:rsidRPr="0091765E" w:rsidRDefault="00E16161" w:rsidP="00893B6A">
      <w:pPr>
        <w:numPr>
          <w:ilvl w:val="0"/>
          <w:numId w:val="10"/>
        </w:numPr>
        <w:spacing w:after="0" w:line="240" w:lineRule="auto"/>
        <w:jc w:val="both"/>
        <w:rPr>
          <w:rFonts w:ascii="Times New Roman" w:eastAsia="Times New Roman" w:hAnsi="Times New Roman" w:cs="Times New Roman"/>
          <w:sz w:val="24"/>
          <w:szCs w:val="24"/>
        </w:rPr>
      </w:pPr>
      <w:r w:rsidRPr="00E378B1">
        <w:rPr>
          <w:rFonts w:ascii="Times New Roman" w:eastAsia="Times New Roman" w:hAnsi="Times New Roman" w:cs="Times New Roman"/>
          <w:b/>
          <w:bCs/>
          <w:i/>
          <w:sz w:val="24"/>
          <w:szCs w:val="24"/>
        </w:rPr>
        <w:t>+1 = Леко положително въздействие</w:t>
      </w:r>
      <w:r w:rsidRPr="0091765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вариантът</w:t>
      </w:r>
      <w:r w:rsidRPr="0091765E">
        <w:rPr>
          <w:rFonts w:ascii="Times New Roman" w:eastAsia="Times New Roman" w:hAnsi="Times New Roman" w:cs="Times New Roman"/>
          <w:sz w:val="24"/>
          <w:szCs w:val="24"/>
        </w:rPr>
        <w:t xml:space="preserve"> постига известно подобрение по критерия, макар и ограничено. (Пример: </w:t>
      </w:r>
      <w:r>
        <w:rPr>
          <w:rFonts w:ascii="Times New Roman" w:eastAsia="Times New Roman" w:hAnsi="Times New Roman" w:cs="Times New Roman"/>
          <w:sz w:val="24"/>
          <w:szCs w:val="24"/>
        </w:rPr>
        <w:t>Интервенцията д</w:t>
      </w:r>
      <w:r w:rsidRPr="0091765E">
        <w:rPr>
          <w:rFonts w:ascii="Times New Roman" w:eastAsia="Times New Roman" w:hAnsi="Times New Roman" w:cs="Times New Roman"/>
          <w:sz w:val="24"/>
          <w:szCs w:val="24"/>
        </w:rPr>
        <w:t>онякъде подобрява пазара или дава ма</w:t>
      </w:r>
      <w:r>
        <w:rPr>
          <w:rFonts w:ascii="Times New Roman" w:eastAsia="Times New Roman" w:hAnsi="Times New Roman" w:cs="Times New Roman"/>
          <w:sz w:val="24"/>
          <w:szCs w:val="24"/>
        </w:rPr>
        <w:t>лка полза за МСП, но не напълно</w:t>
      </w:r>
      <w:r w:rsidRPr="0091765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73BF5945" w14:textId="77777777" w:rsidR="00E16161" w:rsidRPr="0091765E" w:rsidRDefault="00E16161" w:rsidP="00893B6A">
      <w:pPr>
        <w:numPr>
          <w:ilvl w:val="0"/>
          <w:numId w:val="10"/>
        </w:numPr>
        <w:spacing w:after="0" w:line="240" w:lineRule="auto"/>
        <w:jc w:val="both"/>
        <w:rPr>
          <w:rFonts w:ascii="Times New Roman" w:eastAsia="Times New Roman" w:hAnsi="Times New Roman" w:cs="Times New Roman"/>
          <w:sz w:val="24"/>
          <w:szCs w:val="24"/>
        </w:rPr>
      </w:pPr>
      <w:r w:rsidRPr="00E378B1">
        <w:rPr>
          <w:rFonts w:ascii="Times New Roman" w:eastAsia="Times New Roman" w:hAnsi="Times New Roman" w:cs="Times New Roman"/>
          <w:b/>
          <w:bCs/>
          <w:i/>
          <w:sz w:val="24"/>
          <w:szCs w:val="24"/>
        </w:rPr>
        <w:t>+2 = Силно положително въздействие</w:t>
      </w:r>
      <w:r w:rsidRPr="0091765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вариантът</w:t>
      </w:r>
      <w:r w:rsidRPr="0091765E">
        <w:rPr>
          <w:rFonts w:ascii="Times New Roman" w:eastAsia="Times New Roman" w:hAnsi="Times New Roman" w:cs="Times New Roman"/>
          <w:sz w:val="24"/>
          <w:szCs w:val="24"/>
        </w:rPr>
        <w:t xml:space="preserve"> има значителен, ясно изразен положителен ефект. (Пример: В</w:t>
      </w:r>
      <w:r>
        <w:rPr>
          <w:rFonts w:ascii="Times New Roman" w:eastAsia="Times New Roman" w:hAnsi="Times New Roman" w:cs="Times New Roman"/>
          <w:sz w:val="24"/>
          <w:szCs w:val="24"/>
        </w:rPr>
        <w:t>ариантът в</w:t>
      </w:r>
      <w:r w:rsidRPr="0091765E">
        <w:rPr>
          <w:rFonts w:ascii="Times New Roman" w:eastAsia="Times New Roman" w:hAnsi="Times New Roman" w:cs="Times New Roman"/>
          <w:sz w:val="24"/>
          <w:szCs w:val="24"/>
        </w:rPr>
        <w:t xml:space="preserve"> голяма степен </w:t>
      </w:r>
      <w:r>
        <w:rPr>
          <w:rFonts w:ascii="Times New Roman" w:eastAsia="Times New Roman" w:hAnsi="Times New Roman" w:cs="Times New Roman"/>
          <w:sz w:val="24"/>
          <w:szCs w:val="24"/>
        </w:rPr>
        <w:t>раз</w:t>
      </w:r>
      <w:r w:rsidRPr="0091765E">
        <w:rPr>
          <w:rFonts w:ascii="Times New Roman" w:eastAsia="Times New Roman" w:hAnsi="Times New Roman" w:cs="Times New Roman"/>
          <w:sz w:val="24"/>
          <w:szCs w:val="24"/>
        </w:rPr>
        <w:t xml:space="preserve">решава проблема, носи съществени икономически </w:t>
      </w:r>
      <w:r>
        <w:rPr>
          <w:rFonts w:ascii="Times New Roman" w:eastAsia="Times New Roman" w:hAnsi="Times New Roman" w:cs="Times New Roman"/>
          <w:sz w:val="24"/>
          <w:szCs w:val="24"/>
        </w:rPr>
        <w:t>ползи, значително подпомага МСП</w:t>
      </w:r>
      <w:r w:rsidRPr="0091765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ED0AED2" w14:textId="51C93807" w:rsidR="00E16161" w:rsidRDefault="00E16161" w:rsidP="00E16161">
      <w:pPr>
        <w:spacing w:after="0" w:line="240" w:lineRule="auto"/>
        <w:ind w:firstLine="567"/>
        <w:jc w:val="both"/>
        <w:rPr>
          <w:rFonts w:ascii="Times New Roman" w:eastAsia="Times New Roman" w:hAnsi="Times New Roman" w:cs="Times New Roman"/>
          <w:b/>
          <w:bCs/>
          <w:sz w:val="24"/>
          <w:szCs w:val="24"/>
        </w:rPr>
      </w:pPr>
      <w:r w:rsidRPr="0091765E">
        <w:rPr>
          <w:rFonts w:ascii="Times New Roman" w:eastAsia="Times New Roman" w:hAnsi="Times New Roman" w:cs="Times New Roman"/>
          <w:sz w:val="24"/>
          <w:szCs w:val="24"/>
        </w:rPr>
        <w:t xml:space="preserve">Тази скала е </w:t>
      </w:r>
      <w:r w:rsidRPr="00E378B1">
        <w:rPr>
          <w:rFonts w:ascii="Times New Roman" w:eastAsia="Times New Roman" w:hAnsi="Times New Roman" w:cs="Times New Roman"/>
          <w:bCs/>
          <w:sz w:val="24"/>
          <w:szCs w:val="24"/>
        </w:rPr>
        <w:t>симетрична</w:t>
      </w:r>
      <w:r w:rsidRPr="0091765E">
        <w:rPr>
          <w:rFonts w:ascii="Times New Roman" w:eastAsia="Times New Roman" w:hAnsi="Times New Roman" w:cs="Times New Roman"/>
          <w:b/>
          <w:bCs/>
          <w:sz w:val="24"/>
          <w:szCs w:val="24"/>
        </w:rPr>
        <w:t xml:space="preserve"> </w:t>
      </w:r>
      <w:r w:rsidRPr="00A074F2">
        <w:rPr>
          <w:rFonts w:ascii="Times New Roman" w:eastAsia="Times New Roman" w:hAnsi="Times New Roman" w:cs="Times New Roman"/>
          <w:bCs/>
          <w:sz w:val="24"/>
          <w:szCs w:val="24"/>
        </w:rPr>
        <w:t>около 0</w:t>
      </w:r>
      <w:r w:rsidRPr="00A074F2">
        <w:rPr>
          <w:rFonts w:ascii="Times New Roman" w:eastAsia="Times New Roman" w:hAnsi="Times New Roman" w:cs="Times New Roman"/>
          <w:sz w:val="24"/>
          <w:szCs w:val="24"/>
        </w:rPr>
        <w:t>,</w:t>
      </w:r>
      <w:r w:rsidRPr="0091765E">
        <w:rPr>
          <w:rFonts w:ascii="Times New Roman" w:eastAsia="Times New Roman" w:hAnsi="Times New Roman" w:cs="Times New Roman"/>
          <w:sz w:val="24"/>
          <w:szCs w:val="24"/>
        </w:rPr>
        <w:t xml:space="preserve"> което улеснява сравняването на плюсове и минуси. Например, </w:t>
      </w:r>
      <w:r>
        <w:rPr>
          <w:rFonts w:ascii="Times New Roman" w:eastAsia="Times New Roman" w:hAnsi="Times New Roman" w:cs="Times New Roman"/>
          <w:sz w:val="24"/>
          <w:szCs w:val="24"/>
        </w:rPr>
        <w:t>Вариант</w:t>
      </w:r>
      <w:r w:rsidRPr="0091765E">
        <w:rPr>
          <w:rFonts w:ascii="Times New Roman" w:eastAsia="Times New Roman" w:hAnsi="Times New Roman" w:cs="Times New Roman"/>
          <w:sz w:val="24"/>
          <w:szCs w:val="24"/>
        </w:rPr>
        <w:t xml:space="preserve"> 0 (без действие) може да получи отрицателни оценки по някои критерии, ако очакваното развитие </w:t>
      </w:r>
      <w:r w:rsidRPr="00A074F2">
        <w:rPr>
          <w:rFonts w:ascii="Times New Roman" w:eastAsia="Times New Roman" w:hAnsi="Times New Roman" w:cs="Times New Roman"/>
          <w:bCs/>
          <w:sz w:val="24"/>
          <w:szCs w:val="24"/>
        </w:rPr>
        <w:t>без намеса е негативно</w:t>
      </w:r>
      <w:r w:rsidRPr="00A074F2">
        <w:rPr>
          <w:rFonts w:ascii="Times New Roman" w:eastAsia="Times New Roman" w:hAnsi="Times New Roman" w:cs="Times New Roman"/>
          <w:sz w:val="24"/>
          <w:szCs w:val="24"/>
        </w:rPr>
        <w:t xml:space="preserve"> (</w:t>
      </w:r>
      <w:r w:rsidR="00CE5AB9">
        <w:rPr>
          <w:rFonts w:ascii="Times New Roman" w:eastAsia="Times New Roman" w:hAnsi="Times New Roman" w:cs="Times New Roman"/>
          <w:sz w:val="24"/>
          <w:szCs w:val="24"/>
        </w:rPr>
        <w:t>например</w:t>
      </w:r>
      <w:r w:rsidR="00E378B1">
        <w:rPr>
          <w:rFonts w:ascii="Times New Roman" w:eastAsia="Times New Roman" w:hAnsi="Times New Roman" w:cs="Times New Roman"/>
          <w:sz w:val="24"/>
          <w:szCs w:val="24"/>
        </w:rPr>
        <w:t xml:space="preserve">, когато се </w:t>
      </w:r>
      <w:r w:rsidRPr="0091765E">
        <w:rPr>
          <w:rFonts w:ascii="Times New Roman" w:eastAsia="Times New Roman" w:hAnsi="Times New Roman" w:cs="Times New Roman"/>
          <w:sz w:val="24"/>
          <w:szCs w:val="24"/>
        </w:rPr>
        <w:t xml:space="preserve">прогнозира задълбочаване на проблемите без намеса). В същото време </w:t>
      </w:r>
      <w:r>
        <w:rPr>
          <w:rFonts w:ascii="Times New Roman" w:eastAsia="Times New Roman" w:hAnsi="Times New Roman" w:cs="Times New Roman"/>
          <w:sz w:val="24"/>
          <w:szCs w:val="24"/>
        </w:rPr>
        <w:t>Вариант</w:t>
      </w:r>
      <w:r w:rsidRPr="0091765E">
        <w:rPr>
          <w:rFonts w:ascii="Times New Roman" w:eastAsia="Times New Roman" w:hAnsi="Times New Roman" w:cs="Times New Roman"/>
          <w:sz w:val="24"/>
          <w:szCs w:val="24"/>
        </w:rPr>
        <w:t xml:space="preserve"> 0 може да има положително значение по отношение на административната тежест (няма нови разходи), което ще </w:t>
      </w:r>
      <w:r>
        <w:rPr>
          <w:rFonts w:ascii="Times New Roman" w:eastAsia="Times New Roman" w:hAnsi="Times New Roman" w:cs="Times New Roman"/>
          <w:sz w:val="24"/>
          <w:szCs w:val="24"/>
        </w:rPr>
        <w:t xml:space="preserve">бъде </w:t>
      </w:r>
      <w:r w:rsidRPr="0091765E">
        <w:rPr>
          <w:rFonts w:ascii="Times New Roman" w:eastAsia="Times New Roman" w:hAnsi="Times New Roman" w:cs="Times New Roman"/>
          <w:sz w:val="24"/>
          <w:szCs w:val="24"/>
        </w:rPr>
        <w:t>отраз</w:t>
      </w:r>
      <w:r>
        <w:rPr>
          <w:rFonts w:ascii="Times New Roman" w:eastAsia="Times New Roman" w:hAnsi="Times New Roman" w:cs="Times New Roman"/>
          <w:sz w:val="24"/>
          <w:szCs w:val="24"/>
        </w:rPr>
        <w:t xml:space="preserve">ено </w:t>
      </w:r>
      <w:r w:rsidRPr="0091765E">
        <w:rPr>
          <w:rFonts w:ascii="Times New Roman" w:eastAsia="Times New Roman" w:hAnsi="Times New Roman" w:cs="Times New Roman"/>
          <w:sz w:val="24"/>
          <w:szCs w:val="24"/>
        </w:rPr>
        <w:t>с положителна стойност по този критерий. По този начин оценките по</w:t>
      </w:r>
      <w:r>
        <w:rPr>
          <w:rFonts w:ascii="Times New Roman" w:eastAsia="Times New Roman" w:hAnsi="Times New Roman" w:cs="Times New Roman"/>
          <w:sz w:val="24"/>
          <w:szCs w:val="24"/>
        </w:rPr>
        <w:t xml:space="preserve"> скалата:</w:t>
      </w:r>
      <w:r w:rsidRPr="0091765E">
        <w:rPr>
          <w:rFonts w:ascii="Times New Roman" w:eastAsia="Times New Roman" w:hAnsi="Times New Roman" w:cs="Times New Roman"/>
          <w:sz w:val="24"/>
          <w:szCs w:val="24"/>
        </w:rPr>
        <w:t xml:space="preserve"> -2</w:t>
      </w:r>
      <w:r w:rsidR="00E378B1">
        <w:rPr>
          <w:rFonts w:ascii="Times New Roman" w:eastAsia="Times New Roman" w:hAnsi="Times New Roman" w:cs="Times New Roman"/>
          <w:sz w:val="24"/>
          <w:szCs w:val="24"/>
        </w:rPr>
        <w:t>…0…</w:t>
      </w:r>
      <w:r w:rsidRPr="0091765E">
        <w:rPr>
          <w:rFonts w:ascii="Times New Roman" w:eastAsia="Times New Roman" w:hAnsi="Times New Roman" w:cs="Times New Roman"/>
          <w:sz w:val="24"/>
          <w:szCs w:val="24"/>
        </w:rPr>
        <w:t xml:space="preserve">+2 отчитат </w:t>
      </w:r>
      <w:r w:rsidRPr="00A074F2">
        <w:rPr>
          <w:rFonts w:ascii="Times New Roman" w:eastAsia="Times New Roman" w:hAnsi="Times New Roman" w:cs="Times New Roman"/>
          <w:bCs/>
          <w:sz w:val="24"/>
          <w:szCs w:val="24"/>
        </w:rPr>
        <w:t>разликата на всеки вариант спрямо базисния сценарий и балансират различните по природа ефекти.</w:t>
      </w:r>
    </w:p>
    <w:p w14:paraId="76CF606A" w14:textId="77777777" w:rsidR="00E16161" w:rsidRDefault="00E16161" w:rsidP="00E16161">
      <w:pPr>
        <w:spacing w:after="0" w:line="240" w:lineRule="auto"/>
        <w:ind w:firstLine="567"/>
        <w:jc w:val="both"/>
        <w:rPr>
          <w:rFonts w:ascii="Times New Roman" w:eastAsia="Times New Roman" w:hAnsi="Times New Roman" w:cs="Times New Roman"/>
          <w:b/>
          <w:bCs/>
          <w:sz w:val="24"/>
          <w:szCs w:val="24"/>
        </w:rPr>
      </w:pPr>
    </w:p>
    <w:p w14:paraId="0CB2B035" w14:textId="77777777" w:rsidR="00E16161" w:rsidRPr="00A074F2" w:rsidRDefault="00E16161" w:rsidP="00E16161">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ІV. </w:t>
      </w:r>
      <w:r w:rsidRPr="00A074F2">
        <w:rPr>
          <w:rFonts w:ascii="Times New Roman" w:eastAsia="Times New Roman" w:hAnsi="Times New Roman" w:cs="Times New Roman"/>
          <w:b/>
          <w:sz w:val="24"/>
          <w:szCs w:val="24"/>
        </w:rPr>
        <w:t>Оценка на вариантите по критерии</w:t>
      </w:r>
    </w:p>
    <w:p w14:paraId="3E1E91BC" w14:textId="7EFA92A6" w:rsidR="00E16161" w:rsidRDefault="00E16161" w:rsidP="00E16161">
      <w:pPr>
        <w:spacing w:after="0" w:line="240" w:lineRule="auto"/>
        <w:ind w:firstLine="567"/>
        <w:jc w:val="both"/>
        <w:rPr>
          <w:rFonts w:ascii="Times New Roman" w:eastAsia="Times New Roman" w:hAnsi="Times New Roman" w:cs="Times New Roman"/>
          <w:sz w:val="24"/>
          <w:szCs w:val="24"/>
        </w:rPr>
      </w:pPr>
      <w:r w:rsidRPr="0091765E">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 xml:space="preserve">настоящия анализ е разгледан </w:t>
      </w:r>
      <w:r w:rsidRPr="0091765E">
        <w:rPr>
          <w:rFonts w:ascii="Times New Roman" w:eastAsia="Times New Roman" w:hAnsi="Times New Roman" w:cs="Times New Roman"/>
          <w:sz w:val="24"/>
          <w:szCs w:val="24"/>
        </w:rPr>
        <w:t>вс</w:t>
      </w:r>
      <w:r>
        <w:rPr>
          <w:rFonts w:ascii="Times New Roman" w:eastAsia="Times New Roman" w:hAnsi="Times New Roman" w:cs="Times New Roman"/>
          <w:sz w:val="24"/>
          <w:szCs w:val="24"/>
        </w:rPr>
        <w:t>е</w:t>
      </w:r>
      <w:r w:rsidRPr="0091765E">
        <w:rPr>
          <w:rFonts w:ascii="Times New Roman" w:eastAsia="Times New Roman" w:hAnsi="Times New Roman" w:cs="Times New Roman"/>
          <w:sz w:val="24"/>
          <w:szCs w:val="24"/>
        </w:rPr>
        <w:t>к</w:t>
      </w:r>
      <w:r>
        <w:rPr>
          <w:rFonts w:ascii="Times New Roman" w:eastAsia="Times New Roman" w:hAnsi="Times New Roman" w:cs="Times New Roman"/>
          <w:sz w:val="24"/>
          <w:szCs w:val="24"/>
        </w:rPr>
        <w:t>и един от вариантите</w:t>
      </w:r>
      <w:r w:rsidRPr="0091765E">
        <w:rPr>
          <w:rFonts w:ascii="Times New Roman" w:eastAsia="Times New Roman" w:hAnsi="Times New Roman" w:cs="Times New Roman"/>
          <w:sz w:val="24"/>
          <w:szCs w:val="24"/>
        </w:rPr>
        <w:t xml:space="preserve"> спрямо всеки критерий, оценката </w:t>
      </w:r>
      <w:r>
        <w:rPr>
          <w:rFonts w:ascii="Times New Roman" w:eastAsia="Times New Roman" w:hAnsi="Times New Roman" w:cs="Times New Roman"/>
          <w:sz w:val="24"/>
          <w:szCs w:val="24"/>
        </w:rPr>
        <w:t xml:space="preserve">е </w:t>
      </w:r>
      <w:r w:rsidRPr="0091765E">
        <w:rPr>
          <w:rFonts w:ascii="Times New Roman" w:eastAsia="Times New Roman" w:hAnsi="Times New Roman" w:cs="Times New Roman"/>
          <w:sz w:val="24"/>
          <w:szCs w:val="24"/>
        </w:rPr>
        <w:t>обоснова</w:t>
      </w:r>
      <w:r>
        <w:rPr>
          <w:rFonts w:ascii="Times New Roman" w:eastAsia="Times New Roman" w:hAnsi="Times New Roman" w:cs="Times New Roman"/>
          <w:sz w:val="24"/>
          <w:szCs w:val="24"/>
        </w:rPr>
        <w:t>н</w:t>
      </w:r>
      <w:r w:rsidRPr="0091765E">
        <w:rPr>
          <w:rFonts w:ascii="Times New Roman" w:eastAsia="Times New Roman" w:hAnsi="Times New Roman" w:cs="Times New Roman"/>
          <w:sz w:val="24"/>
          <w:szCs w:val="24"/>
        </w:rPr>
        <w:t>а по скалата -2…+2</w:t>
      </w:r>
      <w:r>
        <w:rPr>
          <w:rFonts w:ascii="Times New Roman" w:eastAsia="Times New Roman" w:hAnsi="Times New Roman" w:cs="Times New Roman"/>
          <w:sz w:val="24"/>
          <w:szCs w:val="24"/>
        </w:rPr>
        <w:t xml:space="preserve">, като са </w:t>
      </w:r>
      <w:r w:rsidRPr="0091765E">
        <w:rPr>
          <w:rFonts w:ascii="Times New Roman" w:eastAsia="Times New Roman" w:hAnsi="Times New Roman" w:cs="Times New Roman"/>
          <w:sz w:val="24"/>
          <w:szCs w:val="24"/>
        </w:rPr>
        <w:t>привед</w:t>
      </w:r>
      <w:r>
        <w:rPr>
          <w:rFonts w:ascii="Times New Roman" w:eastAsia="Times New Roman" w:hAnsi="Times New Roman" w:cs="Times New Roman"/>
          <w:sz w:val="24"/>
          <w:szCs w:val="24"/>
        </w:rPr>
        <w:t>ени</w:t>
      </w:r>
      <w:r w:rsidRPr="0091765E">
        <w:rPr>
          <w:rFonts w:ascii="Times New Roman" w:eastAsia="Times New Roman" w:hAnsi="Times New Roman" w:cs="Times New Roman"/>
          <w:sz w:val="24"/>
          <w:szCs w:val="24"/>
        </w:rPr>
        <w:t xml:space="preserve"> доказателства от официални източници</w:t>
      </w:r>
      <w:r>
        <w:rPr>
          <w:rFonts w:ascii="Times New Roman" w:eastAsia="Times New Roman" w:hAnsi="Times New Roman" w:cs="Times New Roman"/>
          <w:sz w:val="24"/>
          <w:szCs w:val="24"/>
        </w:rPr>
        <w:t xml:space="preserve"> на информация, в т.ч. сайт на МЗХ, НСИ и др</w:t>
      </w:r>
      <w:r w:rsidRPr="0091765E">
        <w:rPr>
          <w:rFonts w:ascii="Times New Roman" w:eastAsia="Times New Roman" w:hAnsi="Times New Roman" w:cs="Times New Roman"/>
          <w:sz w:val="24"/>
          <w:szCs w:val="24"/>
        </w:rPr>
        <w:t xml:space="preserve">. </w:t>
      </w:r>
    </w:p>
    <w:p w14:paraId="35C9A0C8" w14:textId="77777777" w:rsidR="00E16161" w:rsidRDefault="00E16161" w:rsidP="00E16161">
      <w:pPr>
        <w:spacing w:after="0" w:line="240" w:lineRule="auto"/>
        <w:ind w:left="568"/>
        <w:jc w:val="both"/>
        <w:rPr>
          <w:rFonts w:ascii="Times New Roman" w:eastAsia="Times New Roman" w:hAnsi="Times New Roman" w:cs="Times New Roman"/>
          <w:b/>
          <w:bCs/>
          <w:sz w:val="24"/>
          <w:szCs w:val="24"/>
        </w:rPr>
      </w:pPr>
    </w:p>
    <w:p w14:paraId="1329D713" w14:textId="77777777" w:rsidR="00E16161" w:rsidRPr="00E378B1" w:rsidRDefault="00E16161" w:rsidP="00E16161">
      <w:pPr>
        <w:spacing w:after="0" w:line="240" w:lineRule="auto"/>
        <w:ind w:left="568"/>
        <w:jc w:val="both"/>
        <w:rPr>
          <w:rFonts w:ascii="Times New Roman" w:eastAsia="Times New Roman" w:hAnsi="Times New Roman" w:cs="Times New Roman"/>
          <w:b/>
          <w:bCs/>
          <w:i/>
          <w:sz w:val="24"/>
          <w:szCs w:val="24"/>
        </w:rPr>
      </w:pPr>
      <w:r w:rsidRPr="00E378B1">
        <w:rPr>
          <w:rFonts w:ascii="Times New Roman" w:eastAsia="Times New Roman" w:hAnsi="Times New Roman" w:cs="Times New Roman"/>
          <w:b/>
          <w:bCs/>
          <w:i/>
          <w:sz w:val="24"/>
          <w:szCs w:val="24"/>
        </w:rPr>
        <w:t>1. КРИТЕРИЙ: ЕФЕКТИВНОСТ</w:t>
      </w:r>
    </w:p>
    <w:p w14:paraId="472CB324" w14:textId="77777777" w:rsidR="00E16161" w:rsidRDefault="00E16161" w:rsidP="00E16161">
      <w:pPr>
        <w:spacing w:after="0" w:line="240" w:lineRule="auto"/>
        <w:ind w:left="56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Вариант</w:t>
      </w:r>
      <w:r w:rsidRPr="0091765E">
        <w:rPr>
          <w:rFonts w:ascii="Times New Roman" w:eastAsia="Times New Roman" w:hAnsi="Times New Roman" w:cs="Times New Roman"/>
          <w:b/>
          <w:bCs/>
          <w:sz w:val="24"/>
          <w:szCs w:val="24"/>
        </w:rPr>
        <w:t xml:space="preserve"> 0</w:t>
      </w:r>
      <w:r>
        <w:rPr>
          <w:rFonts w:ascii="Times New Roman" w:eastAsia="Times New Roman" w:hAnsi="Times New Roman" w:cs="Times New Roman"/>
          <w:b/>
          <w:bCs/>
          <w:sz w:val="24"/>
          <w:szCs w:val="24"/>
        </w:rPr>
        <w:t>:</w:t>
      </w:r>
      <w:r w:rsidRPr="0091765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w:t>
      </w:r>
      <w:r w:rsidRPr="0091765E">
        <w:rPr>
          <w:rFonts w:ascii="Times New Roman" w:eastAsia="Times New Roman" w:hAnsi="Times New Roman" w:cs="Times New Roman"/>
          <w:b/>
          <w:bCs/>
          <w:sz w:val="24"/>
          <w:szCs w:val="24"/>
        </w:rPr>
        <w:t>Без действие</w:t>
      </w:r>
      <w:r>
        <w:rPr>
          <w:rFonts w:ascii="Times New Roman" w:eastAsia="Times New Roman" w:hAnsi="Times New Roman" w:cs="Times New Roman"/>
          <w:b/>
          <w:bCs/>
          <w:sz w:val="24"/>
          <w:szCs w:val="24"/>
        </w:rPr>
        <w:t>“</w:t>
      </w:r>
      <w:r w:rsidRPr="009176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074F2">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t>
      </w:r>
    </w:p>
    <w:p w14:paraId="18E1519C" w14:textId="3216FF0A" w:rsidR="00E16161" w:rsidRPr="00A074F2" w:rsidRDefault="00E16161" w:rsidP="00E161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Проведеният дотук анализ в ОВ </w:t>
      </w:r>
      <w:r w:rsidRPr="0091765E">
        <w:rPr>
          <w:rFonts w:ascii="Times New Roman" w:eastAsia="Times New Roman" w:hAnsi="Times New Roman" w:cs="Times New Roman"/>
          <w:sz w:val="24"/>
          <w:szCs w:val="24"/>
        </w:rPr>
        <w:t xml:space="preserve">посочва, че при запазване на </w:t>
      </w:r>
      <w:r w:rsidRPr="00A074F2">
        <w:rPr>
          <w:rFonts w:ascii="Times New Roman" w:eastAsia="Times New Roman" w:hAnsi="Times New Roman" w:cs="Times New Roman"/>
          <w:sz w:val="24"/>
          <w:szCs w:val="24"/>
        </w:rPr>
        <w:t xml:space="preserve">статуквото </w:t>
      </w:r>
      <w:r w:rsidRPr="00A074F2">
        <w:rPr>
          <w:rFonts w:ascii="Times New Roman" w:eastAsia="Times New Roman" w:hAnsi="Times New Roman" w:cs="Times New Roman"/>
          <w:bCs/>
          <w:sz w:val="24"/>
          <w:szCs w:val="24"/>
        </w:rPr>
        <w:t xml:space="preserve">нелоялните </w:t>
      </w:r>
      <w:r>
        <w:rPr>
          <w:rFonts w:ascii="Times New Roman" w:eastAsia="Times New Roman" w:hAnsi="Times New Roman" w:cs="Times New Roman"/>
          <w:bCs/>
          <w:sz w:val="24"/>
          <w:szCs w:val="24"/>
        </w:rPr>
        <w:t xml:space="preserve">търговски практики по веригата на доставки </w:t>
      </w:r>
      <w:r w:rsidRPr="00A074F2">
        <w:rPr>
          <w:rFonts w:ascii="Times New Roman" w:eastAsia="Times New Roman" w:hAnsi="Times New Roman" w:cs="Times New Roman"/>
          <w:bCs/>
          <w:sz w:val="24"/>
          <w:szCs w:val="24"/>
        </w:rPr>
        <w:t>ще продължат</w:t>
      </w:r>
      <w:r>
        <w:rPr>
          <w:rFonts w:ascii="Times New Roman" w:eastAsia="Times New Roman" w:hAnsi="Times New Roman" w:cs="Times New Roman"/>
          <w:sz w:val="24"/>
          <w:szCs w:val="24"/>
        </w:rPr>
        <w:t>.</w:t>
      </w:r>
      <w:r w:rsidRPr="00A074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A074F2">
        <w:rPr>
          <w:rFonts w:ascii="Times New Roman" w:eastAsia="Times New Roman" w:hAnsi="Times New Roman" w:cs="Times New Roman"/>
          <w:sz w:val="24"/>
          <w:szCs w:val="24"/>
        </w:rPr>
        <w:t xml:space="preserve">илните оператори ще могат да налагат условия на слабите, което </w:t>
      </w:r>
      <w:r w:rsidRPr="00A074F2">
        <w:rPr>
          <w:rFonts w:ascii="Times New Roman" w:eastAsia="Times New Roman" w:hAnsi="Times New Roman" w:cs="Times New Roman"/>
          <w:bCs/>
          <w:sz w:val="24"/>
          <w:szCs w:val="24"/>
        </w:rPr>
        <w:t xml:space="preserve">ограничава свободната </w:t>
      </w:r>
      <w:r w:rsidRPr="00A074F2">
        <w:rPr>
          <w:rFonts w:ascii="Times New Roman" w:eastAsia="Times New Roman" w:hAnsi="Times New Roman" w:cs="Times New Roman"/>
          <w:bCs/>
          <w:sz w:val="24"/>
          <w:szCs w:val="24"/>
        </w:rPr>
        <w:lastRenderedPageBreak/>
        <w:t xml:space="preserve">конкуренция, избора </w:t>
      </w:r>
      <w:r>
        <w:rPr>
          <w:rFonts w:ascii="Times New Roman" w:eastAsia="Times New Roman" w:hAnsi="Times New Roman" w:cs="Times New Roman"/>
          <w:bCs/>
          <w:sz w:val="24"/>
          <w:szCs w:val="24"/>
        </w:rPr>
        <w:t>н</w:t>
      </w:r>
      <w:r w:rsidRPr="00A074F2">
        <w:rPr>
          <w:rFonts w:ascii="Times New Roman" w:eastAsia="Times New Roman" w:hAnsi="Times New Roman" w:cs="Times New Roman"/>
          <w:bCs/>
          <w:sz w:val="24"/>
          <w:szCs w:val="24"/>
        </w:rPr>
        <w:t xml:space="preserve">а потребителите и </w:t>
      </w:r>
      <w:r>
        <w:rPr>
          <w:rFonts w:ascii="Times New Roman" w:eastAsia="Times New Roman" w:hAnsi="Times New Roman" w:cs="Times New Roman"/>
          <w:bCs/>
          <w:sz w:val="24"/>
          <w:szCs w:val="24"/>
        </w:rPr>
        <w:t xml:space="preserve">води до </w:t>
      </w:r>
      <w:r w:rsidRPr="00A074F2">
        <w:rPr>
          <w:rFonts w:ascii="Times New Roman" w:eastAsia="Times New Roman" w:hAnsi="Times New Roman" w:cs="Times New Roman"/>
          <w:bCs/>
          <w:sz w:val="24"/>
          <w:szCs w:val="24"/>
        </w:rPr>
        <w:t>задълбочава</w:t>
      </w:r>
      <w:r>
        <w:rPr>
          <w:rFonts w:ascii="Times New Roman" w:eastAsia="Times New Roman" w:hAnsi="Times New Roman" w:cs="Times New Roman"/>
          <w:bCs/>
          <w:sz w:val="24"/>
          <w:szCs w:val="24"/>
        </w:rPr>
        <w:t>не</w:t>
      </w:r>
      <w:r w:rsidRPr="00A074F2">
        <w:rPr>
          <w:rFonts w:ascii="Times New Roman" w:eastAsia="Times New Roman" w:hAnsi="Times New Roman" w:cs="Times New Roman"/>
          <w:bCs/>
          <w:sz w:val="24"/>
          <w:szCs w:val="24"/>
        </w:rPr>
        <w:t xml:space="preserve"> диспропорциите във веригата</w:t>
      </w:r>
      <w:r w:rsidRPr="00A074F2">
        <w:rPr>
          <w:rFonts w:ascii="Times New Roman" w:eastAsia="Times New Roman" w:hAnsi="Times New Roman" w:cs="Times New Roman"/>
          <w:sz w:val="24"/>
          <w:szCs w:val="24"/>
        </w:rPr>
        <w:t xml:space="preserve">. Не се постига целта за прозрачност и равнопоставеност – напротив, </w:t>
      </w:r>
      <w:r w:rsidRPr="00A074F2">
        <w:rPr>
          <w:rFonts w:ascii="Times New Roman" w:eastAsia="Times New Roman" w:hAnsi="Times New Roman" w:cs="Times New Roman"/>
          <w:bCs/>
          <w:sz w:val="24"/>
          <w:szCs w:val="24"/>
        </w:rPr>
        <w:t>равнопоставеност</w:t>
      </w:r>
      <w:r>
        <w:rPr>
          <w:rFonts w:ascii="Times New Roman" w:eastAsia="Times New Roman" w:hAnsi="Times New Roman" w:cs="Times New Roman"/>
          <w:bCs/>
          <w:sz w:val="24"/>
          <w:szCs w:val="24"/>
        </w:rPr>
        <w:t>та</w:t>
      </w:r>
      <w:r w:rsidRPr="00A074F2">
        <w:rPr>
          <w:rFonts w:ascii="Times New Roman" w:eastAsia="Times New Roman" w:hAnsi="Times New Roman" w:cs="Times New Roman"/>
          <w:bCs/>
          <w:sz w:val="24"/>
          <w:szCs w:val="24"/>
        </w:rPr>
        <w:t xml:space="preserve"> остава само привидна</w:t>
      </w:r>
      <w:r w:rsidRPr="00A074F2">
        <w:rPr>
          <w:rFonts w:ascii="Times New Roman" w:eastAsia="Times New Roman" w:hAnsi="Times New Roman" w:cs="Times New Roman"/>
          <w:sz w:val="24"/>
          <w:szCs w:val="24"/>
        </w:rPr>
        <w:t xml:space="preserve"> и по-слабите остават уязвими. Освен това </w:t>
      </w:r>
      <w:r w:rsidR="008A1DD6" w:rsidRPr="00AA510E">
        <w:rPr>
          <w:rFonts w:ascii="Times New Roman" w:eastAsia="Times New Roman" w:hAnsi="Times New Roman" w:cs="Times New Roman"/>
          <w:sz w:val="24"/>
          <w:szCs w:val="24"/>
        </w:rPr>
        <w:t>Република</w:t>
      </w:r>
      <w:r w:rsidR="008A1DD6">
        <w:rPr>
          <w:rFonts w:ascii="Times New Roman" w:eastAsia="Times New Roman" w:hAnsi="Times New Roman" w:cs="Times New Roman"/>
          <w:sz w:val="24"/>
          <w:szCs w:val="24"/>
        </w:rPr>
        <w:t xml:space="preserve"> </w:t>
      </w:r>
      <w:r w:rsidRPr="00A074F2">
        <w:rPr>
          <w:rFonts w:ascii="Times New Roman" w:eastAsia="Times New Roman" w:hAnsi="Times New Roman" w:cs="Times New Roman"/>
          <w:sz w:val="24"/>
          <w:szCs w:val="24"/>
        </w:rPr>
        <w:t xml:space="preserve">България </w:t>
      </w:r>
      <w:r w:rsidRPr="00A074F2">
        <w:rPr>
          <w:rFonts w:ascii="Times New Roman" w:eastAsia="Times New Roman" w:hAnsi="Times New Roman" w:cs="Times New Roman"/>
          <w:bCs/>
          <w:sz w:val="24"/>
          <w:szCs w:val="24"/>
        </w:rPr>
        <w:t>няма да изпълни поетите си ангажименти към ЕС</w:t>
      </w:r>
      <w:r w:rsidRPr="00A074F2">
        <w:rPr>
          <w:rFonts w:ascii="Times New Roman" w:eastAsia="Times New Roman" w:hAnsi="Times New Roman" w:cs="Times New Roman"/>
          <w:sz w:val="24"/>
          <w:szCs w:val="24"/>
        </w:rPr>
        <w:t xml:space="preserve"> за </w:t>
      </w:r>
      <w:r>
        <w:rPr>
          <w:rFonts w:ascii="Times New Roman" w:eastAsia="Times New Roman" w:hAnsi="Times New Roman" w:cs="Times New Roman"/>
          <w:sz w:val="24"/>
          <w:szCs w:val="24"/>
        </w:rPr>
        <w:t>прилагане</w:t>
      </w:r>
      <w:r w:rsidRPr="00A074F2">
        <w:rPr>
          <w:rFonts w:ascii="Times New Roman" w:eastAsia="Times New Roman" w:hAnsi="Times New Roman" w:cs="Times New Roman"/>
          <w:sz w:val="24"/>
          <w:szCs w:val="24"/>
        </w:rPr>
        <w:t xml:space="preserve"> на мерки срещу нелоялните търговски практики. Поради тези причини, ефективността на вариант „не прави</w:t>
      </w:r>
      <w:r w:rsidRPr="00B90991">
        <w:rPr>
          <w:rFonts w:ascii="Times New Roman" w:eastAsia="Times New Roman" w:hAnsi="Times New Roman" w:cs="Times New Roman"/>
          <w:sz w:val="24"/>
          <w:szCs w:val="24"/>
        </w:rPr>
        <w:t xml:space="preserve"> </w:t>
      </w:r>
      <w:r w:rsidRPr="00A074F2">
        <w:rPr>
          <w:rFonts w:ascii="Times New Roman" w:eastAsia="Times New Roman" w:hAnsi="Times New Roman" w:cs="Times New Roman"/>
          <w:sz w:val="24"/>
          <w:szCs w:val="24"/>
        </w:rPr>
        <w:t>нищо“ е много ниска</w:t>
      </w:r>
      <w:r w:rsidR="002B015E">
        <w:rPr>
          <w:rFonts w:ascii="Times New Roman" w:eastAsia="Times New Roman" w:hAnsi="Times New Roman" w:cs="Times New Roman"/>
          <w:sz w:val="24"/>
          <w:szCs w:val="24"/>
        </w:rPr>
        <w:t>. Т</w:t>
      </w:r>
      <w:r w:rsidRPr="00A074F2">
        <w:rPr>
          <w:rFonts w:ascii="Times New Roman" w:eastAsia="Times New Roman" w:hAnsi="Times New Roman" w:cs="Times New Roman"/>
          <w:sz w:val="24"/>
          <w:szCs w:val="24"/>
        </w:rPr>
        <w:t xml:space="preserve">ой </w:t>
      </w:r>
      <w:r w:rsidRPr="00A074F2">
        <w:rPr>
          <w:rFonts w:ascii="Times New Roman" w:eastAsia="Times New Roman" w:hAnsi="Times New Roman" w:cs="Times New Roman"/>
          <w:bCs/>
          <w:sz w:val="24"/>
          <w:szCs w:val="24"/>
        </w:rPr>
        <w:t xml:space="preserve">не води до постигане на нито една </w:t>
      </w:r>
      <w:r w:rsidR="008F2D17" w:rsidRPr="008F2D17">
        <w:rPr>
          <w:rFonts w:ascii="Times New Roman" w:eastAsia="Times New Roman" w:hAnsi="Times New Roman" w:cs="Times New Roman"/>
          <w:bCs/>
          <w:sz w:val="24"/>
          <w:szCs w:val="24"/>
          <w:lang w:val="ru-RU"/>
        </w:rPr>
        <w:t xml:space="preserve">от поставените </w:t>
      </w:r>
      <w:r w:rsidRPr="00A074F2">
        <w:rPr>
          <w:rFonts w:ascii="Times New Roman" w:eastAsia="Times New Roman" w:hAnsi="Times New Roman" w:cs="Times New Roman"/>
          <w:bCs/>
          <w:sz w:val="24"/>
          <w:szCs w:val="24"/>
        </w:rPr>
        <w:t>цел</w:t>
      </w:r>
      <w:r w:rsidR="008F2D17">
        <w:rPr>
          <w:rFonts w:ascii="Times New Roman" w:eastAsia="Times New Roman" w:hAnsi="Times New Roman" w:cs="Times New Roman"/>
          <w:bCs/>
          <w:sz w:val="24"/>
          <w:szCs w:val="24"/>
        </w:rPr>
        <w:t>и</w:t>
      </w:r>
      <w:r w:rsidRPr="00A074F2">
        <w:rPr>
          <w:rFonts w:ascii="Times New Roman" w:eastAsia="Times New Roman" w:hAnsi="Times New Roman" w:cs="Times New Roman"/>
          <w:sz w:val="24"/>
          <w:szCs w:val="24"/>
        </w:rPr>
        <w:t>.</w:t>
      </w:r>
    </w:p>
    <w:p w14:paraId="170485DF" w14:textId="77777777" w:rsidR="00E16161" w:rsidRDefault="00E16161" w:rsidP="00E16161">
      <w:pPr>
        <w:spacing w:after="0" w:line="240" w:lineRule="auto"/>
        <w:ind w:firstLine="567"/>
        <w:jc w:val="both"/>
        <w:rPr>
          <w:rFonts w:ascii="Times New Roman" w:eastAsia="Times New Roman" w:hAnsi="Times New Roman" w:cs="Times New Roman"/>
          <w:b/>
          <w:bCs/>
          <w:sz w:val="24"/>
          <w:szCs w:val="24"/>
        </w:rPr>
      </w:pPr>
    </w:p>
    <w:p w14:paraId="23907855"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Вариант 1:</w:t>
      </w:r>
      <w:r w:rsidRPr="0091765E">
        <w:rPr>
          <w:rFonts w:ascii="Times New Roman" w:eastAsia="Times New Roman" w:hAnsi="Times New Roman" w:cs="Times New Roman"/>
          <w:b/>
          <w:bCs/>
          <w:sz w:val="24"/>
          <w:szCs w:val="24"/>
        </w:rPr>
        <w:t xml:space="preserve"> </w:t>
      </w:r>
      <w:r w:rsidRPr="0012328C">
        <w:rPr>
          <w:rFonts w:ascii="Times New Roman" w:eastAsia="Times New Roman" w:hAnsi="Times New Roman" w:cs="Times New Roman"/>
          <w:b/>
          <w:bCs/>
          <w:sz w:val="24"/>
          <w:szCs w:val="24"/>
        </w:rPr>
        <w:t>„Нерегулаторен</w:t>
      </w:r>
      <w:r w:rsidRPr="00B90991">
        <w:rPr>
          <w:rFonts w:ascii="Times New Roman" w:eastAsia="Times New Roman" w:hAnsi="Times New Roman" w:cs="Times New Roman"/>
          <w:b/>
          <w:bCs/>
          <w:sz w:val="24"/>
          <w:szCs w:val="24"/>
        </w:rPr>
        <w:t>“</w:t>
      </w:r>
      <w:r w:rsidRPr="00B90991">
        <w:rPr>
          <w:rFonts w:ascii="Times New Roman" w:eastAsia="Times New Roman" w:hAnsi="Times New Roman" w:cs="Times New Roman"/>
          <w:b/>
          <w:sz w:val="24"/>
          <w:szCs w:val="24"/>
        </w:rPr>
        <w:t xml:space="preserve"> (</w:t>
      </w:r>
      <w:r w:rsidRPr="00B90991">
        <w:rPr>
          <w:rFonts w:ascii="Times New Roman" w:eastAsia="Times New Roman" w:hAnsi="Times New Roman" w:cs="Times New Roman"/>
          <w:b/>
          <w:bCs/>
          <w:sz w:val="24"/>
          <w:szCs w:val="24"/>
        </w:rPr>
        <w:t>–1)</w:t>
      </w:r>
      <w:r w:rsidRPr="0091765E">
        <w:rPr>
          <w:rFonts w:ascii="Times New Roman" w:eastAsia="Times New Roman" w:hAnsi="Times New Roman" w:cs="Times New Roman"/>
          <w:sz w:val="24"/>
          <w:szCs w:val="24"/>
        </w:rPr>
        <w:t xml:space="preserve"> </w:t>
      </w:r>
    </w:p>
    <w:p w14:paraId="786510D2" w14:textId="090CA083" w:rsidR="00E16161" w:rsidRDefault="00E16161" w:rsidP="00E161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Този вариант</w:t>
      </w:r>
      <w:r w:rsidRPr="0091765E">
        <w:rPr>
          <w:rFonts w:ascii="Times New Roman" w:eastAsia="Times New Roman" w:hAnsi="Times New Roman" w:cs="Times New Roman"/>
          <w:sz w:val="24"/>
          <w:szCs w:val="24"/>
        </w:rPr>
        <w:t xml:space="preserve"> показва намерение за реакция </w:t>
      </w:r>
      <w:r w:rsidRPr="00B90991">
        <w:rPr>
          <w:rFonts w:ascii="Times New Roman" w:eastAsia="Times New Roman" w:hAnsi="Times New Roman" w:cs="Times New Roman"/>
          <w:sz w:val="24"/>
          <w:szCs w:val="24"/>
        </w:rPr>
        <w:t xml:space="preserve">(напр. </w:t>
      </w:r>
      <w:r w:rsidRPr="00B90991">
        <w:rPr>
          <w:rFonts w:ascii="Times New Roman" w:eastAsia="Times New Roman" w:hAnsi="Times New Roman" w:cs="Times New Roman"/>
          <w:bCs/>
          <w:sz w:val="24"/>
          <w:szCs w:val="24"/>
        </w:rPr>
        <w:t xml:space="preserve">насърчаване на доброволни </w:t>
      </w:r>
      <w:r w:rsidR="008F2D17" w:rsidRPr="00B90991">
        <w:rPr>
          <w:rFonts w:ascii="Times New Roman" w:eastAsia="Times New Roman" w:hAnsi="Times New Roman" w:cs="Times New Roman"/>
          <w:bCs/>
          <w:sz w:val="24"/>
          <w:szCs w:val="24"/>
        </w:rPr>
        <w:t>споразумения</w:t>
      </w:r>
      <w:r w:rsidR="008F2D17">
        <w:rPr>
          <w:rFonts w:ascii="Times New Roman" w:eastAsia="Times New Roman" w:hAnsi="Times New Roman" w:cs="Times New Roman"/>
          <w:bCs/>
          <w:sz w:val="24"/>
          <w:szCs w:val="24"/>
        </w:rPr>
        <w:t>,</w:t>
      </w:r>
      <w:r w:rsidR="008F2D17" w:rsidRPr="00B90991">
        <w:rPr>
          <w:rFonts w:ascii="Times New Roman" w:eastAsia="Times New Roman" w:hAnsi="Times New Roman" w:cs="Times New Roman"/>
          <w:bCs/>
          <w:sz w:val="24"/>
          <w:szCs w:val="24"/>
        </w:rPr>
        <w:t xml:space="preserve"> </w:t>
      </w:r>
      <w:r w:rsidRPr="00B90991">
        <w:rPr>
          <w:rFonts w:ascii="Times New Roman" w:eastAsia="Times New Roman" w:hAnsi="Times New Roman" w:cs="Times New Roman"/>
          <w:bCs/>
          <w:sz w:val="24"/>
          <w:szCs w:val="24"/>
        </w:rPr>
        <w:t>етични кодекси</w:t>
      </w:r>
      <w:r w:rsidR="008F2D17">
        <w:rPr>
          <w:rFonts w:ascii="Times New Roman" w:eastAsia="Times New Roman" w:hAnsi="Times New Roman" w:cs="Times New Roman"/>
          <w:bCs/>
          <w:sz w:val="24"/>
          <w:szCs w:val="24"/>
        </w:rPr>
        <w:t xml:space="preserve"> или кодекси </w:t>
      </w:r>
      <w:r w:rsidR="008F2D17" w:rsidRPr="00B90991">
        <w:rPr>
          <w:rFonts w:ascii="Times New Roman" w:eastAsia="Times New Roman" w:hAnsi="Times New Roman" w:cs="Times New Roman"/>
          <w:sz w:val="24"/>
          <w:szCs w:val="24"/>
        </w:rPr>
        <w:t>за добри практики</w:t>
      </w:r>
      <w:r w:rsidRPr="00B90991">
        <w:rPr>
          <w:rFonts w:ascii="Times New Roman" w:eastAsia="Times New Roman" w:hAnsi="Times New Roman" w:cs="Times New Roman"/>
          <w:bCs/>
          <w:sz w:val="24"/>
          <w:szCs w:val="24"/>
        </w:rPr>
        <w:t xml:space="preserve"> между големи търговци и доставчици</w:t>
      </w:r>
      <w:r w:rsidRPr="00B909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но </w:t>
      </w:r>
      <w:r w:rsidRPr="00B90991">
        <w:rPr>
          <w:rFonts w:ascii="Times New Roman" w:eastAsia="Times New Roman" w:hAnsi="Times New Roman" w:cs="Times New Roman"/>
          <w:sz w:val="24"/>
          <w:szCs w:val="24"/>
        </w:rPr>
        <w:t xml:space="preserve">анализите </w:t>
      </w:r>
      <w:r>
        <w:rPr>
          <w:rFonts w:ascii="Times New Roman" w:eastAsia="Times New Roman" w:hAnsi="Times New Roman" w:cs="Times New Roman"/>
          <w:sz w:val="24"/>
          <w:szCs w:val="24"/>
        </w:rPr>
        <w:t xml:space="preserve">на предходни подобни опити </w:t>
      </w:r>
      <w:r w:rsidRPr="00B90991">
        <w:rPr>
          <w:rFonts w:ascii="Times New Roman" w:eastAsia="Times New Roman" w:hAnsi="Times New Roman" w:cs="Times New Roman"/>
          <w:sz w:val="24"/>
          <w:szCs w:val="24"/>
        </w:rPr>
        <w:t xml:space="preserve">сочат, че </w:t>
      </w:r>
      <w:r w:rsidRPr="00B90991">
        <w:rPr>
          <w:rFonts w:ascii="Times New Roman" w:eastAsia="Times New Roman" w:hAnsi="Times New Roman" w:cs="Times New Roman"/>
          <w:bCs/>
          <w:sz w:val="24"/>
          <w:szCs w:val="24"/>
        </w:rPr>
        <w:t xml:space="preserve">е малко вероятно </w:t>
      </w:r>
      <w:r w:rsidR="008F2D17" w:rsidRPr="00B90991">
        <w:rPr>
          <w:rFonts w:ascii="Times New Roman" w:eastAsia="Times New Roman" w:hAnsi="Times New Roman" w:cs="Times New Roman"/>
          <w:bCs/>
          <w:sz w:val="24"/>
          <w:szCs w:val="24"/>
        </w:rPr>
        <w:t xml:space="preserve">тя </w:t>
      </w:r>
      <w:r w:rsidRPr="00B90991">
        <w:rPr>
          <w:rFonts w:ascii="Times New Roman" w:eastAsia="Times New Roman" w:hAnsi="Times New Roman" w:cs="Times New Roman"/>
          <w:bCs/>
          <w:sz w:val="24"/>
          <w:szCs w:val="24"/>
        </w:rPr>
        <w:t>да има съществен положителен ефект</w:t>
      </w:r>
      <w:r w:rsidRPr="00B90991">
        <w:rPr>
          <w:rFonts w:ascii="Times New Roman" w:eastAsia="Times New Roman" w:hAnsi="Times New Roman" w:cs="Times New Roman"/>
          <w:sz w:val="24"/>
          <w:szCs w:val="24"/>
        </w:rPr>
        <w:t xml:space="preserve">. Причината за това е свързана с </w:t>
      </w:r>
      <w:r w:rsidR="00B17876">
        <w:rPr>
          <w:rFonts w:ascii="Times New Roman" w:eastAsia="Times New Roman" w:hAnsi="Times New Roman" w:cs="Times New Roman"/>
          <w:sz w:val="24"/>
          <w:szCs w:val="24"/>
        </w:rPr>
        <w:t>незадължителността на</w:t>
      </w:r>
      <w:r w:rsidRPr="00B90991">
        <w:rPr>
          <w:rFonts w:ascii="Times New Roman" w:eastAsia="Times New Roman" w:hAnsi="Times New Roman" w:cs="Times New Roman"/>
          <w:sz w:val="24"/>
          <w:szCs w:val="24"/>
        </w:rPr>
        <w:t xml:space="preserve"> мерки</w:t>
      </w:r>
      <w:r w:rsidR="00B17876">
        <w:rPr>
          <w:rFonts w:ascii="Times New Roman" w:eastAsia="Times New Roman" w:hAnsi="Times New Roman" w:cs="Times New Roman"/>
          <w:sz w:val="24"/>
          <w:szCs w:val="24"/>
        </w:rPr>
        <w:t>те</w:t>
      </w:r>
      <w:r w:rsidRPr="00B90991">
        <w:rPr>
          <w:rFonts w:ascii="Times New Roman" w:eastAsia="Times New Roman" w:hAnsi="Times New Roman" w:cs="Times New Roman"/>
          <w:sz w:val="24"/>
          <w:szCs w:val="24"/>
        </w:rPr>
        <w:t>, които не са правно обвързващи</w:t>
      </w:r>
      <w:r>
        <w:rPr>
          <w:rFonts w:ascii="Times New Roman" w:eastAsia="Times New Roman" w:hAnsi="Times New Roman" w:cs="Times New Roman"/>
          <w:sz w:val="24"/>
          <w:szCs w:val="24"/>
        </w:rPr>
        <w:t>, поради което</w:t>
      </w:r>
      <w:r w:rsidRPr="00B90991">
        <w:rPr>
          <w:rFonts w:ascii="Times New Roman" w:eastAsia="Times New Roman" w:hAnsi="Times New Roman" w:cs="Times New Roman"/>
          <w:sz w:val="24"/>
          <w:szCs w:val="24"/>
        </w:rPr>
        <w:t xml:space="preserve"> </w:t>
      </w:r>
      <w:r w:rsidRPr="00B90991">
        <w:rPr>
          <w:rFonts w:ascii="Times New Roman" w:eastAsia="Times New Roman" w:hAnsi="Times New Roman" w:cs="Times New Roman"/>
          <w:bCs/>
          <w:sz w:val="24"/>
          <w:szCs w:val="24"/>
        </w:rPr>
        <w:t>непазарните практики мо</w:t>
      </w:r>
      <w:r>
        <w:rPr>
          <w:rFonts w:ascii="Times New Roman" w:eastAsia="Times New Roman" w:hAnsi="Times New Roman" w:cs="Times New Roman"/>
          <w:bCs/>
          <w:sz w:val="24"/>
          <w:szCs w:val="24"/>
        </w:rPr>
        <w:t>гат</w:t>
      </w:r>
      <w:r w:rsidRPr="00B90991">
        <w:rPr>
          <w:rFonts w:ascii="Times New Roman" w:eastAsia="Times New Roman" w:hAnsi="Times New Roman" w:cs="Times New Roman"/>
          <w:bCs/>
          <w:sz w:val="24"/>
          <w:szCs w:val="24"/>
        </w:rPr>
        <w:t xml:space="preserve"> да продължат</w:t>
      </w:r>
      <w:r w:rsidRPr="00B90991">
        <w:rPr>
          <w:rFonts w:ascii="Times New Roman" w:eastAsia="Times New Roman" w:hAnsi="Times New Roman" w:cs="Times New Roman"/>
          <w:sz w:val="24"/>
          <w:szCs w:val="24"/>
        </w:rPr>
        <w:t xml:space="preserve">. При запазване на настоящата правна рамка, дори с някакви препоръки, </w:t>
      </w:r>
      <w:r w:rsidRPr="00B90991">
        <w:rPr>
          <w:rFonts w:ascii="Times New Roman" w:eastAsia="Times New Roman" w:hAnsi="Times New Roman" w:cs="Times New Roman"/>
          <w:bCs/>
          <w:sz w:val="24"/>
          <w:szCs w:val="24"/>
        </w:rPr>
        <w:t>фундаменталните дефицити ще продължат да действат</w:t>
      </w:r>
      <w:r w:rsidRPr="00B90991">
        <w:rPr>
          <w:rFonts w:ascii="Times New Roman" w:eastAsia="Times New Roman" w:hAnsi="Times New Roman" w:cs="Times New Roman"/>
          <w:sz w:val="24"/>
          <w:szCs w:val="24"/>
        </w:rPr>
        <w:t xml:space="preserve">. Нещо повече, </w:t>
      </w:r>
      <w:r w:rsidRPr="00B90991">
        <w:rPr>
          <w:rFonts w:ascii="Times New Roman" w:eastAsia="Times New Roman" w:hAnsi="Times New Roman" w:cs="Times New Roman"/>
          <w:bCs/>
          <w:sz w:val="24"/>
          <w:szCs w:val="24"/>
        </w:rPr>
        <w:t>силните оператори биха могли и да увеличат прилагането на нелоялни практики</w:t>
      </w:r>
      <w:r w:rsidRPr="00B90991">
        <w:rPr>
          <w:rFonts w:ascii="Times New Roman" w:eastAsia="Times New Roman" w:hAnsi="Times New Roman" w:cs="Times New Roman"/>
          <w:sz w:val="24"/>
          <w:szCs w:val="24"/>
        </w:rPr>
        <w:t xml:space="preserve">, знаейки че няма твърди санкции. С други думи, ефектът върху целите е не само слаб, а </w:t>
      </w:r>
      <w:r>
        <w:rPr>
          <w:rFonts w:ascii="Times New Roman" w:eastAsia="Times New Roman" w:hAnsi="Times New Roman" w:cs="Times New Roman"/>
          <w:sz w:val="24"/>
          <w:szCs w:val="24"/>
        </w:rPr>
        <w:t xml:space="preserve">е </w:t>
      </w:r>
      <w:r w:rsidRPr="00B90991">
        <w:rPr>
          <w:rFonts w:ascii="Times New Roman" w:eastAsia="Times New Roman" w:hAnsi="Times New Roman" w:cs="Times New Roman"/>
          <w:sz w:val="24"/>
          <w:szCs w:val="24"/>
        </w:rPr>
        <w:t>възможно дори</w:t>
      </w:r>
      <w:r>
        <w:rPr>
          <w:rFonts w:ascii="Times New Roman" w:eastAsia="Times New Roman" w:hAnsi="Times New Roman" w:cs="Times New Roman"/>
          <w:sz w:val="24"/>
          <w:szCs w:val="24"/>
        </w:rPr>
        <w:t xml:space="preserve"> да бъде</w:t>
      </w:r>
      <w:r w:rsidRPr="00B90991">
        <w:rPr>
          <w:rFonts w:ascii="Times New Roman" w:eastAsia="Times New Roman" w:hAnsi="Times New Roman" w:cs="Times New Roman"/>
          <w:sz w:val="24"/>
          <w:szCs w:val="24"/>
        </w:rPr>
        <w:t xml:space="preserve"> негативен</w:t>
      </w:r>
      <w:r w:rsidR="002B015E">
        <w:rPr>
          <w:rFonts w:ascii="Times New Roman" w:eastAsia="Times New Roman" w:hAnsi="Times New Roman" w:cs="Times New Roman"/>
          <w:sz w:val="24"/>
          <w:szCs w:val="24"/>
        </w:rPr>
        <w:t>.</w:t>
      </w:r>
      <w:r w:rsidRPr="00B90991">
        <w:rPr>
          <w:rFonts w:ascii="Times New Roman" w:eastAsia="Times New Roman" w:hAnsi="Times New Roman" w:cs="Times New Roman"/>
          <w:sz w:val="24"/>
          <w:szCs w:val="24"/>
        </w:rPr>
        <w:t xml:space="preserve"> </w:t>
      </w:r>
      <w:r w:rsidR="002B015E">
        <w:rPr>
          <w:rFonts w:ascii="Times New Roman" w:eastAsia="Times New Roman" w:hAnsi="Times New Roman" w:cs="Times New Roman"/>
          <w:sz w:val="24"/>
          <w:szCs w:val="24"/>
        </w:rPr>
        <w:t>П</w:t>
      </w:r>
      <w:r w:rsidRPr="00B90991">
        <w:rPr>
          <w:rFonts w:ascii="Times New Roman" w:eastAsia="Times New Roman" w:hAnsi="Times New Roman" w:cs="Times New Roman"/>
          <w:sz w:val="24"/>
          <w:szCs w:val="24"/>
        </w:rPr>
        <w:t xml:space="preserve">роблемите няма да се решат системно, което означава </w:t>
      </w:r>
      <w:r w:rsidRPr="00B90991">
        <w:rPr>
          <w:rFonts w:ascii="Times New Roman" w:eastAsia="Times New Roman" w:hAnsi="Times New Roman" w:cs="Times New Roman"/>
          <w:bCs/>
          <w:sz w:val="24"/>
          <w:szCs w:val="24"/>
        </w:rPr>
        <w:t>непостигане на основната цел</w:t>
      </w:r>
      <w:r w:rsidRPr="00B90991">
        <w:rPr>
          <w:rFonts w:ascii="Times New Roman" w:eastAsia="Times New Roman" w:hAnsi="Times New Roman" w:cs="Times New Roman"/>
          <w:sz w:val="24"/>
          <w:szCs w:val="24"/>
        </w:rPr>
        <w:t xml:space="preserve">. Вариант 1 също </w:t>
      </w:r>
      <w:r w:rsidRPr="00B90991">
        <w:rPr>
          <w:rFonts w:ascii="Times New Roman" w:eastAsia="Times New Roman" w:hAnsi="Times New Roman" w:cs="Times New Roman"/>
          <w:bCs/>
          <w:sz w:val="24"/>
          <w:szCs w:val="24"/>
        </w:rPr>
        <w:t>не изпълнява напълно ангажиментите към ЕС</w:t>
      </w:r>
      <w:r w:rsidRPr="00B90991">
        <w:rPr>
          <w:rFonts w:ascii="Times New Roman" w:eastAsia="Times New Roman" w:hAnsi="Times New Roman" w:cs="Times New Roman"/>
          <w:sz w:val="24"/>
          <w:szCs w:val="24"/>
        </w:rPr>
        <w:t xml:space="preserve">. </w:t>
      </w:r>
      <w:r w:rsidRPr="007B23B2">
        <w:rPr>
          <w:rFonts w:ascii="Times New Roman" w:eastAsia="Times New Roman" w:hAnsi="Times New Roman" w:cs="Times New Roman"/>
          <w:sz w:val="24"/>
          <w:szCs w:val="24"/>
        </w:rPr>
        <w:t xml:space="preserve">Все пак оценката е -1 (а не -2), тъй като в краткосрочен план може да има </w:t>
      </w:r>
      <w:r w:rsidRPr="007B23B2">
        <w:rPr>
          <w:rFonts w:ascii="Times New Roman" w:eastAsia="Times New Roman" w:hAnsi="Times New Roman" w:cs="Times New Roman"/>
          <w:bCs/>
          <w:sz w:val="24"/>
          <w:szCs w:val="24"/>
        </w:rPr>
        <w:t>минимално положително въздействие</w:t>
      </w:r>
      <w:r w:rsidR="002B015E">
        <w:rPr>
          <w:rFonts w:ascii="Times New Roman" w:eastAsia="Times New Roman" w:hAnsi="Times New Roman" w:cs="Times New Roman"/>
          <w:sz w:val="24"/>
          <w:szCs w:val="24"/>
        </w:rPr>
        <w:t xml:space="preserve">, </w:t>
      </w:r>
      <w:r w:rsidRPr="007B23B2">
        <w:rPr>
          <w:rFonts w:ascii="Times New Roman" w:eastAsia="Times New Roman" w:hAnsi="Times New Roman" w:cs="Times New Roman"/>
          <w:sz w:val="24"/>
          <w:szCs w:val="24"/>
        </w:rPr>
        <w:t>например, някои търговски вериги биха подобрили условията</w:t>
      </w:r>
      <w:r>
        <w:rPr>
          <w:rFonts w:ascii="Times New Roman" w:eastAsia="Times New Roman" w:hAnsi="Times New Roman" w:cs="Times New Roman"/>
          <w:sz w:val="24"/>
          <w:szCs w:val="24"/>
        </w:rPr>
        <w:t xml:space="preserve"> си</w:t>
      </w:r>
      <w:r w:rsidRPr="007B23B2">
        <w:rPr>
          <w:rFonts w:ascii="Times New Roman" w:eastAsia="Times New Roman" w:hAnsi="Times New Roman" w:cs="Times New Roman"/>
          <w:sz w:val="24"/>
          <w:szCs w:val="24"/>
        </w:rPr>
        <w:t xml:space="preserve">, но това би имало </w:t>
      </w:r>
      <w:r w:rsidRPr="007B23B2">
        <w:rPr>
          <w:rFonts w:ascii="Times New Roman" w:eastAsia="Times New Roman" w:hAnsi="Times New Roman" w:cs="Times New Roman"/>
          <w:bCs/>
          <w:sz w:val="24"/>
          <w:szCs w:val="24"/>
        </w:rPr>
        <w:t>несигурен и незначителен резултат</w:t>
      </w:r>
      <w:r w:rsidRPr="007B23B2">
        <w:rPr>
          <w:rFonts w:ascii="Times New Roman" w:eastAsia="Times New Roman" w:hAnsi="Times New Roman" w:cs="Times New Roman"/>
          <w:sz w:val="24"/>
          <w:szCs w:val="24"/>
        </w:rPr>
        <w:t xml:space="preserve">. Обобщено, нерегулаторният подход е </w:t>
      </w:r>
      <w:r w:rsidRPr="007B23B2">
        <w:rPr>
          <w:rFonts w:ascii="Times New Roman" w:eastAsia="Times New Roman" w:hAnsi="Times New Roman" w:cs="Times New Roman"/>
          <w:bCs/>
          <w:sz w:val="24"/>
          <w:szCs w:val="24"/>
        </w:rPr>
        <w:t>неефективен</w:t>
      </w:r>
      <w:r w:rsidRPr="007B23B2">
        <w:rPr>
          <w:rFonts w:ascii="Times New Roman" w:eastAsia="Times New Roman" w:hAnsi="Times New Roman" w:cs="Times New Roman"/>
          <w:sz w:val="24"/>
          <w:szCs w:val="24"/>
        </w:rPr>
        <w:t xml:space="preserve"> спрямо целите</w:t>
      </w:r>
      <w:r>
        <w:rPr>
          <w:rFonts w:ascii="Times New Roman" w:eastAsia="Times New Roman" w:hAnsi="Times New Roman" w:cs="Times New Roman"/>
          <w:sz w:val="24"/>
          <w:szCs w:val="24"/>
        </w:rPr>
        <w:t xml:space="preserve">, поради което е определен </w:t>
      </w:r>
      <w:r w:rsidRPr="007B23B2">
        <w:rPr>
          <w:rFonts w:ascii="Times New Roman" w:eastAsia="Times New Roman" w:hAnsi="Times New Roman" w:cs="Times New Roman"/>
          <w:sz w:val="24"/>
          <w:szCs w:val="24"/>
        </w:rPr>
        <w:t xml:space="preserve">като леко негативен, тъй като създава илюзия за действие, но на практика </w:t>
      </w:r>
      <w:r w:rsidRPr="007B23B2">
        <w:rPr>
          <w:rFonts w:ascii="Times New Roman" w:eastAsia="Times New Roman" w:hAnsi="Times New Roman" w:cs="Times New Roman"/>
          <w:bCs/>
          <w:sz w:val="24"/>
          <w:szCs w:val="24"/>
        </w:rPr>
        <w:t>не адресира коренно проблемите</w:t>
      </w:r>
      <w:r>
        <w:rPr>
          <w:rFonts w:ascii="Times New Roman" w:eastAsia="Times New Roman" w:hAnsi="Times New Roman" w:cs="Times New Roman"/>
          <w:sz w:val="24"/>
          <w:szCs w:val="24"/>
        </w:rPr>
        <w:t xml:space="preserve"> като </w:t>
      </w:r>
      <w:r w:rsidRPr="007B23B2">
        <w:rPr>
          <w:rFonts w:ascii="Times New Roman" w:eastAsia="Times New Roman" w:hAnsi="Times New Roman" w:cs="Times New Roman"/>
          <w:sz w:val="24"/>
          <w:szCs w:val="24"/>
        </w:rPr>
        <w:t>рискува те да с</w:t>
      </w:r>
      <w:r>
        <w:rPr>
          <w:rFonts w:ascii="Times New Roman" w:eastAsia="Times New Roman" w:hAnsi="Times New Roman" w:cs="Times New Roman"/>
          <w:sz w:val="24"/>
          <w:szCs w:val="24"/>
        </w:rPr>
        <w:t>е задържат нерешени във времето</w:t>
      </w:r>
      <w:r w:rsidRPr="007B23B2">
        <w:rPr>
          <w:rFonts w:ascii="Times New Roman" w:eastAsia="Times New Roman" w:hAnsi="Times New Roman" w:cs="Times New Roman"/>
          <w:sz w:val="24"/>
          <w:szCs w:val="24"/>
        </w:rPr>
        <w:t>.</w:t>
      </w:r>
    </w:p>
    <w:p w14:paraId="4EF74414" w14:textId="77777777" w:rsidR="008F2D17" w:rsidRPr="007B23B2" w:rsidRDefault="008F2D17" w:rsidP="00E16161">
      <w:pPr>
        <w:spacing w:after="0" w:line="240" w:lineRule="auto"/>
        <w:ind w:firstLine="567"/>
        <w:jc w:val="both"/>
        <w:rPr>
          <w:rFonts w:ascii="Times New Roman" w:eastAsia="Times New Roman" w:hAnsi="Times New Roman" w:cs="Times New Roman"/>
          <w:sz w:val="24"/>
          <w:szCs w:val="24"/>
        </w:rPr>
      </w:pPr>
    </w:p>
    <w:p w14:paraId="244D090C"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Вариант</w:t>
      </w:r>
      <w:r w:rsidRPr="0091765E">
        <w:rPr>
          <w:rFonts w:ascii="Times New Roman" w:eastAsia="Times New Roman" w:hAnsi="Times New Roman" w:cs="Times New Roman"/>
          <w:b/>
          <w:bCs/>
          <w:sz w:val="24"/>
          <w:szCs w:val="24"/>
        </w:rPr>
        <w:t xml:space="preserve"> 2 </w:t>
      </w:r>
      <w:r w:rsidRPr="0012328C">
        <w:rPr>
          <w:rFonts w:ascii="Times New Roman" w:eastAsia="Times New Roman" w:hAnsi="Times New Roman" w:cs="Times New Roman"/>
          <w:b/>
          <w:bCs/>
          <w:sz w:val="24"/>
          <w:szCs w:val="24"/>
        </w:rPr>
        <w:t>„Регулаторен - промени в действащата правна уредба</w:t>
      </w:r>
      <w:r w:rsidRPr="007B23B2">
        <w:rPr>
          <w:rFonts w:ascii="Times New Roman" w:eastAsia="Times New Roman" w:hAnsi="Times New Roman" w:cs="Times New Roman"/>
          <w:b/>
          <w:bCs/>
          <w:sz w:val="24"/>
          <w:szCs w:val="24"/>
        </w:rPr>
        <w:t>“</w:t>
      </w:r>
      <w:r w:rsidRPr="007B23B2">
        <w:rPr>
          <w:rFonts w:ascii="Times New Roman" w:eastAsia="Times New Roman" w:hAnsi="Times New Roman" w:cs="Times New Roman"/>
          <w:b/>
          <w:sz w:val="24"/>
          <w:szCs w:val="24"/>
        </w:rPr>
        <w:t xml:space="preserve"> (</w:t>
      </w:r>
      <w:r w:rsidRPr="007B23B2">
        <w:rPr>
          <w:rFonts w:ascii="Times New Roman" w:eastAsia="Times New Roman" w:hAnsi="Times New Roman" w:cs="Times New Roman"/>
          <w:b/>
          <w:bCs/>
          <w:sz w:val="24"/>
          <w:szCs w:val="24"/>
        </w:rPr>
        <w:t>+1)</w:t>
      </w:r>
      <w:r w:rsidRPr="0012328C">
        <w:rPr>
          <w:rFonts w:ascii="Times New Roman" w:eastAsia="Times New Roman" w:hAnsi="Times New Roman" w:cs="Times New Roman"/>
          <w:sz w:val="24"/>
          <w:szCs w:val="24"/>
        </w:rPr>
        <w:t xml:space="preserve"> </w:t>
      </w:r>
    </w:p>
    <w:p w14:paraId="3A60C429" w14:textId="1A41341A" w:rsidR="00E16161" w:rsidRPr="007B23B2" w:rsidRDefault="00E16161" w:rsidP="00E161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този вариант се </w:t>
      </w:r>
      <w:r w:rsidRPr="0091765E">
        <w:rPr>
          <w:rFonts w:ascii="Times New Roman" w:eastAsia="Times New Roman" w:hAnsi="Times New Roman" w:cs="Times New Roman"/>
          <w:sz w:val="24"/>
          <w:szCs w:val="24"/>
        </w:rPr>
        <w:t xml:space="preserve">предвижда </w:t>
      </w:r>
      <w:r w:rsidRPr="007B23B2">
        <w:rPr>
          <w:rFonts w:ascii="Times New Roman" w:eastAsia="Times New Roman" w:hAnsi="Times New Roman" w:cs="Times New Roman"/>
          <w:bCs/>
          <w:sz w:val="24"/>
          <w:szCs w:val="24"/>
        </w:rPr>
        <w:t>частично регулаторно решение</w:t>
      </w:r>
      <w:r w:rsidR="002B015E">
        <w:rPr>
          <w:rFonts w:ascii="Times New Roman" w:eastAsia="Times New Roman" w:hAnsi="Times New Roman" w:cs="Times New Roman"/>
          <w:sz w:val="24"/>
          <w:szCs w:val="24"/>
        </w:rPr>
        <w:t xml:space="preserve">, </w:t>
      </w:r>
      <w:r w:rsidRPr="007B23B2">
        <w:rPr>
          <w:rFonts w:ascii="Times New Roman" w:eastAsia="Times New Roman" w:hAnsi="Times New Roman" w:cs="Times New Roman"/>
          <w:sz w:val="24"/>
          <w:szCs w:val="24"/>
        </w:rPr>
        <w:t xml:space="preserve">например, </w:t>
      </w:r>
      <w:r w:rsidR="002B015E">
        <w:rPr>
          <w:rFonts w:ascii="Times New Roman" w:eastAsia="Times New Roman" w:hAnsi="Times New Roman" w:cs="Times New Roman"/>
          <w:sz w:val="24"/>
          <w:szCs w:val="24"/>
        </w:rPr>
        <w:t xml:space="preserve">чрез </w:t>
      </w:r>
      <w:r w:rsidRPr="007B23B2">
        <w:rPr>
          <w:rFonts w:ascii="Times New Roman" w:eastAsia="Times New Roman" w:hAnsi="Times New Roman" w:cs="Times New Roman"/>
          <w:sz w:val="24"/>
          <w:szCs w:val="24"/>
        </w:rPr>
        <w:t>въвеждане на забрани за нелоялни</w:t>
      </w:r>
      <w:r w:rsidR="008E3E4C">
        <w:rPr>
          <w:rFonts w:ascii="Times New Roman" w:eastAsia="Times New Roman" w:hAnsi="Times New Roman" w:cs="Times New Roman"/>
          <w:sz w:val="24"/>
          <w:szCs w:val="24"/>
        </w:rPr>
        <w:t xml:space="preserve"> търговски</w:t>
      </w:r>
      <w:r w:rsidRPr="007B23B2">
        <w:rPr>
          <w:rFonts w:ascii="Times New Roman" w:eastAsia="Times New Roman" w:hAnsi="Times New Roman" w:cs="Times New Roman"/>
          <w:sz w:val="24"/>
          <w:szCs w:val="24"/>
        </w:rPr>
        <w:t xml:space="preserve"> практики чрез поправки в </w:t>
      </w:r>
      <w:r w:rsidR="002B015E">
        <w:rPr>
          <w:rFonts w:ascii="Times New Roman" w:eastAsia="Times New Roman" w:hAnsi="Times New Roman" w:cs="Times New Roman"/>
          <w:sz w:val="24"/>
          <w:szCs w:val="24"/>
        </w:rPr>
        <w:t>ЗЗК</w:t>
      </w:r>
      <w:r w:rsidRPr="007B23B2">
        <w:rPr>
          <w:rFonts w:ascii="Times New Roman" w:eastAsia="Times New Roman" w:hAnsi="Times New Roman" w:cs="Times New Roman"/>
          <w:sz w:val="24"/>
          <w:szCs w:val="24"/>
        </w:rPr>
        <w:t xml:space="preserve"> или в друг съществуващ закон. Това би имало </w:t>
      </w:r>
      <w:r w:rsidRPr="007B23B2">
        <w:rPr>
          <w:rFonts w:ascii="Times New Roman" w:eastAsia="Times New Roman" w:hAnsi="Times New Roman" w:cs="Times New Roman"/>
          <w:bCs/>
          <w:sz w:val="24"/>
          <w:szCs w:val="24"/>
        </w:rPr>
        <w:t>частичен ефект</w:t>
      </w:r>
      <w:r w:rsidRPr="007B23B2">
        <w:rPr>
          <w:rFonts w:ascii="Times New Roman" w:eastAsia="Times New Roman" w:hAnsi="Times New Roman" w:cs="Times New Roman"/>
          <w:sz w:val="24"/>
          <w:szCs w:val="24"/>
        </w:rPr>
        <w:t xml:space="preserve">: някои от проблемите ще бъдат адресирани, но </w:t>
      </w:r>
      <w:r w:rsidRPr="007B23B2">
        <w:rPr>
          <w:rFonts w:ascii="Times New Roman" w:eastAsia="Times New Roman" w:hAnsi="Times New Roman" w:cs="Times New Roman"/>
          <w:bCs/>
          <w:sz w:val="24"/>
          <w:szCs w:val="24"/>
        </w:rPr>
        <w:t>не изцяло</w:t>
      </w:r>
      <w:r w:rsidRPr="009176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Вариант</w:t>
      </w:r>
      <w:r w:rsidRPr="0091765E">
        <w:rPr>
          <w:rFonts w:ascii="Times New Roman" w:eastAsia="Times New Roman" w:hAnsi="Times New Roman" w:cs="Times New Roman"/>
          <w:sz w:val="24"/>
          <w:szCs w:val="24"/>
        </w:rPr>
        <w:t xml:space="preserve"> </w:t>
      </w:r>
      <w:r w:rsidRPr="007B23B2">
        <w:rPr>
          <w:rFonts w:ascii="Times New Roman" w:eastAsia="Times New Roman" w:hAnsi="Times New Roman" w:cs="Times New Roman"/>
          <w:sz w:val="24"/>
          <w:szCs w:val="24"/>
        </w:rPr>
        <w:t xml:space="preserve">2 </w:t>
      </w:r>
      <w:r w:rsidRPr="007B23B2">
        <w:rPr>
          <w:rFonts w:ascii="Times New Roman" w:eastAsia="Times New Roman" w:hAnsi="Times New Roman" w:cs="Times New Roman"/>
          <w:bCs/>
          <w:sz w:val="24"/>
          <w:szCs w:val="24"/>
        </w:rPr>
        <w:t>не отстранява напълно дефицитите във веригата на доставки</w:t>
      </w:r>
      <w:r>
        <w:rPr>
          <w:rFonts w:ascii="Times New Roman" w:eastAsia="Times New Roman" w:hAnsi="Times New Roman" w:cs="Times New Roman"/>
          <w:bCs/>
          <w:sz w:val="24"/>
          <w:szCs w:val="24"/>
        </w:rPr>
        <w:t>.</w:t>
      </w:r>
      <w:r w:rsidRPr="007B23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7B23B2">
        <w:rPr>
          <w:rFonts w:ascii="Times New Roman" w:eastAsia="Times New Roman" w:hAnsi="Times New Roman" w:cs="Times New Roman"/>
          <w:sz w:val="24"/>
          <w:szCs w:val="24"/>
        </w:rPr>
        <w:t xml:space="preserve">е ще бъдат смекчени, но не изкоренени. </w:t>
      </w:r>
      <w:r w:rsidR="002B015E">
        <w:rPr>
          <w:rFonts w:ascii="Times New Roman" w:eastAsia="Times New Roman" w:hAnsi="Times New Roman" w:cs="Times New Roman"/>
          <w:sz w:val="24"/>
          <w:szCs w:val="24"/>
        </w:rPr>
        <w:t>М</w:t>
      </w:r>
      <w:r w:rsidRPr="007B23B2">
        <w:rPr>
          <w:rFonts w:ascii="Times New Roman" w:eastAsia="Times New Roman" w:hAnsi="Times New Roman" w:cs="Times New Roman"/>
          <w:sz w:val="24"/>
          <w:szCs w:val="24"/>
        </w:rPr>
        <w:t xml:space="preserve">огат да се ограничат най-очевидните нелоялни практики, </w:t>
      </w:r>
      <w:r w:rsidRPr="007B23B2">
        <w:rPr>
          <w:rFonts w:ascii="Times New Roman" w:eastAsia="Times New Roman" w:hAnsi="Times New Roman" w:cs="Times New Roman"/>
          <w:bCs/>
          <w:sz w:val="24"/>
          <w:szCs w:val="24"/>
        </w:rPr>
        <w:t>липсата на цялостна рамка</w:t>
      </w:r>
      <w:r w:rsidRPr="007B23B2">
        <w:rPr>
          <w:rFonts w:ascii="Times New Roman" w:eastAsia="Times New Roman" w:hAnsi="Times New Roman" w:cs="Times New Roman"/>
          <w:sz w:val="24"/>
          <w:szCs w:val="24"/>
        </w:rPr>
        <w:t xml:space="preserve"> означава, че </w:t>
      </w:r>
      <w:r w:rsidRPr="007B23B2">
        <w:rPr>
          <w:rFonts w:ascii="Times New Roman" w:eastAsia="Times New Roman" w:hAnsi="Times New Roman" w:cs="Times New Roman"/>
          <w:bCs/>
          <w:sz w:val="24"/>
          <w:szCs w:val="24"/>
        </w:rPr>
        <w:t xml:space="preserve">правната несигурност и </w:t>
      </w:r>
      <w:r w:rsidR="0061783C">
        <w:rPr>
          <w:rFonts w:ascii="Times New Roman" w:eastAsia="Times New Roman" w:hAnsi="Times New Roman" w:cs="Times New Roman"/>
          <w:bCs/>
          <w:sz w:val="24"/>
          <w:szCs w:val="24"/>
        </w:rPr>
        <w:t>не</w:t>
      </w:r>
      <w:r w:rsidR="0061783C" w:rsidRPr="007B23B2">
        <w:rPr>
          <w:rFonts w:ascii="Times New Roman" w:eastAsia="Times New Roman" w:hAnsi="Times New Roman" w:cs="Times New Roman"/>
          <w:bCs/>
          <w:sz w:val="24"/>
          <w:szCs w:val="24"/>
        </w:rPr>
        <w:t>рав</w:t>
      </w:r>
      <w:r w:rsidR="0061783C">
        <w:rPr>
          <w:rFonts w:ascii="Times New Roman" w:eastAsia="Times New Roman" w:hAnsi="Times New Roman" w:cs="Times New Roman"/>
          <w:bCs/>
          <w:sz w:val="24"/>
          <w:szCs w:val="24"/>
        </w:rPr>
        <w:t>новесието</w:t>
      </w:r>
      <w:r>
        <w:rPr>
          <w:rFonts w:ascii="Times New Roman" w:eastAsia="Times New Roman" w:hAnsi="Times New Roman" w:cs="Times New Roman"/>
          <w:bCs/>
          <w:sz w:val="24"/>
          <w:szCs w:val="24"/>
        </w:rPr>
        <w:t xml:space="preserve"> в силите ще продължат да съществуват в</w:t>
      </w:r>
      <w:r w:rsidRPr="007B23B2">
        <w:rPr>
          <w:rFonts w:ascii="Times New Roman" w:eastAsia="Times New Roman" w:hAnsi="Times New Roman" w:cs="Times New Roman"/>
          <w:bCs/>
          <w:sz w:val="24"/>
          <w:szCs w:val="24"/>
        </w:rPr>
        <w:t xml:space="preserve"> известна степен</w:t>
      </w:r>
      <w:r w:rsidRPr="007B23B2">
        <w:rPr>
          <w:rFonts w:ascii="Times New Roman" w:eastAsia="Times New Roman" w:hAnsi="Times New Roman" w:cs="Times New Roman"/>
          <w:sz w:val="24"/>
          <w:szCs w:val="24"/>
        </w:rPr>
        <w:t xml:space="preserve">. </w:t>
      </w:r>
      <w:r w:rsidRPr="007B23B2">
        <w:rPr>
          <w:rFonts w:ascii="Times New Roman" w:eastAsia="Times New Roman" w:hAnsi="Times New Roman" w:cs="Times New Roman"/>
          <w:bCs/>
          <w:sz w:val="24"/>
          <w:szCs w:val="24"/>
        </w:rPr>
        <w:t>Някои негативни ефекти може да продължат в дългосрочен план</w:t>
      </w:r>
      <w:r w:rsidR="002B015E">
        <w:rPr>
          <w:rFonts w:ascii="Times New Roman" w:eastAsia="Times New Roman" w:hAnsi="Times New Roman" w:cs="Times New Roman"/>
          <w:sz w:val="24"/>
          <w:szCs w:val="24"/>
        </w:rPr>
        <w:t>.</w:t>
      </w:r>
      <w:r w:rsidRPr="007B23B2">
        <w:rPr>
          <w:rFonts w:ascii="Times New Roman" w:eastAsia="Times New Roman" w:hAnsi="Times New Roman" w:cs="Times New Roman"/>
          <w:sz w:val="24"/>
          <w:szCs w:val="24"/>
        </w:rPr>
        <w:t xml:space="preserve"> </w:t>
      </w:r>
      <w:r w:rsidR="002B015E">
        <w:rPr>
          <w:rFonts w:ascii="Times New Roman" w:eastAsia="Times New Roman" w:hAnsi="Times New Roman" w:cs="Times New Roman"/>
          <w:sz w:val="24"/>
          <w:szCs w:val="24"/>
        </w:rPr>
        <w:t>Н</w:t>
      </w:r>
      <w:r w:rsidRPr="007B23B2">
        <w:rPr>
          <w:rFonts w:ascii="Times New Roman" w:eastAsia="Times New Roman" w:hAnsi="Times New Roman" w:cs="Times New Roman"/>
          <w:sz w:val="24"/>
          <w:szCs w:val="24"/>
        </w:rPr>
        <w:t>апример, конкуренцията пак няма да е напълно честна</w:t>
      </w:r>
      <w:r w:rsidR="008E3E4C">
        <w:rPr>
          <w:rFonts w:ascii="Times New Roman" w:eastAsia="Times New Roman" w:hAnsi="Times New Roman" w:cs="Times New Roman"/>
          <w:sz w:val="24"/>
          <w:szCs w:val="24"/>
        </w:rPr>
        <w:t>,</w:t>
      </w:r>
      <w:r w:rsidRPr="007B23B2">
        <w:rPr>
          <w:rFonts w:ascii="Times New Roman" w:eastAsia="Times New Roman" w:hAnsi="Times New Roman" w:cs="Times New Roman"/>
          <w:sz w:val="24"/>
          <w:szCs w:val="24"/>
        </w:rPr>
        <w:t xml:space="preserve"> </w:t>
      </w:r>
      <w:r w:rsidR="008E3E4C">
        <w:rPr>
          <w:rFonts w:ascii="Times New Roman" w:eastAsia="Times New Roman" w:hAnsi="Times New Roman" w:cs="Times New Roman"/>
          <w:sz w:val="24"/>
          <w:szCs w:val="24"/>
        </w:rPr>
        <w:t>пр</w:t>
      </w:r>
      <w:r w:rsidRPr="007B23B2">
        <w:rPr>
          <w:rFonts w:ascii="Times New Roman" w:eastAsia="Times New Roman" w:hAnsi="Times New Roman" w:cs="Times New Roman"/>
          <w:sz w:val="24"/>
          <w:szCs w:val="24"/>
        </w:rPr>
        <w:t>и</w:t>
      </w:r>
      <w:r w:rsidR="008E3E4C">
        <w:rPr>
          <w:rFonts w:ascii="Times New Roman" w:eastAsia="Times New Roman" w:hAnsi="Times New Roman" w:cs="Times New Roman"/>
          <w:sz w:val="24"/>
          <w:szCs w:val="24"/>
        </w:rPr>
        <w:t xml:space="preserve"> което</w:t>
      </w:r>
      <w:r w:rsidRPr="007B23B2">
        <w:rPr>
          <w:rFonts w:ascii="Times New Roman" w:eastAsia="Times New Roman" w:hAnsi="Times New Roman" w:cs="Times New Roman"/>
          <w:sz w:val="24"/>
          <w:szCs w:val="24"/>
        </w:rPr>
        <w:t xml:space="preserve"> </w:t>
      </w:r>
      <w:r w:rsidRPr="007B23B2">
        <w:rPr>
          <w:rFonts w:ascii="Times New Roman" w:eastAsia="Times New Roman" w:hAnsi="Times New Roman" w:cs="Times New Roman"/>
          <w:bCs/>
          <w:sz w:val="24"/>
          <w:szCs w:val="24"/>
        </w:rPr>
        <w:t>може да се запази предимството на големите търговци</w:t>
      </w:r>
      <w:r w:rsidRPr="007B23B2">
        <w:rPr>
          <w:rFonts w:ascii="Times New Roman" w:eastAsia="Times New Roman" w:hAnsi="Times New Roman" w:cs="Times New Roman"/>
          <w:sz w:val="24"/>
          <w:szCs w:val="24"/>
        </w:rPr>
        <w:t xml:space="preserve">, което да води до оттегляне на някои малки доставчици и </w:t>
      </w:r>
      <w:r w:rsidR="008E3E4C">
        <w:rPr>
          <w:rFonts w:ascii="Times New Roman" w:eastAsia="Times New Roman" w:hAnsi="Times New Roman" w:cs="Times New Roman"/>
          <w:sz w:val="24"/>
          <w:szCs w:val="24"/>
        </w:rPr>
        <w:t xml:space="preserve">до </w:t>
      </w:r>
      <w:r w:rsidRPr="007B23B2">
        <w:rPr>
          <w:rFonts w:ascii="Times New Roman" w:eastAsia="Times New Roman" w:hAnsi="Times New Roman" w:cs="Times New Roman"/>
          <w:sz w:val="24"/>
          <w:szCs w:val="24"/>
        </w:rPr>
        <w:t xml:space="preserve">загуба на работни места. Все пак, </w:t>
      </w:r>
      <w:r w:rsidR="008E3E4C">
        <w:rPr>
          <w:rFonts w:ascii="Times New Roman" w:eastAsia="Times New Roman" w:hAnsi="Times New Roman" w:cs="Times New Roman"/>
          <w:sz w:val="24"/>
          <w:szCs w:val="24"/>
        </w:rPr>
        <w:t xml:space="preserve">в </w:t>
      </w:r>
      <w:r w:rsidRPr="007B23B2">
        <w:rPr>
          <w:rFonts w:ascii="Times New Roman" w:eastAsia="Times New Roman" w:hAnsi="Times New Roman" w:cs="Times New Roman"/>
          <w:sz w:val="24"/>
          <w:szCs w:val="24"/>
        </w:rPr>
        <w:t>сравнен</w:t>
      </w:r>
      <w:r w:rsidR="008E3E4C">
        <w:rPr>
          <w:rFonts w:ascii="Times New Roman" w:eastAsia="Times New Roman" w:hAnsi="Times New Roman" w:cs="Times New Roman"/>
          <w:sz w:val="24"/>
          <w:szCs w:val="24"/>
        </w:rPr>
        <w:t>ие</w:t>
      </w:r>
      <w:r w:rsidRPr="007B23B2">
        <w:rPr>
          <w:rFonts w:ascii="Times New Roman" w:eastAsia="Times New Roman" w:hAnsi="Times New Roman" w:cs="Times New Roman"/>
          <w:sz w:val="24"/>
          <w:szCs w:val="24"/>
        </w:rPr>
        <w:t xml:space="preserve"> с Варианти 0 и 1, тук има </w:t>
      </w:r>
      <w:r w:rsidRPr="007B23B2">
        <w:rPr>
          <w:rFonts w:ascii="Times New Roman" w:eastAsia="Times New Roman" w:hAnsi="Times New Roman" w:cs="Times New Roman"/>
          <w:bCs/>
          <w:sz w:val="24"/>
          <w:szCs w:val="24"/>
        </w:rPr>
        <w:t>положителна стъпка</w:t>
      </w:r>
      <w:r w:rsidRPr="007B23B2">
        <w:rPr>
          <w:rFonts w:ascii="Times New Roman" w:eastAsia="Times New Roman" w:hAnsi="Times New Roman" w:cs="Times New Roman"/>
          <w:sz w:val="24"/>
          <w:szCs w:val="24"/>
        </w:rPr>
        <w:t xml:space="preserve">: </w:t>
      </w:r>
      <w:r w:rsidRPr="007B23B2">
        <w:rPr>
          <w:rFonts w:ascii="Times New Roman" w:eastAsia="Times New Roman" w:hAnsi="Times New Roman" w:cs="Times New Roman"/>
          <w:bCs/>
          <w:sz w:val="24"/>
          <w:szCs w:val="24"/>
        </w:rPr>
        <w:t>част от мерките на практика ще изпълнят целите на политиката</w:t>
      </w:r>
      <w:r w:rsidR="008E3E4C">
        <w:rPr>
          <w:rFonts w:ascii="Times New Roman" w:eastAsia="Times New Roman" w:hAnsi="Times New Roman" w:cs="Times New Roman"/>
          <w:bCs/>
          <w:sz w:val="24"/>
          <w:szCs w:val="24"/>
        </w:rPr>
        <w:t>,</w:t>
      </w:r>
      <w:r w:rsidRPr="007B23B2">
        <w:rPr>
          <w:rFonts w:ascii="Times New Roman" w:eastAsia="Times New Roman" w:hAnsi="Times New Roman" w:cs="Times New Roman"/>
          <w:sz w:val="24"/>
          <w:szCs w:val="24"/>
        </w:rPr>
        <w:t xml:space="preserve"> </w:t>
      </w:r>
      <w:r w:rsidR="008E3E4C">
        <w:rPr>
          <w:rFonts w:ascii="Times New Roman" w:eastAsia="Times New Roman" w:hAnsi="Times New Roman" w:cs="Times New Roman"/>
          <w:sz w:val="24"/>
          <w:szCs w:val="24"/>
        </w:rPr>
        <w:t>но не напълно</w:t>
      </w:r>
      <w:r w:rsidRPr="007B23B2">
        <w:rPr>
          <w:rFonts w:ascii="Times New Roman" w:eastAsia="Times New Roman" w:hAnsi="Times New Roman" w:cs="Times New Roman"/>
          <w:sz w:val="24"/>
          <w:szCs w:val="24"/>
        </w:rPr>
        <w:t xml:space="preserve">. Ангажиментите към ЕС биха били изпълнени </w:t>
      </w:r>
      <w:r w:rsidRPr="007B23B2">
        <w:rPr>
          <w:rFonts w:ascii="Times New Roman" w:eastAsia="Times New Roman" w:hAnsi="Times New Roman" w:cs="Times New Roman"/>
          <w:bCs/>
          <w:sz w:val="24"/>
          <w:szCs w:val="24"/>
        </w:rPr>
        <w:t>частично</w:t>
      </w:r>
      <w:r w:rsidRPr="007B23B2">
        <w:rPr>
          <w:rFonts w:ascii="Times New Roman" w:eastAsia="Times New Roman" w:hAnsi="Times New Roman" w:cs="Times New Roman"/>
          <w:sz w:val="24"/>
          <w:szCs w:val="24"/>
        </w:rPr>
        <w:t>. Следователно, налице е подобрение спрямо баз</w:t>
      </w:r>
      <w:r>
        <w:rPr>
          <w:rFonts w:ascii="Times New Roman" w:eastAsia="Times New Roman" w:hAnsi="Times New Roman" w:cs="Times New Roman"/>
          <w:sz w:val="24"/>
          <w:szCs w:val="24"/>
        </w:rPr>
        <w:t>исното</w:t>
      </w:r>
      <w:r w:rsidRPr="007B23B2">
        <w:rPr>
          <w:rFonts w:ascii="Times New Roman" w:eastAsia="Times New Roman" w:hAnsi="Times New Roman" w:cs="Times New Roman"/>
          <w:sz w:val="24"/>
          <w:szCs w:val="24"/>
        </w:rPr>
        <w:t xml:space="preserve"> състояние, но </w:t>
      </w:r>
      <w:r w:rsidRPr="007B23B2">
        <w:rPr>
          <w:rFonts w:ascii="Times New Roman" w:eastAsia="Times New Roman" w:hAnsi="Times New Roman" w:cs="Times New Roman"/>
          <w:bCs/>
          <w:sz w:val="24"/>
          <w:szCs w:val="24"/>
        </w:rPr>
        <w:t>не оптимално</w:t>
      </w:r>
      <w:r w:rsidRPr="007B23B2">
        <w:rPr>
          <w:rFonts w:ascii="Times New Roman" w:eastAsia="Times New Roman" w:hAnsi="Times New Roman" w:cs="Times New Roman"/>
          <w:sz w:val="24"/>
          <w:szCs w:val="24"/>
        </w:rPr>
        <w:t xml:space="preserve">. </w:t>
      </w:r>
      <w:r w:rsidRPr="007B23B2">
        <w:rPr>
          <w:rFonts w:ascii="Times New Roman" w:eastAsia="Times New Roman" w:hAnsi="Times New Roman" w:cs="Times New Roman"/>
          <w:sz w:val="24"/>
          <w:szCs w:val="24"/>
        </w:rPr>
        <w:lastRenderedPageBreak/>
        <w:t xml:space="preserve">Въздействието е позитивно, но </w:t>
      </w:r>
      <w:r w:rsidRPr="007B23B2">
        <w:rPr>
          <w:rFonts w:ascii="Times New Roman" w:eastAsia="Times New Roman" w:hAnsi="Times New Roman" w:cs="Times New Roman"/>
          <w:bCs/>
          <w:sz w:val="24"/>
          <w:szCs w:val="24"/>
        </w:rPr>
        <w:t>ограничено по обхват</w:t>
      </w:r>
      <w:r w:rsidR="008E3E4C">
        <w:rPr>
          <w:rFonts w:ascii="Times New Roman" w:eastAsia="Times New Roman" w:hAnsi="Times New Roman" w:cs="Times New Roman"/>
          <w:sz w:val="24"/>
          <w:szCs w:val="24"/>
        </w:rPr>
        <w:t>. К</w:t>
      </w:r>
      <w:r w:rsidRPr="007B23B2">
        <w:rPr>
          <w:rFonts w:ascii="Times New Roman" w:eastAsia="Times New Roman" w:hAnsi="Times New Roman" w:cs="Times New Roman"/>
          <w:sz w:val="24"/>
          <w:szCs w:val="24"/>
        </w:rPr>
        <w:t>лючови проблеми могат да останат нерешени или да изискват допълнителни действия впоследствие.</w:t>
      </w:r>
    </w:p>
    <w:p w14:paraId="2D523894"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p>
    <w:p w14:paraId="46515DE2"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r w:rsidRPr="00ED09E4">
        <w:rPr>
          <w:rFonts w:ascii="Times New Roman" w:eastAsia="Times New Roman" w:hAnsi="Times New Roman" w:cs="Times New Roman"/>
          <w:b/>
          <w:bCs/>
          <w:sz w:val="24"/>
          <w:szCs w:val="24"/>
        </w:rPr>
        <w:t>Вариант 3: „Регулаторен – изцяло нов специален закон</w:t>
      </w:r>
      <w:r w:rsidRPr="007B23B2">
        <w:rPr>
          <w:rFonts w:ascii="Times New Roman" w:eastAsia="Times New Roman" w:hAnsi="Times New Roman" w:cs="Times New Roman"/>
          <w:b/>
          <w:bCs/>
          <w:sz w:val="24"/>
          <w:szCs w:val="24"/>
        </w:rPr>
        <w:t>“ (+2)</w:t>
      </w:r>
      <w:r w:rsidRPr="0091765E">
        <w:rPr>
          <w:rFonts w:ascii="Times New Roman" w:eastAsia="Times New Roman" w:hAnsi="Times New Roman" w:cs="Times New Roman"/>
          <w:sz w:val="24"/>
          <w:szCs w:val="24"/>
        </w:rPr>
        <w:t xml:space="preserve"> </w:t>
      </w:r>
    </w:p>
    <w:p w14:paraId="3A8B71F5" w14:textId="20FBF2B3" w:rsidR="00E16161" w:rsidRDefault="00E16161" w:rsidP="00E16161">
      <w:pPr>
        <w:spacing w:after="0" w:line="240" w:lineRule="auto"/>
        <w:ind w:firstLine="567"/>
        <w:jc w:val="both"/>
        <w:rPr>
          <w:rFonts w:ascii="Times New Roman" w:eastAsia="Times New Roman" w:hAnsi="Times New Roman" w:cs="Times New Roman"/>
          <w:sz w:val="24"/>
          <w:szCs w:val="24"/>
        </w:rPr>
      </w:pPr>
      <w:r w:rsidRPr="007B23B2">
        <w:rPr>
          <w:rFonts w:ascii="Times New Roman" w:eastAsia="Times New Roman" w:hAnsi="Times New Roman" w:cs="Times New Roman"/>
          <w:sz w:val="24"/>
          <w:szCs w:val="24"/>
        </w:rPr>
        <w:t xml:space="preserve">Един изцяло нов специален закон би създал </w:t>
      </w:r>
      <w:r w:rsidRPr="007B23B2">
        <w:rPr>
          <w:rFonts w:ascii="Times New Roman" w:eastAsia="Times New Roman" w:hAnsi="Times New Roman" w:cs="Times New Roman"/>
          <w:bCs/>
          <w:sz w:val="24"/>
          <w:szCs w:val="24"/>
        </w:rPr>
        <w:t>комплексна и специализирана рамка</w:t>
      </w:r>
      <w:r w:rsidRPr="007B23B2">
        <w:rPr>
          <w:rFonts w:ascii="Times New Roman" w:eastAsia="Times New Roman" w:hAnsi="Times New Roman" w:cs="Times New Roman"/>
          <w:sz w:val="24"/>
          <w:szCs w:val="24"/>
        </w:rPr>
        <w:t xml:space="preserve"> за веригата на доставки. Според анализа</w:t>
      </w:r>
      <w:r w:rsidR="008E3E4C">
        <w:rPr>
          <w:rFonts w:ascii="Times New Roman" w:eastAsia="Times New Roman" w:hAnsi="Times New Roman" w:cs="Times New Roman"/>
          <w:sz w:val="24"/>
          <w:szCs w:val="24"/>
        </w:rPr>
        <w:t xml:space="preserve"> дотук в ОВ</w:t>
      </w:r>
      <w:r w:rsidRPr="007B23B2">
        <w:rPr>
          <w:rFonts w:ascii="Times New Roman" w:eastAsia="Times New Roman" w:hAnsi="Times New Roman" w:cs="Times New Roman"/>
          <w:sz w:val="24"/>
          <w:szCs w:val="24"/>
        </w:rPr>
        <w:t xml:space="preserve">, </w:t>
      </w:r>
      <w:r w:rsidRPr="007B23B2">
        <w:rPr>
          <w:rFonts w:ascii="Times New Roman" w:eastAsia="Times New Roman" w:hAnsi="Times New Roman" w:cs="Times New Roman"/>
          <w:bCs/>
          <w:sz w:val="24"/>
          <w:szCs w:val="24"/>
        </w:rPr>
        <w:t>само Вариант 3 дава възможност за пълно адресиране на основните проблеми</w:t>
      </w:r>
      <w:r w:rsidRPr="007B23B2">
        <w:rPr>
          <w:rFonts w:ascii="Times New Roman" w:eastAsia="Times New Roman" w:hAnsi="Times New Roman" w:cs="Times New Roman"/>
          <w:sz w:val="24"/>
          <w:szCs w:val="24"/>
        </w:rPr>
        <w:t xml:space="preserve">. Този вариант </w:t>
      </w:r>
      <w:r w:rsidRPr="007B23B2">
        <w:rPr>
          <w:rFonts w:ascii="Times New Roman" w:eastAsia="Times New Roman" w:hAnsi="Times New Roman" w:cs="Times New Roman"/>
          <w:bCs/>
          <w:sz w:val="24"/>
          <w:szCs w:val="24"/>
        </w:rPr>
        <w:t>отстранява правната и фактическа възможност силните оператори да налагат условия на слабите</w:t>
      </w:r>
      <w:r w:rsidRPr="007B23B2">
        <w:rPr>
          <w:rFonts w:ascii="Times New Roman" w:eastAsia="Times New Roman" w:hAnsi="Times New Roman" w:cs="Times New Roman"/>
          <w:sz w:val="24"/>
          <w:szCs w:val="24"/>
        </w:rPr>
        <w:t>. В резултат, би се постигнала истинска прозрачност и равнопоставеност</w:t>
      </w:r>
      <w:r w:rsidR="004503C8">
        <w:rPr>
          <w:rFonts w:ascii="Times New Roman" w:eastAsia="Times New Roman" w:hAnsi="Times New Roman" w:cs="Times New Roman"/>
          <w:sz w:val="24"/>
          <w:szCs w:val="24"/>
        </w:rPr>
        <w:t>, като</w:t>
      </w:r>
      <w:r w:rsidRPr="007B23B2">
        <w:rPr>
          <w:rFonts w:ascii="Times New Roman" w:eastAsia="Times New Roman" w:hAnsi="Times New Roman" w:cs="Times New Roman"/>
          <w:sz w:val="24"/>
          <w:szCs w:val="24"/>
        </w:rPr>
        <w:t xml:space="preserve"> </w:t>
      </w:r>
      <w:r w:rsidRPr="007B23B2">
        <w:rPr>
          <w:rFonts w:ascii="Times New Roman" w:eastAsia="Times New Roman" w:hAnsi="Times New Roman" w:cs="Times New Roman"/>
          <w:bCs/>
          <w:sz w:val="24"/>
          <w:szCs w:val="24"/>
        </w:rPr>
        <w:t>дефицитите на проследяемост, неравенство и диспропорционалност биха били преодолени</w:t>
      </w:r>
      <w:r w:rsidRPr="007B23B2">
        <w:rPr>
          <w:rFonts w:ascii="Times New Roman" w:eastAsia="Times New Roman" w:hAnsi="Times New Roman" w:cs="Times New Roman"/>
          <w:sz w:val="24"/>
          <w:szCs w:val="24"/>
        </w:rPr>
        <w:t xml:space="preserve">. ОВ подчертава, че при Вариант 3 </w:t>
      </w:r>
      <w:r w:rsidRPr="007B23B2">
        <w:rPr>
          <w:rFonts w:ascii="Times New Roman" w:eastAsia="Times New Roman" w:hAnsi="Times New Roman" w:cs="Times New Roman"/>
          <w:bCs/>
          <w:sz w:val="24"/>
          <w:szCs w:val="24"/>
        </w:rPr>
        <w:t>най-уязвимият сектор (земеделските производител</w:t>
      </w:r>
      <w:r w:rsidR="008E3E4C">
        <w:rPr>
          <w:rFonts w:ascii="Times New Roman" w:eastAsia="Times New Roman" w:hAnsi="Times New Roman" w:cs="Times New Roman"/>
          <w:bCs/>
          <w:sz w:val="24"/>
          <w:szCs w:val="24"/>
        </w:rPr>
        <w:t xml:space="preserve">и) вече няма да среща трудности, когато </w:t>
      </w:r>
      <w:r w:rsidRPr="007B23B2">
        <w:rPr>
          <w:rFonts w:ascii="Times New Roman" w:eastAsia="Times New Roman" w:hAnsi="Times New Roman" w:cs="Times New Roman"/>
          <w:bCs/>
          <w:sz w:val="24"/>
          <w:szCs w:val="24"/>
        </w:rPr>
        <w:t>продава продукцията си на големите търговци</w:t>
      </w:r>
      <w:r w:rsidRPr="007B23B2">
        <w:rPr>
          <w:rFonts w:ascii="Times New Roman" w:eastAsia="Times New Roman" w:hAnsi="Times New Roman" w:cs="Times New Roman"/>
          <w:sz w:val="24"/>
          <w:szCs w:val="24"/>
        </w:rPr>
        <w:t xml:space="preserve">, защото условията ще са </w:t>
      </w:r>
      <w:r w:rsidR="008E3E4C">
        <w:rPr>
          <w:rFonts w:ascii="Times New Roman" w:eastAsia="Times New Roman" w:hAnsi="Times New Roman" w:cs="Times New Roman"/>
          <w:sz w:val="24"/>
          <w:szCs w:val="24"/>
        </w:rPr>
        <w:t>открити, прозрачни и честни, а бариерите за навлизане на нови оператори на този пазар</w:t>
      </w:r>
      <w:r w:rsidRPr="007B23B2">
        <w:rPr>
          <w:rFonts w:ascii="Times New Roman" w:eastAsia="Times New Roman" w:hAnsi="Times New Roman" w:cs="Times New Roman"/>
          <w:sz w:val="24"/>
          <w:szCs w:val="24"/>
        </w:rPr>
        <w:t xml:space="preserve"> ще бъдат премахнати. Това означава </w:t>
      </w:r>
      <w:r w:rsidRPr="007B23B2">
        <w:rPr>
          <w:rFonts w:ascii="Times New Roman" w:eastAsia="Times New Roman" w:hAnsi="Times New Roman" w:cs="Times New Roman"/>
          <w:bCs/>
          <w:sz w:val="24"/>
          <w:szCs w:val="24"/>
        </w:rPr>
        <w:t>цялостно постигане на целите</w:t>
      </w:r>
      <w:r w:rsidRPr="007B23B2">
        <w:rPr>
          <w:rFonts w:ascii="Times New Roman" w:eastAsia="Times New Roman" w:hAnsi="Times New Roman" w:cs="Times New Roman"/>
          <w:sz w:val="24"/>
          <w:szCs w:val="24"/>
        </w:rPr>
        <w:t xml:space="preserve"> – устойчива, прозрачна и </w:t>
      </w:r>
      <w:r w:rsidR="00B139A8">
        <w:rPr>
          <w:rFonts w:ascii="Times New Roman" w:eastAsia="Times New Roman" w:hAnsi="Times New Roman" w:cs="Times New Roman"/>
          <w:sz w:val="24"/>
          <w:szCs w:val="24"/>
        </w:rPr>
        <w:t>добре функционираща</w:t>
      </w:r>
      <w:r w:rsidRPr="007B23B2">
        <w:rPr>
          <w:rFonts w:ascii="Times New Roman" w:eastAsia="Times New Roman" w:hAnsi="Times New Roman" w:cs="Times New Roman"/>
          <w:sz w:val="24"/>
          <w:szCs w:val="24"/>
        </w:rPr>
        <w:t xml:space="preserve"> верига</w:t>
      </w:r>
      <w:r w:rsidR="00B139A8">
        <w:rPr>
          <w:rFonts w:ascii="Times New Roman" w:eastAsia="Times New Roman" w:hAnsi="Times New Roman" w:cs="Times New Roman"/>
          <w:sz w:val="24"/>
          <w:szCs w:val="24"/>
        </w:rPr>
        <w:t xml:space="preserve"> на доставки</w:t>
      </w:r>
      <w:r w:rsidRPr="007B23B2">
        <w:rPr>
          <w:rFonts w:ascii="Times New Roman" w:eastAsia="Times New Roman" w:hAnsi="Times New Roman" w:cs="Times New Roman"/>
          <w:sz w:val="24"/>
          <w:szCs w:val="24"/>
        </w:rPr>
        <w:t xml:space="preserve">. Освен това, новият закон би позволил на </w:t>
      </w:r>
      <w:r w:rsidR="008A1DD6" w:rsidRPr="00AA510E">
        <w:rPr>
          <w:rFonts w:ascii="Times New Roman" w:eastAsia="Times New Roman" w:hAnsi="Times New Roman" w:cs="Times New Roman"/>
          <w:sz w:val="24"/>
          <w:szCs w:val="24"/>
        </w:rPr>
        <w:t>Република</w:t>
      </w:r>
      <w:r w:rsidR="008A1DD6">
        <w:rPr>
          <w:rFonts w:ascii="Times New Roman" w:eastAsia="Times New Roman" w:hAnsi="Times New Roman" w:cs="Times New Roman"/>
          <w:sz w:val="24"/>
          <w:szCs w:val="24"/>
        </w:rPr>
        <w:t xml:space="preserve"> </w:t>
      </w:r>
      <w:r w:rsidRPr="007B23B2">
        <w:rPr>
          <w:rFonts w:ascii="Times New Roman" w:eastAsia="Times New Roman" w:hAnsi="Times New Roman" w:cs="Times New Roman"/>
          <w:sz w:val="24"/>
          <w:szCs w:val="24"/>
        </w:rPr>
        <w:t xml:space="preserve">България </w:t>
      </w:r>
      <w:r w:rsidRPr="007B23B2">
        <w:rPr>
          <w:rFonts w:ascii="Times New Roman" w:eastAsia="Times New Roman" w:hAnsi="Times New Roman" w:cs="Times New Roman"/>
          <w:bCs/>
          <w:sz w:val="24"/>
          <w:szCs w:val="24"/>
        </w:rPr>
        <w:t>изцяло да изпълни ангажиментите към ЕС</w:t>
      </w:r>
      <w:r w:rsidRPr="007B23B2">
        <w:rPr>
          <w:rFonts w:ascii="Times New Roman" w:eastAsia="Times New Roman" w:hAnsi="Times New Roman" w:cs="Times New Roman"/>
          <w:sz w:val="24"/>
          <w:szCs w:val="24"/>
        </w:rPr>
        <w:t xml:space="preserve">, тъй като ще въведе необходимите регулации. </w:t>
      </w:r>
    </w:p>
    <w:p w14:paraId="129F8917" w14:textId="77777777" w:rsidR="00E16161" w:rsidRPr="007B23B2" w:rsidRDefault="00E16161" w:rsidP="00E16161">
      <w:pPr>
        <w:spacing w:after="0" w:line="240" w:lineRule="auto"/>
        <w:ind w:firstLine="567"/>
        <w:jc w:val="both"/>
        <w:rPr>
          <w:rFonts w:ascii="Times New Roman" w:eastAsia="Times New Roman" w:hAnsi="Times New Roman" w:cs="Times New Roman"/>
          <w:sz w:val="24"/>
          <w:szCs w:val="24"/>
        </w:rPr>
      </w:pPr>
    </w:p>
    <w:p w14:paraId="0D5AFCF8" w14:textId="77777777" w:rsidR="00E16161" w:rsidRPr="00E378B1" w:rsidRDefault="00E16161" w:rsidP="00E16161">
      <w:pPr>
        <w:pStyle w:val="ListParagraph"/>
        <w:spacing w:after="0" w:line="240" w:lineRule="auto"/>
        <w:ind w:left="0" w:firstLine="567"/>
        <w:jc w:val="both"/>
        <w:rPr>
          <w:rFonts w:ascii="Times New Roman" w:eastAsia="Times New Roman" w:hAnsi="Times New Roman" w:cs="Times New Roman"/>
          <w:b/>
          <w:i/>
          <w:sz w:val="24"/>
          <w:szCs w:val="24"/>
        </w:rPr>
      </w:pPr>
      <w:r w:rsidRPr="00E378B1">
        <w:rPr>
          <w:rFonts w:ascii="Times New Roman" w:eastAsia="Times New Roman" w:hAnsi="Times New Roman" w:cs="Times New Roman"/>
          <w:b/>
          <w:i/>
          <w:sz w:val="24"/>
          <w:szCs w:val="24"/>
        </w:rPr>
        <w:t>2. КРИТЕРИЙ: ИКОНОМИЧЕСКО ВЪЗДЕЙСТВИЕ</w:t>
      </w:r>
      <w:bookmarkStart w:id="23" w:name="_Hlk196138258"/>
    </w:p>
    <w:p w14:paraId="76A75FC0" w14:textId="77777777" w:rsidR="00E16161" w:rsidRDefault="00E16161" w:rsidP="00E16161">
      <w:pPr>
        <w:pStyle w:val="ListParagraph"/>
        <w:spacing w:after="0" w:line="240" w:lineRule="auto"/>
        <w:ind w:left="0" w:firstLine="567"/>
        <w:jc w:val="both"/>
        <w:rPr>
          <w:rFonts w:ascii="Times New Roman" w:eastAsia="Times New Roman" w:hAnsi="Times New Roman" w:cs="Times New Roman"/>
          <w:sz w:val="24"/>
          <w:szCs w:val="24"/>
        </w:rPr>
      </w:pPr>
      <w:r w:rsidRPr="00F61690">
        <w:rPr>
          <w:rFonts w:ascii="Times New Roman" w:eastAsia="Times New Roman" w:hAnsi="Times New Roman" w:cs="Times New Roman"/>
          <w:b/>
          <w:bCs/>
          <w:sz w:val="24"/>
          <w:szCs w:val="24"/>
        </w:rPr>
        <w:t>Вариант 0: „Без действие“</w:t>
      </w:r>
      <w:r w:rsidRPr="00F61690">
        <w:rPr>
          <w:rFonts w:ascii="Times New Roman" w:eastAsia="Times New Roman" w:hAnsi="Times New Roman" w:cs="Times New Roman"/>
          <w:sz w:val="24"/>
          <w:szCs w:val="24"/>
        </w:rPr>
        <w:t xml:space="preserve"> </w:t>
      </w:r>
      <w:r w:rsidRPr="002901F6">
        <w:rPr>
          <w:rFonts w:ascii="Times New Roman" w:eastAsia="Times New Roman" w:hAnsi="Times New Roman" w:cs="Times New Roman"/>
          <w:b/>
          <w:sz w:val="24"/>
          <w:szCs w:val="24"/>
        </w:rPr>
        <w:t>(-1)</w:t>
      </w:r>
      <w:bookmarkEnd w:id="23"/>
    </w:p>
    <w:p w14:paraId="0E1148A8" w14:textId="12DE6777" w:rsidR="00E16161" w:rsidRDefault="00E16161" w:rsidP="00E16161">
      <w:pPr>
        <w:pStyle w:val="ListParagraph"/>
        <w:spacing w:after="0" w:line="240" w:lineRule="auto"/>
        <w:ind w:left="0" w:firstLine="567"/>
        <w:jc w:val="both"/>
        <w:rPr>
          <w:rFonts w:ascii="Times New Roman" w:eastAsia="Times New Roman" w:hAnsi="Times New Roman" w:cs="Times New Roman"/>
          <w:sz w:val="24"/>
          <w:szCs w:val="24"/>
        </w:rPr>
      </w:pPr>
      <w:r w:rsidRPr="002901F6">
        <w:rPr>
          <w:rFonts w:ascii="Times New Roman" w:eastAsia="Times New Roman" w:hAnsi="Times New Roman" w:cs="Times New Roman"/>
          <w:sz w:val="24"/>
          <w:szCs w:val="24"/>
        </w:rPr>
        <w:t xml:space="preserve">При отсъствието на намеса, </w:t>
      </w:r>
      <w:r w:rsidRPr="002901F6">
        <w:rPr>
          <w:rFonts w:ascii="Times New Roman" w:eastAsia="Times New Roman" w:hAnsi="Times New Roman" w:cs="Times New Roman"/>
          <w:bCs/>
          <w:sz w:val="24"/>
          <w:szCs w:val="24"/>
        </w:rPr>
        <w:t>икономическите тенденции в сектора вероятно ще бъдат неблагоприятни</w:t>
      </w:r>
      <w:r w:rsidRPr="002901F6">
        <w:rPr>
          <w:rFonts w:ascii="Times New Roman" w:eastAsia="Times New Roman" w:hAnsi="Times New Roman" w:cs="Times New Roman"/>
          <w:sz w:val="24"/>
          <w:szCs w:val="24"/>
        </w:rPr>
        <w:t xml:space="preserve">, тъй като неравноправните отношения позволяват на големите търговци да </w:t>
      </w:r>
      <w:r w:rsidR="00170C89">
        <w:rPr>
          <w:rFonts w:ascii="Times New Roman" w:eastAsia="Times New Roman" w:hAnsi="Times New Roman" w:cs="Times New Roman"/>
          <w:sz w:val="24"/>
          <w:szCs w:val="24"/>
        </w:rPr>
        <w:t>поддържат</w:t>
      </w:r>
      <w:r w:rsidRPr="002901F6">
        <w:rPr>
          <w:rFonts w:ascii="Times New Roman" w:eastAsia="Times New Roman" w:hAnsi="Times New Roman" w:cs="Times New Roman"/>
          <w:sz w:val="24"/>
          <w:szCs w:val="24"/>
        </w:rPr>
        <w:t xml:space="preserve"> цените изкуствено ниско за доставчиците. Първоначално това може да изглежда добре за потребителите (по-ниски</w:t>
      </w:r>
      <w:r w:rsidR="00170C89">
        <w:rPr>
          <w:rFonts w:ascii="Times New Roman" w:eastAsia="Times New Roman" w:hAnsi="Times New Roman" w:cs="Times New Roman"/>
          <w:sz w:val="24"/>
          <w:szCs w:val="24"/>
        </w:rPr>
        <w:t xml:space="preserve"> крайни</w:t>
      </w:r>
      <w:r w:rsidRPr="002901F6">
        <w:rPr>
          <w:rFonts w:ascii="Times New Roman" w:eastAsia="Times New Roman" w:hAnsi="Times New Roman" w:cs="Times New Roman"/>
          <w:sz w:val="24"/>
          <w:szCs w:val="24"/>
        </w:rPr>
        <w:t xml:space="preserve"> цени), но </w:t>
      </w:r>
      <w:r w:rsidRPr="002901F6">
        <w:rPr>
          <w:rFonts w:ascii="Times New Roman" w:eastAsia="Times New Roman" w:hAnsi="Times New Roman" w:cs="Times New Roman"/>
          <w:bCs/>
          <w:sz w:val="24"/>
          <w:szCs w:val="24"/>
        </w:rPr>
        <w:t>прекомерният ценови натиск</w:t>
      </w:r>
      <w:r w:rsidRPr="002901F6">
        <w:rPr>
          <w:rFonts w:ascii="Times New Roman" w:eastAsia="Times New Roman" w:hAnsi="Times New Roman" w:cs="Times New Roman"/>
          <w:sz w:val="24"/>
          <w:szCs w:val="24"/>
        </w:rPr>
        <w:t xml:space="preserve"> води до </w:t>
      </w:r>
      <w:r w:rsidRPr="002901F6">
        <w:rPr>
          <w:rFonts w:ascii="Times New Roman" w:eastAsia="Times New Roman" w:hAnsi="Times New Roman" w:cs="Times New Roman"/>
          <w:bCs/>
          <w:sz w:val="24"/>
          <w:szCs w:val="24"/>
        </w:rPr>
        <w:t xml:space="preserve">изтласкване на част от конкурентите от пазара, особено </w:t>
      </w:r>
      <w:r>
        <w:rPr>
          <w:rFonts w:ascii="Times New Roman" w:eastAsia="Times New Roman" w:hAnsi="Times New Roman" w:cs="Times New Roman"/>
          <w:bCs/>
          <w:sz w:val="24"/>
          <w:szCs w:val="24"/>
        </w:rPr>
        <w:t xml:space="preserve">на </w:t>
      </w:r>
      <w:r w:rsidRPr="002901F6">
        <w:rPr>
          <w:rFonts w:ascii="Times New Roman" w:eastAsia="Times New Roman" w:hAnsi="Times New Roman" w:cs="Times New Roman"/>
          <w:bCs/>
          <w:sz w:val="24"/>
          <w:szCs w:val="24"/>
        </w:rPr>
        <w:t>по-малките доставчици</w:t>
      </w:r>
      <w:r w:rsidRPr="002901F6">
        <w:rPr>
          <w:rFonts w:ascii="Times New Roman" w:eastAsia="Times New Roman" w:hAnsi="Times New Roman" w:cs="Times New Roman"/>
          <w:sz w:val="24"/>
          <w:szCs w:val="24"/>
        </w:rPr>
        <w:t xml:space="preserve">. По този начин се руши конкуренцията в дългосрочен план. Следователно, при този вариант </w:t>
      </w:r>
      <w:r w:rsidRPr="002901F6">
        <w:rPr>
          <w:rFonts w:ascii="Times New Roman" w:eastAsia="Times New Roman" w:hAnsi="Times New Roman" w:cs="Times New Roman"/>
          <w:bCs/>
          <w:sz w:val="24"/>
          <w:szCs w:val="24"/>
        </w:rPr>
        <w:t>се запазва конкурентното предимство на големите търговци</w:t>
      </w:r>
      <w:r w:rsidRPr="002901F6">
        <w:rPr>
          <w:rFonts w:ascii="Times New Roman" w:eastAsia="Times New Roman" w:hAnsi="Times New Roman" w:cs="Times New Roman"/>
          <w:sz w:val="24"/>
          <w:szCs w:val="24"/>
        </w:rPr>
        <w:t>, а малките производители</w:t>
      </w:r>
      <w:r w:rsidR="00170C89">
        <w:rPr>
          <w:rFonts w:ascii="Times New Roman" w:eastAsia="Times New Roman" w:hAnsi="Times New Roman" w:cs="Times New Roman"/>
          <w:sz w:val="24"/>
          <w:szCs w:val="24"/>
        </w:rPr>
        <w:t xml:space="preserve"> и доставчици</w:t>
      </w:r>
      <w:r w:rsidRPr="002901F6">
        <w:rPr>
          <w:rFonts w:ascii="Times New Roman" w:eastAsia="Times New Roman" w:hAnsi="Times New Roman" w:cs="Times New Roman"/>
          <w:sz w:val="24"/>
          <w:szCs w:val="24"/>
        </w:rPr>
        <w:t xml:space="preserve"> може да бъдат принудени да се откажат от бизнеса си. Това означава </w:t>
      </w:r>
      <w:r w:rsidRPr="002901F6">
        <w:rPr>
          <w:rFonts w:ascii="Times New Roman" w:eastAsia="Times New Roman" w:hAnsi="Times New Roman" w:cs="Times New Roman"/>
          <w:bCs/>
          <w:sz w:val="24"/>
          <w:szCs w:val="24"/>
        </w:rPr>
        <w:t>по-малко производители и доставчици на пазара</w:t>
      </w:r>
      <w:r w:rsidRPr="002901F6">
        <w:rPr>
          <w:rFonts w:ascii="Times New Roman" w:eastAsia="Times New Roman" w:hAnsi="Times New Roman" w:cs="Times New Roman"/>
          <w:sz w:val="24"/>
          <w:szCs w:val="24"/>
        </w:rPr>
        <w:t xml:space="preserve">, свиване на обема на производство, </w:t>
      </w:r>
      <w:r w:rsidRPr="002901F6">
        <w:rPr>
          <w:rFonts w:ascii="Times New Roman" w:eastAsia="Times New Roman" w:hAnsi="Times New Roman" w:cs="Times New Roman"/>
          <w:bCs/>
          <w:sz w:val="24"/>
          <w:szCs w:val="24"/>
        </w:rPr>
        <w:t>загуба на работни места</w:t>
      </w:r>
      <w:r w:rsidRPr="002901F6">
        <w:rPr>
          <w:rFonts w:ascii="Times New Roman" w:eastAsia="Times New Roman" w:hAnsi="Times New Roman" w:cs="Times New Roman"/>
          <w:sz w:val="24"/>
          <w:szCs w:val="24"/>
        </w:rPr>
        <w:t xml:space="preserve"> в селските райони и намаляване на инвестициите (кой би инвестирал в производство, ако пазарните условия са несигурни и неблагоприятни?)</w:t>
      </w:r>
      <w:r w:rsidRPr="0091765E">
        <w:rPr>
          <w:rFonts w:ascii="Times New Roman" w:eastAsia="Times New Roman" w:hAnsi="Times New Roman" w:cs="Times New Roman"/>
          <w:sz w:val="24"/>
          <w:szCs w:val="24"/>
        </w:rPr>
        <w:t xml:space="preserve">. </w:t>
      </w:r>
    </w:p>
    <w:p w14:paraId="481D0AE8" w14:textId="3FC5523B" w:rsidR="00E16161" w:rsidRPr="002901F6" w:rsidRDefault="00E16161" w:rsidP="00E16161">
      <w:pPr>
        <w:pStyle w:val="ListParagraph"/>
        <w:spacing w:after="0" w:line="240" w:lineRule="auto"/>
        <w:ind w:left="0" w:firstLine="567"/>
        <w:jc w:val="both"/>
        <w:rPr>
          <w:rFonts w:ascii="Times New Roman" w:eastAsia="Times New Roman" w:hAnsi="Times New Roman" w:cs="Times New Roman"/>
          <w:sz w:val="24"/>
          <w:szCs w:val="24"/>
        </w:rPr>
      </w:pPr>
      <w:r w:rsidRPr="002901F6">
        <w:rPr>
          <w:rFonts w:ascii="Times New Roman" w:eastAsia="Times New Roman" w:hAnsi="Times New Roman" w:cs="Times New Roman"/>
          <w:sz w:val="24"/>
          <w:szCs w:val="24"/>
        </w:rPr>
        <w:t xml:space="preserve">От потребителска гледна точка, могат да се направят прогнози за </w:t>
      </w:r>
      <w:r w:rsidRPr="002901F6">
        <w:rPr>
          <w:rFonts w:ascii="Times New Roman" w:eastAsia="Times New Roman" w:hAnsi="Times New Roman" w:cs="Times New Roman"/>
          <w:bCs/>
          <w:sz w:val="24"/>
          <w:szCs w:val="24"/>
        </w:rPr>
        <w:t>систематично увеличение на потребителските разходи</w:t>
      </w:r>
      <w:r>
        <w:rPr>
          <w:rFonts w:ascii="Times New Roman" w:eastAsia="Times New Roman" w:hAnsi="Times New Roman" w:cs="Times New Roman"/>
          <w:sz w:val="24"/>
          <w:szCs w:val="24"/>
        </w:rPr>
        <w:t xml:space="preserve"> при сегашното положение. Г</w:t>
      </w:r>
      <w:r w:rsidRPr="002901F6">
        <w:rPr>
          <w:rFonts w:ascii="Times New Roman" w:eastAsia="Times New Roman" w:hAnsi="Times New Roman" w:cs="Times New Roman"/>
          <w:sz w:val="24"/>
          <w:szCs w:val="24"/>
        </w:rPr>
        <w:t>олемите търговци биха повишавали цените на храните по собствено усмотрение (често без пазарни основания), което</w:t>
      </w:r>
      <w:r>
        <w:rPr>
          <w:rFonts w:ascii="Times New Roman" w:eastAsia="Times New Roman" w:hAnsi="Times New Roman" w:cs="Times New Roman"/>
          <w:sz w:val="24"/>
          <w:szCs w:val="24"/>
        </w:rPr>
        <w:t xml:space="preserve"> особено</w:t>
      </w:r>
      <w:r w:rsidRPr="002901F6">
        <w:rPr>
          <w:rFonts w:ascii="Times New Roman" w:eastAsia="Times New Roman" w:hAnsi="Times New Roman" w:cs="Times New Roman"/>
          <w:sz w:val="24"/>
          <w:szCs w:val="24"/>
        </w:rPr>
        <w:t xml:space="preserve"> би </w:t>
      </w:r>
      <w:r>
        <w:rPr>
          <w:rFonts w:ascii="Times New Roman" w:eastAsia="Times New Roman" w:hAnsi="Times New Roman" w:cs="Times New Roman"/>
          <w:sz w:val="24"/>
          <w:szCs w:val="24"/>
        </w:rPr>
        <w:t xml:space="preserve">засегнало </w:t>
      </w:r>
      <w:r w:rsidRPr="002901F6">
        <w:rPr>
          <w:rFonts w:ascii="Times New Roman" w:eastAsia="Times New Roman" w:hAnsi="Times New Roman" w:cs="Times New Roman"/>
          <w:sz w:val="24"/>
          <w:szCs w:val="24"/>
        </w:rPr>
        <w:t>социално слабите групи от обществото. Съответно</w:t>
      </w:r>
      <w:r w:rsidR="002B015E">
        <w:rPr>
          <w:rFonts w:ascii="Times New Roman" w:eastAsia="Times New Roman" w:hAnsi="Times New Roman" w:cs="Times New Roman"/>
          <w:sz w:val="24"/>
          <w:szCs w:val="24"/>
        </w:rPr>
        <w:t>,</w:t>
      </w:r>
      <w:r w:rsidRPr="002901F6">
        <w:rPr>
          <w:rFonts w:ascii="Times New Roman" w:eastAsia="Times New Roman" w:hAnsi="Times New Roman" w:cs="Times New Roman"/>
          <w:sz w:val="24"/>
          <w:szCs w:val="24"/>
        </w:rPr>
        <w:t xml:space="preserve"> </w:t>
      </w:r>
      <w:r w:rsidRPr="002901F6">
        <w:rPr>
          <w:rFonts w:ascii="Times New Roman" w:eastAsia="Times New Roman" w:hAnsi="Times New Roman" w:cs="Times New Roman"/>
          <w:bCs/>
          <w:sz w:val="24"/>
          <w:szCs w:val="24"/>
        </w:rPr>
        <w:t>липсата на регулация води и до по-високи крайни цени за потребителите в дългосрочен план</w:t>
      </w:r>
      <w:r w:rsidRPr="002901F6">
        <w:rPr>
          <w:rFonts w:ascii="Times New Roman" w:eastAsia="Times New Roman" w:hAnsi="Times New Roman" w:cs="Times New Roman"/>
          <w:sz w:val="24"/>
          <w:szCs w:val="24"/>
        </w:rPr>
        <w:t xml:space="preserve">, заради концентрацията на пазарна мощ. Съвкупният икономически ефект е отрицателен: </w:t>
      </w:r>
      <w:r w:rsidRPr="002901F6">
        <w:rPr>
          <w:rFonts w:ascii="Times New Roman" w:eastAsia="Times New Roman" w:hAnsi="Times New Roman" w:cs="Times New Roman"/>
          <w:bCs/>
          <w:sz w:val="24"/>
          <w:szCs w:val="24"/>
        </w:rPr>
        <w:t>по-малка конкуренция, риск за продоволствената сигурност и устойчивост</w:t>
      </w:r>
      <w:r w:rsidRPr="002901F6">
        <w:rPr>
          <w:rFonts w:ascii="Times New Roman" w:eastAsia="Times New Roman" w:hAnsi="Times New Roman" w:cs="Times New Roman"/>
          <w:sz w:val="24"/>
          <w:szCs w:val="24"/>
        </w:rPr>
        <w:t xml:space="preserve">, фермерите ограничават производството си (за да не продават на загуба), което засяга и БВП и търговския баланс. </w:t>
      </w:r>
    </w:p>
    <w:p w14:paraId="1D3830C3" w14:textId="77777777" w:rsidR="00E16161" w:rsidRPr="007B23B2" w:rsidRDefault="00E16161" w:rsidP="00E16161">
      <w:pPr>
        <w:pStyle w:val="ListParagraph"/>
        <w:spacing w:after="0" w:line="240" w:lineRule="auto"/>
        <w:ind w:left="0" w:firstLine="567"/>
        <w:jc w:val="both"/>
        <w:rPr>
          <w:rFonts w:ascii="Times New Roman" w:eastAsia="Times New Roman" w:hAnsi="Times New Roman" w:cs="Times New Roman"/>
          <w:b/>
          <w:sz w:val="24"/>
          <w:szCs w:val="24"/>
        </w:rPr>
      </w:pPr>
    </w:p>
    <w:p w14:paraId="0FB37173"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Вариант 1:</w:t>
      </w:r>
      <w:r w:rsidRPr="0091765E">
        <w:rPr>
          <w:rFonts w:ascii="Times New Roman" w:eastAsia="Times New Roman" w:hAnsi="Times New Roman" w:cs="Times New Roman"/>
          <w:b/>
          <w:bCs/>
          <w:sz w:val="24"/>
          <w:szCs w:val="24"/>
        </w:rPr>
        <w:t xml:space="preserve"> </w:t>
      </w:r>
      <w:r w:rsidRPr="0012328C">
        <w:rPr>
          <w:rFonts w:ascii="Times New Roman" w:eastAsia="Times New Roman" w:hAnsi="Times New Roman" w:cs="Times New Roman"/>
          <w:b/>
          <w:bCs/>
          <w:sz w:val="24"/>
          <w:szCs w:val="24"/>
        </w:rPr>
        <w:t>„Нерегулаторен</w:t>
      </w:r>
      <w:r w:rsidRPr="002901F6">
        <w:rPr>
          <w:rFonts w:ascii="Times New Roman" w:eastAsia="Times New Roman" w:hAnsi="Times New Roman" w:cs="Times New Roman"/>
          <w:b/>
          <w:bCs/>
          <w:sz w:val="24"/>
          <w:szCs w:val="24"/>
        </w:rPr>
        <w:t>“</w:t>
      </w:r>
      <w:r w:rsidRPr="002901F6">
        <w:rPr>
          <w:rFonts w:ascii="Times New Roman" w:eastAsia="Times New Roman" w:hAnsi="Times New Roman" w:cs="Times New Roman"/>
          <w:b/>
          <w:sz w:val="24"/>
          <w:szCs w:val="24"/>
        </w:rPr>
        <w:t xml:space="preserve"> (</w:t>
      </w:r>
      <w:r w:rsidRPr="002901F6">
        <w:rPr>
          <w:rFonts w:ascii="Times New Roman" w:eastAsia="Times New Roman" w:hAnsi="Times New Roman" w:cs="Times New Roman"/>
          <w:b/>
          <w:bCs/>
          <w:sz w:val="24"/>
          <w:szCs w:val="24"/>
        </w:rPr>
        <w:t>0)</w:t>
      </w:r>
      <w:r w:rsidRPr="0091765E">
        <w:rPr>
          <w:rFonts w:ascii="Times New Roman" w:eastAsia="Times New Roman" w:hAnsi="Times New Roman" w:cs="Times New Roman"/>
          <w:sz w:val="24"/>
          <w:szCs w:val="24"/>
        </w:rPr>
        <w:t xml:space="preserve"> </w:t>
      </w:r>
    </w:p>
    <w:p w14:paraId="7213FCA0" w14:textId="7FED3C97" w:rsidR="00E16161" w:rsidRPr="0078765D" w:rsidRDefault="00E16161" w:rsidP="00E16161">
      <w:pPr>
        <w:spacing w:after="0" w:line="240" w:lineRule="auto"/>
        <w:ind w:firstLine="567"/>
        <w:jc w:val="both"/>
        <w:rPr>
          <w:rFonts w:ascii="Times New Roman" w:eastAsia="Times New Roman" w:hAnsi="Times New Roman" w:cs="Times New Roman"/>
          <w:sz w:val="24"/>
          <w:szCs w:val="24"/>
        </w:rPr>
      </w:pPr>
      <w:r w:rsidRPr="0078765D">
        <w:rPr>
          <w:rFonts w:ascii="Times New Roman" w:eastAsia="Times New Roman" w:hAnsi="Times New Roman" w:cs="Times New Roman"/>
          <w:sz w:val="24"/>
          <w:szCs w:val="24"/>
        </w:rPr>
        <w:lastRenderedPageBreak/>
        <w:t xml:space="preserve">При нерегулаторния подход </w:t>
      </w:r>
      <w:r w:rsidRPr="0078765D">
        <w:rPr>
          <w:rFonts w:ascii="Times New Roman" w:eastAsia="Times New Roman" w:hAnsi="Times New Roman" w:cs="Times New Roman"/>
          <w:bCs/>
          <w:sz w:val="24"/>
          <w:szCs w:val="24"/>
        </w:rPr>
        <w:t>не могат да бъдат заложени очаквания за съществена промяна в икономическите показатели</w:t>
      </w:r>
      <w:r w:rsidRPr="0078765D">
        <w:rPr>
          <w:rFonts w:ascii="Times New Roman" w:eastAsia="Times New Roman" w:hAnsi="Times New Roman" w:cs="Times New Roman"/>
          <w:sz w:val="24"/>
          <w:szCs w:val="24"/>
        </w:rPr>
        <w:t>. Ако се приемат препоръки за добри практики, част от големите търговци могат доброволно да намалят натиска върху доставчиците или да бъдат по-коректни, но за това няма гаранция. Вероятно повечето ще продължат да действат, както досега, особено ако това увеличава печалбите им. На практика</w:t>
      </w:r>
      <w:r w:rsidR="002B015E">
        <w:rPr>
          <w:rFonts w:ascii="Times New Roman" w:eastAsia="Times New Roman" w:hAnsi="Times New Roman" w:cs="Times New Roman"/>
          <w:sz w:val="24"/>
          <w:szCs w:val="24"/>
        </w:rPr>
        <w:t>,</w:t>
      </w:r>
      <w:r w:rsidRPr="0078765D">
        <w:rPr>
          <w:rFonts w:ascii="Times New Roman" w:eastAsia="Times New Roman" w:hAnsi="Times New Roman" w:cs="Times New Roman"/>
          <w:sz w:val="24"/>
          <w:szCs w:val="24"/>
        </w:rPr>
        <w:t xml:space="preserve"> при Вариант 1 липсва </w:t>
      </w:r>
      <w:r w:rsidRPr="0078765D">
        <w:rPr>
          <w:rFonts w:ascii="Times New Roman" w:eastAsia="Times New Roman" w:hAnsi="Times New Roman" w:cs="Times New Roman"/>
          <w:bCs/>
          <w:sz w:val="24"/>
          <w:szCs w:val="24"/>
        </w:rPr>
        <w:t>реално въздействие върху икономическия растеж, заетостта и пазара на труда. При този вариант е възможно в</w:t>
      </w:r>
      <w:r w:rsidRPr="0078765D">
        <w:rPr>
          <w:rFonts w:ascii="Times New Roman" w:eastAsia="Times New Roman" w:hAnsi="Times New Roman" w:cs="Times New Roman"/>
          <w:sz w:val="24"/>
          <w:szCs w:val="24"/>
        </w:rPr>
        <w:t xml:space="preserve"> краткосрочен план да се избегнат някои от най-негативните сценарии (все пак, има реакция, макар и доброволна), но </w:t>
      </w:r>
      <w:r w:rsidRPr="0078765D">
        <w:rPr>
          <w:rFonts w:ascii="Times New Roman" w:eastAsia="Times New Roman" w:hAnsi="Times New Roman" w:cs="Times New Roman"/>
          <w:bCs/>
          <w:sz w:val="24"/>
          <w:szCs w:val="24"/>
        </w:rPr>
        <w:t>уязвимостите остават</w:t>
      </w:r>
      <w:r w:rsidR="00927EB5">
        <w:rPr>
          <w:rFonts w:ascii="Times New Roman" w:eastAsia="Times New Roman" w:hAnsi="Times New Roman" w:cs="Times New Roman"/>
          <w:bCs/>
          <w:sz w:val="24"/>
          <w:szCs w:val="24"/>
        </w:rPr>
        <w:t xml:space="preserve"> налице</w:t>
      </w:r>
      <w:r w:rsidRPr="0078765D">
        <w:rPr>
          <w:rFonts w:ascii="Times New Roman" w:eastAsia="Times New Roman" w:hAnsi="Times New Roman" w:cs="Times New Roman"/>
          <w:sz w:val="24"/>
          <w:szCs w:val="24"/>
        </w:rPr>
        <w:t xml:space="preserve">. Потребителските цени може и да не се повлияят (или ефектът да е случаен/несигурен). Поради тези причини не се очакват </w:t>
      </w:r>
      <w:r w:rsidRPr="0078765D">
        <w:rPr>
          <w:rFonts w:ascii="Times New Roman" w:eastAsia="Times New Roman" w:hAnsi="Times New Roman" w:cs="Times New Roman"/>
          <w:bCs/>
          <w:sz w:val="24"/>
          <w:szCs w:val="24"/>
        </w:rPr>
        <w:t>значимо подобрение или допълнително влошаване</w:t>
      </w:r>
      <w:r w:rsidRPr="0078765D">
        <w:rPr>
          <w:rFonts w:ascii="Times New Roman" w:eastAsia="Times New Roman" w:hAnsi="Times New Roman" w:cs="Times New Roman"/>
          <w:sz w:val="24"/>
          <w:szCs w:val="24"/>
        </w:rPr>
        <w:t xml:space="preserve"> спрямо текущата ситуация. Вариант 1 </w:t>
      </w:r>
      <w:r w:rsidRPr="0078765D">
        <w:rPr>
          <w:rFonts w:ascii="Times New Roman" w:eastAsia="Times New Roman" w:hAnsi="Times New Roman" w:cs="Times New Roman"/>
          <w:bCs/>
          <w:sz w:val="24"/>
          <w:szCs w:val="24"/>
        </w:rPr>
        <w:t>не носи видими ползи</w:t>
      </w:r>
      <w:r w:rsidR="00927EB5">
        <w:rPr>
          <w:rFonts w:ascii="Times New Roman" w:eastAsia="Times New Roman" w:hAnsi="Times New Roman" w:cs="Times New Roman"/>
          <w:sz w:val="24"/>
          <w:szCs w:val="24"/>
        </w:rPr>
        <w:t>. Той</w:t>
      </w:r>
      <w:r w:rsidRPr="0078765D">
        <w:rPr>
          <w:rFonts w:ascii="Times New Roman" w:eastAsia="Times New Roman" w:hAnsi="Times New Roman" w:cs="Times New Roman"/>
          <w:sz w:val="24"/>
          <w:szCs w:val="24"/>
        </w:rPr>
        <w:t xml:space="preserve"> не стимулира нито инвестициите, нито про</w:t>
      </w:r>
      <w:r w:rsidR="006325C1">
        <w:rPr>
          <w:rFonts w:ascii="Times New Roman" w:eastAsia="Times New Roman" w:hAnsi="Times New Roman" w:cs="Times New Roman"/>
          <w:sz w:val="24"/>
          <w:szCs w:val="24"/>
        </w:rPr>
        <w:t>изводството</w:t>
      </w:r>
      <w:r w:rsidRPr="0078765D">
        <w:rPr>
          <w:rFonts w:ascii="Times New Roman" w:eastAsia="Times New Roman" w:hAnsi="Times New Roman" w:cs="Times New Roman"/>
          <w:sz w:val="24"/>
          <w:szCs w:val="24"/>
        </w:rPr>
        <w:t xml:space="preserve">. Доброволните инициативи биха имали ограничен обхват и не могат </w:t>
      </w:r>
      <w:r w:rsidR="006325C1">
        <w:rPr>
          <w:rFonts w:ascii="Times New Roman" w:eastAsia="Times New Roman" w:hAnsi="Times New Roman" w:cs="Times New Roman"/>
          <w:sz w:val="24"/>
          <w:szCs w:val="24"/>
        </w:rPr>
        <w:t>да променят пазарната структура. Тя остава</w:t>
      </w:r>
      <w:r w:rsidRPr="0078765D">
        <w:rPr>
          <w:rFonts w:ascii="Times New Roman" w:eastAsia="Times New Roman" w:hAnsi="Times New Roman" w:cs="Times New Roman"/>
          <w:sz w:val="24"/>
          <w:szCs w:val="24"/>
        </w:rPr>
        <w:t xml:space="preserve"> силно концентрирана в дистрибуцията – около 6 търговски вериги държат до 9</w:t>
      </w:r>
      <w:r w:rsidR="006325C1">
        <w:rPr>
          <w:rFonts w:ascii="Times New Roman" w:eastAsia="Times New Roman" w:hAnsi="Times New Roman" w:cs="Times New Roman"/>
          <w:sz w:val="24"/>
          <w:szCs w:val="24"/>
        </w:rPr>
        <w:t>0% от пазара на дребно на храни.</w:t>
      </w:r>
      <w:r w:rsidRPr="0078765D">
        <w:rPr>
          <w:rFonts w:ascii="Times New Roman" w:eastAsia="Times New Roman" w:hAnsi="Times New Roman" w:cs="Times New Roman"/>
          <w:sz w:val="24"/>
          <w:szCs w:val="24"/>
        </w:rPr>
        <w:t xml:space="preserve"> </w:t>
      </w:r>
      <w:r w:rsidR="006325C1">
        <w:rPr>
          <w:rFonts w:ascii="Times New Roman" w:eastAsia="Times New Roman" w:hAnsi="Times New Roman" w:cs="Times New Roman"/>
          <w:sz w:val="24"/>
          <w:szCs w:val="24"/>
        </w:rPr>
        <w:t>Подобна</w:t>
      </w:r>
      <w:r w:rsidRPr="0078765D">
        <w:rPr>
          <w:rFonts w:ascii="Times New Roman" w:eastAsia="Times New Roman" w:hAnsi="Times New Roman" w:cs="Times New Roman"/>
          <w:sz w:val="24"/>
          <w:szCs w:val="24"/>
        </w:rPr>
        <w:t xml:space="preserve"> концентрация по принцип ограничава ползите от доброволни мерки, тъй като доминиращите играчи могат</w:t>
      </w:r>
      <w:r>
        <w:rPr>
          <w:rFonts w:ascii="Times New Roman" w:eastAsia="Times New Roman" w:hAnsi="Times New Roman" w:cs="Times New Roman"/>
          <w:sz w:val="24"/>
          <w:szCs w:val="24"/>
        </w:rPr>
        <w:t xml:space="preserve"> да не се включат. Сумарно, </w:t>
      </w:r>
      <w:r w:rsidRPr="0078765D">
        <w:rPr>
          <w:rFonts w:ascii="Times New Roman" w:eastAsia="Times New Roman" w:hAnsi="Times New Roman" w:cs="Times New Roman"/>
          <w:bCs/>
          <w:sz w:val="24"/>
          <w:szCs w:val="24"/>
        </w:rPr>
        <w:t>икономическата ситуация остава стагнираща</w:t>
      </w:r>
      <w:r w:rsidRPr="0078765D">
        <w:rPr>
          <w:rFonts w:ascii="Times New Roman" w:eastAsia="Times New Roman" w:hAnsi="Times New Roman" w:cs="Times New Roman"/>
          <w:sz w:val="24"/>
          <w:szCs w:val="24"/>
        </w:rPr>
        <w:t>, затова оценката е неутрална.</w:t>
      </w:r>
    </w:p>
    <w:p w14:paraId="03CF7AA4" w14:textId="77777777" w:rsidR="00E16161" w:rsidRPr="0091765E" w:rsidRDefault="00E16161" w:rsidP="00E16161">
      <w:pPr>
        <w:spacing w:after="0" w:line="240" w:lineRule="auto"/>
        <w:ind w:firstLine="567"/>
        <w:jc w:val="both"/>
        <w:rPr>
          <w:rFonts w:ascii="Times New Roman" w:eastAsia="Times New Roman" w:hAnsi="Times New Roman" w:cs="Times New Roman"/>
          <w:sz w:val="24"/>
          <w:szCs w:val="24"/>
        </w:rPr>
      </w:pPr>
    </w:p>
    <w:p w14:paraId="49A0AA70"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Вариант</w:t>
      </w:r>
      <w:r w:rsidRPr="0091765E">
        <w:rPr>
          <w:rFonts w:ascii="Times New Roman" w:eastAsia="Times New Roman" w:hAnsi="Times New Roman" w:cs="Times New Roman"/>
          <w:b/>
          <w:bCs/>
          <w:sz w:val="24"/>
          <w:szCs w:val="24"/>
        </w:rPr>
        <w:t xml:space="preserve"> 2 </w:t>
      </w:r>
      <w:r w:rsidRPr="0012328C">
        <w:rPr>
          <w:rFonts w:ascii="Times New Roman" w:eastAsia="Times New Roman" w:hAnsi="Times New Roman" w:cs="Times New Roman"/>
          <w:b/>
          <w:bCs/>
          <w:sz w:val="24"/>
          <w:szCs w:val="24"/>
        </w:rPr>
        <w:t>„Регулаторен - промени в действащата правна уредба“</w:t>
      </w:r>
      <w:r w:rsidRPr="0091765E">
        <w:rPr>
          <w:rFonts w:ascii="Times New Roman" w:eastAsia="Times New Roman" w:hAnsi="Times New Roman" w:cs="Times New Roman"/>
          <w:sz w:val="24"/>
          <w:szCs w:val="24"/>
        </w:rPr>
        <w:t xml:space="preserve"> </w:t>
      </w:r>
      <w:r w:rsidRPr="002901F6">
        <w:rPr>
          <w:rFonts w:ascii="Times New Roman" w:eastAsia="Times New Roman" w:hAnsi="Times New Roman" w:cs="Times New Roman"/>
          <w:b/>
          <w:sz w:val="24"/>
          <w:szCs w:val="24"/>
        </w:rPr>
        <w:t>(</w:t>
      </w:r>
      <w:r w:rsidRPr="002901F6">
        <w:rPr>
          <w:rFonts w:ascii="Times New Roman" w:eastAsia="Times New Roman" w:hAnsi="Times New Roman" w:cs="Times New Roman"/>
          <w:b/>
          <w:bCs/>
          <w:sz w:val="24"/>
          <w:szCs w:val="24"/>
        </w:rPr>
        <w:t>+1)</w:t>
      </w:r>
      <w:r w:rsidRPr="0012328C">
        <w:rPr>
          <w:rFonts w:ascii="Times New Roman" w:eastAsia="Times New Roman" w:hAnsi="Times New Roman" w:cs="Times New Roman"/>
          <w:sz w:val="24"/>
          <w:szCs w:val="24"/>
        </w:rPr>
        <w:t xml:space="preserve"> </w:t>
      </w:r>
    </w:p>
    <w:p w14:paraId="33B761C1" w14:textId="30BD6A5B" w:rsidR="00E16161" w:rsidRPr="0078765D" w:rsidRDefault="00E16161" w:rsidP="00E16161">
      <w:pPr>
        <w:spacing w:after="0" w:line="240" w:lineRule="auto"/>
        <w:ind w:firstLine="567"/>
        <w:jc w:val="both"/>
        <w:rPr>
          <w:rFonts w:ascii="Times New Roman" w:eastAsia="Times New Roman" w:hAnsi="Times New Roman" w:cs="Times New Roman"/>
          <w:sz w:val="24"/>
          <w:szCs w:val="24"/>
        </w:rPr>
      </w:pPr>
      <w:r w:rsidRPr="0078765D">
        <w:rPr>
          <w:rFonts w:ascii="Times New Roman" w:eastAsia="Times New Roman" w:hAnsi="Times New Roman" w:cs="Times New Roman"/>
          <w:sz w:val="24"/>
          <w:szCs w:val="24"/>
        </w:rPr>
        <w:t xml:space="preserve">Частичните регулаторни промени биха имали </w:t>
      </w:r>
      <w:r w:rsidRPr="0078765D">
        <w:rPr>
          <w:rFonts w:ascii="Times New Roman" w:eastAsia="Times New Roman" w:hAnsi="Times New Roman" w:cs="Times New Roman"/>
          <w:bCs/>
          <w:sz w:val="24"/>
          <w:szCs w:val="24"/>
        </w:rPr>
        <w:t>някои икономически ползи</w:t>
      </w:r>
      <w:r w:rsidR="00D0165D">
        <w:rPr>
          <w:rFonts w:ascii="Times New Roman" w:eastAsia="Times New Roman" w:hAnsi="Times New Roman" w:cs="Times New Roman"/>
          <w:sz w:val="24"/>
          <w:szCs w:val="24"/>
        </w:rPr>
        <w:t>.</w:t>
      </w:r>
      <w:r w:rsidRPr="0078765D">
        <w:rPr>
          <w:rFonts w:ascii="Times New Roman" w:eastAsia="Times New Roman" w:hAnsi="Times New Roman" w:cs="Times New Roman"/>
          <w:sz w:val="24"/>
          <w:szCs w:val="24"/>
        </w:rPr>
        <w:t xml:space="preserve"> </w:t>
      </w:r>
      <w:r w:rsidR="00D0165D" w:rsidRPr="0078765D">
        <w:rPr>
          <w:rFonts w:ascii="Times New Roman" w:eastAsia="Times New Roman" w:hAnsi="Times New Roman" w:cs="Times New Roman"/>
          <w:sz w:val="24"/>
          <w:szCs w:val="24"/>
        </w:rPr>
        <w:t>Например</w:t>
      </w:r>
      <w:r w:rsidRPr="0078765D">
        <w:rPr>
          <w:rFonts w:ascii="Times New Roman" w:eastAsia="Times New Roman" w:hAnsi="Times New Roman" w:cs="Times New Roman"/>
          <w:sz w:val="24"/>
          <w:szCs w:val="24"/>
        </w:rPr>
        <w:t xml:space="preserve">, ако бъдат забранени най-вредните практики (като злоупотребата със забавено плащане, едностранни промени на договора и т.н.), </w:t>
      </w:r>
      <w:r w:rsidRPr="0078765D">
        <w:rPr>
          <w:rFonts w:ascii="Times New Roman" w:eastAsia="Times New Roman" w:hAnsi="Times New Roman" w:cs="Times New Roman"/>
          <w:bCs/>
          <w:sz w:val="24"/>
          <w:szCs w:val="24"/>
        </w:rPr>
        <w:t>малките производители ще могат да планират по-добре и да реализират повече продукция</w:t>
      </w:r>
      <w:r w:rsidRPr="0078765D">
        <w:rPr>
          <w:rFonts w:ascii="Times New Roman" w:eastAsia="Times New Roman" w:hAnsi="Times New Roman" w:cs="Times New Roman"/>
          <w:sz w:val="24"/>
          <w:szCs w:val="24"/>
        </w:rPr>
        <w:t xml:space="preserve">, вместо да се страхуват от загуби. Това би могло леко да повиши тяхната продуктивност и обем на производство. </w:t>
      </w:r>
      <w:r w:rsidRPr="00264C32">
        <w:rPr>
          <w:rFonts w:ascii="Times New Roman" w:eastAsia="Times New Roman" w:hAnsi="Times New Roman" w:cs="Times New Roman"/>
          <w:bCs/>
          <w:sz w:val="24"/>
          <w:szCs w:val="24"/>
        </w:rPr>
        <w:t>Конкуренцията на пазара би се подобрила частично</w:t>
      </w:r>
      <w:r w:rsidR="00D0165D">
        <w:rPr>
          <w:rFonts w:ascii="Times New Roman" w:eastAsia="Times New Roman" w:hAnsi="Times New Roman" w:cs="Times New Roman"/>
          <w:bCs/>
          <w:sz w:val="24"/>
          <w:szCs w:val="24"/>
        </w:rPr>
        <w:t>.</w:t>
      </w:r>
      <w:r w:rsidRPr="00264C32">
        <w:rPr>
          <w:rFonts w:ascii="Times New Roman" w:eastAsia="Times New Roman" w:hAnsi="Times New Roman" w:cs="Times New Roman"/>
          <w:sz w:val="24"/>
          <w:szCs w:val="24"/>
        </w:rPr>
        <w:t xml:space="preserve"> </w:t>
      </w:r>
      <w:r w:rsidR="00D0165D">
        <w:rPr>
          <w:rFonts w:ascii="Times New Roman" w:eastAsia="Times New Roman" w:hAnsi="Times New Roman" w:cs="Times New Roman"/>
          <w:sz w:val="24"/>
          <w:szCs w:val="24"/>
        </w:rPr>
        <w:t>П</w:t>
      </w:r>
      <w:r w:rsidRPr="00264C32">
        <w:rPr>
          <w:rFonts w:ascii="Times New Roman" w:eastAsia="Times New Roman" w:hAnsi="Times New Roman" w:cs="Times New Roman"/>
          <w:sz w:val="24"/>
          <w:szCs w:val="24"/>
        </w:rPr>
        <w:t xml:space="preserve">о-силните оператори вече няма да могат да ползват </w:t>
      </w:r>
      <w:r w:rsidRPr="00264C32">
        <w:rPr>
          <w:rFonts w:ascii="Times New Roman" w:eastAsia="Times New Roman" w:hAnsi="Times New Roman" w:cs="Times New Roman"/>
          <w:iCs/>
          <w:sz w:val="24"/>
          <w:szCs w:val="24"/>
        </w:rPr>
        <w:t>някои</w:t>
      </w:r>
      <w:r w:rsidRPr="00264C32">
        <w:rPr>
          <w:rFonts w:ascii="Times New Roman" w:eastAsia="Times New Roman" w:hAnsi="Times New Roman" w:cs="Times New Roman"/>
          <w:sz w:val="24"/>
          <w:szCs w:val="24"/>
        </w:rPr>
        <w:t xml:space="preserve"> неконкурентни прийоми, което </w:t>
      </w:r>
      <w:r w:rsidR="00D0165D">
        <w:rPr>
          <w:rFonts w:ascii="Times New Roman" w:eastAsia="Times New Roman" w:hAnsi="Times New Roman" w:cs="Times New Roman"/>
          <w:sz w:val="24"/>
          <w:szCs w:val="24"/>
        </w:rPr>
        <w:t xml:space="preserve">би облекчило положението </w:t>
      </w:r>
      <w:r w:rsidRPr="00264C32">
        <w:rPr>
          <w:rFonts w:ascii="Times New Roman" w:eastAsia="Times New Roman" w:hAnsi="Times New Roman" w:cs="Times New Roman"/>
          <w:sz w:val="24"/>
          <w:szCs w:val="24"/>
        </w:rPr>
        <w:t xml:space="preserve">на по-малките. Респективно, евентуални  промени в действащата правна уредба </w:t>
      </w:r>
      <w:r w:rsidRPr="00264C32">
        <w:rPr>
          <w:rFonts w:ascii="Times New Roman" w:eastAsia="Times New Roman" w:hAnsi="Times New Roman" w:cs="Times New Roman"/>
          <w:bCs/>
          <w:sz w:val="24"/>
          <w:szCs w:val="24"/>
        </w:rPr>
        <w:t>могат частично да допринес</w:t>
      </w:r>
      <w:r w:rsidR="00D0165D">
        <w:rPr>
          <w:rFonts w:ascii="Times New Roman" w:eastAsia="Times New Roman" w:hAnsi="Times New Roman" w:cs="Times New Roman"/>
          <w:bCs/>
          <w:sz w:val="24"/>
          <w:szCs w:val="24"/>
        </w:rPr>
        <w:t>ат</w:t>
      </w:r>
      <w:r w:rsidRPr="00264C32">
        <w:rPr>
          <w:rFonts w:ascii="Times New Roman" w:eastAsia="Times New Roman" w:hAnsi="Times New Roman" w:cs="Times New Roman"/>
          <w:bCs/>
          <w:sz w:val="24"/>
          <w:szCs w:val="24"/>
        </w:rPr>
        <w:t xml:space="preserve"> за увеличаване на икономическия растеж и заетостта</w:t>
      </w:r>
      <w:r w:rsidRPr="00264C32">
        <w:rPr>
          <w:rFonts w:ascii="Times New Roman" w:eastAsia="Times New Roman" w:hAnsi="Times New Roman" w:cs="Times New Roman"/>
          <w:sz w:val="24"/>
          <w:szCs w:val="24"/>
        </w:rPr>
        <w:t>. Например, ако доставчиците получат по-справедлив дял</w:t>
      </w:r>
      <w:r w:rsidRPr="0078765D">
        <w:rPr>
          <w:rFonts w:ascii="Times New Roman" w:eastAsia="Times New Roman" w:hAnsi="Times New Roman" w:cs="Times New Roman"/>
          <w:sz w:val="24"/>
          <w:szCs w:val="24"/>
        </w:rPr>
        <w:t xml:space="preserve"> от добавената стойност, те може да наемат повече работници и да инвестират в разширяване. Потребителите също биха имали </w:t>
      </w:r>
      <w:r w:rsidRPr="0078765D">
        <w:rPr>
          <w:rFonts w:ascii="Times New Roman" w:eastAsia="Times New Roman" w:hAnsi="Times New Roman" w:cs="Times New Roman"/>
          <w:bCs/>
          <w:sz w:val="24"/>
          <w:szCs w:val="24"/>
        </w:rPr>
        <w:t>малка полза</w:t>
      </w:r>
      <w:r w:rsidR="00D0165D">
        <w:rPr>
          <w:rFonts w:ascii="Times New Roman" w:eastAsia="Times New Roman" w:hAnsi="Times New Roman" w:cs="Times New Roman"/>
          <w:bCs/>
          <w:sz w:val="24"/>
          <w:szCs w:val="24"/>
        </w:rPr>
        <w:t>.</w:t>
      </w:r>
      <w:r w:rsidRPr="0078765D">
        <w:rPr>
          <w:rFonts w:ascii="Times New Roman" w:eastAsia="Times New Roman" w:hAnsi="Times New Roman" w:cs="Times New Roman"/>
          <w:sz w:val="24"/>
          <w:szCs w:val="24"/>
        </w:rPr>
        <w:t xml:space="preserve"> </w:t>
      </w:r>
      <w:r w:rsidR="00D0165D">
        <w:rPr>
          <w:rFonts w:ascii="Times New Roman" w:eastAsia="Times New Roman" w:hAnsi="Times New Roman" w:cs="Times New Roman"/>
          <w:sz w:val="24"/>
          <w:szCs w:val="24"/>
        </w:rPr>
        <w:t>М</w:t>
      </w:r>
      <w:r w:rsidRPr="0078765D">
        <w:rPr>
          <w:rFonts w:ascii="Times New Roman" w:eastAsia="Times New Roman" w:hAnsi="Times New Roman" w:cs="Times New Roman"/>
          <w:sz w:val="24"/>
          <w:szCs w:val="24"/>
        </w:rPr>
        <w:t xml:space="preserve">акар и </w:t>
      </w:r>
      <w:r w:rsidR="00D0165D">
        <w:rPr>
          <w:rFonts w:ascii="Times New Roman" w:eastAsia="Times New Roman" w:hAnsi="Times New Roman" w:cs="Times New Roman"/>
          <w:sz w:val="24"/>
          <w:szCs w:val="24"/>
        </w:rPr>
        <w:t>частично</w:t>
      </w:r>
      <w:r w:rsidRPr="0078765D">
        <w:rPr>
          <w:rFonts w:ascii="Times New Roman" w:eastAsia="Times New Roman" w:hAnsi="Times New Roman" w:cs="Times New Roman"/>
          <w:sz w:val="24"/>
          <w:szCs w:val="24"/>
        </w:rPr>
        <w:t xml:space="preserve">, Вариант 2 би ограничил необоснованите скокове на цените на храните, т.е. те биха били малко по-стабилни отколкото при пълна липса на регулация. Въпреки тези плюсове, ефектът би бил </w:t>
      </w:r>
      <w:r w:rsidRPr="0078765D">
        <w:rPr>
          <w:rFonts w:ascii="Times New Roman" w:eastAsia="Times New Roman" w:hAnsi="Times New Roman" w:cs="Times New Roman"/>
          <w:bCs/>
          <w:sz w:val="24"/>
          <w:szCs w:val="24"/>
        </w:rPr>
        <w:t>ограничен от непълнотата на мерките</w:t>
      </w:r>
      <w:r w:rsidR="00D0165D">
        <w:rPr>
          <w:rFonts w:ascii="Times New Roman" w:eastAsia="Times New Roman" w:hAnsi="Times New Roman" w:cs="Times New Roman"/>
          <w:bCs/>
          <w:sz w:val="24"/>
          <w:szCs w:val="24"/>
        </w:rPr>
        <w:t>. П</w:t>
      </w:r>
      <w:r w:rsidRPr="0078765D">
        <w:rPr>
          <w:rFonts w:ascii="Times New Roman" w:eastAsia="Times New Roman" w:hAnsi="Times New Roman" w:cs="Times New Roman"/>
          <w:sz w:val="24"/>
          <w:szCs w:val="24"/>
        </w:rPr>
        <w:t xml:space="preserve">онеже не всички дефицити се премахват, </w:t>
      </w:r>
      <w:r w:rsidRPr="0078765D">
        <w:rPr>
          <w:rFonts w:ascii="Times New Roman" w:eastAsia="Times New Roman" w:hAnsi="Times New Roman" w:cs="Times New Roman"/>
          <w:bCs/>
          <w:sz w:val="24"/>
          <w:szCs w:val="24"/>
        </w:rPr>
        <w:t>част от негативните икономически явления ще продължат да съществуват</w:t>
      </w:r>
      <w:r w:rsidR="00927EB5">
        <w:rPr>
          <w:rFonts w:ascii="Times New Roman" w:eastAsia="Times New Roman" w:hAnsi="Times New Roman" w:cs="Times New Roman"/>
          <w:sz w:val="24"/>
          <w:szCs w:val="24"/>
        </w:rPr>
        <w:t>. Още повече, че</w:t>
      </w:r>
      <w:r w:rsidRPr="0078765D">
        <w:rPr>
          <w:rFonts w:ascii="Times New Roman" w:eastAsia="Times New Roman" w:hAnsi="Times New Roman" w:cs="Times New Roman"/>
          <w:sz w:val="24"/>
          <w:szCs w:val="24"/>
        </w:rPr>
        <w:t xml:space="preserve"> </w:t>
      </w:r>
      <w:r w:rsidR="00D0165D">
        <w:rPr>
          <w:rFonts w:ascii="Times New Roman" w:eastAsia="Times New Roman" w:hAnsi="Times New Roman" w:cs="Times New Roman"/>
          <w:sz w:val="24"/>
          <w:szCs w:val="24"/>
        </w:rPr>
        <w:t>като не се създава</w:t>
      </w:r>
      <w:r w:rsidRPr="0078765D">
        <w:rPr>
          <w:rFonts w:ascii="Times New Roman" w:eastAsia="Times New Roman" w:hAnsi="Times New Roman" w:cs="Times New Roman"/>
          <w:sz w:val="24"/>
          <w:szCs w:val="24"/>
        </w:rPr>
        <w:t xml:space="preserve"> специализиран контролен механизъм, спазването на новите правила може да не е ефективно, което би подкопало част от потенциалните ползи. </w:t>
      </w:r>
    </w:p>
    <w:p w14:paraId="1D2E0581" w14:textId="77777777" w:rsidR="00E16161" w:rsidRPr="0091765E" w:rsidRDefault="00E16161" w:rsidP="00E16161">
      <w:pPr>
        <w:spacing w:after="0" w:line="240" w:lineRule="auto"/>
        <w:ind w:firstLine="567"/>
        <w:jc w:val="both"/>
        <w:rPr>
          <w:rFonts w:ascii="Times New Roman" w:eastAsia="Times New Roman" w:hAnsi="Times New Roman" w:cs="Times New Roman"/>
          <w:sz w:val="24"/>
          <w:szCs w:val="24"/>
        </w:rPr>
      </w:pPr>
    </w:p>
    <w:p w14:paraId="0995D7EB"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r w:rsidRPr="00ED09E4">
        <w:rPr>
          <w:rFonts w:ascii="Times New Roman" w:eastAsia="Times New Roman" w:hAnsi="Times New Roman" w:cs="Times New Roman"/>
          <w:b/>
          <w:bCs/>
          <w:sz w:val="24"/>
          <w:szCs w:val="24"/>
        </w:rPr>
        <w:t>Вариант 3: „Регулаторен – изцяло нов специален закон“</w:t>
      </w:r>
      <w:r>
        <w:rPr>
          <w:rFonts w:ascii="Times New Roman" w:eastAsia="Times New Roman" w:hAnsi="Times New Roman" w:cs="Times New Roman"/>
          <w:b/>
          <w:bCs/>
          <w:sz w:val="24"/>
          <w:szCs w:val="24"/>
        </w:rPr>
        <w:t xml:space="preserve"> </w:t>
      </w:r>
      <w:r w:rsidRPr="002901F6">
        <w:rPr>
          <w:rFonts w:ascii="Times New Roman" w:eastAsia="Times New Roman" w:hAnsi="Times New Roman" w:cs="Times New Roman"/>
          <w:b/>
          <w:bCs/>
          <w:sz w:val="24"/>
          <w:szCs w:val="24"/>
        </w:rPr>
        <w:t>(+2)</w:t>
      </w:r>
      <w:r w:rsidRPr="0091765E">
        <w:rPr>
          <w:rFonts w:ascii="Times New Roman" w:eastAsia="Times New Roman" w:hAnsi="Times New Roman" w:cs="Times New Roman"/>
          <w:sz w:val="24"/>
          <w:szCs w:val="24"/>
        </w:rPr>
        <w:t xml:space="preserve"> </w:t>
      </w:r>
    </w:p>
    <w:p w14:paraId="548912BC" w14:textId="6534CA05" w:rsidR="00E16161" w:rsidRDefault="00E16161" w:rsidP="00E161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Един нов </w:t>
      </w:r>
      <w:r w:rsidRPr="00EA6B6F">
        <w:rPr>
          <w:rFonts w:ascii="Times New Roman" w:eastAsia="Times New Roman" w:hAnsi="Times New Roman" w:cs="Times New Roman"/>
          <w:sz w:val="24"/>
          <w:szCs w:val="24"/>
        </w:rPr>
        <w:t xml:space="preserve">специален закон, прилаган ефективно, би </w:t>
      </w:r>
      <w:r w:rsidRPr="00EA6B6F">
        <w:rPr>
          <w:rFonts w:ascii="Times New Roman" w:eastAsia="Times New Roman" w:hAnsi="Times New Roman" w:cs="Times New Roman"/>
          <w:bCs/>
          <w:sz w:val="24"/>
          <w:szCs w:val="24"/>
        </w:rPr>
        <w:t>трансформирал икономическите взаимоотношения във веригата към по-ефективен и равнопоставен модел</w:t>
      </w:r>
      <w:r w:rsidRPr="00EA6B6F">
        <w:rPr>
          <w:rFonts w:ascii="Times New Roman" w:eastAsia="Times New Roman" w:hAnsi="Times New Roman" w:cs="Times New Roman"/>
          <w:sz w:val="24"/>
          <w:szCs w:val="24"/>
        </w:rPr>
        <w:t xml:space="preserve">. Премахването на нелоялните практики означава, че </w:t>
      </w:r>
      <w:r w:rsidRPr="00EA6B6F">
        <w:rPr>
          <w:rFonts w:ascii="Times New Roman" w:eastAsia="Times New Roman" w:hAnsi="Times New Roman" w:cs="Times New Roman"/>
          <w:bCs/>
          <w:sz w:val="24"/>
          <w:szCs w:val="24"/>
        </w:rPr>
        <w:t xml:space="preserve">доставчиците ще получават </w:t>
      </w:r>
      <w:r w:rsidR="00D0165D">
        <w:rPr>
          <w:rFonts w:ascii="Times New Roman" w:eastAsia="Times New Roman" w:hAnsi="Times New Roman" w:cs="Times New Roman"/>
          <w:bCs/>
          <w:sz w:val="24"/>
          <w:szCs w:val="24"/>
        </w:rPr>
        <w:t>пропорционална</w:t>
      </w:r>
      <w:r w:rsidRPr="00EA6B6F">
        <w:rPr>
          <w:rFonts w:ascii="Times New Roman" w:eastAsia="Times New Roman" w:hAnsi="Times New Roman" w:cs="Times New Roman"/>
          <w:bCs/>
          <w:sz w:val="24"/>
          <w:szCs w:val="24"/>
        </w:rPr>
        <w:t xml:space="preserve"> цена и навременно плащане</w:t>
      </w:r>
      <w:r w:rsidRPr="00EA6B6F">
        <w:rPr>
          <w:rFonts w:ascii="Times New Roman" w:eastAsia="Times New Roman" w:hAnsi="Times New Roman" w:cs="Times New Roman"/>
          <w:sz w:val="24"/>
          <w:szCs w:val="24"/>
        </w:rPr>
        <w:t xml:space="preserve">, което директно подобрява техните </w:t>
      </w:r>
      <w:r w:rsidRPr="00EA6B6F">
        <w:rPr>
          <w:rFonts w:ascii="Times New Roman" w:eastAsia="Times New Roman" w:hAnsi="Times New Roman" w:cs="Times New Roman"/>
          <w:sz w:val="24"/>
          <w:szCs w:val="24"/>
        </w:rPr>
        <w:lastRenderedPageBreak/>
        <w:t xml:space="preserve">приходи и ликвидност. </w:t>
      </w:r>
      <w:r w:rsidRPr="00EA6B6F">
        <w:rPr>
          <w:rFonts w:ascii="Times New Roman" w:eastAsia="Times New Roman" w:hAnsi="Times New Roman" w:cs="Times New Roman"/>
          <w:bCs/>
          <w:sz w:val="24"/>
          <w:szCs w:val="24"/>
        </w:rPr>
        <w:t xml:space="preserve">Най-уязвимият сектор </w:t>
      </w:r>
      <w:r w:rsidR="00927EB5">
        <w:rPr>
          <w:rFonts w:ascii="Times New Roman" w:eastAsia="Times New Roman" w:hAnsi="Times New Roman" w:cs="Times New Roman"/>
          <w:bCs/>
          <w:sz w:val="24"/>
          <w:szCs w:val="24"/>
        </w:rPr>
        <w:t>(</w:t>
      </w:r>
      <w:r w:rsidRPr="00EA6B6F">
        <w:rPr>
          <w:rFonts w:ascii="Times New Roman" w:eastAsia="Times New Roman" w:hAnsi="Times New Roman" w:cs="Times New Roman"/>
          <w:bCs/>
          <w:sz w:val="24"/>
          <w:szCs w:val="24"/>
        </w:rPr>
        <w:t>земеделските производители</w:t>
      </w:r>
      <w:r w:rsidR="00927EB5">
        <w:rPr>
          <w:rFonts w:ascii="Times New Roman" w:eastAsia="Times New Roman" w:hAnsi="Times New Roman" w:cs="Times New Roman"/>
          <w:bCs/>
          <w:sz w:val="24"/>
          <w:szCs w:val="24"/>
        </w:rPr>
        <w:t>)</w:t>
      </w:r>
      <w:r w:rsidRPr="00EA6B6F">
        <w:rPr>
          <w:rFonts w:ascii="Times New Roman" w:eastAsia="Times New Roman" w:hAnsi="Times New Roman" w:cs="Times New Roman"/>
          <w:bCs/>
          <w:sz w:val="24"/>
          <w:szCs w:val="24"/>
        </w:rPr>
        <w:t xml:space="preserve"> би усетил позитивен ефект</w:t>
      </w:r>
      <w:r w:rsidRPr="00EA6B6F">
        <w:rPr>
          <w:rFonts w:ascii="Times New Roman" w:eastAsia="Times New Roman" w:hAnsi="Times New Roman" w:cs="Times New Roman"/>
          <w:sz w:val="24"/>
          <w:szCs w:val="24"/>
        </w:rPr>
        <w:t xml:space="preserve">: те вече няма да срещат затруднения да пласират продукцията си, което </w:t>
      </w:r>
      <w:r w:rsidRPr="00EA6B6F">
        <w:rPr>
          <w:rFonts w:ascii="Times New Roman" w:eastAsia="Times New Roman" w:hAnsi="Times New Roman" w:cs="Times New Roman"/>
          <w:bCs/>
          <w:sz w:val="24"/>
          <w:szCs w:val="24"/>
        </w:rPr>
        <w:t>увеличава стимулите за производство</w:t>
      </w:r>
      <w:r w:rsidRPr="00EA6B6F">
        <w:rPr>
          <w:rFonts w:ascii="Times New Roman" w:eastAsia="Times New Roman" w:hAnsi="Times New Roman" w:cs="Times New Roman"/>
          <w:sz w:val="24"/>
          <w:szCs w:val="24"/>
        </w:rPr>
        <w:t xml:space="preserve">. Повече произведена и продадена продукция </w:t>
      </w:r>
      <w:r>
        <w:rPr>
          <w:rFonts w:ascii="Times New Roman" w:eastAsia="Times New Roman" w:hAnsi="Times New Roman" w:cs="Times New Roman"/>
          <w:sz w:val="24"/>
          <w:szCs w:val="24"/>
        </w:rPr>
        <w:t>води до</w:t>
      </w:r>
      <w:r w:rsidRPr="00EA6B6F">
        <w:rPr>
          <w:rFonts w:ascii="Times New Roman" w:eastAsia="Times New Roman" w:hAnsi="Times New Roman" w:cs="Times New Roman"/>
          <w:sz w:val="24"/>
          <w:szCs w:val="24"/>
        </w:rPr>
        <w:t xml:space="preserve"> </w:t>
      </w:r>
      <w:r w:rsidRPr="00EA6B6F">
        <w:rPr>
          <w:rFonts w:ascii="Times New Roman" w:eastAsia="Times New Roman" w:hAnsi="Times New Roman" w:cs="Times New Roman"/>
          <w:bCs/>
          <w:sz w:val="24"/>
          <w:szCs w:val="24"/>
        </w:rPr>
        <w:t>по-висок БВП в селското стопанство</w:t>
      </w:r>
      <w:r w:rsidRPr="00EA6B6F">
        <w:rPr>
          <w:rFonts w:ascii="Times New Roman" w:eastAsia="Times New Roman" w:hAnsi="Times New Roman" w:cs="Times New Roman"/>
          <w:sz w:val="24"/>
          <w:szCs w:val="24"/>
        </w:rPr>
        <w:t xml:space="preserve"> и вероятно </w:t>
      </w:r>
      <w:r w:rsidR="00D0165D">
        <w:rPr>
          <w:rFonts w:ascii="Times New Roman" w:eastAsia="Times New Roman" w:hAnsi="Times New Roman" w:cs="Times New Roman"/>
          <w:sz w:val="24"/>
          <w:szCs w:val="24"/>
        </w:rPr>
        <w:t xml:space="preserve">до </w:t>
      </w:r>
      <w:r w:rsidRPr="00EA6B6F">
        <w:rPr>
          <w:rFonts w:ascii="Times New Roman" w:eastAsia="Times New Roman" w:hAnsi="Times New Roman" w:cs="Times New Roman"/>
          <w:bCs/>
          <w:sz w:val="24"/>
          <w:szCs w:val="24"/>
        </w:rPr>
        <w:t>повече заетост</w:t>
      </w:r>
      <w:r w:rsidRPr="00EA6B6F">
        <w:rPr>
          <w:rFonts w:ascii="Times New Roman" w:eastAsia="Times New Roman" w:hAnsi="Times New Roman" w:cs="Times New Roman"/>
          <w:sz w:val="24"/>
          <w:szCs w:val="24"/>
        </w:rPr>
        <w:t xml:space="preserve">. </w:t>
      </w:r>
      <w:r w:rsidRPr="00EA6B6F">
        <w:rPr>
          <w:rFonts w:ascii="Times New Roman" w:eastAsia="Times New Roman" w:hAnsi="Times New Roman" w:cs="Times New Roman"/>
          <w:bCs/>
          <w:sz w:val="24"/>
          <w:szCs w:val="24"/>
        </w:rPr>
        <w:t>Конкурентната среда се подобрява значително</w:t>
      </w:r>
      <w:r>
        <w:rPr>
          <w:rFonts w:ascii="Times New Roman" w:eastAsia="Times New Roman" w:hAnsi="Times New Roman" w:cs="Times New Roman"/>
          <w:sz w:val="24"/>
          <w:szCs w:val="24"/>
        </w:rPr>
        <w:t>, т</w:t>
      </w:r>
      <w:r w:rsidR="00927EB5">
        <w:rPr>
          <w:rFonts w:ascii="Times New Roman" w:eastAsia="Times New Roman" w:hAnsi="Times New Roman" w:cs="Times New Roman"/>
          <w:sz w:val="24"/>
          <w:szCs w:val="24"/>
        </w:rPr>
        <w:t>ъй като</w:t>
      </w:r>
      <w:r w:rsidRPr="00EA6B6F">
        <w:rPr>
          <w:rFonts w:ascii="Times New Roman" w:eastAsia="Times New Roman" w:hAnsi="Times New Roman" w:cs="Times New Roman"/>
          <w:sz w:val="24"/>
          <w:szCs w:val="24"/>
        </w:rPr>
        <w:t xml:space="preserve"> законът би отстранил бариерите за навлизане на нови играчи и би ограничил прекомерната пазарна мощ на големите вериги. Това означава </w:t>
      </w:r>
      <w:r w:rsidRPr="00EA6B6F">
        <w:rPr>
          <w:rFonts w:ascii="Times New Roman" w:eastAsia="Times New Roman" w:hAnsi="Times New Roman" w:cs="Times New Roman"/>
          <w:bCs/>
          <w:sz w:val="24"/>
          <w:szCs w:val="24"/>
        </w:rPr>
        <w:t>по-реална конкуренция и пазарно определени цени</w:t>
      </w:r>
      <w:r>
        <w:rPr>
          <w:rFonts w:ascii="Times New Roman" w:eastAsia="Times New Roman" w:hAnsi="Times New Roman" w:cs="Times New Roman"/>
          <w:sz w:val="24"/>
          <w:szCs w:val="24"/>
        </w:rPr>
        <w:t>.</w:t>
      </w:r>
    </w:p>
    <w:p w14:paraId="29A09143" w14:textId="70FAAC00" w:rsidR="00E16161" w:rsidRPr="00EA6B6F" w:rsidRDefault="00E16161" w:rsidP="00E16161">
      <w:pPr>
        <w:spacing w:after="0" w:line="240" w:lineRule="auto"/>
        <w:ind w:firstLine="567"/>
        <w:jc w:val="both"/>
        <w:rPr>
          <w:rFonts w:ascii="Times New Roman" w:eastAsia="Times New Roman" w:hAnsi="Times New Roman" w:cs="Times New Roman"/>
          <w:sz w:val="24"/>
          <w:szCs w:val="24"/>
        </w:rPr>
      </w:pPr>
      <w:r w:rsidRPr="00EA6B6F">
        <w:rPr>
          <w:rFonts w:ascii="Times New Roman" w:eastAsia="Times New Roman" w:hAnsi="Times New Roman" w:cs="Times New Roman"/>
          <w:sz w:val="24"/>
          <w:szCs w:val="24"/>
        </w:rPr>
        <w:t>Потребителите също печелят</w:t>
      </w:r>
      <w:r w:rsidR="00927EB5">
        <w:rPr>
          <w:rFonts w:ascii="Times New Roman" w:eastAsia="Times New Roman" w:hAnsi="Times New Roman" w:cs="Times New Roman"/>
          <w:sz w:val="24"/>
          <w:szCs w:val="24"/>
        </w:rPr>
        <w:t>.</w:t>
      </w:r>
      <w:r w:rsidR="00927EB5" w:rsidRPr="00EA6B6F">
        <w:rPr>
          <w:rFonts w:ascii="Times New Roman" w:eastAsia="Times New Roman" w:hAnsi="Times New Roman" w:cs="Times New Roman"/>
          <w:sz w:val="24"/>
          <w:szCs w:val="24"/>
        </w:rPr>
        <w:t xml:space="preserve"> </w:t>
      </w:r>
      <w:r w:rsidR="00927EB5">
        <w:rPr>
          <w:rFonts w:ascii="Times New Roman" w:eastAsia="Times New Roman" w:hAnsi="Times New Roman" w:cs="Times New Roman"/>
          <w:sz w:val="24"/>
          <w:szCs w:val="24"/>
        </w:rPr>
        <w:t>С</w:t>
      </w:r>
      <w:r w:rsidRPr="00EA6B6F">
        <w:rPr>
          <w:rFonts w:ascii="Times New Roman" w:eastAsia="Times New Roman" w:hAnsi="Times New Roman" w:cs="Times New Roman"/>
          <w:sz w:val="24"/>
          <w:szCs w:val="24"/>
        </w:rPr>
        <w:t xml:space="preserve"> повече конкуренция и прозрачност </w:t>
      </w:r>
      <w:r w:rsidRPr="00EA6B6F">
        <w:rPr>
          <w:rFonts w:ascii="Times New Roman" w:eastAsia="Times New Roman" w:hAnsi="Times New Roman" w:cs="Times New Roman"/>
          <w:bCs/>
          <w:sz w:val="24"/>
          <w:szCs w:val="24"/>
        </w:rPr>
        <w:t>цените за крайния потребител биха били по-ниски и стабилни</w:t>
      </w:r>
      <w:r w:rsidRPr="00EA6B6F">
        <w:rPr>
          <w:rFonts w:ascii="Times New Roman" w:eastAsia="Times New Roman" w:hAnsi="Times New Roman" w:cs="Times New Roman"/>
          <w:sz w:val="24"/>
          <w:szCs w:val="24"/>
        </w:rPr>
        <w:t>, без внезапни и необосновани увеличения. Съответно</w:t>
      </w:r>
      <w:r w:rsidR="00927EB5">
        <w:rPr>
          <w:rFonts w:ascii="Times New Roman" w:eastAsia="Times New Roman" w:hAnsi="Times New Roman" w:cs="Times New Roman"/>
          <w:sz w:val="24"/>
          <w:szCs w:val="24"/>
        </w:rPr>
        <w:t>,</w:t>
      </w:r>
      <w:r w:rsidRPr="00EA6B6F">
        <w:rPr>
          <w:rFonts w:ascii="Times New Roman" w:eastAsia="Times New Roman" w:hAnsi="Times New Roman" w:cs="Times New Roman"/>
          <w:sz w:val="24"/>
          <w:szCs w:val="24"/>
        </w:rPr>
        <w:t xml:space="preserve"> при този вариант може </w:t>
      </w:r>
      <w:r w:rsidRPr="00EA6B6F">
        <w:rPr>
          <w:rFonts w:ascii="Times New Roman" w:eastAsia="Times New Roman" w:hAnsi="Times New Roman" w:cs="Times New Roman"/>
          <w:bCs/>
          <w:sz w:val="24"/>
          <w:szCs w:val="24"/>
        </w:rPr>
        <w:t>най-пълно да бъде елиминиран риск</w:t>
      </w:r>
      <w:r>
        <w:rPr>
          <w:rFonts w:ascii="Times New Roman" w:eastAsia="Times New Roman" w:hAnsi="Times New Roman" w:cs="Times New Roman"/>
          <w:bCs/>
          <w:sz w:val="24"/>
          <w:szCs w:val="24"/>
        </w:rPr>
        <w:t>ът</w:t>
      </w:r>
      <w:r w:rsidRPr="00EA6B6F">
        <w:rPr>
          <w:rFonts w:ascii="Times New Roman" w:eastAsia="Times New Roman" w:hAnsi="Times New Roman" w:cs="Times New Roman"/>
          <w:bCs/>
          <w:sz w:val="24"/>
          <w:szCs w:val="24"/>
        </w:rPr>
        <w:t xml:space="preserve"> от систематично повишаване на цените за потребителите</w:t>
      </w:r>
      <w:r w:rsidRPr="00EA6B6F">
        <w:rPr>
          <w:rFonts w:ascii="Times New Roman" w:eastAsia="Times New Roman" w:hAnsi="Times New Roman" w:cs="Times New Roman"/>
          <w:sz w:val="24"/>
          <w:szCs w:val="24"/>
        </w:rPr>
        <w:t xml:space="preserve"> и дори </w:t>
      </w:r>
      <w:r>
        <w:rPr>
          <w:rFonts w:ascii="Times New Roman" w:eastAsia="Times New Roman" w:hAnsi="Times New Roman" w:cs="Times New Roman"/>
          <w:sz w:val="24"/>
          <w:szCs w:val="24"/>
        </w:rPr>
        <w:t xml:space="preserve">той </w:t>
      </w:r>
      <w:r w:rsidRPr="00EA6B6F">
        <w:rPr>
          <w:rFonts w:ascii="Times New Roman" w:eastAsia="Times New Roman" w:hAnsi="Times New Roman" w:cs="Times New Roman"/>
          <w:sz w:val="24"/>
          <w:szCs w:val="24"/>
        </w:rPr>
        <w:t>би допринес</w:t>
      </w:r>
      <w:r>
        <w:rPr>
          <w:rFonts w:ascii="Times New Roman" w:eastAsia="Times New Roman" w:hAnsi="Times New Roman" w:cs="Times New Roman"/>
          <w:sz w:val="24"/>
          <w:szCs w:val="24"/>
        </w:rPr>
        <w:t>ъ</w:t>
      </w:r>
      <w:r w:rsidRPr="00EA6B6F">
        <w:rPr>
          <w:rFonts w:ascii="Times New Roman" w:eastAsia="Times New Roman" w:hAnsi="Times New Roman" w:cs="Times New Roman"/>
          <w:sz w:val="24"/>
          <w:szCs w:val="24"/>
        </w:rPr>
        <w:t xml:space="preserve">л за </w:t>
      </w:r>
      <w:r w:rsidR="00D0165D">
        <w:rPr>
          <w:rFonts w:ascii="Times New Roman" w:eastAsia="Times New Roman" w:hAnsi="Times New Roman" w:cs="Times New Roman"/>
          <w:bCs/>
          <w:sz w:val="24"/>
          <w:szCs w:val="24"/>
        </w:rPr>
        <w:t>справяне</w:t>
      </w:r>
      <w:r w:rsidRPr="00EA6B6F">
        <w:rPr>
          <w:rFonts w:ascii="Times New Roman" w:eastAsia="Times New Roman" w:hAnsi="Times New Roman" w:cs="Times New Roman"/>
          <w:bCs/>
          <w:sz w:val="24"/>
          <w:szCs w:val="24"/>
        </w:rPr>
        <w:t xml:space="preserve"> с бедността</w:t>
      </w:r>
      <w:r w:rsidRPr="00EA6B6F">
        <w:rPr>
          <w:rFonts w:ascii="Times New Roman" w:eastAsia="Times New Roman" w:hAnsi="Times New Roman" w:cs="Times New Roman"/>
          <w:sz w:val="24"/>
          <w:szCs w:val="24"/>
        </w:rPr>
        <w:t xml:space="preserve">, защото стабилизирането или намаляването на цените на основните храни </w:t>
      </w:r>
      <w:r w:rsidR="00D0165D">
        <w:rPr>
          <w:rFonts w:ascii="Times New Roman" w:eastAsia="Times New Roman" w:hAnsi="Times New Roman" w:cs="Times New Roman"/>
          <w:sz w:val="24"/>
          <w:szCs w:val="24"/>
        </w:rPr>
        <w:t>би</w:t>
      </w:r>
      <w:r w:rsidRPr="00EA6B6F">
        <w:rPr>
          <w:rFonts w:ascii="Times New Roman" w:eastAsia="Times New Roman" w:hAnsi="Times New Roman" w:cs="Times New Roman"/>
          <w:sz w:val="24"/>
          <w:szCs w:val="24"/>
        </w:rPr>
        <w:t xml:space="preserve"> облекчи</w:t>
      </w:r>
      <w:r w:rsidR="00D0165D">
        <w:rPr>
          <w:rFonts w:ascii="Times New Roman" w:eastAsia="Times New Roman" w:hAnsi="Times New Roman" w:cs="Times New Roman"/>
          <w:sz w:val="24"/>
          <w:szCs w:val="24"/>
        </w:rPr>
        <w:t>ло положението на</w:t>
      </w:r>
      <w:r w:rsidRPr="00EA6B6F">
        <w:rPr>
          <w:rFonts w:ascii="Times New Roman" w:eastAsia="Times New Roman" w:hAnsi="Times New Roman" w:cs="Times New Roman"/>
          <w:sz w:val="24"/>
          <w:szCs w:val="24"/>
        </w:rPr>
        <w:t xml:space="preserve"> най-бедните слоеве от обществото. Накратко,</w:t>
      </w:r>
      <w:r>
        <w:rPr>
          <w:rFonts w:ascii="Times New Roman" w:eastAsia="Times New Roman" w:hAnsi="Times New Roman" w:cs="Times New Roman"/>
          <w:sz w:val="24"/>
          <w:szCs w:val="24"/>
        </w:rPr>
        <w:t xml:space="preserve"> налице са</w:t>
      </w:r>
      <w:r w:rsidRPr="00EA6B6F">
        <w:rPr>
          <w:rFonts w:ascii="Times New Roman" w:eastAsia="Times New Roman" w:hAnsi="Times New Roman" w:cs="Times New Roman"/>
          <w:sz w:val="24"/>
          <w:szCs w:val="24"/>
        </w:rPr>
        <w:t xml:space="preserve"> </w:t>
      </w:r>
      <w:r w:rsidRPr="00EA6B6F">
        <w:rPr>
          <w:rFonts w:ascii="Times New Roman" w:eastAsia="Times New Roman" w:hAnsi="Times New Roman" w:cs="Times New Roman"/>
          <w:bCs/>
          <w:sz w:val="24"/>
          <w:szCs w:val="24"/>
        </w:rPr>
        <w:t>ползи по цялата верига</w:t>
      </w:r>
      <w:r w:rsidRPr="00EA6B6F">
        <w:rPr>
          <w:rFonts w:ascii="Times New Roman" w:eastAsia="Times New Roman" w:hAnsi="Times New Roman" w:cs="Times New Roman"/>
          <w:sz w:val="24"/>
          <w:szCs w:val="24"/>
        </w:rPr>
        <w:t>: фермери с по-високи доходи, повече производство, нови работни места, потребители с по-достъпни цени. Този оптимистичен сценарий се основава на предположението за ефективно прилагане на закона, но тъй като тук се оценява самият потенциал на варианта</w:t>
      </w:r>
      <w:r>
        <w:rPr>
          <w:rFonts w:ascii="Times New Roman" w:eastAsia="Times New Roman" w:hAnsi="Times New Roman" w:cs="Times New Roman"/>
          <w:sz w:val="24"/>
          <w:szCs w:val="24"/>
        </w:rPr>
        <w:t>,</w:t>
      </w:r>
      <w:r w:rsidRPr="00EA6B6F">
        <w:rPr>
          <w:rFonts w:ascii="Times New Roman" w:eastAsia="Times New Roman" w:hAnsi="Times New Roman" w:cs="Times New Roman"/>
          <w:sz w:val="24"/>
          <w:szCs w:val="24"/>
        </w:rPr>
        <w:t xml:space="preserve"> е поставена най-високата оценка.</w:t>
      </w:r>
    </w:p>
    <w:p w14:paraId="0FF17E73"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p>
    <w:p w14:paraId="3E8CC3B7" w14:textId="61E91DA8" w:rsidR="00E16161" w:rsidRPr="00EA2307" w:rsidRDefault="00E16161" w:rsidP="00E16161">
      <w:pPr>
        <w:pStyle w:val="ListParagraph"/>
        <w:spacing w:after="0" w:line="240" w:lineRule="auto"/>
        <w:ind w:left="0" w:firstLine="567"/>
        <w:jc w:val="both"/>
        <w:rPr>
          <w:rFonts w:ascii="Times New Roman" w:eastAsia="Times New Roman" w:hAnsi="Times New Roman" w:cs="Times New Roman"/>
          <w:b/>
          <w:sz w:val="24"/>
          <w:szCs w:val="24"/>
        </w:rPr>
      </w:pPr>
      <w:r w:rsidRPr="00E378B1">
        <w:rPr>
          <w:rFonts w:ascii="Times New Roman" w:eastAsia="Times New Roman" w:hAnsi="Times New Roman" w:cs="Times New Roman"/>
          <w:b/>
          <w:i/>
          <w:sz w:val="24"/>
          <w:szCs w:val="24"/>
        </w:rPr>
        <w:t>3. КРИТЕРИЙ: ВЪЗДЕЙСТВИЕ ВЪРХУ МСП</w:t>
      </w:r>
    </w:p>
    <w:p w14:paraId="393D1753" w14:textId="77777777" w:rsidR="00E16161" w:rsidRPr="00ED4D51" w:rsidRDefault="00E16161" w:rsidP="00E16161">
      <w:pPr>
        <w:spacing w:after="0" w:line="240" w:lineRule="auto"/>
        <w:ind w:firstLine="567"/>
        <w:jc w:val="both"/>
        <w:rPr>
          <w:rFonts w:ascii="Times New Roman" w:eastAsia="Times New Roman" w:hAnsi="Times New Roman" w:cs="Times New Roman"/>
          <w:sz w:val="24"/>
          <w:szCs w:val="24"/>
        </w:rPr>
      </w:pPr>
      <w:r w:rsidRPr="00ED4D51">
        <w:rPr>
          <w:rFonts w:ascii="Times New Roman" w:eastAsia="Times New Roman" w:hAnsi="Times New Roman" w:cs="Times New Roman"/>
          <w:b/>
          <w:bCs/>
          <w:sz w:val="24"/>
          <w:szCs w:val="24"/>
        </w:rPr>
        <w:t>Вариант 0: „Без действие“</w:t>
      </w:r>
      <w:r w:rsidRPr="00ED4D51">
        <w:rPr>
          <w:rFonts w:ascii="Times New Roman" w:eastAsia="Times New Roman" w:hAnsi="Times New Roman" w:cs="Times New Roman"/>
          <w:sz w:val="24"/>
          <w:szCs w:val="24"/>
        </w:rPr>
        <w:t xml:space="preserve"> </w:t>
      </w:r>
      <w:r w:rsidRPr="005737E3">
        <w:rPr>
          <w:rFonts w:ascii="Times New Roman" w:eastAsia="Times New Roman" w:hAnsi="Times New Roman" w:cs="Times New Roman"/>
          <w:b/>
          <w:sz w:val="24"/>
          <w:szCs w:val="24"/>
        </w:rPr>
        <w:t>(-2)</w:t>
      </w:r>
    </w:p>
    <w:p w14:paraId="77B4AECE" w14:textId="2FB1CCCD" w:rsidR="00E16161" w:rsidRPr="00F140F2" w:rsidRDefault="00E16161" w:rsidP="00E16161">
      <w:pPr>
        <w:spacing w:after="0" w:line="240" w:lineRule="auto"/>
        <w:ind w:firstLine="567"/>
        <w:jc w:val="both"/>
        <w:rPr>
          <w:rFonts w:ascii="Times New Roman" w:eastAsia="Times New Roman" w:hAnsi="Times New Roman" w:cs="Times New Roman"/>
          <w:sz w:val="24"/>
          <w:szCs w:val="24"/>
        </w:rPr>
      </w:pPr>
      <w:r w:rsidRPr="00F140F2">
        <w:rPr>
          <w:rFonts w:ascii="Times New Roman" w:eastAsia="Times New Roman" w:hAnsi="Times New Roman" w:cs="Times New Roman"/>
          <w:sz w:val="24"/>
          <w:szCs w:val="24"/>
        </w:rPr>
        <w:t xml:space="preserve">Настоящата ситуация се характеризира с </w:t>
      </w:r>
      <w:r w:rsidRPr="00F140F2">
        <w:rPr>
          <w:rFonts w:ascii="Times New Roman" w:eastAsia="Times New Roman" w:hAnsi="Times New Roman" w:cs="Times New Roman"/>
          <w:iCs/>
          <w:sz w:val="24"/>
          <w:szCs w:val="24"/>
        </w:rPr>
        <w:t>привидна равнопоставеност</w:t>
      </w:r>
      <w:r w:rsidRPr="00F140F2">
        <w:rPr>
          <w:rFonts w:ascii="Times New Roman" w:eastAsia="Times New Roman" w:hAnsi="Times New Roman" w:cs="Times New Roman"/>
          <w:sz w:val="24"/>
          <w:szCs w:val="24"/>
        </w:rPr>
        <w:t xml:space="preserve">, при която по-малките участници реално са в </w:t>
      </w:r>
      <w:r w:rsidRPr="00F140F2">
        <w:rPr>
          <w:rFonts w:ascii="Times New Roman" w:eastAsia="Times New Roman" w:hAnsi="Times New Roman" w:cs="Times New Roman"/>
          <w:bCs/>
          <w:sz w:val="24"/>
          <w:szCs w:val="24"/>
        </w:rPr>
        <w:t>неблагоприятно положение</w:t>
      </w:r>
      <w:r w:rsidRPr="00F140F2">
        <w:rPr>
          <w:rFonts w:ascii="Times New Roman" w:eastAsia="Times New Roman" w:hAnsi="Times New Roman" w:cs="Times New Roman"/>
          <w:sz w:val="24"/>
          <w:szCs w:val="24"/>
        </w:rPr>
        <w:t xml:space="preserve">. Без намеса, </w:t>
      </w:r>
      <w:r w:rsidRPr="00F140F2">
        <w:rPr>
          <w:rFonts w:ascii="Times New Roman" w:eastAsia="Times New Roman" w:hAnsi="Times New Roman" w:cs="Times New Roman"/>
          <w:bCs/>
          <w:sz w:val="24"/>
          <w:szCs w:val="24"/>
        </w:rPr>
        <w:t xml:space="preserve">малките и средни земеделски производители ще продължат да понасят тежестта на нелоялните </w:t>
      </w:r>
      <w:r>
        <w:rPr>
          <w:rFonts w:ascii="Times New Roman" w:eastAsia="Times New Roman" w:hAnsi="Times New Roman" w:cs="Times New Roman"/>
          <w:bCs/>
          <w:sz w:val="24"/>
          <w:szCs w:val="24"/>
        </w:rPr>
        <w:t xml:space="preserve">търговски </w:t>
      </w:r>
      <w:r w:rsidRPr="00F140F2">
        <w:rPr>
          <w:rFonts w:ascii="Times New Roman" w:eastAsia="Times New Roman" w:hAnsi="Times New Roman" w:cs="Times New Roman"/>
          <w:bCs/>
          <w:sz w:val="24"/>
          <w:szCs w:val="24"/>
        </w:rPr>
        <w:t>практики</w:t>
      </w:r>
      <w:r w:rsidR="00A114A6">
        <w:rPr>
          <w:rFonts w:ascii="Times New Roman" w:eastAsia="Times New Roman" w:hAnsi="Times New Roman" w:cs="Times New Roman"/>
          <w:sz w:val="24"/>
          <w:szCs w:val="24"/>
        </w:rPr>
        <w:t>. Това включва</w:t>
      </w:r>
      <w:r w:rsidRPr="00F140F2">
        <w:rPr>
          <w:rFonts w:ascii="Times New Roman" w:eastAsia="Times New Roman" w:hAnsi="Times New Roman" w:cs="Times New Roman"/>
          <w:sz w:val="24"/>
          <w:szCs w:val="24"/>
        </w:rPr>
        <w:t xml:space="preserve"> късно плащане за тяхната продукция, изисквания за допълнителни отстъпки и такси от</w:t>
      </w:r>
      <w:r w:rsidR="00A114A6">
        <w:rPr>
          <w:rFonts w:ascii="Times New Roman" w:eastAsia="Times New Roman" w:hAnsi="Times New Roman" w:cs="Times New Roman"/>
          <w:sz w:val="24"/>
          <w:szCs w:val="24"/>
        </w:rPr>
        <w:t xml:space="preserve"> страна на </w:t>
      </w:r>
      <w:r w:rsidRPr="00F140F2">
        <w:rPr>
          <w:rFonts w:ascii="Times New Roman" w:eastAsia="Times New Roman" w:hAnsi="Times New Roman" w:cs="Times New Roman"/>
          <w:sz w:val="24"/>
          <w:szCs w:val="24"/>
        </w:rPr>
        <w:t xml:space="preserve">търговците (листинг такси, такси за промоция и др., които изяждат маржа им), както и риск от едностранно прекратяване на договори. Всичко това поставя МСП в </w:t>
      </w:r>
      <w:r w:rsidRPr="00F140F2">
        <w:rPr>
          <w:rFonts w:ascii="Times New Roman" w:eastAsia="Times New Roman" w:hAnsi="Times New Roman" w:cs="Times New Roman"/>
          <w:bCs/>
          <w:sz w:val="24"/>
          <w:szCs w:val="24"/>
        </w:rPr>
        <w:t>икономическа несигурност и зависимост</w:t>
      </w:r>
      <w:r w:rsidRPr="00F140F2">
        <w:rPr>
          <w:rFonts w:ascii="Times New Roman" w:eastAsia="Times New Roman" w:hAnsi="Times New Roman" w:cs="Times New Roman"/>
          <w:sz w:val="24"/>
          <w:szCs w:val="24"/>
        </w:rPr>
        <w:t xml:space="preserve">, описани в настоящия доклад като </w:t>
      </w:r>
      <w:r w:rsidRPr="00F140F2">
        <w:rPr>
          <w:rFonts w:ascii="Times New Roman" w:eastAsia="Times New Roman" w:hAnsi="Times New Roman" w:cs="Times New Roman"/>
          <w:iCs/>
          <w:sz w:val="24"/>
          <w:szCs w:val="24"/>
        </w:rPr>
        <w:t>“уязвимост, непредвидимост на дейността и постоянна правна несигурност”</w:t>
      </w:r>
      <w:r w:rsidRPr="00F140F2">
        <w:rPr>
          <w:rFonts w:ascii="Times New Roman" w:eastAsia="Times New Roman" w:hAnsi="Times New Roman" w:cs="Times New Roman"/>
          <w:sz w:val="24"/>
          <w:szCs w:val="24"/>
        </w:rPr>
        <w:t xml:space="preserve"> за по-слабите страни. Също</w:t>
      </w:r>
      <w:r>
        <w:rPr>
          <w:rFonts w:ascii="Times New Roman" w:eastAsia="Times New Roman" w:hAnsi="Times New Roman" w:cs="Times New Roman"/>
          <w:sz w:val="24"/>
          <w:szCs w:val="24"/>
        </w:rPr>
        <w:t xml:space="preserve"> така</w:t>
      </w:r>
      <w:r w:rsidRPr="00F140F2">
        <w:rPr>
          <w:rFonts w:ascii="Times New Roman" w:eastAsia="Times New Roman" w:hAnsi="Times New Roman" w:cs="Times New Roman"/>
          <w:sz w:val="24"/>
          <w:szCs w:val="24"/>
        </w:rPr>
        <w:t xml:space="preserve">, </w:t>
      </w:r>
      <w:r w:rsidR="00927EB5" w:rsidRPr="00F140F2">
        <w:rPr>
          <w:rFonts w:ascii="Times New Roman" w:eastAsia="Times New Roman" w:hAnsi="Times New Roman" w:cs="Times New Roman"/>
          <w:bCs/>
          <w:sz w:val="24"/>
          <w:szCs w:val="24"/>
        </w:rPr>
        <w:t>н</w:t>
      </w:r>
      <w:r w:rsidR="00927EB5">
        <w:rPr>
          <w:rFonts w:ascii="Times New Roman" w:eastAsia="Times New Roman" w:hAnsi="Times New Roman" w:cs="Times New Roman"/>
          <w:bCs/>
          <w:sz w:val="24"/>
          <w:szCs w:val="24"/>
        </w:rPr>
        <w:t>е е предвиден</w:t>
      </w:r>
      <w:r w:rsidR="00927EB5" w:rsidRPr="00F140F2">
        <w:rPr>
          <w:rFonts w:ascii="Times New Roman" w:eastAsia="Times New Roman" w:hAnsi="Times New Roman" w:cs="Times New Roman"/>
          <w:bCs/>
          <w:sz w:val="24"/>
          <w:szCs w:val="24"/>
        </w:rPr>
        <w:t xml:space="preserve"> </w:t>
      </w:r>
      <w:r w:rsidRPr="00F140F2">
        <w:rPr>
          <w:rFonts w:ascii="Times New Roman" w:eastAsia="Times New Roman" w:hAnsi="Times New Roman" w:cs="Times New Roman"/>
          <w:bCs/>
          <w:sz w:val="24"/>
          <w:szCs w:val="24"/>
        </w:rPr>
        <w:t>механизъм за защита</w:t>
      </w:r>
      <w:r w:rsidR="00927EB5">
        <w:rPr>
          <w:rFonts w:ascii="Times New Roman" w:eastAsia="Times New Roman" w:hAnsi="Times New Roman" w:cs="Times New Roman"/>
          <w:sz w:val="24"/>
          <w:szCs w:val="24"/>
        </w:rPr>
        <w:t>.</w:t>
      </w:r>
      <w:r w:rsidRPr="00F140F2">
        <w:rPr>
          <w:rFonts w:ascii="Times New Roman" w:eastAsia="Times New Roman" w:hAnsi="Times New Roman" w:cs="Times New Roman"/>
          <w:sz w:val="24"/>
          <w:szCs w:val="24"/>
        </w:rPr>
        <w:t xml:space="preserve"> </w:t>
      </w:r>
      <w:r w:rsidR="00927EB5">
        <w:rPr>
          <w:rFonts w:ascii="Times New Roman" w:eastAsia="Times New Roman" w:hAnsi="Times New Roman" w:cs="Times New Roman"/>
          <w:sz w:val="24"/>
          <w:szCs w:val="24"/>
        </w:rPr>
        <w:t>А</w:t>
      </w:r>
      <w:r w:rsidR="00927EB5" w:rsidRPr="00F140F2">
        <w:rPr>
          <w:rFonts w:ascii="Times New Roman" w:eastAsia="Times New Roman" w:hAnsi="Times New Roman" w:cs="Times New Roman"/>
          <w:sz w:val="24"/>
          <w:szCs w:val="24"/>
        </w:rPr>
        <w:t xml:space="preserve">ко </w:t>
      </w:r>
      <w:r w:rsidRPr="00F140F2">
        <w:rPr>
          <w:rFonts w:ascii="Times New Roman" w:eastAsia="Times New Roman" w:hAnsi="Times New Roman" w:cs="Times New Roman"/>
          <w:sz w:val="24"/>
          <w:szCs w:val="24"/>
        </w:rPr>
        <w:t xml:space="preserve">един малък доставчик е ощетен, той практически няма къде да се оплаче ефективно (съдебните дела срещу големи </w:t>
      </w:r>
      <w:r w:rsidR="00927EB5">
        <w:rPr>
          <w:rFonts w:ascii="Times New Roman" w:eastAsia="Times New Roman" w:hAnsi="Times New Roman" w:cs="Times New Roman"/>
          <w:sz w:val="24"/>
          <w:szCs w:val="24"/>
        </w:rPr>
        <w:t>търговци</w:t>
      </w:r>
      <w:r w:rsidR="00927EB5" w:rsidRPr="00F140F2">
        <w:rPr>
          <w:rFonts w:ascii="Times New Roman" w:eastAsia="Times New Roman" w:hAnsi="Times New Roman" w:cs="Times New Roman"/>
          <w:sz w:val="24"/>
          <w:szCs w:val="24"/>
        </w:rPr>
        <w:t xml:space="preserve"> </w:t>
      </w:r>
      <w:r w:rsidR="00927EB5">
        <w:rPr>
          <w:rFonts w:ascii="Times New Roman" w:eastAsia="Times New Roman" w:hAnsi="Times New Roman" w:cs="Times New Roman"/>
          <w:sz w:val="24"/>
          <w:szCs w:val="24"/>
        </w:rPr>
        <w:t>могат да бъдат</w:t>
      </w:r>
      <w:r w:rsidRPr="00F140F2">
        <w:rPr>
          <w:rFonts w:ascii="Times New Roman" w:eastAsia="Times New Roman" w:hAnsi="Times New Roman" w:cs="Times New Roman"/>
          <w:sz w:val="24"/>
          <w:szCs w:val="24"/>
        </w:rPr>
        <w:t xml:space="preserve"> бавни и скъпи, </w:t>
      </w:r>
      <w:r>
        <w:rPr>
          <w:rFonts w:ascii="Times New Roman" w:eastAsia="Times New Roman" w:hAnsi="Times New Roman" w:cs="Times New Roman"/>
          <w:sz w:val="24"/>
          <w:szCs w:val="24"/>
        </w:rPr>
        <w:t xml:space="preserve">а и </w:t>
      </w:r>
      <w:r w:rsidRPr="00F140F2">
        <w:rPr>
          <w:rFonts w:ascii="Times New Roman" w:eastAsia="Times New Roman" w:hAnsi="Times New Roman" w:cs="Times New Roman"/>
          <w:sz w:val="24"/>
          <w:szCs w:val="24"/>
        </w:rPr>
        <w:t>рядко</w:t>
      </w:r>
      <w:r w:rsidR="00927EB5">
        <w:rPr>
          <w:rFonts w:ascii="Times New Roman" w:eastAsia="Times New Roman" w:hAnsi="Times New Roman" w:cs="Times New Roman"/>
          <w:sz w:val="24"/>
          <w:szCs w:val="24"/>
        </w:rPr>
        <w:t>, да</w:t>
      </w:r>
      <w:r w:rsidRPr="00F140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не са </w:t>
      </w:r>
      <w:r w:rsidRPr="00F140F2">
        <w:rPr>
          <w:rFonts w:ascii="Times New Roman" w:eastAsia="Times New Roman" w:hAnsi="Times New Roman" w:cs="Times New Roman"/>
          <w:sz w:val="24"/>
          <w:szCs w:val="24"/>
        </w:rPr>
        <w:t xml:space="preserve">по силите на МСП). Много от тях, особено най-дребните, може в един момент </w:t>
      </w:r>
      <w:r>
        <w:rPr>
          <w:rFonts w:ascii="Times New Roman" w:eastAsia="Times New Roman" w:hAnsi="Times New Roman" w:cs="Times New Roman"/>
          <w:sz w:val="24"/>
          <w:szCs w:val="24"/>
        </w:rPr>
        <w:t xml:space="preserve">да са принудени </w:t>
      </w:r>
      <w:r w:rsidRPr="00F140F2">
        <w:rPr>
          <w:rFonts w:ascii="Times New Roman" w:eastAsia="Times New Roman" w:hAnsi="Times New Roman" w:cs="Times New Roman"/>
          <w:sz w:val="24"/>
          <w:szCs w:val="24"/>
        </w:rPr>
        <w:t>да</w:t>
      </w:r>
      <w:r w:rsidRPr="00F140F2">
        <w:rPr>
          <w:rFonts w:ascii="Times New Roman" w:eastAsia="Times New Roman" w:hAnsi="Times New Roman" w:cs="Times New Roman"/>
          <w:bCs/>
          <w:sz w:val="24"/>
          <w:szCs w:val="24"/>
        </w:rPr>
        <w:t xml:space="preserve"> се откажат да работят с големите търговци</w:t>
      </w:r>
      <w:r w:rsidRPr="00F140F2">
        <w:rPr>
          <w:rFonts w:ascii="Times New Roman" w:eastAsia="Times New Roman" w:hAnsi="Times New Roman" w:cs="Times New Roman"/>
          <w:sz w:val="24"/>
          <w:szCs w:val="24"/>
        </w:rPr>
        <w:t xml:space="preserve">, губейки достъп до </w:t>
      </w:r>
      <w:r w:rsidR="004845A6">
        <w:rPr>
          <w:rFonts w:ascii="Times New Roman" w:eastAsia="Times New Roman" w:hAnsi="Times New Roman" w:cs="Times New Roman"/>
          <w:sz w:val="24"/>
          <w:szCs w:val="24"/>
        </w:rPr>
        <w:t>най-големия канал за реализиране на продукцията им</w:t>
      </w:r>
      <w:r w:rsidRPr="00F140F2">
        <w:rPr>
          <w:rFonts w:ascii="Times New Roman" w:eastAsia="Times New Roman" w:hAnsi="Times New Roman" w:cs="Times New Roman"/>
          <w:sz w:val="24"/>
          <w:szCs w:val="24"/>
        </w:rPr>
        <w:t xml:space="preserve">. Това може да </w:t>
      </w:r>
      <w:r w:rsidR="004845A6">
        <w:rPr>
          <w:rFonts w:ascii="Times New Roman" w:eastAsia="Times New Roman" w:hAnsi="Times New Roman" w:cs="Times New Roman"/>
          <w:sz w:val="24"/>
          <w:szCs w:val="24"/>
        </w:rPr>
        <w:t>води до</w:t>
      </w:r>
      <w:r w:rsidRPr="00F140F2">
        <w:rPr>
          <w:rFonts w:ascii="Times New Roman" w:eastAsia="Times New Roman" w:hAnsi="Times New Roman" w:cs="Times New Roman"/>
          <w:sz w:val="24"/>
          <w:szCs w:val="24"/>
        </w:rPr>
        <w:t xml:space="preserve"> </w:t>
      </w:r>
      <w:r w:rsidRPr="00F140F2">
        <w:rPr>
          <w:rFonts w:ascii="Times New Roman" w:eastAsia="Times New Roman" w:hAnsi="Times New Roman" w:cs="Times New Roman"/>
          <w:bCs/>
          <w:sz w:val="24"/>
          <w:szCs w:val="24"/>
        </w:rPr>
        <w:t>фалити или</w:t>
      </w:r>
      <w:r w:rsidR="004845A6">
        <w:rPr>
          <w:rFonts w:ascii="Times New Roman" w:eastAsia="Times New Roman" w:hAnsi="Times New Roman" w:cs="Times New Roman"/>
          <w:bCs/>
          <w:sz w:val="24"/>
          <w:szCs w:val="24"/>
        </w:rPr>
        <w:t xml:space="preserve"> до</w:t>
      </w:r>
      <w:r w:rsidRPr="00F140F2">
        <w:rPr>
          <w:rFonts w:ascii="Times New Roman" w:eastAsia="Times New Roman" w:hAnsi="Times New Roman" w:cs="Times New Roman"/>
          <w:bCs/>
          <w:sz w:val="24"/>
          <w:szCs w:val="24"/>
        </w:rPr>
        <w:t xml:space="preserve"> свиване на дейността на малки </w:t>
      </w:r>
      <w:r w:rsidR="00F83096">
        <w:rPr>
          <w:rFonts w:ascii="Times New Roman" w:eastAsia="Times New Roman" w:hAnsi="Times New Roman" w:cs="Times New Roman"/>
          <w:bCs/>
          <w:sz w:val="24"/>
          <w:szCs w:val="24"/>
        </w:rPr>
        <w:t>земеделски производители</w:t>
      </w:r>
      <w:r w:rsidR="00F83096" w:rsidRPr="00F140F2">
        <w:rPr>
          <w:rFonts w:ascii="Times New Roman" w:eastAsia="Times New Roman" w:hAnsi="Times New Roman" w:cs="Times New Roman"/>
          <w:bCs/>
          <w:sz w:val="24"/>
          <w:szCs w:val="24"/>
        </w:rPr>
        <w:t xml:space="preserve"> </w:t>
      </w:r>
      <w:r w:rsidRPr="00F140F2">
        <w:rPr>
          <w:rFonts w:ascii="Times New Roman" w:eastAsia="Times New Roman" w:hAnsi="Times New Roman" w:cs="Times New Roman"/>
          <w:bCs/>
          <w:sz w:val="24"/>
          <w:szCs w:val="24"/>
        </w:rPr>
        <w:t>и предприятия</w:t>
      </w:r>
      <w:r w:rsidR="004845A6">
        <w:rPr>
          <w:rFonts w:ascii="Times New Roman" w:eastAsia="Times New Roman" w:hAnsi="Times New Roman" w:cs="Times New Roman"/>
          <w:sz w:val="24"/>
          <w:szCs w:val="24"/>
        </w:rPr>
        <w:t xml:space="preserve">, което да има </w:t>
      </w:r>
      <w:r w:rsidR="00927EB5">
        <w:rPr>
          <w:rFonts w:ascii="Times New Roman" w:eastAsia="Times New Roman" w:hAnsi="Times New Roman" w:cs="Times New Roman"/>
          <w:sz w:val="24"/>
          <w:szCs w:val="24"/>
        </w:rPr>
        <w:t xml:space="preserve">изключително негативни социални последици, като </w:t>
      </w:r>
      <w:r w:rsidR="00F83096">
        <w:rPr>
          <w:rFonts w:ascii="Times New Roman" w:eastAsia="Times New Roman" w:hAnsi="Times New Roman" w:cs="Times New Roman"/>
          <w:sz w:val="24"/>
          <w:szCs w:val="24"/>
        </w:rPr>
        <w:t>допълнително</w:t>
      </w:r>
      <w:r w:rsidR="00F83096" w:rsidRPr="00F140F2">
        <w:rPr>
          <w:rFonts w:ascii="Times New Roman" w:eastAsia="Times New Roman" w:hAnsi="Times New Roman" w:cs="Times New Roman"/>
          <w:sz w:val="24"/>
          <w:szCs w:val="24"/>
        </w:rPr>
        <w:t xml:space="preserve"> </w:t>
      </w:r>
      <w:r w:rsidRPr="00F140F2">
        <w:rPr>
          <w:rFonts w:ascii="Times New Roman" w:eastAsia="Times New Roman" w:hAnsi="Times New Roman" w:cs="Times New Roman"/>
          <w:sz w:val="24"/>
          <w:szCs w:val="24"/>
        </w:rPr>
        <w:t>обезлюдяване на селата</w:t>
      </w:r>
      <w:r w:rsidR="00927EB5">
        <w:rPr>
          <w:rFonts w:ascii="Times New Roman" w:eastAsia="Times New Roman" w:hAnsi="Times New Roman" w:cs="Times New Roman"/>
          <w:sz w:val="24"/>
          <w:szCs w:val="24"/>
        </w:rPr>
        <w:t xml:space="preserve"> и</w:t>
      </w:r>
      <w:r w:rsidRPr="00F140F2">
        <w:rPr>
          <w:rFonts w:ascii="Times New Roman" w:eastAsia="Times New Roman" w:hAnsi="Times New Roman" w:cs="Times New Roman"/>
          <w:sz w:val="24"/>
          <w:szCs w:val="24"/>
        </w:rPr>
        <w:t xml:space="preserve"> загуба на поминък</w:t>
      </w:r>
      <w:r w:rsidR="00927EB5">
        <w:rPr>
          <w:rFonts w:ascii="Times New Roman" w:eastAsia="Times New Roman" w:hAnsi="Times New Roman" w:cs="Times New Roman"/>
          <w:sz w:val="24"/>
          <w:szCs w:val="24"/>
        </w:rPr>
        <w:t xml:space="preserve"> за уязвими групи от населението</w:t>
      </w:r>
      <w:r w:rsidRPr="00F140F2">
        <w:rPr>
          <w:rFonts w:ascii="Times New Roman" w:eastAsia="Times New Roman" w:hAnsi="Times New Roman" w:cs="Times New Roman"/>
          <w:sz w:val="24"/>
          <w:szCs w:val="24"/>
        </w:rPr>
        <w:t xml:space="preserve">. Силната отрицателна оценка -2 е оправдана, защото </w:t>
      </w:r>
      <w:r w:rsidRPr="00F140F2">
        <w:rPr>
          <w:rFonts w:ascii="Times New Roman" w:eastAsia="Times New Roman" w:hAnsi="Times New Roman" w:cs="Times New Roman"/>
          <w:bCs/>
          <w:sz w:val="24"/>
          <w:szCs w:val="24"/>
        </w:rPr>
        <w:t>МСП нямат изгледи за подобрение, а напротив</w:t>
      </w:r>
      <w:r w:rsidR="00927EB5">
        <w:rPr>
          <w:rFonts w:ascii="Times New Roman" w:eastAsia="Times New Roman" w:hAnsi="Times New Roman" w:cs="Times New Roman"/>
          <w:bCs/>
          <w:sz w:val="24"/>
          <w:szCs w:val="24"/>
        </w:rPr>
        <w:t>.</w:t>
      </w:r>
      <w:r w:rsidRPr="00F140F2">
        <w:rPr>
          <w:rFonts w:ascii="Times New Roman" w:eastAsia="Times New Roman" w:hAnsi="Times New Roman" w:cs="Times New Roman"/>
          <w:bCs/>
          <w:sz w:val="24"/>
          <w:szCs w:val="24"/>
        </w:rPr>
        <w:t xml:space="preserve"> </w:t>
      </w:r>
      <w:r w:rsidR="00927EB5">
        <w:rPr>
          <w:rFonts w:ascii="Times New Roman" w:eastAsia="Times New Roman" w:hAnsi="Times New Roman" w:cs="Times New Roman"/>
          <w:bCs/>
          <w:sz w:val="24"/>
          <w:szCs w:val="24"/>
        </w:rPr>
        <w:t>С</w:t>
      </w:r>
      <w:r w:rsidRPr="00F140F2">
        <w:rPr>
          <w:rFonts w:ascii="Times New Roman" w:eastAsia="Times New Roman" w:hAnsi="Times New Roman" w:cs="Times New Roman"/>
          <w:bCs/>
          <w:sz w:val="24"/>
          <w:szCs w:val="24"/>
        </w:rPr>
        <w:t>итуацията им вероятно ще се влошава</w:t>
      </w:r>
      <w:r w:rsidRPr="00F140F2">
        <w:rPr>
          <w:rFonts w:ascii="Times New Roman" w:eastAsia="Times New Roman" w:hAnsi="Times New Roman" w:cs="Times New Roman"/>
          <w:sz w:val="24"/>
          <w:szCs w:val="24"/>
        </w:rPr>
        <w:t xml:space="preserve"> относително спрямо големите</w:t>
      </w:r>
      <w:r>
        <w:rPr>
          <w:rFonts w:ascii="Times New Roman" w:eastAsia="Times New Roman" w:hAnsi="Times New Roman" w:cs="Times New Roman"/>
          <w:sz w:val="24"/>
          <w:szCs w:val="24"/>
        </w:rPr>
        <w:t xml:space="preserve">, </w:t>
      </w:r>
      <w:r w:rsidRPr="00F140F2">
        <w:rPr>
          <w:rFonts w:ascii="Times New Roman" w:eastAsia="Times New Roman" w:hAnsi="Times New Roman" w:cs="Times New Roman"/>
          <w:sz w:val="24"/>
          <w:szCs w:val="24"/>
        </w:rPr>
        <w:t xml:space="preserve">които </w:t>
      </w:r>
      <w:r>
        <w:rPr>
          <w:rFonts w:ascii="Times New Roman" w:eastAsia="Times New Roman" w:hAnsi="Times New Roman" w:cs="Times New Roman"/>
          <w:sz w:val="24"/>
          <w:szCs w:val="24"/>
        </w:rPr>
        <w:t xml:space="preserve">ще продължат да налагат </w:t>
      </w:r>
      <w:r w:rsidR="004845A6">
        <w:rPr>
          <w:rFonts w:ascii="Times New Roman" w:eastAsia="Times New Roman" w:hAnsi="Times New Roman" w:cs="Times New Roman"/>
          <w:sz w:val="24"/>
          <w:szCs w:val="24"/>
        </w:rPr>
        <w:t>благоприятните за тях</w:t>
      </w:r>
      <w:r>
        <w:rPr>
          <w:rFonts w:ascii="Times New Roman" w:eastAsia="Times New Roman" w:hAnsi="Times New Roman" w:cs="Times New Roman"/>
          <w:sz w:val="24"/>
          <w:szCs w:val="24"/>
        </w:rPr>
        <w:t xml:space="preserve"> си условия</w:t>
      </w:r>
      <w:r w:rsidRPr="00F140F2">
        <w:rPr>
          <w:rFonts w:ascii="Times New Roman" w:eastAsia="Times New Roman" w:hAnsi="Times New Roman" w:cs="Times New Roman"/>
          <w:sz w:val="24"/>
          <w:szCs w:val="24"/>
        </w:rPr>
        <w:t xml:space="preserve">, </w:t>
      </w:r>
      <w:r w:rsidR="00927EB5">
        <w:rPr>
          <w:rFonts w:ascii="Times New Roman" w:eastAsia="Times New Roman" w:hAnsi="Times New Roman" w:cs="Times New Roman"/>
          <w:sz w:val="24"/>
          <w:szCs w:val="24"/>
        </w:rPr>
        <w:t>без</w:t>
      </w:r>
      <w:r>
        <w:rPr>
          <w:rFonts w:ascii="Times New Roman" w:eastAsia="Times New Roman" w:hAnsi="Times New Roman" w:cs="Times New Roman"/>
          <w:sz w:val="24"/>
          <w:szCs w:val="24"/>
        </w:rPr>
        <w:t xml:space="preserve"> реакция от държавата</w:t>
      </w:r>
      <w:r w:rsidRPr="00F140F2">
        <w:rPr>
          <w:rFonts w:ascii="Times New Roman" w:eastAsia="Times New Roman" w:hAnsi="Times New Roman" w:cs="Times New Roman"/>
          <w:sz w:val="24"/>
          <w:szCs w:val="24"/>
        </w:rPr>
        <w:t xml:space="preserve">. </w:t>
      </w:r>
    </w:p>
    <w:p w14:paraId="69A30500" w14:textId="77777777" w:rsidR="00E16161" w:rsidRDefault="00E16161" w:rsidP="00E16161">
      <w:pPr>
        <w:spacing w:after="0" w:line="240" w:lineRule="auto"/>
        <w:ind w:firstLine="567"/>
        <w:jc w:val="both"/>
        <w:rPr>
          <w:rFonts w:ascii="Times New Roman" w:eastAsia="Times New Roman" w:hAnsi="Times New Roman" w:cs="Times New Roman"/>
          <w:b/>
          <w:bCs/>
          <w:sz w:val="24"/>
          <w:szCs w:val="24"/>
        </w:rPr>
      </w:pPr>
      <w:bookmarkStart w:id="24" w:name="_Hlk196142808"/>
    </w:p>
    <w:p w14:paraId="2E03CE0F" w14:textId="77777777" w:rsidR="00E16161" w:rsidRDefault="00E16161" w:rsidP="00E16161">
      <w:pPr>
        <w:spacing w:after="0" w:line="240" w:lineRule="auto"/>
        <w:ind w:firstLine="567"/>
        <w:jc w:val="both"/>
        <w:rPr>
          <w:rFonts w:ascii="Times New Roman" w:eastAsia="Times New Roman" w:hAnsi="Times New Roman" w:cs="Times New Roman"/>
          <w:b/>
          <w:bCs/>
          <w:sz w:val="24"/>
          <w:szCs w:val="24"/>
        </w:rPr>
      </w:pPr>
      <w:r w:rsidRPr="002817C4">
        <w:rPr>
          <w:rFonts w:ascii="Times New Roman" w:eastAsia="Times New Roman" w:hAnsi="Times New Roman" w:cs="Times New Roman"/>
          <w:b/>
          <w:bCs/>
          <w:sz w:val="24"/>
          <w:szCs w:val="24"/>
        </w:rPr>
        <w:t>Вариант 1: „Нерегулаторен</w:t>
      </w:r>
      <w:r w:rsidRPr="002901F6">
        <w:rPr>
          <w:rFonts w:ascii="Times New Roman" w:eastAsia="Times New Roman" w:hAnsi="Times New Roman" w:cs="Times New Roman"/>
          <w:b/>
          <w:bCs/>
          <w:sz w:val="24"/>
          <w:szCs w:val="24"/>
        </w:rPr>
        <w:t xml:space="preserve">“ </w:t>
      </w:r>
      <w:bookmarkEnd w:id="24"/>
      <w:r w:rsidRPr="002901F6">
        <w:rPr>
          <w:rFonts w:ascii="Times New Roman" w:eastAsia="Times New Roman" w:hAnsi="Times New Roman" w:cs="Times New Roman"/>
          <w:b/>
          <w:bCs/>
          <w:sz w:val="24"/>
          <w:szCs w:val="24"/>
        </w:rPr>
        <w:t>(0)</w:t>
      </w:r>
      <w:r w:rsidRPr="002817C4">
        <w:rPr>
          <w:rFonts w:ascii="Times New Roman" w:eastAsia="Times New Roman" w:hAnsi="Times New Roman" w:cs="Times New Roman"/>
          <w:b/>
          <w:bCs/>
          <w:sz w:val="24"/>
          <w:szCs w:val="24"/>
        </w:rPr>
        <w:t xml:space="preserve"> </w:t>
      </w:r>
    </w:p>
    <w:p w14:paraId="6304CEFE" w14:textId="1D870653" w:rsidR="00E16161" w:rsidRPr="00041074" w:rsidRDefault="00E16161" w:rsidP="00E16161">
      <w:pPr>
        <w:spacing w:after="0" w:line="240" w:lineRule="auto"/>
        <w:ind w:firstLine="567"/>
        <w:jc w:val="both"/>
        <w:rPr>
          <w:rFonts w:ascii="Times New Roman" w:eastAsia="Times New Roman" w:hAnsi="Times New Roman" w:cs="Times New Roman"/>
          <w:sz w:val="24"/>
          <w:szCs w:val="24"/>
        </w:rPr>
      </w:pPr>
      <w:r w:rsidRPr="00041074">
        <w:rPr>
          <w:rFonts w:ascii="Times New Roman" w:eastAsia="Times New Roman" w:hAnsi="Times New Roman" w:cs="Times New Roman"/>
          <w:sz w:val="24"/>
          <w:szCs w:val="24"/>
        </w:rPr>
        <w:lastRenderedPageBreak/>
        <w:t xml:space="preserve">Нерегулаторният подход </w:t>
      </w:r>
      <w:r w:rsidRPr="00041074">
        <w:rPr>
          <w:rFonts w:ascii="Times New Roman" w:eastAsia="Times New Roman" w:hAnsi="Times New Roman" w:cs="Times New Roman"/>
          <w:bCs/>
          <w:sz w:val="24"/>
          <w:szCs w:val="24"/>
        </w:rPr>
        <w:t>не въвежда нови задължения за МСП</w:t>
      </w:r>
      <w:r w:rsidRPr="00041074">
        <w:rPr>
          <w:rFonts w:ascii="Times New Roman" w:eastAsia="Times New Roman" w:hAnsi="Times New Roman" w:cs="Times New Roman"/>
          <w:sz w:val="24"/>
          <w:szCs w:val="24"/>
        </w:rPr>
        <w:t xml:space="preserve">, но и не гарантира подобряване на положението им. От една страна, ако се реализира някакъв доброволен кодекс, </w:t>
      </w:r>
      <w:r w:rsidRPr="00041074">
        <w:rPr>
          <w:rFonts w:ascii="Times New Roman" w:eastAsia="Times New Roman" w:hAnsi="Times New Roman" w:cs="Times New Roman"/>
          <w:bCs/>
          <w:sz w:val="24"/>
          <w:szCs w:val="24"/>
        </w:rPr>
        <w:t>някои търговци биха се въздържали от най-лошите практики</w:t>
      </w:r>
      <w:r w:rsidRPr="00041074">
        <w:rPr>
          <w:rFonts w:ascii="Times New Roman" w:eastAsia="Times New Roman" w:hAnsi="Times New Roman" w:cs="Times New Roman"/>
          <w:sz w:val="24"/>
          <w:szCs w:val="24"/>
        </w:rPr>
        <w:t xml:space="preserve">, което може </w:t>
      </w:r>
      <w:r w:rsidRPr="00041074">
        <w:rPr>
          <w:rFonts w:ascii="Times New Roman" w:eastAsia="Times New Roman" w:hAnsi="Times New Roman" w:cs="Times New Roman"/>
          <w:bCs/>
          <w:sz w:val="24"/>
          <w:szCs w:val="24"/>
        </w:rPr>
        <w:t>леко да облекчи натиска върху МСП</w:t>
      </w:r>
      <w:r w:rsidRPr="00041074">
        <w:rPr>
          <w:rFonts w:ascii="Times New Roman" w:eastAsia="Times New Roman" w:hAnsi="Times New Roman" w:cs="Times New Roman"/>
          <w:sz w:val="24"/>
          <w:szCs w:val="24"/>
        </w:rPr>
        <w:t xml:space="preserve"> (затова не е поставена отрицателна оценка). От друга страна, тези инициативи няма да могат да обхванат и задържат всички</w:t>
      </w:r>
      <w:r w:rsidR="00927EB5">
        <w:rPr>
          <w:rFonts w:ascii="Times New Roman" w:eastAsia="Times New Roman" w:hAnsi="Times New Roman" w:cs="Times New Roman"/>
          <w:sz w:val="24"/>
          <w:szCs w:val="24"/>
        </w:rPr>
        <w:t>. Н</w:t>
      </w:r>
      <w:r w:rsidRPr="00041074">
        <w:rPr>
          <w:rFonts w:ascii="Times New Roman" w:eastAsia="Times New Roman" w:hAnsi="Times New Roman" w:cs="Times New Roman"/>
          <w:sz w:val="24"/>
          <w:szCs w:val="24"/>
        </w:rPr>
        <w:t xml:space="preserve">апълно е възможно </w:t>
      </w:r>
      <w:r w:rsidRPr="00041074">
        <w:rPr>
          <w:rFonts w:ascii="Times New Roman" w:eastAsia="Times New Roman" w:hAnsi="Times New Roman" w:cs="Times New Roman"/>
          <w:bCs/>
          <w:sz w:val="24"/>
          <w:szCs w:val="24"/>
        </w:rPr>
        <w:t>по-неетичните играчи да игнорират доброволните правила</w:t>
      </w:r>
      <w:r w:rsidRPr="00041074">
        <w:rPr>
          <w:rFonts w:ascii="Times New Roman" w:eastAsia="Times New Roman" w:hAnsi="Times New Roman" w:cs="Times New Roman"/>
          <w:sz w:val="24"/>
          <w:szCs w:val="24"/>
        </w:rPr>
        <w:t xml:space="preserve">, особено ако липсват санкции. Така че </w:t>
      </w:r>
      <w:r w:rsidRPr="00041074">
        <w:rPr>
          <w:rFonts w:ascii="Times New Roman" w:eastAsia="Times New Roman" w:hAnsi="Times New Roman" w:cs="Times New Roman"/>
          <w:bCs/>
          <w:sz w:val="24"/>
          <w:szCs w:val="24"/>
        </w:rPr>
        <w:t>много от МСП биха продължили да са в почти същата ситуация, както при Вариант 0</w:t>
      </w:r>
      <w:r w:rsidRPr="00041074">
        <w:rPr>
          <w:rFonts w:ascii="Times New Roman" w:eastAsia="Times New Roman" w:hAnsi="Times New Roman" w:cs="Times New Roman"/>
          <w:sz w:val="24"/>
          <w:szCs w:val="24"/>
        </w:rPr>
        <w:t xml:space="preserve">. </w:t>
      </w:r>
    </w:p>
    <w:p w14:paraId="4A85D34B"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p>
    <w:p w14:paraId="0B07C91A" w14:textId="77777777" w:rsidR="00E16161" w:rsidRDefault="00E16161" w:rsidP="00E16161">
      <w:pPr>
        <w:spacing w:after="0" w:line="240" w:lineRule="auto"/>
        <w:ind w:firstLine="567"/>
        <w:jc w:val="both"/>
        <w:rPr>
          <w:rFonts w:ascii="Times New Roman" w:eastAsia="Times New Roman" w:hAnsi="Times New Roman" w:cs="Times New Roman"/>
          <w:b/>
          <w:bCs/>
          <w:sz w:val="24"/>
          <w:szCs w:val="24"/>
        </w:rPr>
      </w:pPr>
      <w:r w:rsidRPr="00120926">
        <w:rPr>
          <w:rFonts w:ascii="Times New Roman" w:eastAsia="Times New Roman" w:hAnsi="Times New Roman" w:cs="Times New Roman"/>
          <w:b/>
          <w:bCs/>
          <w:sz w:val="24"/>
          <w:szCs w:val="24"/>
        </w:rPr>
        <w:t>Вариант 2 „Регулаторен - промени в действащата правна уредба</w:t>
      </w:r>
      <w:r w:rsidRPr="002901F6">
        <w:rPr>
          <w:rFonts w:ascii="Times New Roman" w:eastAsia="Times New Roman" w:hAnsi="Times New Roman" w:cs="Times New Roman"/>
          <w:b/>
          <w:bCs/>
          <w:sz w:val="24"/>
          <w:szCs w:val="24"/>
        </w:rPr>
        <w:t>“ (+1)</w:t>
      </w:r>
      <w:r w:rsidRPr="00120926">
        <w:rPr>
          <w:rFonts w:ascii="Times New Roman" w:eastAsia="Times New Roman" w:hAnsi="Times New Roman" w:cs="Times New Roman"/>
          <w:b/>
          <w:bCs/>
          <w:sz w:val="24"/>
          <w:szCs w:val="24"/>
        </w:rPr>
        <w:t xml:space="preserve"> </w:t>
      </w:r>
    </w:p>
    <w:p w14:paraId="44BAB0A7" w14:textId="41C868C4" w:rsidR="00E16161" w:rsidRPr="00041074" w:rsidRDefault="00E16161" w:rsidP="00E16161">
      <w:pPr>
        <w:spacing w:after="0" w:line="240" w:lineRule="auto"/>
        <w:ind w:firstLine="567"/>
        <w:jc w:val="both"/>
        <w:rPr>
          <w:rFonts w:ascii="Times New Roman" w:eastAsia="Times New Roman" w:hAnsi="Times New Roman" w:cs="Times New Roman"/>
          <w:sz w:val="24"/>
          <w:szCs w:val="24"/>
        </w:rPr>
      </w:pPr>
      <w:r w:rsidRPr="00041074">
        <w:rPr>
          <w:rFonts w:ascii="Times New Roman" w:eastAsia="Times New Roman" w:hAnsi="Times New Roman" w:cs="Times New Roman"/>
          <w:sz w:val="24"/>
          <w:szCs w:val="24"/>
        </w:rPr>
        <w:t xml:space="preserve">Регулаторните промени биха </w:t>
      </w:r>
      <w:r w:rsidRPr="00041074">
        <w:rPr>
          <w:rFonts w:ascii="Times New Roman" w:eastAsia="Times New Roman" w:hAnsi="Times New Roman" w:cs="Times New Roman"/>
          <w:bCs/>
          <w:sz w:val="24"/>
          <w:szCs w:val="24"/>
        </w:rPr>
        <w:t>довели до известни преки защити на МСП</w:t>
      </w:r>
      <w:r w:rsidRPr="00041074">
        <w:rPr>
          <w:rFonts w:ascii="Times New Roman" w:eastAsia="Times New Roman" w:hAnsi="Times New Roman" w:cs="Times New Roman"/>
          <w:sz w:val="24"/>
          <w:szCs w:val="24"/>
        </w:rPr>
        <w:t xml:space="preserve"> срещу най-честите злоупотреби. Например, ако в закона се запише, че купувач (търговска верига) няма право да отменя поръчка от доставчик в последния момент или да го принуждава да плаща за разваляне на непродадена стока</w:t>
      </w:r>
      <w:r w:rsidR="00030104">
        <w:rPr>
          <w:rFonts w:ascii="Times New Roman" w:eastAsia="Times New Roman" w:hAnsi="Times New Roman" w:cs="Times New Roman"/>
          <w:sz w:val="24"/>
          <w:szCs w:val="24"/>
        </w:rPr>
        <w:t>,</w:t>
      </w:r>
      <w:r w:rsidRPr="00041074">
        <w:rPr>
          <w:rFonts w:ascii="Times New Roman" w:eastAsia="Times New Roman" w:hAnsi="Times New Roman" w:cs="Times New Roman"/>
          <w:sz w:val="24"/>
          <w:szCs w:val="24"/>
        </w:rPr>
        <w:t xml:space="preserve"> това веднага облекчава доставчика, който най-често е МСП. </w:t>
      </w:r>
      <w:r w:rsidRPr="00041074">
        <w:rPr>
          <w:rFonts w:ascii="Times New Roman" w:eastAsia="Times New Roman" w:hAnsi="Times New Roman" w:cs="Times New Roman"/>
          <w:bCs/>
          <w:sz w:val="24"/>
          <w:szCs w:val="24"/>
        </w:rPr>
        <w:t>По-малко финансови загуби и непредвидени разходи</w:t>
      </w:r>
      <w:r w:rsidRPr="00041074">
        <w:rPr>
          <w:rFonts w:ascii="Times New Roman" w:eastAsia="Times New Roman" w:hAnsi="Times New Roman" w:cs="Times New Roman"/>
          <w:sz w:val="24"/>
          <w:szCs w:val="24"/>
        </w:rPr>
        <w:t xml:space="preserve"> за фермерите </w:t>
      </w:r>
      <w:r>
        <w:rPr>
          <w:rFonts w:ascii="Times New Roman" w:eastAsia="Times New Roman" w:hAnsi="Times New Roman" w:cs="Times New Roman"/>
          <w:sz w:val="24"/>
          <w:szCs w:val="24"/>
        </w:rPr>
        <w:t>означава</w:t>
      </w:r>
      <w:r w:rsidRPr="00041074">
        <w:rPr>
          <w:rFonts w:ascii="Times New Roman" w:eastAsia="Times New Roman" w:hAnsi="Times New Roman" w:cs="Times New Roman"/>
          <w:sz w:val="24"/>
          <w:szCs w:val="24"/>
        </w:rPr>
        <w:t xml:space="preserve"> </w:t>
      </w:r>
      <w:r w:rsidRPr="00041074">
        <w:rPr>
          <w:rFonts w:ascii="Times New Roman" w:eastAsia="Times New Roman" w:hAnsi="Times New Roman" w:cs="Times New Roman"/>
          <w:bCs/>
          <w:sz w:val="24"/>
          <w:szCs w:val="24"/>
        </w:rPr>
        <w:t>по-добро положение</w:t>
      </w:r>
      <w:r w:rsidRPr="00041074">
        <w:rPr>
          <w:rFonts w:ascii="Times New Roman" w:eastAsia="Times New Roman" w:hAnsi="Times New Roman" w:cs="Times New Roman"/>
          <w:sz w:val="24"/>
          <w:szCs w:val="24"/>
        </w:rPr>
        <w:t>. Също, ако плащанията трябва да с</w:t>
      </w:r>
      <w:r w:rsidR="004845A6">
        <w:rPr>
          <w:rFonts w:ascii="Times New Roman" w:eastAsia="Times New Roman" w:hAnsi="Times New Roman" w:cs="Times New Roman"/>
          <w:sz w:val="24"/>
          <w:szCs w:val="24"/>
        </w:rPr>
        <w:t xml:space="preserve">е извършат </w:t>
      </w:r>
      <w:r w:rsidRPr="00041074">
        <w:rPr>
          <w:rFonts w:ascii="Times New Roman" w:eastAsia="Times New Roman" w:hAnsi="Times New Roman" w:cs="Times New Roman"/>
          <w:sz w:val="24"/>
          <w:szCs w:val="24"/>
        </w:rPr>
        <w:t>в срок до 30 дни,</w:t>
      </w:r>
      <w:r>
        <w:rPr>
          <w:rFonts w:ascii="Times New Roman" w:eastAsia="Times New Roman" w:hAnsi="Times New Roman" w:cs="Times New Roman"/>
          <w:sz w:val="24"/>
          <w:szCs w:val="24"/>
        </w:rPr>
        <w:t xml:space="preserve"> МСП</w:t>
      </w:r>
      <w:r w:rsidRPr="00041074">
        <w:rPr>
          <w:rFonts w:ascii="Times New Roman" w:eastAsia="Times New Roman" w:hAnsi="Times New Roman" w:cs="Times New Roman"/>
          <w:sz w:val="24"/>
          <w:szCs w:val="24"/>
        </w:rPr>
        <w:t xml:space="preserve"> ще получават навреме парите си, което </w:t>
      </w:r>
      <w:r w:rsidRPr="00041074">
        <w:rPr>
          <w:rFonts w:ascii="Times New Roman" w:eastAsia="Times New Roman" w:hAnsi="Times New Roman" w:cs="Times New Roman"/>
          <w:bCs/>
          <w:sz w:val="24"/>
          <w:szCs w:val="24"/>
        </w:rPr>
        <w:t>подобрява ликвидността им</w:t>
      </w:r>
      <w:r w:rsidRPr="00041074">
        <w:rPr>
          <w:rFonts w:ascii="Times New Roman" w:eastAsia="Times New Roman" w:hAnsi="Times New Roman" w:cs="Times New Roman"/>
          <w:sz w:val="24"/>
          <w:szCs w:val="24"/>
        </w:rPr>
        <w:t xml:space="preserve">. Всичко това са </w:t>
      </w:r>
      <w:r w:rsidRPr="00041074">
        <w:rPr>
          <w:rFonts w:ascii="Times New Roman" w:eastAsia="Times New Roman" w:hAnsi="Times New Roman" w:cs="Times New Roman"/>
          <w:bCs/>
          <w:sz w:val="24"/>
          <w:szCs w:val="24"/>
        </w:rPr>
        <w:t>преки положителни въздействия</w:t>
      </w:r>
      <w:r w:rsidR="004845A6">
        <w:rPr>
          <w:rFonts w:ascii="Times New Roman" w:eastAsia="Times New Roman" w:hAnsi="Times New Roman" w:cs="Times New Roman"/>
          <w:bCs/>
          <w:sz w:val="24"/>
          <w:szCs w:val="24"/>
        </w:rPr>
        <w:t xml:space="preserve"> от варианта</w:t>
      </w:r>
      <w:r w:rsidRPr="00041074">
        <w:rPr>
          <w:rFonts w:ascii="Times New Roman" w:eastAsia="Times New Roman" w:hAnsi="Times New Roman" w:cs="Times New Roman"/>
          <w:sz w:val="24"/>
          <w:szCs w:val="24"/>
        </w:rPr>
        <w:t>. Това „относително облекчаване“ при Вариант 2 се дължи на факта, че част от не</w:t>
      </w:r>
      <w:r w:rsidR="004845A6">
        <w:rPr>
          <w:rFonts w:ascii="Times New Roman" w:eastAsia="Times New Roman" w:hAnsi="Times New Roman" w:cs="Times New Roman"/>
          <w:sz w:val="24"/>
          <w:szCs w:val="24"/>
        </w:rPr>
        <w:t xml:space="preserve">лоялните </w:t>
      </w:r>
      <w:r w:rsidRPr="00041074">
        <w:rPr>
          <w:rFonts w:ascii="Times New Roman" w:eastAsia="Times New Roman" w:hAnsi="Times New Roman" w:cs="Times New Roman"/>
          <w:sz w:val="24"/>
          <w:szCs w:val="24"/>
        </w:rPr>
        <w:t xml:space="preserve">практики ще бъдат ограничени. Въпреки това, понеже </w:t>
      </w:r>
      <w:r w:rsidRPr="00041074">
        <w:rPr>
          <w:rFonts w:ascii="Times New Roman" w:eastAsia="Times New Roman" w:hAnsi="Times New Roman" w:cs="Times New Roman"/>
          <w:bCs/>
          <w:sz w:val="24"/>
          <w:szCs w:val="24"/>
        </w:rPr>
        <w:t>не всички проблеми ще изчезнат</w:t>
      </w:r>
      <w:r w:rsidRPr="00041074">
        <w:rPr>
          <w:rFonts w:ascii="Times New Roman" w:eastAsia="Times New Roman" w:hAnsi="Times New Roman" w:cs="Times New Roman"/>
          <w:sz w:val="24"/>
          <w:szCs w:val="24"/>
        </w:rPr>
        <w:t xml:space="preserve">, МСП няма да се окажат в идеална ситуация. Някои </w:t>
      </w:r>
      <w:r w:rsidRPr="00041074">
        <w:rPr>
          <w:rFonts w:ascii="Times New Roman" w:eastAsia="Times New Roman" w:hAnsi="Times New Roman" w:cs="Times New Roman"/>
          <w:bCs/>
          <w:sz w:val="24"/>
          <w:szCs w:val="24"/>
        </w:rPr>
        <w:t>фундаментални неравенства няма да бъдат напълно премахнати</w:t>
      </w:r>
      <w:r w:rsidRPr="00041074">
        <w:rPr>
          <w:rFonts w:ascii="Times New Roman" w:eastAsia="Times New Roman" w:hAnsi="Times New Roman" w:cs="Times New Roman"/>
          <w:sz w:val="24"/>
          <w:szCs w:val="24"/>
        </w:rPr>
        <w:t xml:space="preserve"> – например, балансът на силите все още</w:t>
      </w:r>
      <w:r>
        <w:rPr>
          <w:rFonts w:ascii="Times New Roman" w:eastAsia="Times New Roman" w:hAnsi="Times New Roman" w:cs="Times New Roman"/>
          <w:sz w:val="24"/>
          <w:szCs w:val="24"/>
        </w:rPr>
        <w:t xml:space="preserve"> ще бъде на страната</w:t>
      </w:r>
      <w:r w:rsidRPr="000410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Pr="00041074">
        <w:rPr>
          <w:rFonts w:ascii="Times New Roman" w:eastAsia="Times New Roman" w:hAnsi="Times New Roman" w:cs="Times New Roman"/>
          <w:sz w:val="24"/>
          <w:szCs w:val="24"/>
        </w:rPr>
        <w:t xml:space="preserve"> големите търговци, и те </w:t>
      </w:r>
      <w:r>
        <w:rPr>
          <w:rFonts w:ascii="Times New Roman" w:eastAsia="Times New Roman" w:hAnsi="Times New Roman" w:cs="Times New Roman"/>
          <w:sz w:val="24"/>
          <w:szCs w:val="24"/>
        </w:rPr>
        <w:t xml:space="preserve">ще </w:t>
      </w:r>
      <w:r w:rsidRPr="00041074">
        <w:rPr>
          <w:rFonts w:ascii="Times New Roman" w:eastAsia="Times New Roman" w:hAnsi="Times New Roman" w:cs="Times New Roman"/>
          <w:sz w:val="24"/>
          <w:szCs w:val="24"/>
        </w:rPr>
        <w:t>мо</w:t>
      </w:r>
      <w:r>
        <w:rPr>
          <w:rFonts w:ascii="Times New Roman" w:eastAsia="Times New Roman" w:hAnsi="Times New Roman" w:cs="Times New Roman"/>
          <w:sz w:val="24"/>
          <w:szCs w:val="24"/>
        </w:rPr>
        <w:t>гат</w:t>
      </w:r>
      <w:r w:rsidRPr="00041074">
        <w:rPr>
          <w:rFonts w:ascii="Times New Roman" w:eastAsia="Times New Roman" w:hAnsi="Times New Roman" w:cs="Times New Roman"/>
          <w:sz w:val="24"/>
          <w:szCs w:val="24"/>
        </w:rPr>
        <w:t xml:space="preserve"> да намират други начини да диктуват условията (макар и в рамките на закона). Това означава, че малките доставчици </w:t>
      </w:r>
      <w:r>
        <w:rPr>
          <w:rFonts w:ascii="Times New Roman" w:eastAsia="Times New Roman" w:hAnsi="Times New Roman" w:cs="Times New Roman"/>
          <w:iCs/>
          <w:sz w:val="24"/>
          <w:szCs w:val="24"/>
        </w:rPr>
        <w:t>отново</w:t>
      </w:r>
      <w:r w:rsidRPr="00041074">
        <w:rPr>
          <w:rFonts w:ascii="Times New Roman" w:eastAsia="Times New Roman" w:hAnsi="Times New Roman" w:cs="Times New Roman"/>
          <w:iCs/>
          <w:sz w:val="24"/>
          <w:szCs w:val="24"/>
        </w:rPr>
        <w:t xml:space="preserve"> ще са </w:t>
      </w:r>
      <w:r>
        <w:rPr>
          <w:rFonts w:ascii="Times New Roman" w:eastAsia="Times New Roman" w:hAnsi="Times New Roman" w:cs="Times New Roman"/>
          <w:iCs/>
          <w:sz w:val="24"/>
          <w:szCs w:val="24"/>
        </w:rPr>
        <w:t>правно и икономически</w:t>
      </w:r>
      <w:r w:rsidRPr="00041074">
        <w:rPr>
          <w:rFonts w:ascii="Times New Roman" w:eastAsia="Times New Roman" w:hAnsi="Times New Roman" w:cs="Times New Roman"/>
          <w:iCs/>
          <w:sz w:val="24"/>
          <w:szCs w:val="24"/>
        </w:rPr>
        <w:t xml:space="preserve"> уязвими</w:t>
      </w:r>
      <w:r w:rsidRPr="00041074">
        <w:rPr>
          <w:rFonts w:ascii="Times New Roman" w:eastAsia="Times New Roman" w:hAnsi="Times New Roman" w:cs="Times New Roman"/>
          <w:sz w:val="24"/>
          <w:szCs w:val="24"/>
        </w:rPr>
        <w:t xml:space="preserve">, макар и не толкова, колкото преди. </w:t>
      </w:r>
    </w:p>
    <w:p w14:paraId="4917D813" w14:textId="77777777" w:rsidR="00E16161" w:rsidRDefault="00E16161" w:rsidP="00E16161">
      <w:pPr>
        <w:spacing w:after="0" w:line="240" w:lineRule="auto"/>
        <w:ind w:firstLine="567"/>
        <w:jc w:val="both"/>
        <w:rPr>
          <w:rFonts w:ascii="Times New Roman" w:eastAsia="Times New Roman" w:hAnsi="Times New Roman" w:cs="Times New Roman"/>
          <w:b/>
          <w:bCs/>
          <w:sz w:val="24"/>
          <w:szCs w:val="24"/>
        </w:rPr>
      </w:pPr>
    </w:p>
    <w:p w14:paraId="32C92FD6" w14:textId="448631AA" w:rsidR="00E16161" w:rsidRDefault="00E16161" w:rsidP="00E16161">
      <w:pPr>
        <w:spacing w:after="0" w:line="240" w:lineRule="auto"/>
        <w:ind w:firstLine="567"/>
        <w:jc w:val="both"/>
        <w:rPr>
          <w:rFonts w:ascii="Times New Roman" w:eastAsia="Times New Roman" w:hAnsi="Times New Roman" w:cs="Times New Roman"/>
          <w:sz w:val="24"/>
          <w:szCs w:val="24"/>
        </w:rPr>
      </w:pPr>
      <w:r w:rsidRPr="00ED09E4">
        <w:rPr>
          <w:rFonts w:ascii="Times New Roman" w:eastAsia="Times New Roman" w:hAnsi="Times New Roman" w:cs="Times New Roman"/>
          <w:b/>
          <w:bCs/>
          <w:sz w:val="24"/>
          <w:szCs w:val="24"/>
        </w:rPr>
        <w:t>Вариант 3: „Регулаторен – изцяло нов специален закон“</w:t>
      </w:r>
      <w:r>
        <w:rPr>
          <w:rFonts w:ascii="Times New Roman" w:eastAsia="Times New Roman" w:hAnsi="Times New Roman" w:cs="Times New Roman"/>
          <w:b/>
          <w:bCs/>
          <w:sz w:val="24"/>
          <w:szCs w:val="24"/>
        </w:rPr>
        <w:t xml:space="preserve"> </w:t>
      </w:r>
      <w:r w:rsidRPr="002901F6">
        <w:rPr>
          <w:rFonts w:ascii="Times New Roman" w:eastAsia="Times New Roman" w:hAnsi="Times New Roman" w:cs="Times New Roman"/>
          <w:b/>
          <w:bCs/>
          <w:sz w:val="24"/>
          <w:szCs w:val="24"/>
        </w:rPr>
        <w:t>(</w:t>
      </w:r>
      <w:r w:rsidR="00030104">
        <w:rPr>
          <w:rFonts w:ascii="Times New Roman" w:eastAsia="Times New Roman" w:hAnsi="Times New Roman" w:cs="Times New Roman"/>
          <w:b/>
          <w:bCs/>
          <w:sz w:val="24"/>
          <w:szCs w:val="24"/>
        </w:rPr>
        <w:t>+2</w:t>
      </w:r>
      <w:r w:rsidRPr="002901F6">
        <w:rPr>
          <w:rFonts w:ascii="Times New Roman" w:eastAsia="Times New Roman" w:hAnsi="Times New Roman" w:cs="Times New Roman"/>
          <w:b/>
          <w:bCs/>
          <w:sz w:val="24"/>
          <w:szCs w:val="24"/>
        </w:rPr>
        <w:t>)</w:t>
      </w:r>
      <w:r w:rsidRPr="0091765E">
        <w:rPr>
          <w:rFonts w:ascii="Times New Roman" w:eastAsia="Times New Roman" w:hAnsi="Times New Roman" w:cs="Times New Roman"/>
          <w:sz w:val="24"/>
          <w:szCs w:val="24"/>
        </w:rPr>
        <w:t xml:space="preserve"> </w:t>
      </w:r>
    </w:p>
    <w:p w14:paraId="1ECB829F" w14:textId="1030EFCA" w:rsidR="00E16161" w:rsidRDefault="00E16161" w:rsidP="00E16161">
      <w:pPr>
        <w:spacing w:after="0" w:line="240" w:lineRule="auto"/>
        <w:ind w:firstLine="567"/>
        <w:jc w:val="both"/>
        <w:rPr>
          <w:rFonts w:ascii="Times New Roman" w:eastAsia="Times New Roman" w:hAnsi="Times New Roman" w:cs="Times New Roman"/>
          <w:sz w:val="24"/>
          <w:szCs w:val="24"/>
        </w:rPr>
      </w:pPr>
      <w:r w:rsidRPr="00041074">
        <w:rPr>
          <w:rFonts w:ascii="Times New Roman" w:eastAsia="Times New Roman" w:hAnsi="Times New Roman" w:cs="Times New Roman"/>
          <w:sz w:val="24"/>
          <w:szCs w:val="24"/>
        </w:rPr>
        <w:t xml:space="preserve">Основна цел на един нов специален закон би била именно </w:t>
      </w:r>
      <w:r w:rsidRPr="00041074">
        <w:rPr>
          <w:rFonts w:ascii="Times New Roman" w:eastAsia="Times New Roman" w:hAnsi="Times New Roman" w:cs="Times New Roman"/>
          <w:bCs/>
          <w:sz w:val="24"/>
          <w:szCs w:val="24"/>
        </w:rPr>
        <w:t>закрилата на по-слабите участници във веригата</w:t>
      </w:r>
      <w:r w:rsidRPr="00041074">
        <w:rPr>
          <w:rFonts w:ascii="Times New Roman" w:eastAsia="Times New Roman" w:hAnsi="Times New Roman" w:cs="Times New Roman"/>
          <w:sz w:val="24"/>
          <w:szCs w:val="24"/>
        </w:rPr>
        <w:t xml:space="preserve">, така че очакваното въздействие е изключително благоприятно за МСП. С такъв закон, </w:t>
      </w:r>
      <w:r w:rsidRPr="00041074">
        <w:rPr>
          <w:rFonts w:ascii="Times New Roman" w:eastAsia="Times New Roman" w:hAnsi="Times New Roman" w:cs="Times New Roman"/>
          <w:bCs/>
          <w:sz w:val="24"/>
          <w:szCs w:val="24"/>
        </w:rPr>
        <w:t xml:space="preserve">малките земеделски производители и доставчици ще разполагат с гаранции срещу почти всички познати нелоялни </w:t>
      </w:r>
      <w:r w:rsidR="004845A6">
        <w:rPr>
          <w:rFonts w:ascii="Times New Roman" w:eastAsia="Times New Roman" w:hAnsi="Times New Roman" w:cs="Times New Roman"/>
          <w:bCs/>
          <w:sz w:val="24"/>
          <w:szCs w:val="24"/>
        </w:rPr>
        <w:t xml:space="preserve">търговски </w:t>
      </w:r>
      <w:r w:rsidRPr="00041074">
        <w:rPr>
          <w:rFonts w:ascii="Times New Roman" w:eastAsia="Times New Roman" w:hAnsi="Times New Roman" w:cs="Times New Roman"/>
          <w:bCs/>
          <w:sz w:val="24"/>
          <w:szCs w:val="24"/>
        </w:rPr>
        <w:t>практики</w:t>
      </w:r>
      <w:r w:rsidRPr="00041074">
        <w:rPr>
          <w:rFonts w:ascii="Times New Roman" w:eastAsia="Times New Roman" w:hAnsi="Times New Roman" w:cs="Times New Roman"/>
          <w:sz w:val="24"/>
          <w:szCs w:val="24"/>
        </w:rPr>
        <w:t xml:space="preserve">. Вариант 3 е </w:t>
      </w:r>
      <w:r w:rsidR="002175C4">
        <w:rPr>
          <w:rFonts w:ascii="Times New Roman" w:eastAsia="Times New Roman" w:hAnsi="Times New Roman" w:cs="Times New Roman"/>
          <w:sz w:val="24"/>
          <w:szCs w:val="24"/>
        </w:rPr>
        <w:t>на практика</w:t>
      </w:r>
      <w:r w:rsidRPr="00041074">
        <w:rPr>
          <w:rFonts w:ascii="Times New Roman" w:eastAsia="Times New Roman" w:hAnsi="Times New Roman" w:cs="Times New Roman"/>
          <w:sz w:val="24"/>
          <w:szCs w:val="24"/>
        </w:rPr>
        <w:t xml:space="preserve"> </w:t>
      </w:r>
      <w:r w:rsidRPr="00041074">
        <w:rPr>
          <w:rFonts w:ascii="Times New Roman" w:eastAsia="Times New Roman" w:hAnsi="Times New Roman" w:cs="Times New Roman"/>
          <w:bCs/>
          <w:sz w:val="24"/>
          <w:szCs w:val="24"/>
        </w:rPr>
        <w:t>насочен към възстановяване на баланса в полза на тези уязвими страни</w:t>
      </w:r>
      <w:r w:rsidRPr="00041074">
        <w:rPr>
          <w:rFonts w:ascii="Times New Roman" w:eastAsia="Times New Roman" w:hAnsi="Times New Roman" w:cs="Times New Roman"/>
          <w:sz w:val="24"/>
          <w:szCs w:val="24"/>
        </w:rPr>
        <w:t xml:space="preserve">. Те ще могат да сключват договори с големи купувачи, без да се опасяват, че ще бъдат </w:t>
      </w:r>
      <w:r>
        <w:rPr>
          <w:rFonts w:ascii="Times New Roman" w:eastAsia="Times New Roman" w:hAnsi="Times New Roman" w:cs="Times New Roman"/>
          <w:sz w:val="24"/>
          <w:szCs w:val="24"/>
        </w:rPr>
        <w:t>ненужно</w:t>
      </w:r>
      <w:r w:rsidRPr="00041074">
        <w:rPr>
          <w:rFonts w:ascii="Times New Roman" w:eastAsia="Times New Roman" w:hAnsi="Times New Roman" w:cs="Times New Roman"/>
          <w:sz w:val="24"/>
          <w:szCs w:val="24"/>
        </w:rPr>
        <w:t xml:space="preserve"> притиснати впоследствие</w:t>
      </w:r>
      <w:r w:rsidR="00030104">
        <w:rPr>
          <w:rFonts w:ascii="Times New Roman" w:eastAsia="Times New Roman" w:hAnsi="Times New Roman" w:cs="Times New Roman"/>
          <w:sz w:val="24"/>
          <w:szCs w:val="24"/>
        </w:rPr>
        <w:t>, тъй като</w:t>
      </w:r>
      <w:r w:rsidRPr="00041074">
        <w:rPr>
          <w:rFonts w:ascii="Times New Roman" w:eastAsia="Times New Roman" w:hAnsi="Times New Roman" w:cs="Times New Roman"/>
          <w:sz w:val="24"/>
          <w:szCs w:val="24"/>
        </w:rPr>
        <w:t xml:space="preserve"> закон</w:t>
      </w:r>
      <w:r w:rsidR="006A31F9">
        <w:rPr>
          <w:rFonts w:ascii="Times New Roman" w:eastAsia="Times New Roman" w:hAnsi="Times New Roman" w:cs="Times New Roman"/>
          <w:sz w:val="24"/>
          <w:szCs w:val="24"/>
        </w:rPr>
        <w:t>овите санкции</w:t>
      </w:r>
      <w:r w:rsidRPr="00041074">
        <w:rPr>
          <w:rFonts w:ascii="Times New Roman" w:eastAsia="Times New Roman" w:hAnsi="Times New Roman" w:cs="Times New Roman"/>
          <w:sz w:val="24"/>
          <w:szCs w:val="24"/>
        </w:rPr>
        <w:t xml:space="preserve"> ще</w:t>
      </w:r>
      <w:r w:rsidR="006A31F9">
        <w:rPr>
          <w:rFonts w:ascii="Times New Roman" w:eastAsia="Times New Roman" w:hAnsi="Times New Roman" w:cs="Times New Roman"/>
          <w:sz w:val="24"/>
          <w:szCs w:val="24"/>
        </w:rPr>
        <w:t xml:space="preserve"> гарантират защитата на техните интереси като равнопоставени участници в отношенията по веригата на доставки</w:t>
      </w:r>
      <w:r w:rsidRPr="00041074">
        <w:rPr>
          <w:rFonts w:ascii="Times New Roman" w:eastAsia="Times New Roman" w:hAnsi="Times New Roman" w:cs="Times New Roman"/>
          <w:sz w:val="24"/>
          <w:szCs w:val="24"/>
        </w:rPr>
        <w:t xml:space="preserve">. Също толкова важно, ще имат </w:t>
      </w:r>
      <w:r w:rsidRPr="00041074">
        <w:rPr>
          <w:rFonts w:ascii="Times New Roman" w:eastAsia="Times New Roman" w:hAnsi="Times New Roman" w:cs="Times New Roman"/>
          <w:bCs/>
          <w:sz w:val="24"/>
          <w:szCs w:val="24"/>
        </w:rPr>
        <w:t>къде да потърсят правата си</w:t>
      </w:r>
      <w:r w:rsidRPr="00041074">
        <w:rPr>
          <w:rFonts w:ascii="Times New Roman" w:eastAsia="Times New Roman" w:hAnsi="Times New Roman" w:cs="Times New Roman"/>
          <w:sz w:val="24"/>
          <w:szCs w:val="24"/>
        </w:rPr>
        <w:t xml:space="preserve">. МСП ще могат спокойно да разширят дейността си, да работят с големите </w:t>
      </w:r>
      <w:r w:rsidR="00030104">
        <w:rPr>
          <w:rFonts w:ascii="Times New Roman" w:eastAsia="Times New Roman" w:hAnsi="Times New Roman" w:cs="Times New Roman"/>
          <w:sz w:val="24"/>
          <w:szCs w:val="24"/>
        </w:rPr>
        <w:t>търговски вериги</w:t>
      </w:r>
      <w:r w:rsidR="00030104" w:rsidRPr="00041074">
        <w:rPr>
          <w:rFonts w:ascii="Times New Roman" w:eastAsia="Times New Roman" w:hAnsi="Times New Roman" w:cs="Times New Roman"/>
          <w:sz w:val="24"/>
          <w:szCs w:val="24"/>
        </w:rPr>
        <w:t xml:space="preserve"> </w:t>
      </w:r>
      <w:r w:rsidRPr="00041074">
        <w:rPr>
          <w:rFonts w:ascii="Times New Roman" w:eastAsia="Times New Roman" w:hAnsi="Times New Roman" w:cs="Times New Roman"/>
          <w:sz w:val="24"/>
          <w:szCs w:val="24"/>
        </w:rPr>
        <w:t xml:space="preserve">при </w:t>
      </w:r>
      <w:r w:rsidR="006A31F9" w:rsidRPr="00041074">
        <w:rPr>
          <w:rFonts w:ascii="Times New Roman" w:eastAsia="Times New Roman" w:hAnsi="Times New Roman" w:cs="Times New Roman"/>
          <w:sz w:val="24"/>
          <w:szCs w:val="24"/>
        </w:rPr>
        <w:t xml:space="preserve">ясни </w:t>
      </w:r>
      <w:r w:rsidRPr="00041074">
        <w:rPr>
          <w:rFonts w:ascii="Times New Roman" w:eastAsia="Times New Roman" w:hAnsi="Times New Roman" w:cs="Times New Roman"/>
          <w:sz w:val="24"/>
          <w:szCs w:val="24"/>
        </w:rPr>
        <w:t xml:space="preserve">и </w:t>
      </w:r>
      <w:r w:rsidR="006A31F9" w:rsidRPr="00041074">
        <w:rPr>
          <w:rFonts w:ascii="Times New Roman" w:eastAsia="Times New Roman" w:hAnsi="Times New Roman" w:cs="Times New Roman"/>
          <w:sz w:val="24"/>
          <w:szCs w:val="24"/>
        </w:rPr>
        <w:t xml:space="preserve">честни </w:t>
      </w:r>
      <w:r w:rsidRPr="00041074">
        <w:rPr>
          <w:rFonts w:ascii="Times New Roman" w:eastAsia="Times New Roman" w:hAnsi="Times New Roman" w:cs="Times New Roman"/>
          <w:sz w:val="24"/>
          <w:szCs w:val="24"/>
        </w:rPr>
        <w:t xml:space="preserve">условия, което ще повиши доходите и устойчивостта им. Много е вероятно и </w:t>
      </w:r>
      <w:r w:rsidRPr="00041074">
        <w:rPr>
          <w:rFonts w:ascii="Times New Roman" w:eastAsia="Times New Roman" w:hAnsi="Times New Roman" w:cs="Times New Roman"/>
          <w:bCs/>
          <w:sz w:val="24"/>
          <w:szCs w:val="24"/>
        </w:rPr>
        <w:t xml:space="preserve">нови малки </w:t>
      </w:r>
      <w:r w:rsidR="00030104">
        <w:rPr>
          <w:rFonts w:ascii="Times New Roman" w:eastAsia="Times New Roman" w:hAnsi="Times New Roman" w:cs="Times New Roman"/>
          <w:bCs/>
          <w:sz w:val="24"/>
          <w:szCs w:val="24"/>
        </w:rPr>
        <w:t>предприятия</w:t>
      </w:r>
      <w:r w:rsidR="00030104" w:rsidRPr="00041074">
        <w:rPr>
          <w:rFonts w:ascii="Times New Roman" w:eastAsia="Times New Roman" w:hAnsi="Times New Roman" w:cs="Times New Roman"/>
          <w:bCs/>
          <w:sz w:val="24"/>
          <w:szCs w:val="24"/>
        </w:rPr>
        <w:t xml:space="preserve"> </w:t>
      </w:r>
      <w:r w:rsidRPr="00041074">
        <w:rPr>
          <w:rFonts w:ascii="Times New Roman" w:eastAsia="Times New Roman" w:hAnsi="Times New Roman" w:cs="Times New Roman"/>
          <w:bCs/>
          <w:sz w:val="24"/>
          <w:szCs w:val="24"/>
        </w:rPr>
        <w:t xml:space="preserve">да </w:t>
      </w:r>
      <w:r>
        <w:rPr>
          <w:rFonts w:ascii="Times New Roman" w:eastAsia="Times New Roman" w:hAnsi="Times New Roman" w:cs="Times New Roman"/>
          <w:bCs/>
          <w:sz w:val="24"/>
          <w:szCs w:val="24"/>
        </w:rPr>
        <w:t>на</w:t>
      </w:r>
      <w:r w:rsidRPr="00041074">
        <w:rPr>
          <w:rFonts w:ascii="Times New Roman" w:eastAsia="Times New Roman" w:hAnsi="Times New Roman" w:cs="Times New Roman"/>
          <w:bCs/>
          <w:sz w:val="24"/>
          <w:szCs w:val="24"/>
        </w:rPr>
        <w:t>влязат на пазара</w:t>
      </w:r>
      <w:r w:rsidR="00030104">
        <w:rPr>
          <w:rFonts w:ascii="Times New Roman" w:eastAsia="Times New Roman" w:hAnsi="Times New Roman" w:cs="Times New Roman"/>
          <w:sz w:val="24"/>
          <w:szCs w:val="24"/>
        </w:rPr>
        <w:t xml:space="preserve"> с оглед по-благоприятните търговски практики,</w:t>
      </w:r>
      <w:r w:rsidRPr="00041074">
        <w:rPr>
          <w:rFonts w:ascii="Times New Roman" w:eastAsia="Times New Roman" w:hAnsi="Times New Roman" w:cs="Times New Roman"/>
          <w:sz w:val="24"/>
          <w:szCs w:val="24"/>
        </w:rPr>
        <w:t xml:space="preserve"> т.е. предприемаческата активност може да се стимулира. Всички тези фактори дават основание за максимална положителна оценка. </w:t>
      </w:r>
    </w:p>
    <w:p w14:paraId="406BD573" w14:textId="77777777" w:rsidR="001B5A92" w:rsidRDefault="001B5A92" w:rsidP="00E16161">
      <w:pPr>
        <w:spacing w:after="0" w:line="240" w:lineRule="auto"/>
        <w:ind w:firstLine="567"/>
        <w:jc w:val="both"/>
        <w:rPr>
          <w:rFonts w:ascii="Times New Roman" w:eastAsia="Times New Roman" w:hAnsi="Times New Roman" w:cs="Times New Roman"/>
          <w:sz w:val="24"/>
          <w:szCs w:val="24"/>
        </w:rPr>
      </w:pPr>
    </w:p>
    <w:p w14:paraId="005ECF2E" w14:textId="77777777" w:rsidR="00E16161" w:rsidRPr="007B23B2" w:rsidRDefault="00E16161" w:rsidP="00E16161">
      <w:pPr>
        <w:spacing w:after="0" w:line="240" w:lineRule="auto"/>
        <w:ind w:firstLine="567"/>
        <w:jc w:val="both"/>
        <w:rPr>
          <w:rFonts w:ascii="Times New Roman" w:eastAsia="Times New Roman" w:hAnsi="Times New Roman" w:cs="Times New Roman"/>
          <w:b/>
          <w:sz w:val="24"/>
          <w:szCs w:val="24"/>
        </w:rPr>
      </w:pPr>
      <w:r w:rsidRPr="00E378B1">
        <w:rPr>
          <w:rFonts w:ascii="Times New Roman" w:eastAsia="Times New Roman" w:hAnsi="Times New Roman" w:cs="Times New Roman"/>
          <w:b/>
          <w:i/>
          <w:sz w:val="24"/>
          <w:szCs w:val="24"/>
        </w:rPr>
        <w:lastRenderedPageBreak/>
        <w:t>4. КРИТЕРИЙ: АДМИНИСТРАТИВНА ТЕЖЕСТ</w:t>
      </w:r>
      <w:r>
        <w:rPr>
          <w:rStyle w:val="FootnoteReference"/>
          <w:rFonts w:ascii="Times New Roman" w:eastAsia="Times New Roman" w:hAnsi="Times New Roman" w:cs="Times New Roman"/>
          <w:b/>
          <w:sz w:val="24"/>
          <w:szCs w:val="24"/>
        </w:rPr>
        <w:footnoteReference w:id="50"/>
      </w:r>
    </w:p>
    <w:p w14:paraId="503EBAC7" w14:textId="77777777" w:rsidR="00E16161" w:rsidRDefault="00E16161" w:rsidP="00E16161">
      <w:pPr>
        <w:spacing w:after="0" w:line="240" w:lineRule="auto"/>
        <w:ind w:firstLine="567"/>
        <w:jc w:val="both"/>
        <w:rPr>
          <w:rFonts w:ascii="Times New Roman" w:eastAsia="Times New Roman" w:hAnsi="Times New Roman" w:cs="Times New Roman"/>
          <w:b/>
          <w:bCs/>
          <w:sz w:val="24"/>
          <w:szCs w:val="24"/>
        </w:rPr>
      </w:pPr>
      <w:r w:rsidRPr="003C32FD">
        <w:rPr>
          <w:rFonts w:ascii="Times New Roman" w:eastAsia="Times New Roman" w:hAnsi="Times New Roman" w:cs="Times New Roman"/>
          <w:b/>
          <w:bCs/>
          <w:sz w:val="24"/>
          <w:szCs w:val="24"/>
        </w:rPr>
        <w:t>Вариант 0: „Без действие</w:t>
      </w:r>
      <w:r w:rsidRPr="002901F6">
        <w:rPr>
          <w:rFonts w:ascii="Times New Roman" w:eastAsia="Times New Roman" w:hAnsi="Times New Roman" w:cs="Times New Roman"/>
          <w:bCs/>
          <w:sz w:val="24"/>
          <w:szCs w:val="24"/>
        </w:rPr>
        <w:t xml:space="preserve">“ </w:t>
      </w:r>
      <w:r w:rsidRPr="00041074">
        <w:rPr>
          <w:rFonts w:ascii="Times New Roman" w:eastAsia="Times New Roman" w:hAnsi="Times New Roman" w:cs="Times New Roman"/>
          <w:b/>
          <w:bCs/>
          <w:sz w:val="24"/>
          <w:szCs w:val="24"/>
        </w:rPr>
        <w:t>(+2)</w:t>
      </w:r>
    </w:p>
    <w:p w14:paraId="11903E70" w14:textId="3DDF01C7" w:rsidR="00E16161" w:rsidRPr="00041074" w:rsidRDefault="00E16161" w:rsidP="00E16161">
      <w:pPr>
        <w:spacing w:after="0" w:line="240" w:lineRule="auto"/>
        <w:ind w:firstLine="567"/>
        <w:jc w:val="both"/>
        <w:rPr>
          <w:rFonts w:ascii="Times New Roman" w:eastAsia="Times New Roman" w:hAnsi="Times New Roman" w:cs="Times New Roman"/>
          <w:sz w:val="24"/>
          <w:szCs w:val="24"/>
        </w:rPr>
      </w:pPr>
      <w:r w:rsidRPr="00041074">
        <w:rPr>
          <w:rFonts w:ascii="Times New Roman" w:eastAsia="Times New Roman" w:hAnsi="Times New Roman" w:cs="Times New Roman"/>
          <w:sz w:val="24"/>
          <w:szCs w:val="24"/>
        </w:rPr>
        <w:t xml:space="preserve">Без предприемането на нови действия, </w:t>
      </w:r>
      <w:r w:rsidRPr="00041074">
        <w:rPr>
          <w:rFonts w:ascii="Times New Roman" w:eastAsia="Times New Roman" w:hAnsi="Times New Roman" w:cs="Times New Roman"/>
          <w:bCs/>
          <w:sz w:val="24"/>
          <w:szCs w:val="24"/>
        </w:rPr>
        <w:t>няма допълнителни административни разходи или бюрократични процедури</w:t>
      </w:r>
      <w:r w:rsidRPr="00041074">
        <w:rPr>
          <w:rFonts w:ascii="Times New Roman" w:eastAsia="Times New Roman" w:hAnsi="Times New Roman" w:cs="Times New Roman"/>
          <w:sz w:val="24"/>
          <w:szCs w:val="24"/>
        </w:rPr>
        <w:t>. Не се създават нови регулаторни режими, не се изменят закони, не се налага обучение на персонал или мониторинг</w:t>
      </w:r>
      <w:r w:rsidR="00030104">
        <w:rPr>
          <w:rFonts w:ascii="Times New Roman" w:eastAsia="Times New Roman" w:hAnsi="Times New Roman" w:cs="Times New Roman"/>
          <w:sz w:val="24"/>
          <w:szCs w:val="24"/>
        </w:rPr>
        <w:t>, т.е.</w:t>
      </w:r>
      <w:r w:rsidRPr="00041074">
        <w:rPr>
          <w:rFonts w:ascii="Times New Roman" w:eastAsia="Times New Roman" w:hAnsi="Times New Roman" w:cs="Times New Roman"/>
          <w:sz w:val="24"/>
          <w:szCs w:val="24"/>
        </w:rPr>
        <w:t xml:space="preserve"> всичко продължава както </w:t>
      </w:r>
      <w:r>
        <w:rPr>
          <w:rFonts w:ascii="Times New Roman" w:eastAsia="Times New Roman" w:hAnsi="Times New Roman" w:cs="Times New Roman"/>
          <w:sz w:val="24"/>
          <w:szCs w:val="24"/>
        </w:rPr>
        <w:t>досега</w:t>
      </w:r>
      <w:r w:rsidRPr="00041074">
        <w:rPr>
          <w:rFonts w:ascii="Times New Roman" w:eastAsia="Times New Roman" w:hAnsi="Times New Roman" w:cs="Times New Roman"/>
          <w:sz w:val="24"/>
          <w:szCs w:val="24"/>
        </w:rPr>
        <w:t xml:space="preserve">. От гледна точка на бюджета на държавата, това е „най-евтиният“ вариант. </w:t>
      </w:r>
      <w:r>
        <w:rPr>
          <w:rFonts w:ascii="Times New Roman" w:eastAsia="Times New Roman" w:hAnsi="Times New Roman" w:cs="Times New Roman"/>
          <w:sz w:val="24"/>
          <w:szCs w:val="24"/>
        </w:rPr>
        <w:t>Тя</w:t>
      </w:r>
      <w:r w:rsidRPr="00041074">
        <w:rPr>
          <w:rFonts w:ascii="Times New Roman" w:eastAsia="Times New Roman" w:hAnsi="Times New Roman" w:cs="Times New Roman"/>
          <w:sz w:val="24"/>
          <w:szCs w:val="24"/>
        </w:rPr>
        <w:t xml:space="preserve"> не разходва нищо допълнително. Също така бизнесът не понася </w:t>
      </w:r>
      <w:r w:rsidR="001B5A92">
        <w:rPr>
          <w:rFonts w:ascii="Times New Roman" w:eastAsia="Times New Roman" w:hAnsi="Times New Roman" w:cs="Times New Roman"/>
          <w:sz w:val="24"/>
          <w:szCs w:val="24"/>
        </w:rPr>
        <w:t xml:space="preserve">тежестта на поставени на </w:t>
      </w:r>
      <w:r w:rsidRPr="00041074">
        <w:rPr>
          <w:rFonts w:ascii="Times New Roman" w:eastAsia="Times New Roman" w:hAnsi="Times New Roman" w:cs="Times New Roman"/>
          <w:sz w:val="24"/>
          <w:szCs w:val="24"/>
        </w:rPr>
        <w:t>нови изисквания</w:t>
      </w:r>
      <w:r w:rsidR="001B5A92">
        <w:rPr>
          <w:rFonts w:ascii="Times New Roman" w:eastAsia="Times New Roman" w:hAnsi="Times New Roman" w:cs="Times New Roman"/>
          <w:sz w:val="24"/>
          <w:szCs w:val="24"/>
        </w:rPr>
        <w:t xml:space="preserve"> за дейността му</w:t>
      </w:r>
      <w:r w:rsidRPr="00041074">
        <w:rPr>
          <w:rFonts w:ascii="Times New Roman" w:eastAsia="Times New Roman" w:hAnsi="Times New Roman" w:cs="Times New Roman"/>
          <w:sz w:val="24"/>
          <w:szCs w:val="24"/>
        </w:rPr>
        <w:t xml:space="preserve">. Ето защо, по този критерий, </w:t>
      </w:r>
      <w:r w:rsidRPr="00041074">
        <w:rPr>
          <w:rFonts w:ascii="Times New Roman" w:eastAsia="Times New Roman" w:hAnsi="Times New Roman" w:cs="Times New Roman"/>
          <w:bCs/>
          <w:sz w:val="24"/>
          <w:szCs w:val="24"/>
        </w:rPr>
        <w:t>бездействието</w:t>
      </w:r>
      <w:r w:rsidR="00733A27">
        <w:rPr>
          <w:rFonts w:ascii="Times New Roman" w:eastAsia="Times New Roman" w:hAnsi="Times New Roman" w:cs="Times New Roman"/>
          <w:bCs/>
          <w:sz w:val="24"/>
          <w:szCs w:val="24"/>
        </w:rPr>
        <w:t>,</w:t>
      </w:r>
      <w:r w:rsidRPr="00041074">
        <w:rPr>
          <w:rFonts w:ascii="Times New Roman" w:eastAsia="Times New Roman" w:hAnsi="Times New Roman" w:cs="Times New Roman"/>
          <w:bCs/>
          <w:sz w:val="24"/>
          <w:szCs w:val="24"/>
        </w:rPr>
        <w:t xml:space="preserve"> парадоксално</w:t>
      </w:r>
      <w:r w:rsidR="00733A27">
        <w:rPr>
          <w:rFonts w:ascii="Times New Roman" w:eastAsia="Times New Roman" w:hAnsi="Times New Roman" w:cs="Times New Roman"/>
          <w:bCs/>
          <w:sz w:val="24"/>
          <w:szCs w:val="24"/>
        </w:rPr>
        <w:t>,</w:t>
      </w:r>
      <w:r w:rsidRPr="00041074">
        <w:rPr>
          <w:rFonts w:ascii="Times New Roman" w:eastAsia="Times New Roman" w:hAnsi="Times New Roman" w:cs="Times New Roman"/>
          <w:bCs/>
          <w:sz w:val="24"/>
          <w:szCs w:val="24"/>
        </w:rPr>
        <w:t xml:space="preserve"> е най-добр</w:t>
      </w:r>
      <w:r w:rsidR="001B5A92">
        <w:rPr>
          <w:rFonts w:ascii="Times New Roman" w:eastAsia="Times New Roman" w:hAnsi="Times New Roman" w:cs="Times New Roman"/>
          <w:bCs/>
          <w:sz w:val="24"/>
          <w:szCs w:val="24"/>
        </w:rPr>
        <w:t>ия</w:t>
      </w:r>
      <w:r w:rsidRPr="00041074">
        <w:rPr>
          <w:rFonts w:ascii="Times New Roman" w:eastAsia="Times New Roman" w:hAnsi="Times New Roman" w:cs="Times New Roman"/>
          <w:bCs/>
          <w:sz w:val="24"/>
          <w:szCs w:val="24"/>
        </w:rPr>
        <w:t>т</w:t>
      </w:r>
      <w:r w:rsidR="001B5A92">
        <w:rPr>
          <w:rFonts w:ascii="Times New Roman" w:eastAsia="Times New Roman" w:hAnsi="Times New Roman" w:cs="Times New Roman"/>
          <w:bCs/>
          <w:sz w:val="24"/>
          <w:szCs w:val="24"/>
        </w:rPr>
        <w:t xml:space="preserve"> избор</w:t>
      </w:r>
      <w:r>
        <w:rPr>
          <w:rFonts w:ascii="Times New Roman" w:eastAsia="Times New Roman" w:hAnsi="Times New Roman" w:cs="Times New Roman"/>
          <w:sz w:val="24"/>
          <w:szCs w:val="24"/>
        </w:rPr>
        <w:t xml:space="preserve">, </w:t>
      </w:r>
      <w:r w:rsidRPr="00041074">
        <w:rPr>
          <w:rFonts w:ascii="Times New Roman" w:eastAsia="Times New Roman" w:hAnsi="Times New Roman" w:cs="Times New Roman"/>
          <w:sz w:val="24"/>
          <w:szCs w:val="24"/>
        </w:rPr>
        <w:t>но само в тесния контекст на административната ле</w:t>
      </w:r>
      <w:r>
        <w:rPr>
          <w:rFonts w:ascii="Times New Roman" w:eastAsia="Times New Roman" w:hAnsi="Times New Roman" w:cs="Times New Roman"/>
          <w:sz w:val="24"/>
          <w:szCs w:val="24"/>
        </w:rPr>
        <w:t>кота, игнорирайки ефективността</w:t>
      </w:r>
      <w:r w:rsidRPr="00041074">
        <w:rPr>
          <w:rFonts w:ascii="Times New Roman" w:eastAsia="Times New Roman" w:hAnsi="Times New Roman" w:cs="Times New Roman"/>
          <w:sz w:val="24"/>
          <w:szCs w:val="24"/>
        </w:rPr>
        <w:t xml:space="preserve">. </w:t>
      </w:r>
    </w:p>
    <w:p w14:paraId="65B7FDE4" w14:textId="77777777" w:rsidR="00E16161" w:rsidRDefault="00E16161" w:rsidP="00E16161">
      <w:pPr>
        <w:spacing w:after="0" w:line="240" w:lineRule="auto"/>
        <w:ind w:firstLine="567"/>
        <w:jc w:val="both"/>
        <w:rPr>
          <w:rFonts w:ascii="Times New Roman" w:eastAsia="Times New Roman" w:hAnsi="Times New Roman" w:cs="Times New Roman"/>
          <w:b/>
          <w:bCs/>
          <w:sz w:val="24"/>
          <w:szCs w:val="24"/>
        </w:rPr>
      </w:pPr>
    </w:p>
    <w:p w14:paraId="5E93FE4D"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Вариант 1:</w:t>
      </w:r>
      <w:r w:rsidRPr="0091765E">
        <w:rPr>
          <w:rFonts w:ascii="Times New Roman" w:eastAsia="Times New Roman" w:hAnsi="Times New Roman" w:cs="Times New Roman"/>
          <w:b/>
          <w:bCs/>
          <w:sz w:val="24"/>
          <w:szCs w:val="24"/>
        </w:rPr>
        <w:t xml:space="preserve"> </w:t>
      </w:r>
      <w:r w:rsidRPr="0012328C">
        <w:rPr>
          <w:rFonts w:ascii="Times New Roman" w:eastAsia="Times New Roman" w:hAnsi="Times New Roman" w:cs="Times New Roman"/>
          <w:b/>
          <w:bCs/>
          <w:sz w:val="24"/>
          <w:szCs w:val="24"/>
        </w:rPr>
        <w:t>„Нерегулаторен“</w:t>
      </w:r>
      <w:r w:rsidRPr="0091765E">
        <w:rPr>
          <w:rFonts w:ascii="Times New Roman" w:eastAsia="Times New Roman" w:hAnsi="Times New Roman" w:cs="Times New Roman"/>
          <w:sz w:val="24"/>
          <w:szCs w:val="24"/>
        </w:rPr>
        <w:t xml:space="preserve"> </w:t>
      </w:r>
      <w:r w:rsidRPr="002901F6">
        <w:rPr>
          <w:rFonts w:ascii="Times New Roman" w:eastAsia="Times New Roman" w:hAnsi="Times New Roman" w:cs="Times New Roman"/>
          <w:b/>
          <w:sz w:val="24"/>
          <w:szCs w:val="24"/>
        </w:rPr>
        <w:t>(</w:t>
      </w:r>
      <w:r w:rsidRPr="002901F6">
        <w:rPr>
          <w:rFonts w:ascii="Times New Roman" w:eastAsia="Times New Roman" w:hAnsi="Times New Roman" w:cs="Times New Roman"/>
          <w:b/>
          <w:bCs/>
          <w:sz w:val="24"/>
          <w:szCs w:val="24"/>
        </w:rPr>
        <w:t>+1)</w:t>
      </w:r>
      <w:r w:rsidRPr="0091765E">
        <w:rPr>
          <w:rFonts w:ascii="Times New Roman" w:eastAsia="Times New Roman" w:hAnsi="Times New Roman" w:cs="Times New Roman"/>
          <w:sz w:val="24"/>
          <w:szCs w:val="24"/>
        </w:rPr>
        <w:t xml:space="preserve"> </w:t>
      </w:r>
    </w:p>
    <w:p w14:paraId="6E8FAE14" w14:textId="69709DD7" w:rsidR="00E16161" w:rsidRDefault="00E16161" w:rsidP="00E16161">
      <w:pPr>
        <w:spacing w:after="0" w:line="240" w:lineRule="auto"/>
        <w:ind w:firstLine="567"/>
        <w:jc w:val="both"/>
        <w:rPr>
          <w:rFonts w:ascii="Times New Roman" w:eastAsia="Times New Roman" w:hAnsi="Times New Roman" w:cs="Times New Roman"/>
          <w:sz w:val="24"/>
          <w:szCs w:val="24"/>
        </w:rPr>
      </w:pPr>
      <w:r w:rsidRPr="0091765E">
        <w:rPr>
          <w:rFonts w:ascii="Times New Roman" w:eastAsia="Times New Roman" w:hAnsi="Times New Roman" w:cs="Times New Roman"/>
          <w:sz w:val="24"/>
          <w:szCs w:val="24"/>
        </w:rPr>
        <w:t xml:space="preserve">Нерегулаторният подход би изисквал известни </w:t>
      </w:r>
      <w:r w:rsidRPr="00712B4E">
        <w:rPr>
          <w:rFonts w:ascii="Times New Roman" w:eastAsia="Times New Roman" w:hAnsi="Times New Roman" w:cs="Times New Roman"/>
          <w:bCs/>
          <w:sz w:val="24"/>
          <w:szCs w:val="24"/>
        </w:rPr>
        <w:t>организационни усилия от администрацията</w:t>
      </w:r>
      <w:r w:rsidRPr="00712B4E">
        <w:rPr>
          <w:rFonts w:ascii="Times New Roman" w:eastAsia="Times New Roman" w:hAnsi="Times New Roman" w:cs="Times New Roman"/>
          <w:sz w:val="24"/>
          <w:szCs w:val="24"/>
        </w:rPr>
        <w:t xml:space="preserve">, </w:t>
      </w:r>
      <w:r w:rsidR="001B5A92">
        <w:rPr>
          <w:rFonts w:ascii="Times New Roman" w:eastAsia="Times New Roman" w:hAnsi="Times New Roman" w:cs="Times New Roman"/>
          <w:sz w:val="24"/>
          <w:szCs w:val="24"/>
        </w:rPr>
        <w:t>които са</w:t>
      </w:r>
      <w:r w:rsidRPr="00712B4E">
        <w:rPr>
          <w:rFonts w:ascii="Times New Roman" w:eastAsia="Times New Roman" w:hAnsi="Times New Roman" w:cs="Times New Roman"/>
          <w:sz w:val="24"/>
          <w:szCs w:val="24"/>
        </w:rPr>
        <w:t xml:space="preserve"> минимални в сравнение със законодателните </w:t>
      </w:r>
      <w:r w:rsidR="001B5A92">
        <w:rPr>
          <w:rFonts w:ascii="Times New Roman" w:eastAsia="Times New Roman" w:hAnsi="Times New Roman" w:cs="Times New Roman"/>
          <w:sz w:val="24"/>
          <w:szCs w:val="24"/>
        </w:rPr>
        <w:t>вариант</w:t>
      </w:r>
      <w:r w:rsidRPr="00712B4E">
        <w:rPr>
          <w:rFonts w:ascii="Times New Roman" w:eastAsia="Times New Roman" w:hAnsi="Times New Roman" w:cs="Times New Roman"/>
          <w:sz w:val="24"/>
          <w:szCs w:val="24"/>
        </w:rPr>
        <w:t xml:space="preserve">. Например, МЗХ може да трябва да </w:t>
      </w:r>
      <w:r w:rsidRPr="00712B4E">
        <w:rPr>
          <w:rFonts w:ascii="Times New Roman" w:eastAsia="Times New Roman" w:hAnsi="Times New Roman" w:cs="Times New Roman"/>
          <w:bCs/>
          <w:sz w:val="24"/>
          <w:szCs w:val="24"/>
        </w:rPr>
        <w:t>създаде работна група</w:t>
      </w:r>
      <w:r w:rsidRPr="00712B4E">
        <w:rPr>
          <w:rFonts w:ascii="Times New Roman" w:eastAsia="Times New Roman" w:hAnsi="Times New Roman" w:cs="Times New Roman"/>
          <w:sz w:val="24"/>
          <w:szCs w:val="24"/>
        </w:rPr>
        <w:t xml:space="preserve">, да изготви насоки за добри практики, да проведе кампании сред търговските вериги и доставчиците за доброволно спазване на етични правила. Това включва известни разходи (за срещи, комуникация, може би информационна система за оплаквания, ако </w:t>
      </w:r>
      <w:r w:rsidR="001B5A92">
        <w:rPr>
          <w:rFonts w:ascii="Times New Roman" w:eastAsia="Times New Roman" w:hAnsi="Times New Roman" w:cs="Times New Roman"/>
          <w:sz w:val="24"/>
          <w:szCs w:val="24"/>
        </w:rPr>
        <w:t>се въведе и някакъв подход на</w:t>
      </w:r>
      <w:r w:rsidRPr="00712B4E">
        <w:rPr>
          <w:rFonts w:ascii="Times New Roman" w:eastAsia="Times New Roman" w:hAnsi="Times New Roman" w:cs="Times New Roman"/>
          <w:sz w:val="24"/>
          <w:szCs w:val="24"/>
        </w:rPr>
        <w:t xml:space="preserve"> саморегул</w:t>
      </w:r>
      <w:r w:rsidR="001B5A92">
        <w:rPr>
          <w:rFonts w:ascii="Times New Roman" w:eastAsia="Times New Roman" w:hAnsi="Times New Roman" w:cs="Times New Roman"/>
          <w:sz w:val="24"/>
          <w:szCs w:val="24"/>
        </w:rPr>
        <w:t>иране</w:t>
      </w:r>
      <w:r w:rsidRPr="00712B4E">
        <w:rPr>
          <w:rFonts w:ascii="Times New Roman" w:eastAsia="Times New Roman" w:hAnsi="Times New Roman" w:cs="Times New Roman"/>
          <w:sz w:val="24"/>
          <w:szCs w:val="24"/>
        </w:rPr>
        <w:t>). Следователно</w:t>
      </w:r>
      <w:r w:rsidR="00733A27">
        <w:rPr>
          <w:rFonts w:ascii="Times New Roman" w:eastAsia="Times New Roman" w:hAnsi="Times New Roman" w:cs="Times New Roman"/>
          <w:sz w:val="24"/>
          <w:szCs w:val="24"/>
        </w:rPr>
        <w:t>,</w:t>
      </w:r>
      <w:r w:rsidRPr="00712B4E">
        <w:rPr>
          <w:rFonts w:ascii="Times New Roman" w:eastAsia="Times New Roman" w:hAnsi="Times New Roman" w:cs="Times New Roman"/>
          <w:sz w:val="24"/>
          <w:szCs w:val="24"/>
        </w:rPr>
        <w:t xml:space="preserve"> възприемането на този вариант, би струвало малко, но все пак не абсолютно нула</w:t>
      </w:r>
      <w:r w:rsidR="00030104">
        <w:rPr>
          <w:rFonts w:ascii="Times New Roman" w:eastAsia="Times New Roman" w:hAnsi="Times New Roman" w:cs="Times New Roman"/>
          <w:sz w:val="24"/>
          <w:szCs w:val="24"/>
        </w:rPr>
        <w:t>. Все пак</w:t>
      </w:r>
      <w:r w:rsidR="00733A27">
        <w:rPr>
          <w:rFonts w:ascii="Times New Roman" w:eastAsia="Times New Roman" w:hAnsi="Times New Roman" w:cs="Times New Roman"/>
          <w:sz w:val="24"/>
          <w:szCs w:val="24"/>
        </w:rPr>
        <w:t>,</w:t>
      </w:r>
      <w:r w:rsidR="00030104">
        <w:rPr>
          <w:rFonts w:ascii="Times New Roman" w:eastAsia="Times New Roman" w:hAnsi="Times New Roman" w:cs="Times New Roman"/>
          <w:sz w:val="24"/>
          <w:szCs w:val="24"/>
        </w:rPr>
        <w:t xml:space="preserve"> ще е необходима институция, която </w:t>
      </w:r>
      <w:r w:rsidRPr="00712B4E">
        <w:rPr>
          <w:rFonts w:ascii="Times New Roman" w:eastAsia="Times New Roman" w:hAnsi="Times New Roman" w:cs="Times New Roman"/>
          <w:sz w:val="24"/>
          <w:szCs w:val="24"/>
        </w:rPr>
        <w:t xml:space="preserve">да създаде </w:t>
      </w:r>
      <w:r w:rsidR="001B5A92">
        <w:rPr>
          <w:rFonts w:ascii="Times New Roman" w:eastAsia="Times New Roman" w:hAnsi="Times New Roman" w:cs="Times New Roman"/>
          <w:sz w:val="24"/>
          <w:szCs w:val="24"/>
        </w:rPr>
        <w:t>нужните</w:t>
      </w:r>
      <w:r w:rsidRPr="00712B4E">
        <w:rPr>
          <w:rFonts w:ascii="Times New Roman" w:eastAsia="Times New Roman" w:hAnsi="Times New Roman" w:cs="Times New Roman"/>
          <w:sz w:val="24"/>
          <w:szCs w:val="24"/>
        </w:rPr>
        <w:t xml:space="preserve"> условия и да подпомогне процеса по взаимно приемане на тези доброволни договорки. Няма нови регистри или разрешителни. Бизнесът също не получава задължителни бюрократични тежести</w:t>
      </w:r>
      <w:r w:rsidR="00030104">
        <w:rPr>
          <w:rFonts w:ascii="Times New Roman" w:eastAsia="Times New Roman" w:hAnsi="Times New Roman" w:cs="Times New Roman"/>
          <w:sz w:val="24"/>
          <w:szCs w:val="24"/>
        </w:rPr>
        <w:t>, като</w:t>
      </w:r>
      <w:r w:rsidRPr="00712B4E">
        <w:rPr>
          <w:rFonts w:ascii="Times New Roman" w:eastAsia="Times New Roman" w:hAnsi="Times New Roman" w:cs="Times New Roman"/>
          <w:sz w:val="24"/>
          <w:szCs w:val="24"/>
        </w:rPr>
        <w:t xml:space="preserve"> участието </w:t>
      </w:r>
      <w:r w:rsidR="00030104">
        <w:rPr>
          <w:rFonts w:ascii="Times New Roman" w:eastAsia="Times New Roman" w:hAnsi="Times New Roman" w:cs="Times New Roman"/>
          <w:sz w:val="24"/>
          <w:szCs w:val="24"/>
        </w:rPr>
        <w:t>по презумпция ще бъд</w:t>
      </w:r>
      <w:r w:rsidRPr="00712B4E">
        <w:rPr>
          <w:rFonts w:ascii="Times New Roman" w:eastAsia="Times New Roman" w:hAnsi="Times New Roman" w:cs="Times New Roman"/>
          <w:sz w:val="24"/>
          <w:szCs w:val="24"/>
        </w:rPr>
        <w:t>е доброволно.</w:t>
      </w:r>
      <w:r w:rsidRPr="0091765E">
        <w:rPr>
          <w:rFonts w:ascii="Times New Roman" w:eastAsia="Times New Roman" w:hAnsi="Times New Roman" w:cs="Times New Roman"/>
          <w:sz w:val="24"/>
          <w:szCs w:val="24"/>
        </w:rPr>
        <w:t xml:space="preserve"> </w:t>
      </w:r>
    </w:p>
    <w:p w14:paraId="19163ADE" w14:textId="77777777" w:rsidR="00E16161" w:rsidRPr="0091765E" w:rsidRDefault="00E16161" w:rsidP="00E16161">
      <w:pPr>
        <w:spacing w:after="0" w:line="240" w:lineRule="auto"/>
        <w:ind w:firstLine="567"/>
        <w:jc w:val="both"/>
        <w:rPr>
          <w:rFonts w:ascii="Times New Roman" w:eastAsia="Times New Roman" w:hAnsi="Times New Roman" w:cs="Times New Roman"/>
          <w:sz w:val="24"/>
          <w:szCs w:val="24"/>
        </w:rPr>
      </w:pPr>
    </w:p>
    <w:p w14:paraId="04DD0508"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Вариант</w:t>
      </w:r>
      <w:r w:rsidRPr="0091765E">
        <w:rPr>
          <w:rFonts w:ascii="Times New Roman" w:eastAsia="Times New Roman" w:hAnsi="Times New Roman" w:cs="Times New Roman"/>
          <w:b/>
          <w:bCs/>
          <w:sz w:val="24"/>
          <w:szCs w:val="24"/>
        </w:rPr>
        <w:t xml:space="preserve"> 2 </w:t>
      </w:r>
      <w:r w:rsidRPr="0012328C">
        <w:rPr>
          <w:rFonts w:ascii="Times New Roman" w:eastAsia="Times New Roman" w:hAnsi="Times New Roman" w:cs="Times New Roman"/>
          <w:b/>
          <w:bCs/>
          <w:sz w:val="24"/>
          <w:szCs w:val="24"/>
        </w:rPr>
        <w:t>„Регулаторен - промени в действащата правна уредба</w:t>
      </w:r>
      <w:r w:rsidRPr="002901F6">
        <w:rPr>
          <w:rFonts w:ascii="Times New Roman" w:eastAsia="Times New Roman" w:hAnsi="Times New Roman" w:cs="Times New Roman"/>
          <w:b/>
          <w:bCs/>
          <w:sz w:val="24"/>
          <w:szCs w:val="24"/>
        </w:rPr>
        <w:t>“</w:t>
      </w:r>
      <w:r w:rsidRPr="002901F6">
        <w:rPr>
          <w:rFonts w:ascii="Times New Roman" w:eastAsia="Times New Roman" w:hAnsi="Times New Roman" w:cs="Times New Roman"/>
          <w:b/>
          <w:sz w:val="24"/>
          <w:szCs w:val="24"/>
        </w:rPr>
        <w:t xml:space="preserve"> (</w:t>
      </w:r>
      <w:r w:rsidRPr="002901F6">
        <w:rPr>
          <w:rFonts w:ascii="Times New Roman" w:eastAsia="Times New Roman" w:hAnsi="Times New Roman" w:cs="Times New Roman"/>
          <w:b/>
          <w:bCs/>
          <w:sz w:val="24"/>
          <w:szCs w:val="24"/>
        </w:rPr>
        <w:t>0)</w:t>
      </w:r>
      <w:r w:rsidRPr="0012328C">
        <w:rPr>
          <w:rFonts w:ascii="Times New Roman" w:eastAsia="Times New Roman" w:hAnsi="Times New Roman" w:cs="Times New Roman"/>
          <w:sz w:val="24"/>
          <w:szCs w:val="24"/>
        </w:rPr>
        <w:t xml:space="preserve"> </w:t>
      </w:r>
    </w:p>
    <w:p w14:paraId="383D7A8C" w14:textId="77777777" w:rsidR="001B5A92" w:rsidRDefault="00E16161" w:rsidP="00E16161">
      <w:pPr>
        <w:spacing w:after="0" w:line="240" w:lineRule="auto"/>
        <w:ind w:firstLine="567"/>
        <w:jc w:val="both"/>
        <w:rPr>
          <w:rFonts w:ascii="Times New Roman" w:eastAsia="Times New Roman" w:hAnsi="Times New Roman" w:cs="Times New Roman"/>
          <w:sz w:val="24"/>
          <w:szCs w:val="24"/>
        </w:rPr>
      </w:pPr>
      <w:r w:rsidRPr="00712B4E">
        <w:rPr>
          <w:rFonts w:ascii="Times New Roman" w:eastAsia="Times New Roman" w:hAnsi="Times New Roman" w:cs="Times New Roman"/>
          <w:bCs/>
          <w:sz w:val="24"/>
          <w:szCs w:val="24"/>
        </w:rPr>
        <w:t>При този</w:t>
      </w:r>
      <w:r w:rsidRPr="00712B4E">
        <w:rPr>
          <w:rFonts w:ascii="Times New Roman" w:eastAsia="Times New Roman" w:hAnsi="Times New Roman" w:cs="Times New Roman"/>
          <w:sz w:val="24"/>
          <w:szCs w:val="24"/>
        </w:rPr>
        <w:t xml:space="preserve"> вариант са включени </w:t>
      </w:r>
      <w:r w:rsidRPr="00712B4E">
        <w:rPr>
          <w:rFonts w:ascii="Times New Roman" w:eastAsia="Times New Roman" w:hAnsi="Times New Roman" w:cs="Times New Roman"/>
          <w:bCs/>
          <w:sz w:val="24"/>
          <w:szCs w:val="24"/>
        </w:rPr>
        <w:t>законодателни промени</w:t>
      </w:r>
      <w:r w:rsidRPr="00712B4E">
        <w:rPr>
          <w:rFonts w:ascii="Times New Roman" w:eastAsia="Times New Roman" w:hAnsi="Times New Roman" w:cs="Times New Roman"/>
          <w:sz w:val="24"/>
          <w:szCs w:val="24"/>
        </w:rPr>
        <w:t xml:space="preserve">. Това означава, че </w:t>
      </w:r>
      <w:r w:rsidRPr="00712B4E">
        <w:rPr>
          <w:rFonts w:ascii="Times New Roman" w:eastAsia="Times New Roman" w:hAnsi="Times New Roman" w:cs="Times New Roman"/>
          <w:bCs/>
          <w:sz w:val="24"/>
          <w:szCs w:val="24"/>
        </w:rPr>
        <w:t xml:space="preserve">администрацията ще трябва да изготви, съгласува и внесе </w:t>
      </w:r>
      <w:r w:rsidR="00030104">
        <w:rPr>
          <w:rFonts w:ascii="Times New Roman" w:eastAsia="Times New Roman" w:hAnsi="Times New Roman" w:cs="Times New Roman"/>
          <w:bCs/>
          <w:sz w:val="24"/>
          <w:szCs w:val="24"/>
        </w:rPr>
        <w:t>проекти за изменение и допълнение на нормативни актове</w:t>
      </w:r>
      <w:r w:rsidRPr="00712B4E">
        <w:rPr>
          <w:rFonts w:ascii="Times New Roman" w:eastAsia="Times New Roman" w:hAnsi="Times New Roman" w:cs="Times New Roman"/>
          <w:sz w:val="24"/>
          <w:szCs w:val="24"/>
        </w:rPr>
        <w:t>. След приемане</w:t>
      </w:r>
      <w:r w:rsidR="00AF05AC">
        <w:rPr>
          <w:rFonts w:ascii="Times New Roman" w:eastAsia="Times New Roman" w:hAnsi="Times New Roman" w:cs="Times New Roman"/>
          <w:sz w:val="24"/>
          <w:szCs w:val="24"/>
        </w:rPr>
        <w:t xml:space="preserve"> им</w:t>
      </w:r>
      <w:r w:rsidRPr="00712B4E">
        <w:rPr>
          <w:rFonts w:ascii="Times New Roman" w:eastAsia="Times New Roman" w:hAnsi="Times New Roman" w:cs="Times New Roman"/>
          <w:sz w:val="24"/>
          <w:szCs w:val="24"/>
        </w:rPr>
        <w:t>, прилагането</w:t>
      </w:r>
      <w:r w:rsidR="00AF05AC">
        <w:rPr>
          <w:rFonts w:ascii="Times New Roman" w:eastAsia="Times New Roman" w:hAnsi="Times New Roman" w:cs="Times New Roman"/>
          <w:sz w:val="24"/>
          <w:szCs w:val="24"/>
        </w:rPr>
        <w:t xml:space="preserve"> на новите правила</w:t>
      </w:r>
      <w:r w:rsidRPr="00712B4E">
        <w:rPr>
          <w:rFonts w:ascii="Times New Roman" w:eastAsia="Times New Roman" w:hAnsi="Times New Roman" w:cs="Times New Roman"/>
          <w:sz w:val="24"/>
          <w:szCs w:val="24"/>
        </w:rPr>
        <w:t xml:space="preserve"> вероятно </w:t>
      </w:r>
      <w:r w:rsidR="00AF05AC">
        <w:rPr>
          <w:rFonts w:ascii="Times New Roman" w:eastAsia="Times New Roman" w:hAnsi="Times New Roman" w:cs="Times New Roman"/>
          <w:sz w:val="24"/>
          <w:szCs w:val="24"/>
        </w:rPr>
        <w:t>ще бъд</w:t>
      </w:r>
      <w:r w:rsidR="001B5A92">
        <w:rPr>
          <w:rFonts w:ascii="Times New Roman" w:eastAsia="Times New Roman" w:hAnsi="Times New Roman" w:cs="Times New Roman"/>
          <w:sz w:val="24"/>
          <w:szCs w:val="24"/>
        </w:rPr>
        <w:t>е</w:t>
      </w:r>
      <w:r w:rsidR="00AF05AC">
        <w:rPr>
          <w:rFonts w:ascii="Times New Roman" w:eastAsia="Times New Roman" w:hAnsi="Times New Roman" w:cs="Times New Roman"/>
          <w:sz w:val="24"/>
          <w:szCs w:val="24"/>
        </w:rPr>
        <w:t xml:space="preserve"> възложено на вече</w:t>
      </w:r>
      <w:r w:rsidR="00AF05AC" w:rsidRPr="00712B4E">
        <w:rPr>
          <w:rFonts w:ascii="Times New Roman" w:eastAsia="Times New Roman" w:hAnsi="Times New Roman" w:cs="Times New Roman"/>
          <w:sz w:val="24"/>
          <w:szCs w:val="24"/>
        </w:rPr>
        <w:t xml:space="preserve"> </w:t>
      </w:r>
      <w:r w:rsidRPr="00712B4E">
        <w:rPr>
          <w:rFonts w:ascii="Times New Roman" w:eastAsia="Times New Roman" w:hAnsi="Times New Roman" w:cs="Times New Roman"/>
          <w:bCs/>
          <w:sz w:val="24"/>
          <w:szCs w:val="24"/>
        </w:rPr>
        <w:t>съществуващ орган</w:t>
      </w:r>
      <w:r w:rsidRPr="00712B4E">
        <w:rPr>
          <w:rFonts w:ascii="Times New Roman" w:eastAsia="Times New Roman" w:hAnsi="Times New Roman" w:cs="Times New Roman"/>
          <w:sz w:val="24"/>
          <w:szCs w:val="24"/>
        </w:rPr>
        <w:t xml:space="preserve">. Това е по-евтино, отколкото да се създава нов </w:t>
      </w:r>
      <w:r w:rsidR="00AF05AC">
        <w:rPr>
          <w:rFonts w:ascii="Times New Roman" w:eastAsia="Times New Roman" w:hAnsi="Times New Roman" w:cs="Times New Roman"/>
          <w:sz w:val="24"/>
          <w:szCs w:val="24"/>
        </w:rPr>
        <w:t>такъв</w:t>
      </w:r>
      <w:r w:rsidRPr="00712B4E">
        <w:rPr>
          <w:rFonts w:ascii="Times New Roman" w:eastAsia="Times New Roman" w:hAnsi="Times New Roman" w:cs="Times New Roman"/>
          <w:sz w:val="24"/>
          <w:szCs w:val="24"/>
        </w:rPr>
        <w:t xml:space="preserve">, но все пак ще доведе до </w:t>
      </w:r>
      <w:r w:rsidRPr="00712B4E">
        <w:rPr>
          <w:rFonts w:ascii="Times New Roman" w:eastAsia="Times New Roman" w:hAnsi="Times New Roman" w:cs="Times New Roman"/>
          <w:bCs/>
          <w:sz w:val="24"/>
          <w:szCs w:val="24"/>
        </w:rPr>
        <w:t>натоварване на настоящите институции</w:t>
      </w:r>
      <w:r w:rsidRPr="00712B4E">
        <w:rPr>
          <w:rFonts w:ascii="Times New Roman" w:eastAsia="Times New Roman" w:hAnsi="Times New Roman" w:cs="Times New Roman"/>
          <w:sz w:val="24"/>
          <w:szCs w:val="24"/>
        </w:rPr>
        <w:t>.</w:t>
      </w:r>
    </w:p>
    <w:p w14:paraId="2E16C818" w14:textId="18D410AD" w:rsidR="00E16161" w:rsidRDefault="00E16161" w:rsidP="00E16161">
      <w:pPr>
        <w:spacing w:after="0" w:line="240" w:lineRule="auto"/>
        <w:ind w:firstLine="567"/>
        <w:jc w:val="both"/>
        <w:rPr>
          <w:rFonts w:ascii="Times New Roman" w:eastAsia="Times New Roman" w:hAnsi="Times New Roman" w:cs="Times New Roman"/>
          <w:sz w:val="24"/>
          <w:szCs w:val="24"/>
        </w:rPr>
      </w:pPr>
      <w:r w:rsidRPr="00712B4E">
        <w:rPr>
          <w:rFonts w:ascii="Times New Roman" w:eastAsia="Times New Roman" w:hAnsi="Times New Roman" w:cs="Times New Roman"/>
          <w:sz w:val="24"/>
          <w:szCs w:val="24"/>
        </w:rPr>
        <w:t xml:space="preserve">Може да се наложи КЗК или друг надзорен орган да наеме още хора или да отдели екип по тези въпроси, което е </w:t>
      </w:r>
      <w:r w:rsidRPr="00712B4E">
        <w:rPr>
          <w:rFonts w:ascii="Times New Roman" w:eastAsia="Times New Roman" w:hAnsi="Times New Roman" w:cs="Times New Roman"/>
          <w:bCs/>
          <w:sz w:val="24"/>
          <w:szCs w:val="24"/>
        </w:rPr>
        <w:t>частично увеличение на разходите</w:t>
      </w:r>
      <w:r w:rsidR="001B5A92">
        <w:rPr>
          <w:rFonts w:ascii="Times New Roman" w:eastAsia="Times New Roman" w:hAnsi="Times New Roman" w:cs="Times New Roman"/>
          <w:bCs/>
          <w:sz w:val="24"/>
          <w:szCs w:val="24"/>
        </w:rPr>
        <w:t>, което от гледна точка на държавния бюджет би било пренебрежимо ниска сума</w:t>
      </w:r>
      <w:r w:rsidRPr="00712B4E">
        <w:rPr>
          <w:rFonts w:ascii="Times New Roman" w:eastAsia="Times New Roman" w:hAnsi="Times New Roman" w:cs="Times New Roman"/>
          <w:sz w:val="24"/>
          <w:szCs w:val="24"/>
        </w:rPr>
        <w:t xml:space="preserve">. Все пак, </w:t>
      </w:r>
      <w:r w:rsidRPr="00712B4E">
        <w:rPr>
          <w:rFonts w:ascii="Times New Roman" w:eastAsia="Times New Roman" w:hAnsi="Times New Roman" w:cs="Times New Roman"/>
          <w:bCs/>
          <w:sz w:val="24"/>
          <w:szCs w:val="24"/>
        </w:rPr>
        <w:t>процедурите за прилагане се усложняват в известна степен</w:t>
      </w:r>
      <w:r w:rsidR="00223D63">
        <w:rPr>
          <w:rFonts w:ascii="Times New Roman" w:eastAsia="Times New Roman" w:hAnsi="Times New Roman" w:cs="Times New Roman"/>
          <w:bCs/>
          <w:sz w:val="24"/>
          <w:szCs w:val="24"/>
        </w:rPr>
        <w:t>, като п</w:t>
      </w:r>
      <w:r w:rsidR="00AF05AC">
        <w:rPr>
          <w:rFonts w:ascii="Times New Roman" w:eastAsia="Times New Roman" w:hAnsi="Times New Roman" w:cs="Times New Roman"/>
          <w:sz w:val="24"/>
          <w:szCs w:val="24"/>
        </w:rPr>
        <w:t>редприятията в сектора</w:t>
      </w:r>
      <w:r w:rsidRPr="00712B4E">
        <w:rPr>
          <w:rFonts w:ascii="Times New Roman" w:eastAsia="Times New Roman" w:hAnsi="Times New Roman" w:cs="Times New Roman"/>
          <w:sz w:val="24"/>
          <w:szCs w:val="24"/>
        </w:rPr>
        <w:t xml:space="preserve"> ще трябва да се информират за новите правила, може да има нужда от подаване на сигнали към регулатора и участие в производства. Това е нова административна реалност за големите търговци (те ще трябва да доказват, че не прилагат забранените практики при евентуални проверки). </w:t>
      </w:r>
    </w:p>
    <w:p w14:paraId="3B06FF6F"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p>
    <w:p w14:paraId="16822071"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r w:rsidRPr="00ED09E4">
        <w:rPr>
          <w:rFonts w:ascii="Times New Roman" w:eastAsia="Times New Roman" w:hAnsi="Times New Roman" w:cs="Times New Roman"/>
          <w:b/>
          <w:bCs/>
          <w:sz w:val="24"/>
          <w:szCs w:val="24"/>
        </w:rPr>
        <w:t>Вариант 3: „Регулаторен – изцяло нов специален закон“</w:t>
      </w:r>
      <w:r>
        <w:rPr>
          <w:rFonts w:ascii="Times New Roman" w:eastAsia="Times New Roman" w:hAnsi="Times New Roman" w:cs="Times New Roman"/>
          <w:b/>
          <w:bCs/>
          <w:sz w:val="24"/>
          <w:szCs w:val="24"/>
        </w:rPr>
        <w:t xml:space="preserve"> </w:t>
      </w:r>
      <w:r w:rsidRPr="00712B4E">
        <w:rPr>
          <w:rFonts w:ascii="Times New Roman" w:eastAsia="Times New Roman" w:hAnsi="Times New Roman" w:cs="Times New Roman"/>
          <w:b/>
          <w:bCs/>
          <w:sz w:val="24"/>
          <w:szCs w:val="24"/>
        </w:rPr>
        <w:t>(-1)</w:t>
      </w:r>
      <w:r w:rsidRPr="0091765E">
        <w:rPr>
          <w:rFonts w:ascii="Times New Roman" w:eastAsia="Times New Roman" w:hAnsi="Times New Roman" w:cs="Times New Roman"/>
          <w:sz w:val="24"/>
          <w:szCs w:val="24"/>
        </w:rPr>
        <w:t xml:space="preserve"> </w:t>
      </w:r>
    </w:p>
    <w:p w14:paraId="19233DBC" w14:textId="648C6E76" w:rsidR="00E16161" w:rsidRPr="002901F6" w:rsidRDefault="00E16161" w:rsidP="00E16161">
      <w:pPr>
        <w:spacing w:after="0" w:line="240" w:lineRule="auto"/>
        <w:ind w:firstLine="567"/>
        <w:jc w:val="both"/>
        <w:rPr>
          <w:rFonts w:ascii="Times New Roman" w:eastAsia="Times New Roman" w:hAnsi="Times New Roman" w:cs="Times New Roman"/>
          <w:sz w:val="24"/>
          <w:szCs w:val="24"/>
        </w:rPr>
      </w:pPr>
      <w:r w:rsidRPr="0091765E">
        <w:rPr>
          <w:rFonts w:ascii="Times New Roman" w:eastAsia="Times New Roman" w:hAnsi="Times New Roman" w:cs="Times New Roman"/>
          <w:sz w:val="24"/>
          <w:szCs w:val="24"/>
        </w:rPr>
        <w:t xml:space="preserve">Нов специален закон </w:t>
      </w:r>
      <w:r>
        <w:rPr>
          <w:rFonts w:ascii="Times New Roman" w:eastAsia="Times New Roman" w:hAnsi="Times New Roman" w:cs="Times New Roman"/>
          <w:sz w:val="24"/>
          <w:szCs w:val="24"/>
        </w:rPr>
        <w:t>би</w:t>
      </w:r>
      <w:r w:rsidRPr="0091765E">
        <w:rPr>
          <w:rFonts w:ascii="Times New Roman" w:eastAsia="Times New Roman" w:hAnsi="Times New Roman" w:cs="Times New Roman"/>
          <w:sz w:val="24"/>
          <w:szCs w:val="24"/>
        </w:rPr>
        <w:t xml:space="preserve"> изисква</w:t>
      </w:r>
      <w:r>
        <w:rPr>
          <w:rFonts w:ascii="Times New Roman" w:eastAsia="Times New Roman" w:hAnsi="Times New Roman" w:cs="Times New Roman"/>
          <w:sz w:val="24"/>
          <w:szCs w:val="24"/>
        </w:rPr>
        <w:t>л</w:t>
      </w:r>
      <w:r w:rsidRPr="0091765E">
        <w:rPr>
          <w:rFonts w:ascii="Times New Roman" w:eastAsia="Times New Roman" w:hAnsi="Times New Roman" w:cs="Times New Roman"/>
          <w:sz w:val="24"/>
          <w:szCs w:val="24"/>
        </w:rPr>
        <w:t xml:space="preserve"> </w:t>
      </w:r>
      <w:r w:rsidRPr="002901F6">
        <w:rPr>
          <w:rFonts w:ascii="Times New Roman" w:eastAsia="Times New Roman" w:hAnsi="Times New Roman" w:cs="Times New Roman"/>
          <w:bCs/>
          <w:sz w:val="24"/>
          <w:szCs w:val="24"/>
        </w:rPr>
        <w:t>нов прилагащ механизъм</w:t>
      </w:r>
      <w:r w:rsidRPr="0091765E">
        <w:rPr>
          <w:rFonts w:ascii="Times New Roman" w:eastAsia="Times New Roman" w:hAnsi="Times New Roman" w:cs="Times New Roman"/>
          <w:sz w:val="24"/>
          <w:szCs w:val="24"/>
        </w:rPr>
        <w:t xml:space="preserve">. </w:t>
      </w:r>
      <w:r w:rsidR="00223D63">
        <w:rPr>
          <w:rFonts w:ascii="Times New Roman" w:eastAsia="Times New Roman" w:hAnsi="Times New Roman" w:cs="Times New Roman"/>
          <w:sz w:val="24"/>
          <w:szCs w:val="24"/>
        </w:rPr>
        <w:t xml:space="preserve">Той предвижда  </w:t>
      </w:r>
      <w:r w:rsidRPr="0051319B">
        <w:rPr>
          <w:rFonts w:ascii="Times New Roman" w:eastAsia="Times New Roman" w:hAnsi="Times New Roman" w:cs="Times New Roman"/>
          <w:sz w:val="24"/>
          <w:szCs w:val="24"/>
        </w:rPr>
        <w:t xml:space="preserve">създаване на регистър на първите изкупвачи и </w:t>
      </w:r>
      <w:r w:rsidR="00223D63">
        <w:rPr>
          <w:rFonts w:ascii="Times New Roman" w:eastAsia="Times New Roman" w:hAnsi="Times New Roman" w:cs="Times New Roman"/>
          <w:sz w:val="24"/>
          <w:szCs w:val="24"/>
        </w:rPr>
        <w:t xml:space="preserve">електронна </w:t>
      </w:r>
      <w:r w:rsidRPr="0051319B">
        <w:rPr>
          <w:rFonts w:ascii="Times New Roman" w:eastAsia="Times New Roman" w:hAnsi="Times New Roman" w:cs="Times New Roman"/>
          <w:sz w:val="24"/>
          <w:szCs w:val="24"/>
        </w:rPr>
        <w:t xml:space="preserve">система за проследяване, </w:t>
      </w:r>
      <w:r w:rsidR="00223D63">
        <w:rPr>
          <w:rFonts w:ascii="Times New Roman" w:eastAsia="Times New Roman" w:hAnsi="Times New Roman" w:cs="Times New Roman"/>
          <w:sz w:val="24"/>
          <w:szCs w:val="24"/>
        </w:rPr>
        <w:t xml:space="preserve">без да </w:t>
      </w:r>
      <w:r w:rsidRPr="0051319B">
        <w:rPr>
          <w:rFonts w:ascii="Times New Roman" w:eastAsia="Times New Roman" w:hAnsi="Times New Roman" w:cs="Times New Roman"/>
          <w:sz w:val="24"/>
          <w:szCs w:val="24"/>
        </w:rPr>
        <w:t>изисква създаване</w:t>
      </w:r>
      <w:r w:rsidR="00223D63">
        <w:rPr>
          <w:rFonts w:ascii="Times New Roman" w:eastAsia="Times New Roman" w:hAnsi="Times New Roman" w:cs="Times New Roman"/>
          <w:sz w:val="24"/>
          <w:szCs w:val="24"/>
        </w:rPr>
        <w:t>то</w:t>
      </w:r>
      <w:r w:rsidRPr="0051319B">
        <w:rPr>
          <w:rFonts w:ascii="Times New Roman" w:eastAsia="Times New Roman" w:hAnsi="Times New Roman" w:cs="Times New Roman"/>
          <w:sz w:val="24"/>
          <w:szCs w:val="24"/>
        </w:rPr>
        <w:t xml:space="preserve"> на нов</w:t>
      </w:r>
      <w:r w:rsidR="00223D63">
        <w:rPr>
          <w:rFonts w:ascii="Times New Roman" w:eastAsia="Times New Roman" w:hAnsi="Times New Roman" w:cs="Times New Roman"/>
          <w:sz w:val="24"/>
          <w:szCs w:val="24"/>
        </w:rPr>
        <w:t>и институционални или административни структури</w:t>
      </w:r>
      <w:r w:rsidRPr="0051319B">
        <w:rPr>
          <w:rFonts w:ascii="Times New Roman" w:eastAsia="Times New Roman" w:hAnsi="Times New Roman" w:cs="Times New Roman"/>
          <w:sz w:val="24"/>
          <w:szCs w:val="24"/>
        </w:rPr>
        <w:t xml:space="preserve"> структура. </w:t>
      </w:r>
      <w:r w:rsidR="00AF05AC">
        <w:rPr>
          <w:rFonts w:ascii="Times New Roman" w:eastAsia="Times New Roman" w:hAnsi="Times New Roman" w:cs="Times New Roman"/>
          <w:sz w:val="24"/>
          <w:szCs w:val="24"/>
        </w:rPr>
        <w:t xml:space="preserve">Подобни </w:t>
      </w:r>
      <w:r w:rsidRPr="0051319B">
        <w:rPr>
          <w:rFonts w:ascii="Times New Roman" w:eastAsia="Times New Roman" w:hAnsi="Times New Roman" w:cs="Times New Roman"/>
          <w:sz w:val="24"/>
          <w:szCs w:val="24"/>
        </w:rPr>
        <w:t xml:space="preserve">дейности </w:t>
      </w:r>
      <w:r w:rsidR="00AF05AC">
        <w:rPr>
          <w:rFonts w:ascii="Times New Roman" w:eastAsia="Times New Roman" w:hAnsi="Times New Roman" w:cs="Times New Roman"/>
          <w:sz w:val="24"/>
          <w:szCs w:val="24"/>
        </w:rPr>
        <w:t>с</w:t>
      </w:r>
      <w:r w:rsidR="00223D63">
        <w:rPr>
          <w:rFonts w:ascii="Times New Roman" w:eastAsia="Times New Roman" w:hAnsi="Times New Roman" w:cs="Times New Roman"/>
          <w:sz w:val="24"/>
          <w:szCs w:val="24"/>
        </w:rPr>
        <w:t xml:space="preserve">е очаква </w:t>
      </w:r>
      <w:r w:rsidRPr="0051319B">
        <w:rPr>
          <w:rFonts w:ascii="Times New Roman" w:eastAsia="Times New Roman" w:hAnsi="Times New Roman" w:cs="Times New Roman"/>
          <w:sz w:val="24"/>
          <w:szCs w:val="24"/>
        </w:rPr>
        <w:t xml:space="preserve">да се изпълняват в рамките на съществуващите ресурси на МЗХ и МИИ, с евентуално назначаване на </w:t>
      </w:r>
      <w:r>
        <w:rPr>
          <w:rFonts w:ascii="Times New Roman" w:eastAsia="Times New Roman" w:hAnsi="Times New Roman" w:cs="Times New Roman"/>
          <w:sz w:val="24"/>
          <w:szCs w:val="24"/>
        </w:rPr>
        <w:t>минимален брой</w:t>
      </w:r>
      <w:r w:rsidRPr="0051319B">
        <w:rPr>
          <w:rFonts w:ascii="Times New Roman" w:eastAsia="Times New Roman" w:hAnsi="Times New Roman" w:cs="Times New Roman"/>
          <w:sz w:val="24"/>
          <w:szCs w:val="24"/>
        </w:rPr>
        <w:t xml:space="preserve"> нови щатни служители в двете министерства. За </w:t>
      </w:r>
      <w:r w:rsidR="00AF05AC">
        <w:rPr>
          <w:rFonts w:ascii="Times New Roman" w:eastAsia="Times New Roman" w:hAnsi="Times New Roman" w:cs="Times New Roman"/>
          <w:sz w:val="24"/>
          <w:szCs w:val="24"/>
        </w:rPr>
        <w:t>търговските дружества</w:t>
      </w:r>
      <w:r w:rsidR="00AF05AC" w:rsidRPr="0051319B">
        <w:rPr>
          <w:rFonts w:ascii="Times New Roman" w:eastAsia="Times New Roman" w:hAnsi="Times New Roman" w:cs="Times New Roman"/>
          <w:sz w:val="24"/>
          <w:szCs w:val="24"/>
        </w:rPr>
        <w:t xml:space="preserve"> </w:t>
      </w:r>
      <w:r w:rsidRPr="0051319B">
        <w:rPr>
          <w:rFonts w:ascii="Times New Roman" w:eastAsia="Times New Roman" w:hAnsi="Times New Roman" w:cs="Times New Roman"/>
          <w:sz w:val="24"/>
          <w:szCs w:val="24"/>
        </w:rPr>
        <w:t>новата административна тежест е ограничена – еднократна регистрация и рутинно подаване на информация, без значими нови регулаторни изисквания.</w:t>
      </w:r>
      <w:r>
        <w:rPr>
          <w:rFonts w:ascii="Times New Roman" w:eastAsia="Times New Roman" w:hAnsi="Times New Roman" w:cs="Times New Roman"/>
          <w:sz w:val="24"/>
          <w:szCs w:val="24"/>
        </w:rPr>
        <w:t xml:space="preserve"> </w:t>
      </w:r>
      <w:r w:rsidR="00223D63">
        <w:rPr>
          <w:rFonts w:ascii="Times New Roman" w:eastAsia="Times New Roman" w:hAnsi="Times New Roman" w:cs="Times New Roman"/>
          <w:sz w:val="24"/>
          <w:szCs w:val="24"/>
        </w:rPr>
        <w:t xml:space="preserve">За </w:t>
      </w:r>
      <w:r w:rsidR="00733A27">
        <w:rPr>
          <w:rFonts w:ascii="Times New Roman" w:eastAsia="Times New Roman" w:hAnsi="Times New Roman" w:cs="Times New Roman"/>
          <w:sz w:val="24"/>
          <w:szCs w:val="24"/>
        </w:rPr>
        <w:t xml:space="preserve">производителите </w:t>
      </w:r>
      <w:r w:rsidR="00223D63">
        <w:rPr>
          <w:rFonts w:ascii="Times New Roman" w:eastAsia="Times New Roman" w:hAnsi="Times New Roman" w:cs="Times New Roman"/>
          <w:sz w:val="24"/>
          <w:szCs w:val="24"/>
        </w:rPr>
        <w:t xml:space="preserve">и </w:t>
      </w:r>
      <w:r w:rsidRPr="0091765E">
        <w:rPr>
          <w:rFonts w:ascii="Times New Roman" w:eastAsia="Times New Roman" w:hAnsi="Times New Roman" w:cs="Times New Roman"/>
          <w:sz w:val="24"/>
          <w:szCs w:val="24"/>
        </w:rPr>
        <w:t>доставчиците няма директни задължения,</w:t>
      </w:r>
      <w:r w:rsidR="00223D63">
        <w:rPr>
          <w:rFonts w:ascii="Times New Roman" w:eastAsia="Times New Roman" w:hAnsi="Times New Roman" w:cs="Times New Roman"/>
          <w:sz w:val="24"/>
          <w:szCs w:val="24"/>
        </w:rPr>
        <w:t xml:space="preserve"> но</w:t>
      </w:r>
      <w:r w:rsidRPr="0091765E">
        <w:rPr>
          <w:rFonts w:ascii="Times New Roman" w:eastAsia="Times New Roman" w:hAnsi="Times New Roman" w:cs="Times New Roman"/>
          <w:sz w:val="24"/>
          <w:szCs w:val="24"/>
        </w:rPr>
        <w:t xml:space="preserve"> държавата ще </w:t>
      </w:r>
      <w:r w:rsidR="00223D63">
        <w:rPr>
          <w:rFonts w:ascii="Times New Roman" w:eastAsia="Times New Roman" w:hAnsi="Times New Roman" w:cs="Times New Roman"/>
          <w:sz w:val="24"/>
          <w:szCs w:val="24"/>
        </w:rPr>
        <w:t xml:space="preserve">следва да </w:t>
      </w:r>
      <w:r w:rsidRPr="0091765E">
        <w:rPr>
          <w:rFonts w:ascii="Times New Roman" w:eastAsia="Times New Roman" w:hAnsi="Times New Roman" w:cs="Times New Roman"/>
          <w:sz w:val="24"/>
          <w:szCs w:val="24"/>
        </w:rPr>
        <w:t xml:space="preserve">поеме изцяло бремето на надзора, което </w:t>
      </w:r>
      <w:r w:rsidRPr="002901F6">
        <w:rPr>
          <w:rFonts w:ascii="Times New Roman" w:eastAsia="Times New Roman" w:hAnsi="Times New Roman" w:cs="Times New Roman"/>
          <w:bCs/>
          <w:sz w:val="24"/>
          <w:szCs w:val="24"/>
        </w:rPr>
        <w:t xml:space="preserve">административно </w:t>
      </w:r>
      <w:r w:rsidR="00AF05AC">
        <w:rPr>
          <w:rFonts w:ascii="Times New Roman" w:eastAsia="Times New Roman" w:hAnsi="Times New Roman" w:cs="Times New Roman"/>
          <w:bCs/>
          <w:sz w:val="24"/>
          <w:szCs w:val="24"/>
        </w:rPr>
        <w:t>щ</w:t>
      </w:r>
      <w:r w:rsidRPr="002901F6">
        <w:rPr>
          <w:rFonts w:ascii="Times New Roman" w:eastAsia="Times New Roman" w:hAnsi="Times New Roman" w:cs="Times New Roman"/>
          <w:bCs/>
          <w:sz w:val="24"/>
          <w:szCs w:val="24"/>
        </w:rPr>
        <w:t>е</w:t>
      </w:r>
      <w:r w:rsidR="00AF05AC">
        <w:rPr>
          <w:rFonts w:ascii="Times New Roman" w:eastAsia="Times New Roman" w:hAnsi="Times New Roman" w:cs="Times New Roman"/>
          <w:bCs/>
          <w:sz w:val="24"/>
          <w:szCs w:val="24"/>
        </w:rPr>
        <w:t xml:space="preserve"> представлява</w:t>
      </w:r>
      <w:r w:rsidRPr="002901F6">
        <w:rPr>
          <w:rFonts w:ascii="Times New Roman" w:eastAsia="Times New Roman" w:hAnsi="Times New Roman" w:cs="Times New Roman"/>
          <w:bCs/>
          <w:sz w:val="24"/>
          <w:szCs w:val="24"/>
        </w:rPr>
        <w:t xml:space="preserve"> предизвикателство</w:t>
      </w:r>
      <w:r w:rsidR="00223D63">
        <w:rPr>
          <w:rFonts w:ascii="Times New Roman" w:eastAsia="Times New Roman" w:hAnsi="Times New Roman" w:cs="Times New Roman"/>
          <w:bCs/>
          <w:sz w:val="24"/>
          <w:szCs w:val="24"/>
        </w:rPr>
        <w:t>.</w:t>
      </w:r>
      <w:r w:rsidRPr="0091765E">
        <w:rPr>
          <w:rFonts w:ascii="Times New Roman" w:eastAsia="Times New Roman" w:hAnsi="Times New Roman" w:cs="Times New Roman"/>
          <w:sz w:val="24"/>
          <w:szCs w:val="24"/>
        </w:rPr>
        <w:t xml:space="preserve"> </w:t>
      </w:r>
      <w:r w:rsidR="00223D63">
        <w:rPr>
          <w:rFonts w:ascii="Times New Roman" w:eastAsia="Times New Roman" w:hAnsi="Times New Roman" w:cs="Times New Roman"/>
          <w:sz w:val="24"/>
          <w:szCs w:val="24"/>
        </w:rPr>
        <w:t>Ще</w:t>
      </w:r>
      <w:r w:rsidRPr="0091765E">
        <w:rPr>
          <w:rFonts w:ascii="Times New Roman" w:eastAsia="Times New Roman" w:hAnsi="Times New Roman" w:cs="Times New Roman"/>
          <w:sz w:val="24"/>
          <w:szCs w:val="24"/>
        </w:rPr>
        <w:t xml:space="preserve"> трябва да се създадат нови </w:t>
      </w:r>
      <w:r w:rsidRPr="002901F6">
        <w:rPr>
          <w:rFonts w:ascii="Times New Roman" w:eastAsia="Times New Roman" w:hAnsi="Times New Roman" w:cs="Times New Roman"/>
          <w:bCs/>
          <w:sz w:val="24"/>
          <w:szCs w:val="24"/>
        </w:rPr>
        <w:t>правила, наредби, регистри</w:t>
      </w:r>
      <w:r w:rsidRPr="0091765E">
        <w:rPr>
          <w:rFonts w:ascii="Times New Roman" w:eastAsia="Times New Roman" w:hAnsi="Times New Roman" w:cs="Times New Roman"/>
          <w:sz w:val="24"/>
          <w:szCs w:val="24"/>
        </w:rPr>
        <w:t xml:space="preserve">, да се организира ефективен </w:t>
      </w:r>
      <w:r w:rsidR="00223D63">
        <w:rPr>
          <w:rFonts w:ascii="Times New Roman" w:eastAsia="Times New Roman" w:hAnsi="Times New Roman" w:cs="Times New Roman"/>
          <w:sz w:val="24"/>
          <w:szCs w:val="24"/>
        </w:rPr>
        <w:t xml:space="preserve">мониторинг и </w:t>
      </w:r>
      <w:r w:rsidRPr="0091765E">
        <w:rPr>
          <w:rFonts w:ascii="Times New Roman" w:eastAsia="Times New Roman" w:hAnsi="Times New Roman" w:cs="Times New Roman"/>
          <w:sz w:val="24"/>
          <w:szCs w:val="24"/>
        </w:rPr>
        <w:t>контрол</w:t>
      </w:r>
      <w:r w:rsidR="00AF05AC">
        <w:rPr>
          <w:rFonts w:ascii="Times New Roman" w:eastAsia="Times New Roman" w:hAnsi="Times New Roman" w:cs="Times New Roman"/>
          <w:sz w:val="24"/>
          <w:szCs w:val="24"/>
        </w:rPr>
        <w:t xml:space="preserve"> </w:t>
      </w:r>
      <w:r w:rsidR="00223D63">
        <w:rPr>
          <w:rFonts w:ascii="Times New Roman" w:eastAsia="Times New Roman" w:hAnsi="Times New Roman" w:cs="Times New Roman"/>
          <w:sz w:val="24"/>
          <w:szCs w:val="24"/>
        </w:rPr>
        <w:t xml:space="preserve">– централизиран и </w:t>
      </w:r>
      <w:r w:rsidR="00AF05AC">
        <w:rPr>
          <w:rFonts w:ascii="Times New Roman" w:eastAsia="Times New Roman" w:hAnsi="Times New Roman" w:cs="Times New Roman"/>
          <w:sz w:val="24"/>
          <w:szCs w:val="24"/>
        </w:rPr>
        <w:t>по места</w:t>
      </w:r>
      <w:r w:rsidR="00223D63">
        <w:rPr>
          <w:rFonts w:ascii="Times New Roman" w:eastAsia="Times New Roman" w:hAnsi="Times New Roman" w:cs="Times New Roman"/>
          <w:sz w:val="24"/>
          <w:szCs w:val="24"/>
        </w:rPr>
        <w:t xml:space="preserve"> и т.н.</w:t>
      </w:r>
      <w:r w:rsidRPr="0091765E">
        <w:rPr>
          <w:rFonts w:ascii="Times New Roman" w:eastAsia="Times New Roman" w:hAnsi="Times New Roman" w:cs="Times New Roman"/>
          <w:sz w:val="24"/>
          <w:szCs w:val="24"/>
        </w:rPr>
        <w:t xml:space="preserve"> </w:t>
      </w:r>
      <w:r w:rsidRPr="002901F6">
        <w:rPr>
          <w:rFonts w:ascii="Times New Roman" w:eastAsia="Times New Roman" w:hAnsi="Times New Roman" w:cs="Times New Roman"/>
          <w:sz w:val="24"/>
          <w:szCs w:val="24"/>
        </w:rPr>
        <w:t xml:space="preserve">Все пак, на този вариант е поставена оценка –1, а не –2, тъй като няма индикации за </w:t>
      </w:r>
      <w:r w:rsidRPr="002901F6">
        <w:rPr>
          <w:rFonts w:ascii="Times New Roman" w:eastAsia="Times New Roman" w:hAnsi="Times New Roman" w:cs="Times New Roman"/>
          <w:bCs/>
          <w:sz w:val="24"/>
          <w:szCs w:val="24"/>
        </w:rPr>
        <w:t>извънредно висока</w:t>
      </w:r>
      <w:r w:rsidRPr="002901F6">
        <w:rPr>
          <w:rFonts w:ascii="Times New Roman" w:eastAsia="Times New Roman" w:hAnsi="Times New Roman" w:cs="Times New Roman"/>
          <w:sz w:val="24"/>
          <w:szCs w:val="24"/>
        </w:rPr>
        <w:t xml:space="preserve"> тежест</w:t>
      </w:r>
      <w:r w:rsidR="00733A27">
        <w:rPr>
          <w:rFonts w:ascii="Times New Roman" w:eastAsia="Times New Roman" w:hAnsi="Times New Roman" w:cs="Times New Roman"/>
          <w:sz w:val="24"/>
          <w:szCs w:val="24"/>
        </w:rPr>
        <w:t>,</w:t>
      </w:r>
      <w:r w:rsidRPr="002901F6">
        <w:rPr>
          <w:rFonts w:ascii="Times New Roman" w:eastAsia="Times New Roman" w:hAnsi="Times New Roman" w:cs="Times New Roman"/>
          <w:sz w:val="24"/>
          <w:szCs w:val="24"/>
        </w:rPr>
        <w:t xml:space="preserve"> например, не се предвижда</w:t>
      </w:r>
      <w:r w:rsidR="00223D63">
        <w:rPr>
          <w:rFonts w:ascii="Times New Roman" w:eastAsia="Times New Roman" w:hAnsi="Times New Roman" w:cs="Times New Roman"/>
          <w:sz w:val="24"/>
          <w:szCs w:val="24"/>
        </w:rPr>
        <w:t xml:space="preserve"> създаване на нова институция </w:t>
      </w:r>
      <w:r w:rsidR="00DF704F">
        <w:rPr>
          <w:rFonts w:ascii="Times New Roman" w:eastAsia="Times New Roman" w:hAnsi="Times New Roman" w:cs="Times New Roman"/>
          <w:sz w:val="24"/>
          <w:szCs w:val="24"/>
        </w:rPr>
        <w:t xml:space="preserve">или звено </w:t>
      </w:r>
      <w:r w:rsidR="00223D63">
        <w:rPr>
          <w:rFonts w:ascii="Times New Roman" w:eastAsia="Times New Roman" w:hAnsi="Times New Roman" w:cs="Times New Roman"/>
          <w:sz w:val="24"/>
          <w:szCs w:val="24"/>
        </w:rPr>
        <w:t>в администрацията</w:t>
      </w:r>
      <w:r w:rsidRPr="002901F6">
        <w:rPr>
          <w:rFonts w:ascii="Times New Roman" w:eastAsia="Times New Roman" w:hAnsi="Times New Roman" w:cs="Times New Roman"/>
          <w:sz w:val="24"/>
          <w:szCs w:val="24"/>
        </w:rPr>
        <w:t xml:space="preserve">. </w:t>
      </w:r>
      <w:r w:rsidR="00223D63">
        <w:rPr>
          <w:rFonts w:ascii="Times New Roman" w:eastAsia="Times New Roman" w:hAnsi="Times New Roman" w:cs="Times New Roman"/>
          <w:sz w:val="24"/>
          <w:szCs w:val="24"/>
        </w:rPr>
        <w:t>Обективно</w:t>
      </w:r>
      <w:r w:rsidR="00733A27">
        <w:rPr>
          <w:rFonts w:ascii="Times New Roman" w:eastAsia="Times New Roman" w:hAnsi="Times New Roman" w:cs="Times New Roman"/>
          <w:sz w:val="24"/>
          <w:szCs w:val="24"/>
        </w:rPr>
        <w:t>,</w:t>
      </w:r>
      <w:r w:rsidRPr="002901F6">
        <w:rPr>
          <w:rFonts w:ascii="Times New Roman" w:eastAsia="Times New Roman" w:hAnsi="Times New Roman" w:cs="Times New Roman"/>
          <w:sz w:val="24"/>
          <w:szCs w:val="24"/>
        </w:rPr>
        <w:t xml:space="preserve"> </w:t>
      </w:r>
      <w:r w:rsidRPr="002901F6">
        <w:rPr>
          <w:rFonts w:ascii="Times New Roman" w:eastAsia="Times New Roman" w:hAnsi="Times New Roman" w:cs="Times New Roman"/>
          <w:bCs/>
          <w:sz w:val="24"/>
          <w:szCs w:val="24"/>
        </w:rPr>
        <w:t>Вариант 3 е най-скъпия</w:t>
      </w:r>
      <w:r w:rsidR="00AF05AC">
        <w:rPr>
          <w:rFonts w:ascii="Times New Roman" w:eastAsia="Times New Roman" w:hAnsi="Times New Roman" w:cs="Times New Roman"/>
          <w:bCs/>
          <w:sz w:val="24"/>
          <w:szCs w:val="24"/>
        </w:rPr>
        <w:t>т</w:t>
      </w:r>
      <w:r w:rsidRPr="002901F6">
        <w:rPr>
          <w:rFonts w:ascii="Times New Roman" w:eastAsia="Times New Roman" w:hAnsi="Times New Roman" w:cs="Times New Roman"/>
          <w:bCs/>
          <w:sz w:val="24"/>
          <w:szCs w:val="24"/>
        </w:rPr>
        <w:t xml:space="preserve"> и бюрократичен</w:t>
      </w:r>
      <w:r w:rsidRPr="002901F6">
        <w:rPr>
          <w:rFonts w:ascii="Times New Roman" w:eastAsia="Times New Roman" w:hAnsi="Times New Roman" w:cs="Times New Roman"/>
          <w:sz w:val="24"/>
          <w:szCs w:val="24"/>
        </w:rPr>
        <w:t>, затова оценката по този критерий е негативна.</w:t>
      </w:r>
    </w:p>
    <w:p w14:paraId="5CF3CAAD" w14:textId="77777777" w:rsidR="00AF05AC" w:rsidRDefault="00AF05AC" w:rsidP="00E16161">
      <w:pPr>
        <w:spacing w:after="0" w:line="240" w:lineRule="auto"/>
        <w:ind w:firstLine="567"/>
        <w:jc w:val="both"/>
        <w:rPr>
          <w:rFonts w:ascii="Times New Roman" w:eastAsia="Times New Roman" w:hAnsi="Times New Roman" w:cs="Times New Roman"/>
          <w:b/>
          <w:sz w:val="24"/>
          <w:szCs w:val="24"/>
        </w:rPr>
      </w:pPr>
    </w:p>
    <w:p w14:paraId="4EBFFADE" w14:textId="00B93A07" w:rsidR="00E16161" w:rsidRPr="00E378B1" w:rsidRDefault="00E16161" w:rsidP="00E16161">
      <w:pPr>
        <w:spacing w:after="0" w:line="240" w:lineRule="auto"/>
        <w:ind w:firstLine="567"/>
        <w:jc w:val="both"/>
        <w:rPr>
          <w:rFonts w:ascii="Times New Roman" w:eastAsia="Times New Roman" w:hAnsi="Times New Roman" w:cs="Times New Roman"/>
          <w:b/>
          <w:i/>
          <w:sz w:val="24"/>
          <w:szCs w:val="24"/>
        </w:rPr>
      </w:pPr>
      <w:r w:rsidRPr="00E378B1">
        <w:rPr>
          <w:rFonts w:ascii="Times New Roman" w:eastAsia="Times New Roman" w:hAnsi="Times New Roman" w:cs="Times New Roman"/>
          <w:b/>
          <w:i/>
          <w:sz w:val="24"/>
          <w:szCs w:val="24"/>
        </w:rPr>
        <w:t>5. КРИТЕРИЙ:</w:t>
      </w:r>
      <w:r w:rsidRPr="00E378B1">
        <w:rPr>
          <w:rFonts w:ascii="Times New Roman" w:hAnsi="Times New Roman" w:cs="Times New Roman"/>
          <w:b/>
          <w:i/>
          <w:sz w:val="24"/>
          <w:szCs w:val="24"/>
          <w:lang w:val="ru-RU"/>
        </w:rPr>
        <w:t xml:space="preserve"> </w:t>
      </w:r>
      <w:r w:rsidRPr="00E378B1">
        <w:rPr>
          <w:rFonts w:ascii="Times New Roman" w:hAnsi="Times New Roman" w:cs="Times New Roman"/>
          <w:b/>
          <w:i/>
          <w:sz w:val="24"/>
          <w:szCs w:val="24"/>
        </w:rPr>
        <w:t>П</w:t>
      </w:r>
      <w:r w:rsidRPr="00E378B1">
        <w:rPr>
          <w:rFonts w:ascii="Times New Roman" w:eastAsia="Times New Roman" w:hAnsi="Times New Roman" w:cs="Times New Roman"/>
          <w:b/>
          <w:i/>
          <w:sz w:val="24"/>
          <w:szCs w:val="24"/>
        </w:rPr>
        <w:t>РИЛОЖИМОСТ И ОСЪЩЕСТВИМОСТ</w:t>
      </w:r>
    </w:p>
    <w:p w14:paraId="3607F356" w14:textId="77777777" w:rsidR="00E16161" w:rsidRPr="002901F6" w:rsidRDefault="00E16161" w:rsidP="00E16161">
      <w:pPr>
        <w:spacing w:after="0" w:line="240" w:lineRule="auto"/>
        <w:ind w:firstLine="567"/>
        <w:jc w:val="both"/>
        <w:rPr>
          <w:rFonts w:ascii="Times New Roman" w:eastAsia="Times New Roman" w:hAnsi="Times New Roman" w:cs="Times New Roman"/>
          <w:b/>
          <w:bCs/>
          <w:sz w:val="24"/>
          <w:szCs w:val="24"/>
        </w:rPr>
      </w:pPr>
      <w:r w:rsidRPr="002901F6">
        <w:rPr>
          <w:rFonts w:ascii="Times New Roman" w:eastAsia="Times New Roman" w:hAnsi="Times New Roman" w:cs="Times New Roman"/>
          <w:b/>
          <w:bCs/>
          <w:sz w:val="24"/>
          <w:szCs w:val="24"/>
        </w:rPr>
        <w:t>Вариант 0: „Без действие“ (+2)</w:t>
      </w:r>
    </w:p>
    <w:p w14:paraId="6A0EF82A" w14:textId="56ACC1F9" w:rsidR="00E16161" w:rsidRPr="00712B4E" w:rsidRDefault="00E16161" w:rsidP="00E16161">
      <w:pPr>
        <w:spacing w:after="0" w:line="240" w:lineRule="auto"/>
        <w:ind w:firstLine="567"/>
        <w:jc w:val="both"/>
        <w:rPr>
          <w:rFonts w:ascii="Times New Roman" w:eastAsia="Times New Roman" w:hAnsi="Times New Roman" w:cs="Times New Roman"/>
          <w:sz w:val="24"/>
          <w:szCs w:val="24"/>
        </w:rPr>
      </w:pPr>
      <w:r w:rsidRPr="00712B4E">
        <w:rPr>
          <w:rFonts w:ascii="Times New Roman" w:eastAsia="Times New Roman" w:hAnsi="Times New Roman" w:cs="Times New Roman"/>
          <w:sz w:val="24"/>
          <w:szCs w:val="24"/>
        </w:rPr>
        <w:t>Този вариант не съдържа действия, следователно</w:t>
      </w:r>
      <w:r w:rsidR="00AF05AC">
        <w:rPr>
          <w:rFonts w:ascii="Times New Roman" w:eastAsia="Times New Roman" w:hAnsi="Times New Roman" w:cs="Times New Roman"/>
          <w:sz w:val="24"/>
          <w:szCs w:val="24"/>
        </w:rPr>
        <w:t>,</w:t>
      </w:r>
      <w:r w:rsidRPr="00712B4E">
        <w:rPr>
          <w:rFonts w:ascii="Times New Roman" w:eastAsia="Times New Roman" w:hAnsi="Times New Roman" w:cs="Times New Roman"/>
          <w:sz w:val="24"/>
          <w:szCs w:val="24"/>
        </w:rPr>
        <w:t xml:space="preserve"> </w:t>
      </w:r>
      <w:r w:rsidRPr="00712B4E">
        <w:rPr>
          <w:rFonts w:ascii="Times New Roman" w:eastAsia="Times New Roman" w:hAnsi="Times New Roman" w:cs="Times New Roman"/>
          <w:bCs/>
          <w:sz w:val="24"/>
          <w:szCs w:val="24"/>
        </w:rPr>
        <w:t>няма никакви пречки или рискове при изпълнение</w:t>
      </w:r>
      <w:r>
        <w:rPr>
          <w:rFonts w:ascii="Times New Roman" w:eastAsia="Times New Roman" w:hAnsi="Times New Roman" w:cs="Times New Roman"/>
          <w:sz w:val="24"/>
          <w:szCs w:val="24"/>
        </w:rPr>
        <w:t>. Т</w:t>
      </w:r>
      <w:r w:rsidRPr="00712B4E">
        <w:rPr>
          <w:rFonts w:ascii="Times New Roman" w:eastAsia="Times New Roman" w:hAnsi="Times New Roman" w:cs="Times New Roman"/>
          <w:sz w:val="24"/>
          <w:szCs w:val="24"/>
        </w:rPr>
        <w:t xml:space="preserve">ой е просто продължаване на текущото положение. В този смисъл, от гледна точка на </w:t>
      </w:r>
      <w:r w:rsidR="00AF05AC" w:rsidRPr="00712B4E">
        <w:rPr>
          <w:rFonts w:ascii="Times New Roman" w:eastAsia="Times New Roman" w:hAnsi="Times New Roman" w:cs="Times New Roman"/>
          <w:sz w:val="24"/>
          <w:szCs w:val="24"/>
        </w:rPr>
        <w:t>реализ</w:t>
      </w:r>
      <w:r w:rsidR="00AF05AC">
        <w:rPr>
          <w:rFonts w:ascii="Times New Roman" w:eastAsia="Times New Roman" w:hAnsi="Times New Roman" w:cs="Times New Roman"/>
          <w:sz w:val="24"/>
          <w:szCs w:val="24"/>
        </w:rPr>
        <w:t>ма</w:t>
      </w:r>
      <w:r w:rsidRPr="00712B4E">
        <w:rPr>
          <w:rFonts w:ascii="Times New Roman" w:eastAsia="Times New Roman" w:hAnsi="Times New Roman" w:cs="Times New Roman"/>
          <w:sz w:val="24"/>
          <w:szCs w:val="24"/>
        </w:rPr>
        <w:t>, Вариант 0 е 100% незабавно осъществим. Разбира се, тук „приложимост“ не</w:t>
      </w:r>
      <w:r w:rsidR="00AF05AC">
        <w:rPr>
          <w:rFonts w:ascii="Times New Roman" w:eastAsia="Times New Roman" w:hAnsi="Times New Roman" w:cs="Times New Roman"/>
          <w:sz w:val="24"/>
          <w:szCs w:val="24"/>
        </w:rPr>
        <w:t xml:space="preserve"> следва да се разбира като широко понятие</w:t>
      </w:r>
      <w:r w:rsidRPr="00712B4E">
        <w:rPr>
          <w:rFonts w:ascii="Times New Roman" w:eastAsia="Times New Roman" w:hAnsi="Times New Roman" w:cs="Times New Roman"/>
          <w:sz w:val="24"/>
          <w:szCs w:val="24"/>
        </w:rPr>
        <w:t xml:space="preserve">, понеже </w:t>
      </w:r>
      <w:r w:rsidR="00AF05AC">
        <w:rPr>
          <w:rFonts w:ascii="Times New Roman" w:eastAsia="Times New Roman" w:hAnsi="Times New Roman" w:cs="Times New Roman"/>
          <w:sz w:val="24"/>
          <w:szCs w:val="24"/>
        </w:rPr>
        <w:t xml:space="preserve">на практика </w:t>
      </w:r>
      <w:r w:rsidRPr="00712B4E">
        <w:rPr>
          <w:rFonts w:ascii="Times New Roman" w:eastAsia="Times New Roman" w:hAnsi="Times New Roman" w:cs="Times New Roman"/>
          <w:sz w:val="24"/>
          <w:szCs w:val="24"/>
        </w:rPr>
        <w:t xml:space="preserve">няма </w:t>
      </w:r>
      <w:r>
        <w:rPr>
          <w:rFonts w:ascii="Times New Roman" w:eastAsia="Times New Roman" w:hAnsi="Times New Roman" w:cs="Times New Roman"/>
          <w:sz w:val="24"/>
          <w:szCs w:val="24"/>
        </w:rPr>
        <w:t xml:space="preserve">мерки на </w:t>
      </w:r>
      <w:r w:rsidRPr="00712B4E">
        <w:rPr>
          <w:rFonts w:ascii="Times New Roman" w:eastAsia="Times New Roman" w:hAnsi="Times New Roman" w:cs="Times New Roman"/>
          <w:sz w:val="24"/>
          <w:szCs w:val="24"/>
        </w:rPr>
        <w:t xml:space="preserve">политика за прилагане. Но ако формално </w:t>
      </w:r>
      <w:r>
        <w:rPr>
          <w:rFonts w:ascii="Times New Roman" w:eastAsia="Times New Roman" w:hAnsi="Times New Roman" w:cs="Times New Roman"/>
          <w:sz w:val="24"/>
          <w:szCs w:val="24"/>
        </w:rPr>
        <w:t xml:space="preserve">се </w:t>
      </w:r>
      <w:r w:rsidRPr="00712B4E">
        <w:rPr>
          <w:rFonts w:ascii="Times New Roman" w:eastAsia="Times New Roman" w:hAnsi="Times New Roman" w:cs="Times New Roman"/>
          <w:sz w:val="24"/>
          <w:szCs w:val="24"/>
        </w:rPr>
        <w:t xml:space="preserve">оценява колко е вероятно вариантът да се </w:t>
      </w:r>
      <w:r>
        <w:rPr>
          <w:rFonts w:ascii="Times New Roman" w:eastAsia="Times New Roman" w:hAnsi="Times New Roman" w:cs="Times New Roman"/>
          <w:sz w:val="24"/>
          <w:szCs w:val="24"/>
        </w:rPr>
        <w:t>приложи</w:t>
      </w:r>
      <w:r w:rsidRPr="00712B4E">
        <w:rPr>
          <w:rFonts w:ascii="Times New Roman" w:eastAsia="Times New Roman" w:hAnsi="Times New Roman" w:cs="Times New Roman"/>
          <w:sz w:val="24"/>
          <w:szCs w:val="24"/>
        </w:rPr>
        <w:t xml:space="preserve"> – това е най-</w:t>
      </w:r>
      <w:r>
        <w:rPr>
          <w:rFonts w:ascii="Times New Roman" w:eastAsia="Times New Roman" w:hAnsi="Times New Roman" w:cs="Times New Roman"/>
          <w:sz w:val="24"/>
          <w:szCs w:val="24"/>
        </w:rPr>
        <w:t>осъществимият вариант</w:t>
      </w:r>
      <w:r w:rsidRPr="00712B4E">
        <w:rPr>
          <w:rFonts w:ascii="Times New Roman" w:eastAsia="Times New Roman" w:hAnsi="Times New Roman" w:cs="Times New Roman"/>
          <w:sz w:val="24"/>
          <w:szCs w:val="24"/>
        </w:rPr>
        <w:t xml:space="preserve">, тъй като изисква </w:t>
      </w:r>
      <w:r w:rsidRPr="00712B4E">
        <w:rPr>
          <w:rFonts w:ascii="Times New Roman" w:eastAsia="Times New Roman" w:hAnsi="Times New Roman" w:cs="Times New Roman"/>
          <w:bCs/>
          <w:sz w:val="24"/>
          <w:szCs w:val="24"/>
        </w:rPr>
        <w:t>нулево усилие</w:t>
      </w:r>
      <w:r w:rsidRPr="00712B4E">
        <w:rPr>
          <w:rFonts w:ascii="Times New Roman" w:eastAsia="Times New Roman" w:hAnsi="Times New Roman" w:cs="Times New Roman"/>
          <w:sz w:val="24"/>
          <w:szCs w:val="24"/>
        </w:rPr>
        <w:t>. Оценката, която е поставена на този вариант</w:t>
      </w:r>
      <w:r w:rsidR="00AF05AC">
        <w:rPr>
          <w:rFonts w:ascii="Times New Roman" w:eastAsia="Times New Roman" w:hAnsi="Times New Roman" w:cs="Times New Roman"/>
          <w:sz w:val="24"/>
          <w:szCs w:val="24"/>
        </w:rPr>
        <w:t>,</w:t>
      </w:r>
      <w:r w:rsidRPr="00712B4E">
        <w:rPr>
          <w:rFonts w:ascii="Times New Roman" w:eastAsia="Times New Roman" w:hAnsi="Times New Roman" w:cs="Times New Roman"/>
          <w:sz w:val="24"/>
          <w:szCs w:val="24"/>
        </w:rPr>
        <w:t xml:space="preserve"> е +2</w:t>
      </w:r>
      <w:r w:rsidR="00AF05AC">
        <w:rPr>
          <w:rFonts w:ascii="Times New Roman" w:eastAsia="Times New Roman" w:hAnsi="Times New Roman" w:cs="Times New Roman"/>
          <w:sz w:val="24"/>
          <w:szCs w:val="24"/>
        </w:rPr>
        <w:t>,</w:t>
      </w:r>
      <w:r w:rsidRPr="00712B4E">
        <w:rPr>
          <w:rFonts w:ascii="Times New Roman" w:eastAsia="Times New Roman" w:hAnsi="Times New Roman" w:cs="Times New Roman"/>
          <w:sz w:val="24"/>
          <w:szCs w:val="24"/>
        </w:rPr>
        <w:t xml:space="preserve"> с уговорката, че това „предимство“ е по-скоро илюзорно </w:t>
      </w:r>
      <w:r w:rsidR="00223D63">
        <w:rPr>
          <w:rFonts w:ascii="Times New Roman" w:eastAsia="Times New Roman" w:hAnsi="Times New Roman" w:cs="Times New Roman"/>
          <w:sz w:val="24"/>
          <w:szCs w:val="24"/>
        </w:rPr>
        <w:t>от гледна точка</w:t>
      </w:r>
      <w:r w:rsidRPr="00712B4E">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раз</w:t>
      </w:r>
      <w:r w:rsidRPr="00712B4E">
        <w:rPr>
          <w:rFonts w:ascii="Times New Roman" w:eastAsia="Times New Roman" w:hAnsi="Times New Roman" w:cs="Times New Roman"/>
          <w:sz w:val="24"/>
          <w:szCs w:val="24"/>
        </w:rPr>
        <w:t>решаване на проблемите.</w:t>
      </w:r>
    </w:p>
    <w:p w14:paraId="5B535FDD" w14:textId="77777777" w:rsidR="00E16161" w:rsidRPr="0091765E" w:rsidRDefault="00E16161" w:rsidP="00E16161">
      <w:pPr>
        <w:spacing w:after="0" w:line="240" w:lineRule="auto"/>
        <w:ind w:firstLine="567"/>
        <w:jc w:val="both"/>
        <w:rPr>
          <w:rFonts w:ascii="Times New Roman" w:eastAsia="Times New Roman" w:hAnsi="Times New Roman" w:cs="Times New Roman"/>
          <w:sz w:val="24"/>
          <w:szCs w:val="24"/>
        </w:rPr>
      </w:pPr>
    </w:p>
    <w:p w14:paraId="28917DC0" w14:textId="77777777" w:rsidR="00E16161" w:rsidRPr="002901F6" w:rsidRDefault="00E16161" w:rsidP="00E16161">
      <w:pPr>
        <w:spacing w:after="0" w:line="240" w:lineRule="auto"/>
        <w:ind w:firstLine="567"/>
        <w:jc w:val="both"/>
        <w:rPr>
          <w:rFonts w:ascii="Times New Roman" w:eastAsia="Times New Roman" w:hAnsi="Times New Roman" w:cs="Times New Roman"/>
          <w:b/>
          <w:bCs/>
          <w:sz w:val="24"/>
          <w:szCs w:val="24"/>
        </w:rPr>
      </w:pPr>
      <w:r w:rsidRPr="002901F6">
        <w:rPr>
          <w:rFonts w:ascii="Times New Roman" w:eastAsia="Times New Roman" w:hAnsi="Times New Roman" w:cs="Times New Roman"/>
          <w:b/>
          <w:bCs/>
          <w:sz w:val="24"/>
          <w:szCs w:val="24"/>
        </w:rPr>
        <w:t xml:space="preserve">Вариант 1: „Нерегулаторен“ (+2) </w:t>
      </w:r>
    </w:p>
    <w:p w14:paraId="7091E7C5" w14:textId="70BD83D4" w:rsidR="00E16161" w:rsidRPr="006E68CB" w:rsidRDefault="00E16161" w:rsidP="00E16161">
      <w:pPr>
        <w:spacing w:after="0" w:line="240" w:lineRule="auto"/>
        <w:ind w:firstLine="567"/>
        <w:jc w:val="both"/>
        <w:rPr>
          <w:rFonts w:ascii="Times New Roman" w:eastAsia="Times New Roman" w:hAnsi="Times New Roman" w:cs="Times New Roman"/>
          <w:sz w:val="24"/>
          <w:szCs w:val="24"/>
        </w:rPr>
      </w:pPr>
      <w:r w:rsidRPr="006E68CB">
        <w:rPr>
          <w:rFonts w:ascii="Times New Roman" w:eastAsia="Times New Roman" w:hAnsi="Times New Roman" w:cs="Times New Roman"/>
          <w:sz w:val="24"/>
          <w:szCs w:val="24"/>
        </w:rPr>
        <w:t xml:space="preserve">Нерегулаторните мерки са </w:t>
      </w:r>
      <w:r w:rsidRPr="006E68CB">
        <w:rPr>
          <w:rFonts w:ascii="Times New Roman" w:eastAsia="Times New Roman" w:hAnsi="Times New Roman" w:cs="Times New Roman"/>
          <w:bCs/>
          <w:sz w:val="24"/>
          <w:szCs w:val="24"/>
        </w:rPr>
        <w:t xml:space="preserve">лесно </w:t>
      </w:r>
      <w:r w:rsidR="00AF05AC">
        <w:rPr>
          <w:rFonts w:ascii="Times New Roman" w:eastAsia="Times New Roman" w:hAnsi="Times New Roman" w:cs="Times New Roman"/>
          <w:bCs/>
          <w:sz w:val="24"/>
          <w:szCs w:val="24"/>
        </w:rPr>
        <w:t>осъществими</w:t>
      </w:r>
      <w:r w:rsidR="00AF05AC" w:rsidRPr="006E68CB">
        <w:rPr>
          <w:rFonts w:ascii="Times New Roman" w:eastAsia="Times New Roman" w:hAnsi="Times New Roman" w:cs="Times New Roman"/>
          <w:bCs/>
          <w:sz w:val="24"/>
          <w:szCs w:val="24"/>
        </w:rPr>
        <w:t xml:space="preserve"> </w:t>
      </w:r>
      <w:r w:rsidRPr="006E68CB">
        <w:rPr>
          <w:rFonts w:ascii="Times New Roman" w:eastAsia="Times New Roman" w:hAnsi="Times New Roman" w:cs="Times New Roman"/>
          <w:bCs/>
          <w:sz w:val="24"/>
          <w:szCs w:val="24"/>
        </w:rPr>
        <w:t>и политически по-малко спорни</w:t>
      </w:r>
      <w:r w:rsidRPr="006E68CB">
        <w:rPr>
          <w:rFonts w:ascii="Times New Roman" w:eastAsia="Times New Roman" w:hAnsi="Times New Roman" w:cs="Times New Roman"/>
          <w:sz w:val="24"/>
          <w:szCs w:val="24"/>
        </w:rPr>
        <w:t>. Приемането  на доброволен кодекс за добри практи</w:t>
      </w:r>
      <w:r>
        <w:rPr>
          <w:rFonts w:ascii="Times New Roman" w:eastAsia="Times New Roman" w:hAnsi="Times New Roman" w:cs="Times New Roman"/>
          <w:sz w:val="24"/>
          <w:szCs w:val="24"/>
        </w:rPr>
        <w:t>ки</w:t>
      </w:r>
      <w:r w:rsidR="00AF05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например</w:t>
      </w:r>
      <w:r w:rsidR="00AF05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може да стане бързо. </w:t>
      </w:r>
      <w:r w:rsidRPr="006E68CB">
        <w:rPr>
          <w:rFonts w:ascii="Times New Roman" w:eastAsia="Times New Roman" w:hAnsi="Times New Roman" w:cs="Times New Roman"/>
          <w:sz w:val="24"/>
          <w:szCs w:val="24"/>
        </w:rPr>
        <w:t xml:space="preserve">МЗХ вече е сформирало работна група през 2025 г. за концепция за нова политика, която би могла да предложи и такъв подход. Подобни доброволни </w:t>
      </w:r>
      <w:r w:rsidR="00223D63">
        <w:rPr>
          <w:rFonts w:ascii="Times New Roman" w:eastAsia="Times New Roman" w:hAnsi="Times New Roman" w:cs="Times New Roman"/>
          <w:sz w:val="24"/>
          <w:szCs w:val="24"/>
        </w:rPr>
        <w:t>подходи</w:t>
      </w:r>
      <w:r w:rsidRPr="006E68CB">
        <w:rPr>
          <w:rFonts w:ascii="Times New Roman" w:eastAsia="Times New Roman" w:hAnsi="Times New Roman" w:cs="Times New Roman"/>
          <w:sz w:val="24"/>
          <w:szCs w:val="24"/>
        </w:rPr>
        <w:t xml:space="preserve"> не изискват парламентарно одобрение, което </w:t>
      </w:r>
      <w:r w:rsidRPr="006E68CB">
        <w:rPr>
          <w:rFonts w:ascii="Times New Roman" w:eastAsia="Times New Roman" w:hAnsi="Times New Roman" w:cs="Times New Roman"/>
          <w:bCs/>
          <w:sz w:val="24"/>
          <w:szCs w:val="24"/>
        </w:rPr>
        <w:t>спестява време и рискове</w:t>
      </w:r>
      <w:r w:rsidRPr="006E68CB">
        <w:rPr>
          <w:rFonts w:ascii="Times New Roman" w:eastAsia="Times New Roman" w:hAnsi="Times New Roman" w:cs="Times New Roman"/>
          <w:sz w:val="24"/>
          <w:szCs w:val="24"/>
        </w:rPr>
        <w:t xml:space="preserve"> (няма зависимост от несигурен законодателен процес). Освен това големите търговски вериги вероятно биха предпочели такъв мек подход пред твърдо законодателство, тъй че </w:t>
      </w:r>
      <w:r w:rsidRPr="006E68CB">
        <w:rPr>
          <w:rFonts w:ascii="Times New Roman" w:eastAsia="Times New Roman" w:hAnsi="Times New Roman" w:cs="Times New Roman"/>
          <w:bCs/>
          <w:sz w:val="24"/>
          <w:szCs w:val="24"/>
        </w:rPr>
        <w:t>биха съдействали</w:t>
      </w:r>
      <w:r>
        <w:rPr>
          <w:rFonts w:ascii="Times New Roman" w:eastAsia="Times New Roman" w:hAnsi="Times New Roman" w:cs="Times New Roman"/>
          <w:sz w:val="24"/>
          <w:szCs w:val="24"/>
        </w:rPr>
        <w:t xml:space="preserve"> поне привидно.</w:t>
      </w:r>
      <w:r w:rsidRPr="006E68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Така</w:t>
      </w:r>
      <w:r w:rsidR="00AF05AC">
        <w:rPr>
          <w:rFonts w:ascii="Times New Roman" w:eastAsia="Times New Roman" w:hAnsi="Times New Roman" w:cs="Times New Roman"/>
          <w:sz w:val="24"/>
          <w:szCs w:val="24"/>
        </w:rPr>
        <w:t>,</w:t>
      </w:r>
      <w:r w:rsidRPr="006E68CB">
        <w:rPr>
          <w:rFonts w:ascii="Times New Roman" w:eastAsia="Times New Roman" w:hAnsi="Times New Roman" w:cs="Times New Roman"/>
          <w:sz w:val="24"/>
          <w:szCs w:val="24"/>
        </w:rPr>
        <w:t xml:space="preserve"> политически</w:t>
      </w:r>
      <w:r w:rsidR="00AF05AC">
        <w:rPr>
          <w:rFonts w:ascii="Times New Roman" w:eastAsia="Times New Roman" w:hAnsi="Times New Roman" w:cs="Times New Roman"/>
          <w:sz w:val="24"/>
          <w:szCs w:val="24"/>
        </w:rPr>
        <w:t>,</w:t>
      </w:r>
      <w:r w:rsidRPr="006E68CB">
        <w:rPr>
          <w:rFonts w:ascii="Times New Roman" w:eastAsia="Times New Roman" w:hAnsi="Times New Roman" w:cs="Times New Roman"/>
          <w:sz w:val="24"/>
          <w:szCs w:val="24"/>
        </w:rPr>
        <w:t xml:space="preserve"> съпротивата срещу Вариант 1 би била ниска (никой не е против „доброволни“ мерки). </w:t>
      </w:r>
      <w:r>
        <w:rPr>
          <w:rFonts w:ascii="Times New Roman" w:eastAsia="Times New Roman" w:hAnsi="Times New Roman" w:cs="Times New Roman"/>
          <w:sz w:val="24"/>
          <w:szCs w:val="24"/>
        </w:rPr>
        <w:t>Като в</w:t>
      </w:r>
      <w:r w:rsidRPr="006E68CB">
        <w:rPr>
          <w:rFonts w:ascii="Times New Roman" w:eastAsia="Times New Roman" w:hAnsi="Times New Roman" w:cs="Times New Roman"/>
          <w:bCs/>
          <w:sz w:val="24"/>
          <w:szCs w:val="24"/>
        </w:rPr>
        <w:t>ремеви хоризонт</w:t>
      </w:r>
      <w:r w:rsidRPr="006E68CB">
        <w:rPr>
          <w:rFonts w:ascii="Times New Roman" w:eastAsia="Times New Roman" w:hAnsi="Times New Roman" w:cs="Times New Roman"/>
          <w:sz w:val="24"/>
          <w:szCs w:val="24"/>
        </w:rPr>
        <w:t xml:space="preserve"> </w:t>
      </w:r>
      <w:bookmarkStart w:id="25" w:name="_Hlk196139342"/>
      <w:r w:rsidRPr="006E68CB">
        <w:rPr>
          <w:rFonts w:ascii="Times New Roman" w:eastAsia="Times New Roman" w:hAnsi="Times New Roman" w:cs="Times New Roman"/>
          <w:sz w:val="24"/>
          <w:szCs w:val="24"/>
        </w:rPr>
        <w:t>Вариант 1</w:t>
      </w:r>
      <w:bookmarkEnd w:id="25"/>
      <w:r w:rsidRPr="006E68CB">
        <w:rPr>
          <w:rFonts w:ascii="Times New Roman" w:eastAsia="Times New Roman" w:hAnsi="Times New Roman" w:cs="Times New Roman"/>
          <w:sz w:val="24"/>
          <w:szCs w:val="24"/>
        </w:rPr>
        <w:t xml:space="preserve"> може да се въведе за няколко месеца (създаване на кодекс, подписване от заинтересованите страни, медийно оповестяване), докато законодателните варианти отнемат </w:t>
      </w:r>
      <w:r w:rsidR="00223D63">
        <w:rPr>
          <w:rFonts w:ascii="Times New Roman" w:eastAsia="Times New Roman" w:hAnsi="Times New Roman" w:cs="Times New Roman"/>
          <w:sz w:val="24"/>
          <w:szCs w:val="24"/>
        </w:rPr>
        <w:t xml:space="preserve">доста </w:t>
      </w:r>
      <w:r w:rsidRPr="006E68CB">
        <w:rPr>
          <w:rFonts w:ascii="Times New Roman" w:eastAsia="Times New Roman" w:hAnsi="Times New Roman" w:cs="Times New Roman"/>
          <w:sz w:val="24"/>
          <w:szCs w:val="24"/>
        </w:rPr>
        <w:t>повече</w:t>
      </w:r>
      <w:r w:rsidR="00223D63">
        <w:rPr>
          <w:rFonts w:ascii="Times New Roman" w:eastAsia="Times New Roman" w:hAnsi="Times New Roman" w:cs="Times New Roman"/>
          <w:sz w:val="24"/>
          <w:szCs w:val="24"/>
        </w:rPr>
        <w:t xml:space="preserve"> време</w:t>
      </w:r>
      <w:r w:rsidRPr="006E68CB">
        <w:rPr>
          <w:rFonts w:ascii="Times New Roman" w:eastAsia="Times New Roman" w:hAnsi="Times New Roman" w:cs="Times New Roman"/>
          <w:sz w:val="24"/>
          <w:szCs w:val="24"/>
        </w:rPr>
        <w:t>. Затова оценката е +2</w:t>
      </w:r>
      <w:r w:rsidR="00AF05AC">
        <w:rPr>
          <w:rFonts w:ascii="Times New Roman" w:eastAsia="Times New Roman" w:hAnsi="Times New Roman" w:cs="Times New Roman"/>
          <w:sz w:val="24"/>
          <w:szCs w:val="24"/>
        </w:rPr>
        <w:t xml:space="preserve">, </w:t>
      </w:r>
      <w:r w:rsidR="00223D63">
        <w:rPr>
          <w:rFonts w:ascii="Times New Roman" w:eastAsia="Times New Roman" w:hAnsi="Times New Roman" w:cs="Times New Roman"/>
          <w:sz w:val="24"/>
          <w:szCs w:val="24"/>
        </w:rPr>
        <w:t xml:space="preserve">като се </w:t>
      </w:r>
      <w:r w:rsidR="00AF05AC">
        <w:rPr>
          <w:rFonts w:ascii="Times New Roman" w:eastAsia="Times New Roman" w:hAnsi="Times New Roman" w:cs="Times New Roman"/>
          <w:sz w:val="24"/>
          <w:szCs w:val="24"/>
        </w:rPr>
        <w:t>прие</w:t>
      </w:r>
      <w:r w:rsidR="00223D63">
        <w:rPr>
          <w:rFonts w:ascii="Times New Roman" w:eastAsia="Times New Roman" w:hAnsi="Times New Roman" w:cs="Times New Roman"/>
          <w:sz w:val="24"/>
          <w:szCs w:val="24"/>
        </w:rPr>
        <w:t>ма, че това е</w:t>
      </w:r>
      <w:r w:rsidRPr="006E68CB">
        <w:rPr>
          <w:rFonts w:ascii="Times New Roman" w:eastAsia="Times New Roman" w:hAnsi="Times New Roman" w:cs="Times New Roman"/>
          <w:sz w:val="24"/>
          <w:szCs w:val="24"/>
        </w:rPr>
        <w:t xml:space="preserve"> </w:t>
      </w:r>
      <w:r w:rsidRPr="006E68CB">
        <w:rPr>
          <w:rFonts w:ascii="Times New Roman" w:eastAsia="Times New Roman" w:hAnsi="Times New Roman" w:cs="Times New Roman"/>
          <w:bCs/>
          <w:sz w:val="24"/>
          <w:szCs w:val="24"/>
        </w:rPr>
        <w:t>много бърз</w:t>
      </w:r>
      <w:r w:rsidR="00223D63">
        <w:rPr>
          <w:rFonts w:ascii="Times New Roman" w:eastAsia="Times New Roman" w:hAnsi="Times New Roman" w:cs="Times New Roman"/>
          <w:bCs/>
          <w:sz w:val="24"/>
          <w:szCs w:val="24"/>
        </w:rPr>
        <w:t>о</w:t>
      </w:r>
      <w:r w:rsidRPr="006E68CB">
        <w:rPr>
          <w:rFonts w:ascii="Times New Roman" w:eastAsia="Times New Roman" w:hAnsi="Times New Roman" w:cs="Times New Roman"/>
          <w:bCs/>
          <w:sz w:val="24"/>
          <w:szCs w:val="24"/>
        </w:rPr>
        <w:t xml:space="preserve"> изпълним вариант</w:t>
      </w:r>
      <w:r w:rsidRPr="006E68CB">
        <w:rPr>
          <w:rFonts w:ascii="Times New Roman" w:eastAsia="Times New Roman" w:hAnsi="Times New Roman" w:cs="Times New Roman"/>
          <w:sz w:val="24"/>
          <w:szCs w:val="24"/>
        </w:rPr>
        <w:t xml:space="preserve">. </w:t>
      </w:r>
      <w:r w:rsidR="00144C9C">
        <w:rPr>
          <w:rFonts w:ascii="Times New Roman" w:eastAsia="Times New Roman" w:hAnsi="Times New Roman" w:cs="Times New Roman"/>
          <w:sz w:val="24"/>
          <w:szCs w:val="24"/>
        </w:rPr>
        <w:t>Единственият риск е</w:t>
      </w:r>
      <w:r>
        <w:rPr>
          <w:rFonts w:ascii="Times New Roman" w:eastAsia="Times New Roman" w:hAnsi="Times New Roman" w:cs="Times New Roman"/>
          <w:sz w:val="24"/>
          <w:szCs w:val="24"/>
        </w:rPr>
        <w:t>, че</w:t>
      </w:r>
      <w:r w:rsidR="00223D63">
        <w:rPr>
          <w:rFonts w:ascii="Times New Roman" w:eastAsia="Times New Roman" w:hAnsi="Times New Roman" w:cs="Times New Roman"/>
          <w:sz w:val="24"/>
          <w:szCs w:val="24"/>
        </w:rPr>
        <w:t xml:space="preserve"> той</w:t>
      </w:r>
      <w:r>
        <w:rPr>
          <w:rFonts w:ascii="Times New Roman" w:eastAsia="Times New Roman" w:hAnsi="Times New Roman" w:cs="Times New Roman"/>
          <w:sz w:val="24"/>
          <w:szCs w:val="24"/>
        </w:rPr>
        <w:t xml:space="preserve"> може да не даде резултати, което </w:t>
      </w:r>
      <w:r w:rsidRPr="006E68CB">
        <w:rPr>
          <w:rFonts w:ascii="Times New Roman" w:eastAsia="Times New Roman" w:hAnsi="Times New Roman" w:cs="Times New Roman"/>
          <w:sz w:val="24"/>
          <w:szCs w:val="24"/>
        </w:rPr>
        <w:t xml:space="preserve">е въпрос на ефективност, </w:t>
      </w:r>
      <w:r w:rsidRPr="006E68CB">
        <w:rPr>
          <w:rFonts w:ascii="Times New Roman" w:eastAsia="Times New Roman" w:hAnsi="Times New Roman" w:cs="Times New Roman"/>
          <w:sz w:val="24"/>
          <w:szCs w:val="24"/>
        </w:rPr>
        <w:lastRenderedPageBreak/>
        <w:t xml:space="preserve">разгледана по-горе. От гледна точка на </w:t>
      </w:r>
      <w:r w:rsidRPr="006E68CB">
        <w:rPr>
          <w:rFonts w:ascii="Times New Roman" w:eastAsia="Times New Roman" w:hAnsi="Times New Roman" w:cs="Times New Roman"/>
          <w:bCs/>
          <w:sz w:val="24"/>
          <w:szCs w:val="24"/>
        </w:rPr>
        <w:t>административна и политическа реализуемост, Вариант 1 е най-лесно</w:t>
      </w:r>
      <w:r w:rsidR="00223D63">
        <w:rPr>
          <w:rFonts w:ascii="Times New Roman" w:eastAsia="Times New Roman" w:hAnsi="Times New Roman" w:cs="Times New Roman"/>
          <w:bCs/>
          <w:sz w:val="24"/>
          <w:szCs w:val="24"/>
        </w:rPr>
        <w:t xml:space="preserve"> </w:t>
      </w:r>
      <w:r w:rsidRPr="006E68CB">
        <w:rPr>
          <w:rFonts w:ascii="Times New Roman" w:eastAsia="Times New Roman" w:hAnsi="Times New Roman" w:cs="Times New Roman"/>
          <w:bCs/>
          <w:sz w:val="24"/>
          <w:szCs w:val="24"/>
        </w:rPr>
        <w:t>осъществим след Вариант 0</w:t>
      </w:r>
      <w:r w:rsidRPr="006E68CB">
        <w:rPr>
          <w:rFonts w:ascii="Times New Roman" w:eastAsia="Times New Roman" w:hAnsi="Times New Roman" w:cs="Times New Roman"/>
          <w:sz w:val="24"/>
          <w:szCs w:val="24"/>
        </w:rPr>
        <w:t>.</w:t>
      </w:r>
    </w:p>
    <w:p w14:paraId="2875532C" w14:textId="77777777" w:rsidR="00E16161" w:rsidRDefault="00E16161" w:rsidP="00E16161">
      <w:pPr>
        <w:spacing w:after="0" w:line="240" w:lineRule="auto"/>
        <w:ind w:firstLine="567"/>
        <w:jc w:val="both"/>
        <w:rPr>
          <w:rFonts w:ascii="Times New Roman" w:eastAsia="Times New Roman" w:hAnsi="Times New Roman" w:cs="Times New Roman"/>
          <w:b/>
          <w:bCs/>
          <w:sz w:val="24"/>
          <w:szCs w:val="24"/>
        </w:rPr>
      </w:pPr>
    </w:p>
    <w:p w14:paraId="38049A53" w14:textId="77777777" w:rsidR="00E16161" w:rsidRDefault="00E16161" w:rsidP="00E16161">
      <w:pPr>
        <w:spacing w:after="0" w:line="240" w:lineRule="auto"/>
        <w:ind w:firstLine="567"/>
        <w:jc w:val="both"/>
        <w:rPr>
          <w:rFonts w:ascii="Times New Roman" w:eastAsia="Times New Roman" w:hAnsi="Times New Roman" w:cs="Times New Roman"/>
          <w:b/>
          <w:bCs/>
          <w:sz w:val="24"/>
          <w:szCs w:val="24"/>
        </w:rPr>
      </w:pPr>
      <w:r w:rsidRPr="00120926">
        <w:rPr>
          <w:rFonts w:ascii="Times New Roman" w:eastAsia="Times New Roman" w:hAnsi="Times New Roman" w:cs="Times New Roman"/>
          <w:b/>
          <w:bCs/>
          <w:sz w:val="24"/>
          <w:szCs w:val="24"/>
        </w:rPr>
        <w:t xml:space="preserve">Вариант 2 „Регулаторен - промени в действащата правна уредба“ </w:t>
      </w:r>
      <w:r w:rsidRPr="002901F6">
        <w:rPr>
          <w:rFonts w:ascii="Times New Roman" w:eastAsia="Times New Roman" w:hAnsi="Times New Roman" w:cs="Times New Roman"/>
          <w:b/>
          <w:bCs/>
          <w:sz w:val="24"/>
          <w:szCs w:val="24"/>
        </w:rPr>
        <w:t>(+1)</w:t>
      </w:r>
      <w:r w:rsidRPr="00120926">
        <w:rPr>
          <w:rFonts w:ascii="Times New Roman" w:eastAsia="Times New Roman" w:hAnsi="Times New Roman" w:cs="Times New Roman"/>
          <w:b/>
          <w:bCs/>
          <w:sz w:val="24"/>
          <w:szCs w:val="24"/>
        </w:rPr>
        <w:t xml:space="preserve"> </w:t>
      </w:r>
    </w:p>
    <w:p w14:paraId="23A125BD" w14:textId="5B64CE11" w:rsidR="00E16161" w:rsidRPr="00044E56" w:rsidRDefault="00E16161" w:rsidP="00E16161">
      <w:pPr>
        <w:spacing w:after="0" w:line="240" w:lineRule="auto"/>
        <w:ind w:firstLine="567"/>
        <w:jc w:val="both"/>
        <w:rPr>
          <w:rFonts w:ascii="Times New Roman" w:eastAsia="Times New Roman" w:hAnsi="Times New Roman" w:cs="Times New Roman"/>
          <w:sz w:val="24"/>
          <w:szCs w:val="24"/>
        </w:rPr>
      </w:pPr>
      <w:r w:rsidRPr="00044E56">
        <w:rPr>
          <w:rFonts w:ascii="Times New Roman" w:eastAsia="Times New Roman" w:hAnsi="Times New Roman" w:cs="Times New Roman"/>
          <w:sz w:val="24"/>
          <w:szCs w:val="24"/>
        </w:rPr>
        <w:t xml:space="preserve">Промените в съществуващи закони изискват </w:t>
      </w:r>
      <w:r w:rsidRPr="00044E56">
        <w:rPr>
          <w:rFonts w:ascii="Times New Roman" w:eastAsia="Times New Roman" w:hAnsi="Times New Roman" w:cs="Times New Roman"/>
          <w:bCs/>
          <w:sz w:val="24"/>
          <w:szCs w:val="24"/>
        </w:rPr>
        <w:t>изминаване на целия законодателен процес</w:t>
      </w:r>
      <w:r w:rsidRPr="00044E56">
        <w:rPr>
          <w:rFonts w:ascii="Times New Roman" w:eastAsia="Times New Roman" w:hAnsi="Times New Roman" w:cs="Times New Roman"/>
          <w:sz w:val="24"/>
          <w:szCs w:val="24"/>
        </w:rPr>
        <w:t xml:space="preserve">, но </w:t>
      </w:r>
      <w:r w:rsidRPr="00044E56">
        <w:rPr>
          <w:rFonts w:ascii="Times New Roman" w:eastAsia="Times New Roman" w:hAnsi="Times New Roman" w:cs="Times New Roman"/>
          <w:bCs/>
          <w:sz w:val="24"/>
          <w:szCs w:val="24"/>
        </w:rPr>
        <w:t xml:space="preserve">мащабът на промените </w:t>
      </w:r>
      <w:r w:rsidR="00223D63">
        <w:rPr>
          <w:rFonts w:ascii="Times New Roman" w:eastAsia="Times New Roman" w:hAnsi="Times New Roman" w:cs="Times New Roman"/>
          <w:bCs/>
          <w:sz w:val="24"/>
          <w:szCs w:val="24"/>
        </w:rPr>
        <w:t xml:space="preserve">при този вариант </w:t>
      </w:r>
      <w:r w:rsidRPr="00044E56">
        <w:rPr>
          <w:rFonts w:ascii="Times New Roman" w:eastAsia="Times New Roman" w:hAnsi="Times New Roman" w:cs="Times New Roman"/>
          <w:bCs/>
          <w:sz w:val="24"/>
          <w:szCs w:val="24"/>
        </w:rPr>
        <w:t>е по-малък</w:t>
      </w:r>
      <w:r w:rsidRPr="00044E56">
        <w:rPr>
          <w:rFonts w:ascii="Times New Roman" w:eastAsia="Times New Roman" w:hAnsi="Times New Roman" w:cs="Times New Roman"/>
          <w:sz w:val="24"/>
          <w:szCs w:val="24"/>
        </w:rPr>
        <w:t xml:space="preserve">, отколкото при нов закон. Вариант 2 може да се постигне чрез поправки, които могат да се добавят и разгледат сравнително бързо, особено ако има политическа воля (например, вмъкване на нов раздел в ЗЗК или Закона за храните). </w:t>
      </w:r>
      <w:r w:rsidR="008A1DD6" w:rsidRPr="00AA510E">
        <w:rPr>
          <w:rFonts w:ascii="Times New Roman" w:eastAsia="Times New Roman" w:hAnsi="Times New Roman" w:cs="Times New Roman"/>
          <w:sz w:val="24"/>
          <w:szCs w:val="24"/>
        </w:rPr>
        <w:t>Република</w:t>
      </w:r>
      <w:r w:rsidR="008A1DD6">
        <w:rPr>
          <w:rFonts w:ascii="Times New Roman" w:eastAsia="Times New Roman" w:hAnsi="Times New Roman" w:cs="Times New Roman"/>
          <w:sz w:val="24"/>
          <w:szCs w:val="24"/>
        </w:rPr>
        <w:t xml:space="preserve"> </w:t>
      </w:r>
      <w:r w:rsidRPr="00044E56">
        <w:rPr>
          <w:rFonts w:ascii="Times New Roman" w:eastAsia="Times New Roman" w:hAnsi="Times New Roman" w:cs="Times New Roman"/>
          <w:sz w:val="24"/>
          <w:szCs w:val="24"/>
        </w:rPr>
        <w:t>Б</w:t>
      </w:r>
      <w:r w:rsidR="00223D63">
        <w:rPr>
          <w:rFonts w:ascii="Times New Roman" w:eastAsia="Times New Roman" w:hAnsi="Times New Roman" w:cs="Times New Roman"/>
          <w:sz w:val="24"/>
          <w:szCs w:val="24"/>
        </w:rPr>
        <w:t>ългария вече има известен опит.</w:t>
      </w:r>
      <w:r w:rsidRPr="00044E56">
        <w:rPr>
          <w:rFonts w:ascii="Times New Roman" w:eastAsia="Times New Roman" w:hAnsi="Times New Roman" w:cs="Times New Roman"/>
          <w:sz w:val="24"/>
          <w:szCs w:val="24"/>
        </w:rPr>
        <w:t xml:space="preserve"> </w:t>
      </w:r>
      <w:r w:rsidR="00223D63">
        <w:rPr>
          <w:rFonts w:ascii="Times New Roman" w:eastAsia="Times New Roman" w:hAnsi="Times New Roman" w:cs="Times New Roman"/>
          <w:sz w:val="24"/>
          <w:szCs w:val="24"/>
        </w:rPr>
        <w:t>П</w:t>
      </w:r>
      <w:r w:rsidRPr="00044E56">
        <w:rPr>
          <w:rFonts w:ascii="Times New Roman" w:eastAsia="Times New Roman" w:hAnsi="Times New Roman" w:cs="Times New Roman"/>
          <w:sz w:val="24"/>
          <w:szCs w:val="24"/>
        </w:rPr>
        <w:t xml:space="preserve">рез 2015 г. бяха направени първи стъпки в ЗЗК за защита на по-слабата страна. </w:t>
      </w:r>
      <w:r w:rsidR="00223D63">
        <w:rPr>
          <w:rFonts w:ascii="Times New Roman" w:eastAsia="Times New Roman" w:hAnsi="Times New Roman" w:cs="Times New Roman"/>
          <w:sz w:val="24"/>
          <w:szCs w:val="24"/>
        </w:rPr>
        <w:t>Научените уроци от тогава</w:t>
      </w:r>
      <w:r w:rsidRPr="00044E56">
        <w:rPr>
          <w:rFonts w:ascii="Times New Roman" w:eastAsia="Times New Roman" w:hAnsi="Times New Roman" w:cs="Times New Roman"/>
          <w:sz w:val="24"/>
          <w:szCs w:val="24"/>
        </w:rPr>
        <w:t xml:space="preserve"> могат да улеснят нови</w:t>
      </w:r>
      <w:r w:rsidR="00223D63">
        <w:rPr>
          <w:rFonts w:ascii="Times New Roman" w:eastAsia="Times New Roman" w:hAnsi="Times New Roman" w:cs="Times New Roman"/>
          <w:sz w:val="24"/>
          <w:szCs w:val="24"/>
        </w:rPr>
        <w:t>те изменения и допълнения</w:t>
      </w:r>
      <w:r w:rsidRPr="00044E56">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Политическата приложимост е силно</w:t>
      </w:r>
      <w:r>
        <w:rPr>
          <w:rFonts w:ascii="Times New Roman" w:eastAsia="Times New Roman" w:hAnsi="Times New Roman" w:cs="Times New Roman"/>
          <w:sz w:val="24"/>
          <w:szCs w:val="24"/>
        </w:rPr>
        <w:t xml:space="preserve"> вероятна,</w:t>
      </w:r>
      <w:r w:rsidRPr="00044E56">
        <w:rPr>
          <w:rFonts w:ascii="Times New Roman" w:eastAsia="Times New Roman" w:hAnsi="Times New Roman" w:cs="Times New Roman"/>
          <w:sz w:val="24"/>
          <w:szCs w:val="24"/>
        </w:rPr>
        <w:t xml:space="preserve"> ще </w:t>
      </w:r>
      <w:r>
        <w:rPr>
          <w:rFonts w:ascii="Times New Roman" w:eastAsia="Times New Roman" w:hAnsi="Times New Roman" w:cs="Times New Roman"/>
          <w:sz w:val="24"/>
          <w:szCs w:val="24"/>
        </w:rPr>
        <w:t xml:space="preserve">е налице </w:t>
      </w:r>
      <w:r w:rsidRPr="00044E56">
        <w:rPr>
          <w:rFonts w:ascii="Times New Roman" w:eastAsia="Times New Roman" w:hAnsi="Times New Roman" w:cs="Times New Roman"/>
          <w:sz w:val="24"/>
          <w:szCs w:val="24"/>
        </w:rPr>
        <w:t xml:space="preserve">подкрепа, защото </w:t>
      </w:r>
      <w:r>
        <w:rPr>
          <w:rFonts w:ascii="Times New Roman" w:eastAsia="Times New Roman" w:hAnsi="Times New Roman" w:cs="Times New Roman"/>
          <w:sz w:val="24"/>
          <w:szCs w:val="24"/>
        </w:rPr>
        <w:t>това е</w:t>
      </w:r>
      <w:r w:rsidRPr="00044E56">
        <w:rPr>
          <w:rFonts w:ascii="Times New Roman" w:eastAsia="Times New Roman" w:hAnsi="Times New Roman" w:cs="Times New Roman"/>
          <w:sz w:val="24"/>
          <w:szCs w:val="24"/>
        </w:rPr>
        <w:t xml:space="preserve"> </w:t>
      </w:r>
      <w:r w:rsidRPr="00044E56">
        <w:rPr>
          <w:rFonts w:ascii="Times New Roman" w:eastAsia="Times New Roman" w:hAnsi="Times New Roman" w:cs="Times New Roman"/>
          <w:bCs/>
          <w:sz w:val="24"/>
          <w:szCs w:val="24"/>
        </w:rPr>
        <w:t>компромисен подход</w:t>
      </w:r>
      <w:r w:rsidRPr="00044E56">
        <w:rPr>
          <w:rFonts w:ascii="Times New Roman" w:eastAsia="Times New Roman" w:hAnsi="Times New Roman" w:cs="Times New Roman"/>
          <w:sz w:val="24"/>
          <w:szCs w:val="24"/>
        </w:rPr>
        <w:t xml:space="preserve"> – прави нещо, но не твърде радикално. За управляващите това може да изглежда по-лесно постижимо, отколкото да бъде приет нов закон, който може да породи повече дискуси</w:t>
      </w:r>
      <w:r>
        <w:rPr>
          <w:rFonts w:ascii="Times New Roman" w:eastAsia="Times New Roman" w:hAnsi="Times New Roman" w:cs="Times New Roman"/>
          <w:sz w:val="24"/>
          <w:szCs w:val="24"/>
        </w:rPr>
        <w:t>и. Като време,</w:t>
      </w:r>
      <w:r w:rsidRPr="00044E56">
        <w:rPr>
          <w:rFonts w:ascii="Times New Roman" w:eastAsia="Times New Roman" w:hAnsi="Times New Roman" w:cs="Times New Roman"/>
          <w:sz w:val="24"/>
          <w:szCs w:val="24"/>
        </w:rPr>
        <w:t xml:space="preserve"> </w:t>
      </w:r>
      <w:r w:rsidR="001C73E8">
        <w:rPr>
          <w:rFonts w:ascii="Times New Roman" w:eastAsia="Times New Roman" w:hAnsi="Times New Roman" w:cs="Times New Roman"/>
          <w:sz w:val="24"/>
          <w:szCs w:val="24"/>
        </w:rPr>
        <w:t>нормативните промени</w:t>
      </w:r>
      <w:r w:rsidRPr="00044E56">
        <w:rPr>
          <w:rFonts w:ascii="Times New Roman" w:eastAsia="Times New Roman" w:hAnsi="Times New Roman" w:cs="Times New Roman"/>
          <w:sz w:val="24"/>
          <w:szCs w:val="24"/>
        </w:rPr>
        <w:t xml:space="preserve"> биха отнели няколко месеца за подготовка и приемане. </w:t>
      </w:r>
      <w:r w:rsidRPr="00044E56">
        <w:rPr>
          <w:rFonts w:ascii="Times New Roman" w:eastAsia="Times New Roman" w:hAnsi="Times New Roman" w:cs="Times New Roman"/>
          <w:bCs/>
          <w:sz w:val="24"/>
          <w:szCs w:val="24"/>
        </w:rPr>
        <w:t>Изпълнението на практика</w:t>
      </w:r>
      <w:r w:rsidRPr="00044E56">
        <w:rPr>
          <w:rFonts w:ascii="Times New Roman" w:eastAsia="Times New Roman" w:hAnsi="Times New Roman" w:cs="Times New Roman"/>
          <w:sz w:val="24"/>
          <w:szCs w:val="24"/>
        </w:rPr>
        <w:t xml:space="preserve"> също е сравнително осъществимо, тъй като се ползва наличен институционален капацитет. </w:t>
      </w:r>
    </w:p>
    <w:p w14:paraId="7831975A" w14:textId="77777777" w:rsidR="00E16161" w:rsidRPr="0091765E" w:rsidRDefault="00E16161" w:rsidP="00E16161">
      <w:pPr>
        <w:spacing w:after="0" w:line="240" w:lineRule="auto"/>
        <w:ind w:firstLine="567"/>
        <w:jc w:val="both"/>
        <w:rPr>
          <w:rFonts w:ascii="Times New Roman" w:eastAsia="Times New Roman" w:hAnsi="Times New Roman" w:cs="Times New Roman"/>
          <w:sz w:val="24"/>
          <w:szCs w:val="24"/>
        </w:rPr>
      </w:pPr>
    </w:p>
    <w:p w14:paraId="218853C7"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r w:rsidRPr="00ED09E4">
        <w:rPr>
          <w:rFonts w:ascii="Times New Roman" w:eastAsia="Times New Roman" w:hAnsi="Times New Roman" w:cs="Times New Roman"/>
          <w:b/>
          <w:bCs/>
          <w:sz w:val="24"/>
          <w:szCs w:val="24"/>
        </w:rPr>
        <w:t>Вариант 3: „Регулаторен – изцяло нов специален закон</w:t>
      </w:r>
      <w:r w:rsidRPr="002901F6">
        <w:rPr>
          <w:rFonts w:ascii="Times New Roman" w:eastAsia="Times New Roman" w:hAnsi="Times New Roman" w:cs="Times New Roman"/>
          <w:b/>
          <w:bCs/>
          <w:sz w:val="24"/>
          <w:szCs w:val="24"/>
        </w:rPr>
        <w:t>“ (0)</w:t>
      </w:r>
      <w:r w:rsidRPr="0091765E">
        <w:rPr>
          <w:rFonts w:ascii="Times New Roman" w:eastAsia="Times New Roman" w:hAnsi="Times New Roman" w:cs="Times New Roman"/>
          <w:sz w:val="24"/>
          <w:szCs w:val="24"/>
        </w:rPr>
        <w:t xml:space="preserve"> </w:t>
      </w:r>
    </w:p>
    <w:p w14:paraId="25DDD38F" w14:textId="32D5FFDC" w:rsidR="00DF704F" w:rsidRDefault="00E16161" w:rsidP="00E16161">
      <w:pPr>
        <w:spacing w:after="0" w:line="240" w:lineRule="auto"/>
        <w:ind w:firstLine="567"/>
        <w:jc w:val="both"/>
        <w:rPr>
          <w:rFonts w:ascii="Times New Roman" w:eastAsia="Times New Roman" w:hAnsi="Times New Roman" w:cs="Times New Roman"/>
          <w:sz w:val="24"/>
          <w:szCs w:val="24"/>
        </w:rPr>
      </w:pPr>
      <w:r w:rsidRPr="00044E56">
        <w:rPr>
          <w:rFonts w:ascii="Times New Roman" w:eastAsia="Times New Roman" w:hAnsi="Times New Roman" w:cs="Times New Roman"/>
          <w:sz w:val="24"/>
          <w:szCs w:val="24"/>
        </w:rPr>
        <w:t xml:space="preserve">Изцяло нов закон е </w:t>
      </w:r>
      <w:r w:rsidRPr="00044E56">
        <w:rPr>
          <w:rFonts w:ascii="Times New Roman" w:eastAsia="Times New Roman" w:hAnsi="Times New Roman" w:cs="Times New Roman"/>
          <w:bCs/>
          <w:sz w:val="24"/>
          <w:szCs w:val="24"/>
        </w:rPr>
        <w:t>мащабно начинание</w:t>
      </w:r>
      <w:r w:rsidRPr="00044E56">
        <w:rPr>
          <w:rFonts w:ascii="Times New Roman" w:eastAsia="Times New Roman" w:hAnsi="Times New Roman" w:cs="Times New Roman"/>
          <w:sz w:val="24"/>
          <w:szCs w:val="24"/>
        </w:rPr>
        <w:t>. Повечето държави членки вече имат приети специални закони или изменения</w:t>
      </w:r>
      <w:r>
        <w:rPr>
          <w:rFonts w:ascii="Times New Roman" w:eastAsia="Times New Roman" w:hAnsi="Times New Roman" w:cs="Times New Roman"/>
          <w:sz w:val="24"/>
          <w:szCs w:val="24"/>
        </w:rPr>
        <w:t xml:space="preserve"> действащи такива</w:t>
      </w:r>
      <w:r w:rsidRPr="00044E56">
        <w:rPr>
          <w:rFonts w:ascii="Times New Roman" w:eastAsia="Times New Roman" w:hAnsi="Times New Roman" w:cs="Times New Roman"/>
          <w:sz w:val="24"/>
          <w:szCs w:val="24"/>
        </w:rPr>
        <w:t xml:space="preserve">. Ако </w:t>
      </w:r>
      <w:r>
        <w:rPr>
          <w:rFonts w:ascii="Times New Roman" w:eastAsia="Times New Roman" w:hAnsi="Times New Roman" w:cs="Times New Roman"/>
          <w:sz w:val="24"/>
          <w:szCs w:val="24"/>
        </w:rPr>
        <w:t xml:space="preserve">се приеме, че </w:t>
      </w:r>
      <w:r w:rsidR="008A1DD6" w:rsidRPr="00AA510E">
        <w:rPr>
          <w:rFonts w:ascii="Times New Roman" w:eastAsia="Times New Roman" w:hAnsi="Times New Roman" w:cs="Times New Roman"/>
          <w:sz w:val="24"/>
          <w:szCs w:val="24"/>
        </w:rPr>
        <w:t>Република</w:t>
      </w:r>
      <w:r w:rsidR="008A1DD6">
        <w:rPr>
          <w:rFonts w:ascii="Times New Roman" w:eastAsia="Times New Roman" w:hAnsi="Times New Roman" w:cs="Times New Roman"/>
          <w:sz w:val="24"/>
          <w:szCs w:val="24"/>
        </w:rPr>
        <w:t xml:space="preserve"> </w:t>
      </w:r>
      <w:r w:rsidRPr="00044E56">
        <w:rPr>
          <w:rFonts w:ascii="Times New Roman" w:eastAsia="Times New Roman" w:hAnsi="Times New Roman" w:cs="Times New Roman"/>
          <w:sz w:val="24"/>
          <w:szCs w:val="24"/>
        </w:rPr>
        <w:t>България е изостанала</w:t>
      </w:r>
      <w:r>
        <w:rPr>
          <w:rFonts w:ascii="Times New Roman" w:eastAsia="Times New Roman" w:hAnsi="Times New Roman" w:cs="Times New Roman"/>
          <w:sz w:val="24"/>
          <w:szCs w:val="24"/>
        </w:rPr>
        <w:t xml:space="preserve"> в този аспект</w:t>
      </w:r>
      <w:r w:rsidRPr="00044E56">
        <w:rPr>
          <w:rFonts w:ascii="Times New Roman" w:eastAsia="Times New Roman" w:hAnsi="Times New Roman" w:cs="Times New Roman"/>
          <w:sz w:val="24"/>
          <w:szCs w:val="24"/>
        </w:rPr>
        <w:t>, това дава</w:t>
      </w:r>
      <w:r>
        <w:rPr>
          <w:rFonts w:ascii="Times New Roman" w:eastAsia="Times New Roman" w:hAnsi="Times New Roman" w:cs="Times New Roman"/>
          <w:sz w:val="24"/>
          <w:szCs w:val="24"/>
        </w:rPr>
        <w:t xml:space="preserve"> допълнителен</w:t>
      </w:r>
      <w:r w:rsidRPr="00044E56">
        <w:rPr>
          <w:rFonts w:ascii="Times New Roman" w:eastAsia="Times New Roman" w:hAnsi="Times New Roman" w:cs="Times New Roman"/>
          <w:sz w:val="24"/>
          <w:szCs w:val="24"/>
        </w:rPr>
        <w:t xml:space="preserve"> аргумент и мотивация на </w:t>
      </w:r>
      <w:r>
        <w:rPr>
          <w:rFonts w:ascii="Times New Roman" w:eastAsia="Times New Roman" w:hAnsi="Times New Roman" w:cs="Times New Roman"/>
          <w:sz w:val="24"/>
          <w:szCs w:val="24"/>
        </w:rPr>
        <w:t>държавата</w:t>
      </w:r>
      <w:r w:rsidRPr="00044E56">
        <w:rPr>
          <w:rFonts w:ascii="Times New Roman" w:eastAsia="Times New Roman" w:hAnsi="Times New Roman" w:cs="Times New Roman"/>
          <w:sz w:val="24"/>
          <w:szCs w:val="24"/>
        </w:rPr>
        <w:t xml:space="preserve"> да придвижи </w:t>
      </w:r>
      <w:r>
        <w:rPr>
          <w:rFonts w:ascii="Times New Roman" w:eastAsia="Times New Roman" w:hAnsi="Times New Roman" w:cs="Times New Roman"/>
          <w:sz w:val="24"/>
          <w:szCs w:val="24"/>
        </w:rPr>
        <w:t xml:space="preserve">приемането на </w:t>
      </w:r>
      <w:r w:rsidRPr="00044E56">
        <w:rPr>
          <w:rFonts w:ascii="Times New Roman" w:eastAsia="Times New Roman" w:hAnsi="Times New Roman" w:cs="Times New Roman"/>
          <w:sz w:val="24"/>
          <w:szCs w:val="24"/>
        </w:rPr>
        <w:t xml:space="preserve">такъв </w:t>
      </w:r>
      <w:r w:rsidR="00144C9C">
        <w:rPr>
          <w:rFonts w:ascii="Times New Roman" w:eastAsia="Times New Roman" w:hAnsi="Times New Roman" w:cs="Times New Roman"/>
          <w:sz w:val="24"/>
          <w:szCs w:val="24"/>
        </w:rPr>
        <w:t>нормативен акт</w:t>
      </w:r>
      <w:r w:rsidRPr="00044E56">
        <w:rPr>
          <w:rFonts w:ascii="Times New Roman" w:eastAsia="Times New Roman" w:hAnsi="Times New Roman" w:cs="Times New Roman"/>
          <w:sz w:val="24"/>
          <w:szCs w:val="24"/>
        </w:rPr>
        <w:t xml:space="preserve">. </w:t>
      </w:r>
    </w:p>
    <w:p w14:paraId="749FCC2A" w14:textId="77777777" w:rsidR="00DF704F" w:rsidRDefault="00E16161" w:rsidP="00E16161">
      <w:pPr>
        <w:spacing w:after="0" w:line="240" w:lineRule="auto"/>
        <w:ind w:firstLine="567"/>
        <w:jc w:val="both"/>
        <w:rPr>
          <w:rFonts w:ascii="Times New Roman" w:eastAsia="Times New Roman" w:hAnsi="Times New Roman" w:cs="Times New Roman"/>
          <w:sz w:val="24"/>
          <w:szCs w:val="24"/>
        </w:rPr>
      </w:pPr>
      <w:r w:rsidRPr="00044E56">
        <w:rPr>
          <w:rFonts w:ascii="Times New Roman" w:eastAsia="Times New Roman" w:hAnsi="Times New Roman" w:cs="Times New Roman"/>
          <w:bCs/>
          <w:sz w:val="24"/>
          <w:szCs w:val="24"/>
        </w:rPr>
        <w:t>Общественият натиск</w:t>
      </w:r>
      <w:r>
        <w:rPr>
          <w:rFonts w:ascii="Times New Roman" w:eastAsia="Times New Roman" w:hAnsi="Times New Roman" w:cs="Times New Roman"/>
          <w:sz w:val="24"/>
          <w:szCs w:val="24"/>
        </w:rPr>
        <w:t xml:space="preserve"> </w:t>
      </w:r>
      <w:r w:rsidR="00144C9C">
        <w:rPr>
          <w:rFonts w:ascii="Times New Roman" w:eastAsia="Times New Roman" w:hAnsi="Times New Roman" w:cs="Times New Roman"/>
          <w:sz w:val="24"/>
          <w:szCs w:val="24"/>
        </w:rPr>
        <w:t>е отделен съществен фактор</w:t>
      </w:r>
      <w:r>
        <w:rPr>
          <w:rFonts w:ascii="Times New Roman" w:eastAsia="Times New Roman" w:hAnsi="Times New Roman" w:cs="Times New Roman"/>
          <w:sz w:val="24"/>
          <w:szCs w:val="24"/>
        </w:rPr>
        <w:t>.</w:t>
      </w:r>
      <w:r w:rsidRPr="00044E56">
        <w:rPr>
          <w:rFonts w:ascii="Times New Roman" w:eastAsia="Times New Roman" w:hAnsi="Times New Roman" w:cs="Times New Roman"/>
          <w:sz w:val="24"/>
          <w:szCs w:val="24"/>
        </w:rPr>
        <w:t xml:space="preserve"> Покачването на цените на храните през 2022</w:t>
      </w:r>
      <w:r w:rsidR="001C73E8">
        <w:rPr>
          <w:rFonts w:ascii="Times New Roman" w:eastAsia="Times New Roman" w:hAnsi="Times New Roman" w:cs="Times New Roman"/>
          <w:sz w:val="24"/>
          <w:szCs w:val="24"/>
        </w:rPr>
        <w:t xml:space="preserve"> </w:t>
      </w:r>
      <w:r w:rsidRPr="00044E56">
        <w:rPr>
          <w:rFonts w:ascii="Times New Roman" w:eastAsia="Times New Roman" w:hAnsi="Times New Roman" w:cs="Times New Roman"/>
          <w:sz w:val="24"/>
          <w:szCs w:val="24"/>
        </w:rPr>
        <w:t>–</w:t>
      </w:r>
      <w:r w:rsidR="001C73E8">
        <w:rPr>
          <w:rFonts w:ascii="Times New Roman" w:eastAsia="Times New Roman" w:hAnsi="Times New Roman" w:cs="Times New Roman"/>
          <w:sz w:val="24"/>
          <w:szCs w:val="24"/>
        </w:rPr>
        <w:t xml:space="preserve"> </w:t>
      </w:r>
      <w:r w:rsidRPr="00044E56">
        <w:rPr>
          <w:rFonts w:ascii="Times New Roman" w:eastAsia="Times New Roman" w:hAnsi="Times New Roman" w:cs="Times New Roman"/>
          <w:sz w:val="24"/>
          <w:szCs w:val="24"/>
        </w:rPr>
        <w:t xml:space="preserve">2023 г. </w:t>
      </w:r>
      <w:r>
        <w:rPr>
          <w:rFonts w:ascii="Times New Roman" w:eastAsia="Times New Roman" w:hAnsi="Times New Roman" w:cs="Times New Roman"/>
          <w:sz w:val="24"/>
          <w:szCs w:val="24"/>
        </w:rPr>
        <w:t>до</w:t>
      </w:r>
      <w:r w:rsidRPr="00044E56">
        <w:rPr>
          <w:rFonts w:ascii="Times New Roman" w:eastAsia="Times New Roman" w:hAnsi="Times New Roman" w:cs="Times New Roman"/>
          <w:sz w:val="24"/>
          <w:szCs w:val="24"/>
        </w:rPr>
        <w:t>в</w:t>
      </w:r>
      <w:r>
        <w:rPr>
          <w:rFonts w:ascii="Times New Roman" w:eastAsia="Times New Roman" w:hAnsi="Times New Roman" w:cs="Times New Roman"/>
          <w:sz w:val="24"/>
          <w:szCs w:val="24"/>
        </w:rPr>
        <w:t>е</w:t>
      </w:r>
      <w:r w:rsidRPr="00044E56">
        <w:rPr>
          <w:rFonts w:ascii="Times New Roman" w:eastAsia="Times New Roman" w:hAnsi="Times New Roman" w:cs="Times New Roman"/>
          <w:sz w:val="24"/>
          <w:szCs w:val="24"/>
        </w:rPr>
        <w:t>д</w:t>
      </w:r>
      <w:r>
        <w:rPr>
          <w:rFonts w:ascii="Times New Roman" w:eastAsia="Times New Roman" w:hAnsi="Times New Roman" w:cs="Times New Roman"/>
          <w:sz w:val="24"/>
          <w:szCs w:val="24"/>
        </w:rPr>
        <w:t>е</w:t>
      </w:r>
      <w:r w:rsidRPr="00044E56">
        <w:rPr>
          <w:rFonts w:ascii="Times New Roman" w:eastAsia="Times New Roman" w:hAnsi="Times New Roman" w:cs="Times New Roman"/>
          <w:sz w:val="24"/>
          <w:szCs w:val="24"/>
        </w:rPr>
        <w:t xml:space="preserve"> до силно обществено недоволство, което </w:t>
      </w:r>
      <w:r>
        <w:rPr>
          <w:rFonts w:ascii="Times New Roman" w:eastAsia="Times New Roman" w:hAnsi="Times New Roman" w:cs="Times New Roman"/>
          <w:sz w:val="24"/>
          <w:szCs w:val="24"/>
        </w:rPr>
        <w:t>б</w:t>
      </w:r>
      <w:r w:rsidRPr="00044E56">
        <w:rPr>
          <w:rFonts w:ascii="Times New Roman" w:eastAsia="Times New Roman" w:hAnsi="Times New Roman" w:cs="Times New Roman"/>
          <w:sz w:val="24"/>
          <w:szCs w:val="24"/>
        </w:rPr>
        <w:t xml:space="preserve">е пряк стимул за държавата да предприеме най-решителни мерки. </w:t>
      </w:r>
    </w:p>
    <w:p w14:paraId="0602CB58" w14:textId="316850D5" w:rsidR="00E16161" w:rsidRDefault="00E16161" w:rsidP="00E16161">
      <w:pPr>
        <w:spacing w:after="0" w:line="240" w:lineRule="auto"/>
        <w:ind w:firstLine="567"/>
        <w:jc w:val="both"/>
        <w:rPr>
          <w:rFonts w:ascii="Times New Roman" w:eastAsia="Times New Roman" w:hAnsi="Times New Roman" w:cs="Times New Roman"/>
          <w:sz w:val="24"/>
          <w:szCs w:val="24"/>
        </w:rPr>
      </w:pPr>
      <w:r w:rsidRPr="00044E56">
        <w:rPr>
          <w:rFonts w:ascii="Times New Roman" w:eastAsia="Times New Roman" w:hAnsi="Times New Roman" w:cs="Times New Roman"/>
          <w:sz w:val="24"/>
          <w:szCs w:val="24"/>
        </w:rPr>
        <w:t xml:space="preserve">Това означава, че </w:t>
      </w:r>
      <w:r w:rsidRPr="00044E56">
        <w:rPr>
          <w:rFonts w:ascii="Times New Roman" w:eastAsia="Times New Roman" w:hAnsi="Times New Roman" w:cs="Times New Roman"/>
          <w:bCs/>
          <w:sz w:val="24"/>
          <w:szCs w:val="24"/>
        </w:rPr>
        <w:t>Вариант 3 има шанс да получи политическа подкрепа</w:t>
      </w:r>
      <w:r w:rsidRPr="00044E56">
        <w:rPr>
          <w:rFonts w:ascii="Times New Roman" w:eastAsia="Times New Roman" w:hAnsi="Times New Roman" w:cs="Times New Roman"/>
          <w:sz w:val="24"/>
          <w:szCs w:val="24"/>
        </w:rPr>
        <w:t xml:space="preserve">, защото адресира проблема комплексно и показва ангажираност. Очаквано, големите вериги и други засегнати мощни играчи </w:t>
      </w:r>
      <w:r>
        <w:rPr>
          <w:rFonts w:ascii="Times New Roman" w:eastAsia="Times New Roman" w:hAnsi="Times New Roman" w:cs="Times New Roman"/>
          <w:sz w:val="24"/>
          <w:szCs w:val="24"/>
        </w:rPr>
        <w:t xml:space="preserve">биха </w:t>
      </w:r>
      <w:r w:rsidRPr="00044E56">
        <w:rPr>
          <w:rFonts w:ascii="Times New Roman" w:eastAsia="Times New Roman" w:hAnsi="Times New Roman" w:cs="Times New Roman"/>
          <w:sz w:val="24"/>
          <w:szCs w:val="24"/>
        </w:rPr>
        <w:t>лобира</w:t>
      </w:r>
      <w:r>
        <w:rPr>
          <w:rFonts w:ascii="Times New Roman" w:eastAsia="Times New Roman" w:hAnsi="Times New Roman" w:cs="Times New Roman"/>
          <w:sz w:val="24"/>
          <w:szCs w:val="24"/>
        </w:rPr>
        <w:t>ли</w:t>
      </w:r>
      <w:r w:rsidRPr="00044E56">
        <w:rPr>
          <w:rFonts w:ascii="Times New Roman" w:eastAsia="Times New Roman" w:hAnsi="Times New Roman" w:cs="Times New Roman"/>
          <w:sz w:val="24"/>
          <w:szCs w:val="24"/>
        </w:rPr>
        <w:t xml:space="preserve"> против или за смекчаване на закона. Това може да затрудни приемането или да забави процеса. </w:t>
      </w:r>
    </w:p>
    <w:p w14:paraId="6B5E1AC1" w14:textId="14F4D81E" w:rsidR="00DF704F" w:rsidRPr="00DF704F" w:rsidRDefault="00DF704F" w:rsidP="00E161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Резултатите </w:t>
      </w:r>
      <w:r w:rsidRPr="00DF704F">
        <w:rPr>
          <w:rFonts w:ascii="Times New Roman" w:eastAsia="Times New Roman" w:hAnsi="Times New Roman" w:cs="Times New Roman"/>
          <w:sz w:val="24"/>
          <w:szCs w:val="24"/>
        </w:rPr>
        <w:t>от анализа на вариантите по избраните критерии</w:t>
      </w:r>
      <w:r>
        <w:rPr>
          <w:rFonts w:ascii="Times New Roman" w:eastAsia="Times New Roman" w:hAnsi="Times New Roman" w:cs="Times New Roman"/>
          <w:sz w:val="24"/>
          <w:szCs w:val="24"/>
        </w:rPr>
        <w:t xml:space="preserve"> са представени по-долу (Вж. </w:t>
      </w:r>
      <w:r w:rsidR="008C0E40">
        <w:rPr>
          <w:rFonts w:ascii="Times New Roman" w:eastAsia="Times New Roman" w:hAnsi="Times New Roman" w:cs="Times New Roman"/>
          <w:sz w:val="24"/>
          <w:szCs w:val="24"/>
        </w:rPr>
        <w:t xml:space="preserve">Таблица </w:t>
      </w:r>
      <w:r w:rsidRPr="00DF704F">
        <w:rPr>
          <w:rFonts w:ascii="Times New Roman" w:eastAsia="Times New Roman" w:hAnsi="Times New Roman" w:cs="Times New Roman"/>
          <w:sz w:val="24"/>
          <w:szCs w:val="24"/>
        </w:rPr>
        <w:t>1</w:t>
      </w:r>
      <w:r w:rsidR="008C0E40">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p>
    <w:p w14:paraId="14354106" w14:textId="77777777" w:rsidR="00DF704F" w:rsidRDefault="00DF704F" w:rsidP="00E16161">
      <w:pPr>
        <w:spacing w:after="0" w:line="240" w:lineRule="auto"/>
        <w:ind w:firstLine="567"/>
        <w:jc w:val="both"/>
        <w:rPr>
          <w:rFonts w:ascii="Times New Roman" w:eastAsia="Times New Roman" w:hAnsi="Times New Roman" w:cs="Times New Roman"/>
          <w:sz w:val="24"/>
          <w:szCs w:val="24"/>
        </w:rPr>
      </w:pPr>
    </w:p>
    <w:p w14:paraId="6F33562D" w14:textId="5CCC9E6F" w:rsidR="00E16161" w:rsidRPr="004A2131" w:rsidRDefault="00E16161" w:rsidP="00CB0A97">
      <w:pPr>
        <w:spacing w:after="0" w:line="240" w:lineRule="auto"/>
        <w:ind w:firstLine="567"/>
        <w:jc w:val="both"/>
        <w:rPr>
          <w:rFonts w:ascii="Times New Roman" w:eastAsia="Times New Roman" w:hAnsi="Times New Roman" w:cs="Times New Roman"/>
          <w:b/>
          <w:sz w:val="24"/>
          <w:szCs w:val="24"/>
        </w:rPr>
      </w:pPr>
      <w:r w:rsidRPr="00375543">
        <w:rPr>
          <w:rFonts w:ascii="Times New Roman" w:eastAsia="Times New Roman" w:hAnsi="Times New Roman" w:cs="Times New Roman"/>
          <w:b/>
          <w:sz w:val="24"/>
          <w:szCs w:val="24"/>
        </w:rPr>
        <w:t>Таблица</w:t>
      </w:r>
      <w:r w:rsidR="00D2171D">
        <w:rPr>
          <w:rFonts w:ascii="Times New Roman" w:eastAsia="Times New Roman" w:hAnsi="Times New Roman" w:cs="Times New Roman"/>
          <w:b/>
          <w:sz w:val="24"/>
          <w:szCs w:val="24"/>
        </w:rPr>
        <w:t xml:space="preserve"> </w:t>
      </w:r>
      <w:r w:rsidR="00D2171D" w:rsidRPr="00D2171D">
        <w:rPr>
          <w:rFonts w:ascii="Times New Roman" w:eastAsia="Times New Roman" w:hAnsi="Times New Roman" w:cs="Times New Roman"/>
          <w:b/>
          <w:sz w:val="24"/>
          <w:szCs w:val="24"/>
        </w:rPr>
        <w:t>№</w:t>
      </w:r>
      <w:r w:rsidRPr="00375543">
        <w:rPr>
          <w:rFonts w:ascii="Times New Roman" w:eastAsia="Times New Roman" w:hAnsi="Times New Roman" w:cs="Times New Roman"/>
          <w:b/>
          <w:sz w:val="24"/>
          <w:szCs w:val="24"/>
        </w:rPr>
        <w:t xml:space="preserve"> </w:t>
      </w:r>
      <w:r w:rsidR="004578D9">
        <w:rPr>
          <w:rFonts w:ascii="Times New Roman" w:eastAsia="Times New Roman" w:hAnsi="Times New Roman" w:cs="Times New Roman"/>
          <w:b/>
          <w:sz w:val="24"/>
          <w:szCs w:val="24"/>
        </w:rPr>
        <w:t>1</w:t>
      </w:r>
      <w:r w:rsidR="008C0E40">
        <w:rPr>
          <w:rFonts w:ascii="Times New Roman" w:eastAsia="Times New Roman" w:hAnsi="Times New Roman" w:cs="Times New Roman"/>
          <w:b/>
          <w:sz w:val="24"/>
          <w:szCs w:val="24"/>
        </w:rPr>
        <w:t>0</w:t>
      </w:r>
      <w:r w:rsidRPr="0037554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Резултати от </w:t>
      </w:r>
      <w:r w:rsidR="00CB0A97">
        <w:rPr>
          <w:rFonts w:ascii="Times New Roman" w:eastAsia="Times New Roman" w:hAnsi="Times New Roman" w:cs="Times New Roman"/>
          <w:b/>
          <w:sz w:val="24"/>
          <w:szCs w:val="24"/>
        </w:rPr>
        <w:t>анализа</w:t>
      </w:r>
      <w:r w:rsidRPr="00375543">
        <w:rPr>
          <w:rFonts w:ascii="Times New Roman" w:eastAsia="Times New Roman" w:hAnsi="Times New Roman" w:cs="Times New Roman"/>
          <w:b/>
          <w:sz w:val="24"/>
          <w:szCs w:val="24"/>
        </w:rPr>
        <w:t xml:space="preserve"> на вариантите по </w:t>
      </w:r>
      <w:r>
        <w:rPr>
          <w:rFonts w:ascii="Times New Roman" w:eastAsia="Times New Roman" w:hAnsi="Times New Roman" w:cs="Times New Roman"/>
          <w:b/>
          <w:sz w:val="24"/>
          <w:szCs w:val="24"/>
        </w:rPr>
        <w:t xml:space="preserve">избраните </w:t>
      </w:r>
      <w:r w:rsidRPr="00375543">
        <w:rPr>
          <w:rFonts w:ascii="Times New Roman" w:eastAsia="Times New Roman" w:hAnsi="Times New Roman" w:cs="Times New Roman"/>
          <w:b/>
          <w:sz w:val="24"/>
          <w:szCs w:val="24"/>
        </w:rPr>
        <w:t>критерии</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155"/>
        <w:gridCol w:w="1450"/>
        <w:gridCol w:w="1777"/>
        <w:gridCol w:w="1509"/>
        <w:gridCol w:w="1509"/>
      </w:tblGrid>
      <w:tr w:rsidR="00E16161" w:rsidRPr="007B4A99" w14:paraId="3A573209" w14:textId="77777777" w:rsidTr="00DD69D5">
        <w:tc>
          <w:tcPr>
            <w:tcW w:w="3133" w:type="dxa"/>
            <w:gridSpan w:val="2"/>
            <w:shd w:val="clear" w:color="auto" w:fill="BDD6EE" w:themeFill="accent1" w:themeFillTint="66"/>
            <w:vAlign w:val="center"/>
          </w:tcPr>
          <w:p w14:paraId="1F7DDD15" w14:textId="77777777" w:rsidR="00E16161" w:rsidRPr="007B4A99" w:rsidRDefault="00E16161" w:rsidP="00E16161">
            <w:pPr>
              <w:jc w:val="center"/>
              <w:rPr>
                <w:rFonts w:ascii="Times New Roman" w:hAnsi="Times New Roman" w:cs="Times New Roman"/>
                <w:b/>
                <w:sz w:val="18"/>
                <w:szCs w:val="18"/>
              </w:rPr>
            </w:pPr>
            <w:r w:rsidRPr="007B4A99">
              <w:rPr>
                <w:rFonts w:ascii="Times New Roman" w:hAnsi="Times New Roman" w:cs="Times New Roman"/>
                <w:b/>
                <w:i/>
                <w:sz w:val="20"/>
                <w:szCs w:val="20"/>
              </w:rPr>
              <w:t>Критерии</w:t>
            </w:r>
          </w:p>
        </w:tc>
        <w:tc>
          <w:tcPr>
            <w:tcW w:w="6245" w:type="dxa"/>
            <w:gridSpan w:val="4"/>
            <w:shd w:val="clear" w:color="auto" w:fill="D0CECE" w:themeFill="background2" w:themeFillShade="E6"/>
            <w:vAlign w:val="center"/>
          </w:tcPr>
          <w:p w14:paraId="3A973549" w14:textId="77777777" w:rsidR="00E16161" w:rsidRPr="007B4A99" w:rsidRDefault="00E16161" w:rsidP="00E16161">
            <w:pPr>
              <w:jc w:val="center"/>
              <w:rPr>
                <w:rFonts w:ascii="Times New Roman" w:hAnsi="Times New Roman" w:cs="Times New Roman"/>
                <w:b/>
                <w:sz w:val="18"/>
                <w:szCs w:val="18"/>
              </w:rPr>
            </w:pPr>
          </w:p>
          <w:p w14:paraId="55E4165F" w14:textId="77777777" w:rsidR="00E16161" w:rsidRPr="007B4A99" w:rsidRDefault="00E16161" w:rsidP="00E16161">
            <w:pPr>
              <w:jc w:val="center"/>
              <w:rPr>
                <w:rFonts w:ascii="Times New Roman" w:hAnsi="Times New Roman" w:cs="Times New Roman"/>
                <w:b/>
                <w:i/>
                <w:sz w:val="20"/>
                <w:szCs w:val="20"/>
              </w:rPr>
            </w:pPr>
            <w:r w:rsidRPr="007B4A99">
              <w:rPr>
                <w:rFonts w:ascii="Times New Roman" w:hAnsi="Times New Roman" w:cs="Times New Roman"/>
                <w:b/>
                <w:i/>
                <w:sz w:val="20"/>
                <w:szCs w:val="20"/>
              </w:rPr>
              <w:t>Варианти</w:t>
            </w:r>
          </w:p>
          <w:p w14:paraId="2A3B2716" w14:textId="77777777" w:rsidR="00E16161" w:rsidRPr="007B4A99" w:rsidRDefault="00E16161" w:rsidP="00E16161">
            <w:pPr>
              <w:jc w:val="center"/>
              <w:rPr>
                <w:rFonts w:ascii="Times New Roman" w:hAnsi="Times New Roman" w:cs="Times New Roman"/>
                <w:b/>
                <w:sz w:val="18"/>
                <w:szCs w:val="18"/>
              </w:rPr>
            </w:pPr>
          </w:p>
        </w:tc>
      </w:tr>
      <w:tr w:rsidR="00E16161" w:rsidRPr="00486024" w14:paraId="1C18B6B3" w14:textId="77777777" w:rsidTr="00DD69D5">
        <w:trPr>
          <w:trHeight w:val="1350"/>
        </w:trPr>
        <w:tc>
          <w:tcPr>
            <w:tcW w:w="1978" w:type="dxa"/>
            <w:shd w:val="clear" w:color="auto" w:fill="BDD6EE" w:themeFill="accent1" w:themeFillTint="66"/>
            <w:vAlign w:val="center"/>
          </w:tcPr>
          <w:p w14:paraId="3E276234" w14:textId="77777777" w:rsidR="00E16161" w:rsidRPr="00B357E1" w:rsidRDefault="00E16161" w:rsidP="00E16161">
            <w:pPr>
              <w:jc w:val="center"/>
              <w:rPr>
                <w:rFonts w:ascii="Times New Roman" w:hAnsi="Times New Roman" w:cs="Times New Roman"/>
                <w:b/>
                <w:sz w:val="20"/>
                <w:szCs w:val="20"/>
              </w:rPr>
            </w:pPr>
            <w:r w:rsidRPr="00B357E1">
              <w:rPr>
                <w:rFonts w:ascii="Times New Roman" w:eastAsia="Times New Roman" w:hAnsi="Times New Roman" w:cs="Times New Roman"/>
                <w:b/>
                <w:bCs/>
                <w:color w:val="000000"/>
                <w:sz w:val="20"/>
                <w:szCs w:val="20"/>
              </w:rPr>
              <w:t>Критерий</w:t>
            </w:r>
          </w:p>
        </w:tc>
        <w:tc>
          <w:tcPr>
            <w:tcW w:w="1155" w:type="dxa"/>
            <w:shd w:val="clear" w:color="auto" w:fill="BDD6EE" w:themeFill="accent1" w:themeFillTint="66"/>
            <w:vAlign w:val="center"/>
          </w:tcPr>
          <w:p w14:paraId="07EF440E" w14:textId="77777777" w:rsidR="00E16161" w:rsidRPr="00B357E1" w:rsidRDefault="00E16161" w:rsidP="00E16161">
            <w:pPr>
              <w:jc w:val="center"/>
              <w:rPr>
                <w:rFonts w:ascii="Times New Roman" w:hAnsi="Times New Roman" w:cs="Times New Roman"/>
                <w:b/>
                <w:sz w:val="20"/>
                <w:szCs w:val="20"/>
              </w:rPr>
            </w:pPr>
            <w:r w:rsidRPr="00B357E1">
              <w:rPr>
                <w:rFonts w:ascii="Times New Roman" w:hAnsi="Times New Roman" w:cs="Times New Roman"/>
                <w:b/>
                <w:sz w:val="20"/>
                <w:szCs w:val="20"/>
              </w:rPr>
              <w:t>Тежест</w:t>
            </w:r>
          </w:p>
        </w:tc>
        <w:tc>
          <w:tcPr>
            <w:tcW w:w="1450" w:type="dxa"/>
            <w:shd w:val="clear" w:color="auto" w:fill="00B0F0"/>
            <w:vAlign w:val="center"/>
          </w:tcPr>
          <w:p w14:paraId="0112746D" w14:textId="77777777" w:rsidR="00E16161" w:rsidRPr="00B357E1" w:rsidRDefault="00E16161" w:rsidP="00E16161">
            <w:pPr>
              <w:jc w:val="center"/>
              <w:rPr>
                <w:rFonts w:ascii="Times New Roman" w:hAnsi="Times New Roman" w:cs="Times New Roman"/>
                <w:b/>
                <w:sz w:val="20"/>
                <w:szCs w:val="20"/>
              </w:rPr>
            </w:pPr>
            <w:r w:rsidRPr="00B357E1">
              <w:rPr>
                <w:rFonts w:ascii="Times New Roman" w:hAnsi="Times New Roman" w:cs="Times New Roman"/>
                <w:b/>
                <w:sz w:val="20"/>
                <w:szCs w:val="20"/>
              </w:rPr>
              <w:t>Вариант 0: „Без действие“</w:t>
            </w:r>
          </w:p>
        </w:tc>
        <w:tc>
          <w:tcPr>
            <w:tcW w:w="1777" w:type="dxa"/>
            <w:shd w:val="clear" w:color="auto" w:fill="00B0F0"/>
            <w:vAlign w:val="center"/>
          </w:tcPr>
          <w:p w14:paraId="3C093AF0" w14:textId="77777777" w:rsidR="00E16161" w:rsidRPr="00B357E1" w:rsidRDefault="00E16161" w:rsidP="00E16161">
            <w:pPr>
              <w:jc w:val="center"/>
              <w:rPr>
                <w:rFonts w:ascii="Times New Roman" w:hAnsi="Times New Roman" w:cs="Times New Roman"/>
                <w:b/>
                <w:sz w:val="20"/>
                <w:szCs w:val="20"/>
              </w:rPr>
            </w:pPr>
            <w:r w:rsidRPr="00B357E1">
              <w:rPr>
                <w:rFonts w:ascii="Times New Roman" w:hAnsi="Times New Roman" w:cs="Times New Roman"/>
                <w:b/>
                <w:sz w:val="20"/>
                <w:szCs w:val="20"/>
              </w:rPr>
              <w:t xml:space="preserve">Вариант 1: </w:t>
            </w:r>
            <w:bookmarkStart w:id="26" w:name="_Hlk196136515"/>
            <w:r w:rsidRPr="00B357E1">
              <w:rPr>
                <w:rFonts w:ascii="Times New Roman" w:hAnsi="Times New Roman" w:cs="Times New Roman"/>
                <w:b/>
                <w:sz w:val="20"/>
                <w:szCs w:val="20"/>
              </w:rPr>
              <w:t>„Нерегулаторен“</w:t>
            </w:r>
            <w:bookmarkEnd w:id="26"/>
          </w:p>
        </w:tc>
        <w:tc>
          <w:tcPr>
            <w:tcW w:w="1509" w:type="dxa"/>
            <w:shd w:val="clear" w:color="auto" w:fill="00B0F0"/>
            <w:vAlign w:val="center"/>
          </w:tcPr>
          <w:p w14:paraId="4926CBA6" w14:textId="77777777" w:rsidR="00E16161" w:rsidRPr="00B357E1" w:rsidRDefault="00E16161" w:rsidP="00E16161">
            <w:pPr>
              <w:jc w:val="center"/>
              <w:rPr>
                <w:rFonts w:ascii="Times New Roman" w:hAnsi="Times New Roman" w:cs="Times New Roman"/>
                <w:b/>
                <w:sz w:val="20"/>
                <w:szCs w:val="20"/>
              </w:rPr>
            </w:pPr>
            <w:r w:rsidRPr="00B357E1">
              <w:rPr>
                <w:rFonts w:ascii="Times New Roman" w:hAnsi="Times New Roman" w:cs="Times New Roman"/>
                <w:b/>
                <w:sz w:val="20"/>
                <w:szCs w:val="20"/>
              </w:rPr>
              <w:t>Вариант 2: „Регулаторен - промени в действащата правна уредба“</w:t>
            </w:r>
          </w:p>
        </w:tc>
        <w:tc>
          <w:tcPr>
            <w:tcW w:w="1509" w:type="dxa"/>
            <w:shd w:val="clear" w:color="auto" w:fill="00B0F0"/>
            <w:vAlign w:val="center"/>
          </w:tcPr>
          <w:p w14:paraId="705F8907" w14:textId="77777777" w:rsidR="00E16161" w:rsidRPr="00B357E1" w:rsidRDefault="00E16161" w:rsidP="00E16161">
            <w:pPr>
              <w:jc w:val="center"/>
              <w:rPr>
                <w:rFonts w:ascii="Times New Roman" w:hAnsi="Times New Roman" w:cs="Times New Roman"/>
                <w:b/>
                <w:sz w:val="20"/>
                <w:szCs w:val="20"/>
              </w:rPr>
            </w:pPr>
            <w:r w:rsidRPr="00B357E1">
              <w:rPr>
                <w:rFonts w:ascii="Times New Roman" w:hAnsi="Times New Roman" w:cs="Times New Roman"/>
                <w:b/>
                <w:sz w:val="20"/>
                <w:szCs w:val="20"/>
              </w:rPr>
              <w:t>Вариант 3:</w:t>
            </w:r>
            <w:r w:rsidRPr="00B357E1">
              <w:rPr>
                <w:sz w:val="20"/>
                <w:szCs w:val="20"/>
              </w:rPr>
              <w:t xml:space="preserve"> </w:t>
            </w:r>
            <w:r w:rsidRPr="00B357E1">
              <w:rPr>
                <w:rFonts w:ascii="Times New Roman" w:hAnsi="Times New Roman" w:cs="Times New Roman"/>
                <w:b/>
                <w:sz w:val="20"/>
                <w:szCs w:val="20"/>
              </w:rPr>
              <w:t>„Регулаторен – изцяло нов специален закон“</w:t>
            </w:r>
          </w:p>
        </w:tc>
      </w:tr>
      <w:tr w:rsidR="00E16161" w:rsidRPr="00DB0F0F" w14:paraId="74CFF928" w14:textId="77777777" w:rsidTr="00DD69D5">
        <w:tc>
          <w:tcPr>
            <w:tcW w:w="1978" w:type="dxa"/>
            <w:shd w:val="clear" w:color="auto" w:fill="BDD6EE" w:themeFill="accent1" w:themeFillTint="66"/>
            <w:vAlign w:val="center"/>
          </w:tcPr>
          <w:p w14:paraId="7B25ACE4" w14:textId="77777777" w:rsidR="00E16161" w:rsidRPr="003A7929" w:rsidRDefault="00E16161" w:rsidP="00E16161">
            <w:pPr>
              <w:jc w:val="right"/>
              <w:rPr>
                <w:rFonts w:ascii="Times New Roman" w:eastAsia="Times New Roman" w:hAnsi="Times New Roman" w:cs="Times New Roman"/>
                <w:color w:val="000000"/>
                <w:sz w:val="20"/>
                <w:szCs w:val="20"/>
              </w:rPr>
            </w:pPr>
            <w:r w:rsidRPr="003A7929">
              <w:rPr>
                <w:rFonts w:ascii="Times New Roman" w:eastAsia="Times New Roman" w:hAnsi="Times New Roman" w:cs="Times New Roman"/>
                <w:color w:val="000000"/>
                <w:sz w:val="20"/>
                <w:szCs w:val="20"/>
              </w:rPr>
              <w:lastRenderedPageBreak/>
              <w:t>Ефективност (постигане на цели)</w:t>
            </w:r>
          </w:p>
        </w:tc>
        <w:tc>
          <w:tcPr>
            <w:tcW w:w="1155" w:type="dxa"/>
            <w:shd w:val="clear" w:color="auto" w:fill="E7E6E6" w:themeFill="background2"/>
            <w:vAlign w:val="center"/>
          </w:tcPr>
          <w:p w14:paraId="6F66AC0C" w14:textId="77777777" w:rsidR="00E16161" w:rsidRPr="003A7929" w:rsidRDefault="00E16161" w:rsidP="00E16161">
            <w:pPr>
              <w:jc w:val="center"/>
              <w:rPr>
                <w:rFonts w:ascii="Times New Roman" w:eastAsia="Times New Roman" w:hAnsi="Times New Roman" w:cs="Times New Roman"/>
                <w:color w:val="000000"/>
                <w:sz w:val="20"/>
                <w:szCs w:val="20"/>
              </w:rPr>
            </w:pPr>
            <w:r w:rsidRPr="003A7929">
              <w:rPr>
                <w:rFonts w:ascii="Times New Roman" w:eastAsia="Times New Roman" w:hAnsi="Times New Roman" w:cs="Times New Roman"/>
                <w:color w:val="000000"/>
                <w:sz w:val="20"/>
                <w:szCs w:val="20"/>
              </w:rPr>
              <w:t>30</w:t>
            </w:r>
          </w:p>
        </w:tc>
        <w:tc>
          <w:tcPr>
            <w:tcW w:w="1450" w:type="dxa"/>
            <w:shd w:val="clear" w:color="auto" w:fill="E7E6E6" w:themeFill="background2"/>
            <w:vAlign w:val="center"/>
          </w:tcPr>
          <w:p w14:paraId="50E34710" w14:textId="77777777" w:rsidR="00E16161" w:rsidRPr="003A7929" w:rsidRDefault="00E16161" w:rsidP="00E16161">
            <w:pPr>
              <w:jc w:val="center"/>
              <w:rPr>
                <w:rFonts w:ascii="Times New Roman" w:eastAsia="Times New Roman" w:hAnsi="Times New Roman" w:cs="Times New Roman"/>
                <w:color w:val="000000"/>
                <w:sz w:val="20"/>
                <w:szCs w:val="20"/>
              </w:rPr>
            </w:pPr>
            <w:r w:rsidRPr="003A7929">
              <w:rPr>
                <w:rFonts w:ascii="Times New Roman" w:eastAsia="Times New Roman" w:hAnsi="Times New Roman" w:cs="Times New Roman"/>
                <w:color w:val="000000"/>
                <w:sz w:val="20"/>
                <w:szCs w:val="20"/>
              </w:rPr>
              <w:t>-2</w:t>
            </w:r>
          </w:p>
        </w:tc>
        <w:tc>
          <w:tcPr>
            <w:tcW w:w="1777" w:type="dxa"/>
            <w:shd w:val="clear" w:color="auto" w:fill="E7E6E6" w:themeFill="background2"/>
            <w:vAlign w:val="center"/>
          </w:tcPr>
          <w:p w14:paraId="3A2A10A5" w14:textId="77777777" w:rsidR="00E16161" w:rsidRPr="003A7929" w:rsidRDefault="00E16161" w:rsidP="00E16161">
            <w:pPr>
              <w:jc w:val="center"/>
              <w:rPr>
                <w:rFonts w:ascii="Times New Roman" w:eastAsia="Times New Roman" w:hAnsi="Times New Roman" w:cs="Times New Roman"/>
                <w:color w:val="000000"/>
                <w:sz w:val="20"/>
                <w:szCs w:val="20"/>
              </w:rPr>
            </w:pPr>
            <w:r w:rsidRPr="003A7929">
              <w:rPr>
                <w:rFonts w:ascii="Times New Roman" w:eastAsia="Times New Roman" w:hAnsi="Times New Roman" w:cs="Times New Roman"/>
                <w:color w:val="000000"/>
                <w:sz w:val="20"/>
                <w:szCs w:val="20"/>
              </w:rPr>
              <w:t>-1</w:t>
            </w:r>
          </w:p>
        </w:tc>
        <w:tc>
          <w:tcPr>
            <w:tcW w:w="1509" w:type="dxa"/>
            <w:shd w:val="clear" w:color="auto" w:fill="E7E6E6" w:themeFill="background2"/>
            <w:vAlign w:val="center"/>
          </w:tcPr>
          <w:p w14:paraId="7ACD6FFE" w14:textId="732CE7F7" w:rsidR="00E16161" w:rsidRPr="003A7929" w:rsidRDefault="00651E99" w:rsidP="00E16161">
            <w:pPr>
              <w:jc w:val="center"/>
              <w:rPr>
                <w:rFonts w:ascii="Times New Roman" w:eastAsia="Times New Roman" w:hAnsi="Times New Roman" w:cs="Times New Roman"/>
                <w:color w:val="000000"/>
                <w:sz w:val="20"/>
                <w:szCs w:val="20"/>
              </w:rPr>
            </w:pPr>
            <w:r w:rsidRPr="00651E99">
              <w:rPr>
                <w:rFonts w:ascii="Times New Roman" w:eastAsia="Times New Roman" w:hAnsi="Times New Roman" w:cs="Times New Roman"/>
                <w:color w:val="000000"/>
                <w:sz w:val="20"/>
                <w:szCs w:val="20"/>
              </w:rPr>
              <w:t>+</w:t>
            </w:r>
            <w:r w:rsidR="00E16161" w:rsidRPr="003A7929">
              <w:rPr>
                <w:rFonts w:ascii="Times New Roman" w:eastAsia="Times New Roman" w:hAnsi="Times New Roman" w:cs="Times New Roman"/>
                <w:color w:val="000000"/>
                <w:sz w:val="20"/>
                <w:szCs w:val="20"/>
              </w:rPr>
              <w:t>1</w:t>
            </w:r>
          </w:p>
        </w:tc>
        <w:tc>
          <w:tcPr>
            <w:tcW w:w="1509" w:type="dxa"/>
            <w:shd w:val="clear" w:color="auto" w:fill="E7E6E6" w:themeFill="background2"/>
            <w:vAlign w:val="center"/>
          </w:tcPr>
          <w:p w14:paraId="364E4C40" w14:textId="790A16C4" w:rsidR="00E16161" w:rsidRPr="003A7929" w:rsidRDefault="00651E99" w:rsidP="00E16161">
            <w:pPr>
              <w:jc w:val="center"/>
              <w:rPr>
                <w:rFonts w:ascii="Times New Roman" w:eastAsia="Times New Roman" w:hAnsi="Times New Roman" w:cs="Times New Roman"/>
                <w:color w:val="000000"/>
                <w:sz w:val="20"/>
                <w:szCs w:val="20"/>
              </w:rPr>
            </w:pPr>
            <w:r w:rsidRPr="00651E99">
              <w:rPr>
                <w:rFonts w:ascii="Times New Roman" w:eastAsia="Times New Roman" w:hAnsi="Times New Roman" w:cs="Times New Roman"/>
                <w:color w:val="000000"/>
                <w:sz w:val="20"/>
                <w:szCs w:val="20"/>
              </w:rPr>
              <w:t>+</w:t>
            </w:r>
            <w:r w:rsidR="00E16161" w:rsidRPr="003A7929">
              <w:rPr>
                <w:rFonts w:ascii="Times New Roman" w:eastAsia="Times New Roman" w:hAnsi="Times New Roman" w:cs="Times New Roman"/>
                <w:color w:val="000000"/>
                <w:sz w:val="20"/>
                <w:szCs w:val="20"/>
              </w:rPr>
              <w:t>2</w:t>
            </w:r>
          </w:p>
        </w:tc>
      </w:tr>
      <w:tr w:rsidR="00E16161" w:rsidRPr="00DB0F0F" w14:paraId="5F41ABBF" w14:textId="77777777" w:rsidTr="00DD69D5">
        <w:tc>
          <w:tcPr>
            <w:tcW w:w="1978" w:type="dxa"/>
            <w:shd w:val="clear" w:color="auto" w:fill="BDD6EE" w:themeFill="accent1" w:themeFillTint="66"/>
            <w:vAlign w:val="center"/>
          </w:tcPr>
          <w:p w14:paraId="69965F6D" w14:textId="77777777" w:rsidR="00E16161" w:rsidRPr="003A7929" w:rsidRDefault="00E16161" w:rsidP="00E16161">
            <w:pPr>
              <w:jc w:val="right"/>
              <w:rPr>
                <w:rFonts w:ascii="Times New Roman" w:eastAsia="Times New Roman" w:hAnsi="Times New Roman" w:cs="Times New Roman"/>
                <w:color w:val="000000"/>
                <w:sz w:val="20"/>
                <w:szCs w:val="20"/>
              </w:rPr>
            </w:pPr>
            <w:r w:rsidRPr="003A7929">
              <w:rPr>
                <w:rFonts w:ascii="Times New Roman" w:eastAsia="Times New Roman" w:hAnsi="Times New Roman" w:cs="Times New Roman"/>
                <w:color w:val="000000"/>
                <w:sz w:val="20"/>
                <w:szCs w:val="20"/>
              </w:rPr>
              <w:t>Икономическо въздействие</w:t>
            </w:r>
          </w:p>
        </w:tc>
        <w:tc>
          <w:tcPr>
            <w:tcW w:w="1155" w:type="dxa"/>
            <w:shd w:val="clear" w:color="auto" w:fill="E7E6E6" w:themeFill="background2"/>
            <w:vAlign w:val="center"/>
          </w:tcPr>
          <w:p w14:paraId="48D7C804" w14:textId="77777777" w:rsidR="00E16161" w:rsidRPr="003A7929" w:rsidRDefault="00E16161" w:rsidP="00E16161">
            <w:pPr>
              <w:jc w:val="center"/>
              <w:rPr>
                <w:rFonts w:ascii="Times New Roman" w:eastAsia="Times New Roman" w:hAnsi="Times New Roman" w:cs="Times New Roman"/>
                <w:color w:val="000000"/>
                <w:sz w:val="20"/>
                <w:szCs w:val="20"/>
              </w:rPr>
            </w:pPr>
            <w:r w:rsidRPr="003A7929">
              <w:rPr>
                <w:rFonts w:ascii="Times New Roman" w:eastAsia="Times New Roman" w:hAnsi="Times New Roman" w:cs="Times New Roman"/>
                <w:color w:val="000000"/>
                <w:sz w:val="20"/>
                <w:szCs w:val="20"/>
              </w:rPr>
              <w:t>20</w:t>
            </w:r>
          </w:p>
        </w:tc>
        <w:tc>
          <w:tcPr>
            <w:tcW w:w="1450" w:type="dxa"/>
            <w:shd w:val="clear" w:color="auto" w:fill="E7E6E6" w:themeFill="background2"/>
            <w:vAlign w:val="center"/>
          </w:tcPr>
          <w:p w14:paraId="19211F1E" w14:textId="77777777" w:rsidR="00E16161" w:rsidRPr="003A7929" w:rsidRDefault="00E16161" w:rsidP="00E16161">
            <w:pPr>
              <w:jc w:val="center"/>
              <w:rPr>
                <w:rFonts w:ascii="Times New Roman" w:eastAsia="Times New Roman" w:hAnsi="Times New Roman" w:cs="Times New Roman"/>
                <w:color w:val="000000"/>
                <w:sz w:val="20"/>
                <w:szCs w:val="20"/>
              </w:rPr>
            </w:pPr>
            <w:r w:rsidRPr="003A7929">
              <w:rPr>
                <w:rFonts w:ascii="Times New Roman" w:eastAsia="Times New Roman" w:hAnsi="Times New Roman" w:cs="Times New Roman"/>
                <w:color w:val="000000"/>
                <w:sz w:val="20"/>
                <w:szCs w:val="20"/>
              </w:rPr>
              <w:t>-1</w:t>
            </w:r>
          </w:p>
        </w:tc>
        <w:tc>
          <w:tcPr>
            <w:tcW w:w="1777" w:type="dxa"/>
            <w:shd w:val="clear" w:color="auto" w:fill="E7E6E6" w:themeFill="background2"/>
            <w:vAlign w:val="center"/>
          </w:tcPr>
          <w:p w14:paraId="26B37753" w14:textId="77777777" w:rsidR="00E16161" w:rsidRPr="003A7929" w:rsidRDefault="00E16161" w:rsidP="00E16161">
            <w:pPr>
              <w:jc w:val="center"/>
              <w:rPr>
                <w:rFonts w:ascii="Times New Roman" w:eastAsia="Times New Roman" w:hAnsi="Times New Roman" w:cs="Times New Roman"/>
                <w:color w:val="000000"/>
                <w:sz w:val="20"/>
                <w:szCs w:val="20"/>
              </w:rPr>
            </w:pPr>
            <w:r w:rsidRPr="003A7929">
              <w:rPr>
                <w:rFonts w:ascii="Times New Roman" w:eastAsia="Times New Roman" w:hAnsi="Times New Roman" w:cs="Times New Roman"/>
                <w:color w:val="000000"/>
                <w:sz w:val="20"/>
                <w:szCs w:val="20"/>
              </w:rPr>
              <w:t>0</w:t>
            </w:r>
          </w:p>
        </w:tc>
        <w:tc>
          <w:tcPr>
            <w:tcW w:w="1509" w:type="dxa"/>
            <w:shd w:val="clear" w:color="auto" w:fill="E7E6E6" w:themeFill="background2"/>
            <w:vAlign w:val="center"/>
          </w:tcPr>
          <w:p w14:paraId="4DF5722F" w14:textId="7BBAD2D4" w:rsidR="00E16161" w:rsidRPr="003A7929" w:rsidRDefault="00651E99" w:rsidP="00E16161">
            <w:pPr>
              <w:jc w:val="center"/>
              <w:rPr>
                <w:rFonts w:ascii="Times New Roman" w:eastAsia="Times New Roman" w:hAnsi="Times New Roman" w:cs="Times New Roman"/>
                <w:color w:val="000000"/>
                <w:sz w:val="20"/>
                <w:szCs w:val="20"/>
              </w:rPr>
            </w:pPr>
            <w:r w:rsidRPr="00651E99">
              <w:rPr>
                <w:rFonts w:ascii="Times New Roman" w:eastAsia="Times New Roman" w:hAnsi="Times New Roman" w:cs="Times New Roman"/>
                <w:color w:val="000000"/>
                <w:sz w:val="20"/>
                <w:szCs w:val="20"/>
              </w:rPr>
              <w:t>+</w:t>
            </w:r>
            <w:r w:rsidR="00E16161" w:rsidRPr="003A7929">
              <w:rPr>
                <w:rFonts w:ascii="Times New Roman" w:eastAsia="Times New Roman" w:hAnsi="Times New Roman" w:cs="Times New Roman"/>
                <w:color w:val="000000"/>
                <w:sz w:val="20"/>
                <w:szCs w:val="20"/>
              </w:rPr>
              <w:t>1</w:t>
            </w:r>
          </w:p>
        </w:tc>
        <w:tc>
          <w:tcPr>
            <w:tcW w:w="1509" w:type="dxa"/>
            <w:shd w:val="clear" w:color="auto" w:fill="E7E6E6" w:themeFill="background2"/>
            <w:vAlign w:val="center"/>
          </w:tcPr>
          <w:p w14:paraId="5C2A5668" w14:textId="081344FE" w:rsidR="00E16161" w:rsidRPr="003A7929" w:rsidRDefault="00651E99" w:rsidP="00E16161">
            <w:pPr>
              <w:jc w:val="center"/>
              <w:rPr>
                <w:rFonts w:ascii="Times New Roman" w:eastAsia="Times New Roman" w:hAnsi="Times New Roman" w:cs="Times New Roman"/>
                <w:color w:val="000000"/>
                <w:sz w:val="20"/>
                <w:szCs w:val="20"/>
              </w:rPr>
            </w:pPr>
            <w:r w:rsidRPr="00651E99">
              <w:rPr>
                <w:rFonts w:ascii="Times New Roman" w:eastAsia="Times New Roman" w:hAnsi="Times New Roman" w:cs="Times New Roman"/>
                <w:color w:val="000000"/>
                <w:sz w:val="20"/>
                <w:szCs w:val="20"/>
              </w:rPr>
              <w:t>+</w:t>
            </w:r>
            <w:r w:rsidR="00E16161" w:rsidRPr="003A7929">
              <w:rPr>
                <w:rFonts w:ascii="Times New Roman" w:eastAsia="Times New Roman" w:hAnsi="Times New Roman" w:cs="Times New Roman"/>
                <w:color w:val="000000"/>
                <w:sz w:val="20"/>
                <w:szCs w:val="20"/>
              </w:rPr>
              <w:t>2</w:t>
            </w:r>
          </w:p>
        </w:tc>
      </w:tr>
      <w:tr w:rsidR="00E16161" w:rsidRPr="00DB0F0F" w14:paraId="642BE992" w14:textId="77777777" w:rsidTr="00DD69D5">
        <w:tc>
          <w:tcPr>
            <w:tcW w:w="1978" w:type="dxa"/>
            <w:shd w:val="clear" w:color="auto" w:fill="BDD6EE" w:themeFill="accent1" w:themeFillTint="66"/>
            <w:vAlign w:val="center"/>
          </w:tcPr>
          <w:p w14:paraId="7566A1AA" w14:textId="77777777" w:rsidR="00E16161" w:rsidRPr="003A7929" w:rsidRDefault="00E16161" w:rsidP="00E16161">
            <w:pPr>
              <w:jc w:val="right"/>
              <w:rPr>
                <w:rFonts w:ascii="Times New Roman" w:eastAsia="Times New Roman" w:hAnsi="Times New Roman" w:cs="Times New Roman"/>
                <w:color w:val="000000"/>
                <w:sz w:val="20"/>
                <w:szCs w:val="20"/>
              </w:rPr>
            </w:pPr>
            <w:r w:rsidRPr="003A7929">
              <w:rPr>
                <w:rFonts w:ascii="Times New Roman" w:eastAsia="Times New Roman" w:hAnsi="Times New Roman" w:cs="Times New Roman"/>
                <w:color w:val="000000"/>
                <w:sz w:val="20"/>
                <w:szCs w:val="20"/>
              </w:rPr>
              <w:t>Въздействие върху МСП</w:t>
            </w:r>
          </w:p>
        </w:tc>
        <w:tc>
          <w:tcPr>
            <w:tcW w:w="1155" w:type="dxa"/>
            <w:shd w:val="clear" w:color="auto" w:fill="E7E6E6" w:themeFill="background2"/>
            <w:vAlign w:val="center"/>
          </w:tcPr>
          <w:p w14:paraId="7D54EA72" w14:textId="77777777" w:rsidR="00E16161" w:rsidRPr="003A7929" w:rsidRDefault="00E16161" w:rsidP="00E16161">
            <w:pPr>
              <w:jc w:val="center"/>
              <w:rPr>
                <w:rFonts w:ascii="Times New Roman" w:eastAsia="Times New Roman" w:hAnsi="Times New Roman" w:cs="Times New Roman"/>
                <w:color w:val="000000"/>
                <w:sz w:val="20"/>
                <w:szCs w:val="20"/>
              </w:rPr>
            </w:pPr>
            <w:r w:rsidRPr="003A7929">
              <w:rPr>
                <w:rFonts w:ascii="Times New Roman" w:eastAsia="Times New Roman" w:hAnsi="Times New Roman" w:cs="Times New Roman"/>
                <w:color w:val="000000"/>
                <w:sz w:val="20"/>
                <w:szCs w:val="20"/>
              </w:rPr>
              <w:t>20</w:t>
            </w:r>
          </w:p>
        </w:tc>
        <w:tc>
          <w:tcPr>
            <w:tcW w:w="1450" w:type="dxa"/>
            <w:shd w:val="clear" w:color="auto" w:fill="E7E6E6" w:themeFill="background2"/>
            <w:vAlign w:val="center"/>
          </w:tcPr>
          <w:p w14:paraId="3DB302A3" w14:textId="77777777" w:rsidR="00E16161" w:rsidRPr="003A7929" w:rsidRDefault="00E16161" w:rsidP="00E16161">
            <w:pPr>
              <w:jc w:val="center"/>
              <w:rPr>
                <w:rFonts w:ascii="Times New Roman" w:eastAsia="Times New Roman" w:hAnsi="Times New Roman" w:cs="Times New Roman"/>
                <w:color w:val="000000"/>
                <w:sz w:val="20"/>
                <w:szCs w:val="20"/>
              </w:rPr>
            </w:pPr>
            <w:r w:rsidRPr="003A7929">
              <w:rPr>
                <w:rFonts w:ascii="Times New Roman" w:eastAsia="Times New Roman" w:hAnsi="Times New Roman" w:cs="Times New Roman"/>
                <w:color w:val="000000"/>
                <w:sz w:val="20"/>
                <w:szCs w:val="20"/>
              </w:rPr>
              <w:t>-2</w:t>
            </w:r>
          </w:p>
        </w:tc>
        <w:tc>
          <w:tcPr>
            <w:tcW w:w="1777" w:type="dxa"/>
            <w:shd w:val="clear" w:color="auto" w:fill="E7E6E6" w:themeFill="background2"/>
            <w:vAlign w:val="center"/>
          </w:tcPr>
          <w:p w14:paraId="1778FE5C" w14:textId="77777777" w:rsidR="00E16161" w:rsidRPr="003A7929" w:rsidRDefault="00E16161" w:rsidP="00E16161">
            <w:pPr>
              <w:jc w:val="center"/>
              <w:rPr>
                <w:rFonts w:ascii="Times New Roman" w:eastAsia="Times New Roman" w:hAnsi="Times New Roman" w:cs="Times New Roman"/>
                <w:color w:val="000000"/>
                <w:sz w:val="20"/>
                <w:szCs w:val="20"/>
              </w:rPr>
            </w:pPr>
            <w:r w:rsidRPr="003A7929">
              <w:rPr>
                <w:rFonts w:ascii="Times New Roman" w:eastAsia="Times New Roman" w:hAnsi="Times New Roman" w:cs="Times New Roman"/>
                <w:color w:val="000000"/>
                <w:sz w:val="20"/>
                <w:szCs w:val="20"/>
              </w:rPr>
              <w:t>0</w:t>
            </w:r>
          </w:p>
        </w:tc>
        <w:tc>
          <w:tcPr>
            <w:tcW w:w="1509" w:type="dxa"/>
            <w:shd w:val="clear" w:color="auto" w:fill="E7E6E6" w:themeFill="background2"/>
            <w:vAlign w:val="center"/>
          </w:tcPr>
          <w:p w14:paraId="17C2CC6B" w14:textId="145C3E83" w:rsidR="00E16161" w:rsidRPr="003A7929" w:rsidRDefault="00651E99" w:rsidP="00E16161">
            <w:pPr>
              <w:jc w:val="center"/>
              <w:rPr>
                <w:rFonts w:ascii="Times New Roman" w:eastAsia="Times New Roman" w:hAnsi="Times New Roman" w:cs="Times New Roman"/>
                <w:color w:val="000000"/>
                <w:sz w:val="20"/>
                <w:szCs w:val="20"/>
              </w:rPr>
            </w:pPr>
            <w:r w:rsidRPr="00651E99">
              <w:rPr>
                <w:rFonts w:ascii="Times New Roman" w:eastAsia="Times New Roman" w:hAnsi="Times New Roman" w:cs="Times New Roman"/>
                <w:color w:val="000000"/>
                <w:sz w:val="20"/>
                <w:szCs w:val="20"/>
              </w:rPr>
              <w:t>+</w:t>
            </w:r>
            <w:r w:rsidR="00E16161" w:rsidRPr="003A7929">
              <w:rPr>
                <w:rFonts w:ascii="Times New Roman" w:eastAsia="Times New Roman" w:hAnsi="Times New Roman" w:cs="Times New Roman"/>
                <w:color w:val="000000"/>
                <w:sz w:val="20"/>
                <w:szCs w:val="20"/>
              </w:rPr>
              <w:t>1</w:t>
            </w:r>
          </w:p>
        </w:tc>
        <w:tc>
          <w:tcPr>
            <w:tcW w:w="1509" w:type="dxa"/>
            <w:shd w:val="clear" w:color="auto" w:fill="E7E6E6" w:themeFill="background2"/>
            <w:vAlign w:val="center"/>
          </w:tcPr>
          <w:p w14:paraId="2728D2CE" w14:textId="76ABE0F9" w:rsidR="00E16161" w:rsidRPr="003A7929" w:rsidRDefault="00651E99" w:rsidP="00E16161">
            <w:pPr>
              <w:jc w:val="center"/>
              <w:rPr>
                <w:rFonts w:ascii="Times New Roman" w:eastAsia="Times New Roman" w:hAnsi="Times New Roman" w:cs="Times New Roman"/>
                <w:color w:val="000000"/>
                <w:sz w:val="20"/>
                <w:szCs w:val="20"/>
              </w:rPr>
            </w:pPr>
            <w:r w:rsidRPr="00651E99">
              <w:rPr>
                <w:rFonts w:ascii="Times New Roman" w:eastAsia="Times New Roman" w:hAnsi="Times New Roman" w:cs="Times New Roman"/>
                <w:color w:val="000000"/>
                <w:sz w:val="20"/>
                <w:szCs w:val="20"/>
              </w:rPr>
              <w:t>+</w:t>
            </w:r>
            <w:r w:rsidR="00E16161" w:rsidRPr="003A7929">
              <w:rPr>
                <w:rFonts w:ascii="Times New Roman" w:eastAsia="Times New Roman" w:hAnsi="Times New Roman" w:cs="Times New Roman"/>
                <w:color w:val="000000"/>
                <w:sz w:val="20"/>
                <w:szCs w:val="20"/>
              </w:rPr>
              <w:t>2</w:t>
            </w:r>
          </w:p>
        </w:tc>
      </w:tr>
      <w:tr w:rsidR="00E16161" w:rsidRPr="00DB0F0F" w14:paraId="785C7F81" w14:textId="77777777" w:rsidTr="00DD69D5">
        <w:tc>
          <w:tcPr>
            <w:tcW w:w="1978" w:type="dxa"/>
            <w:shd w:val="clear" w:color="auto" w:fill="BDD6EE" w:themeFill="accent1" w:themeFillTint="66"/>
            <w:vAlign w:val="center"/>
          </w:tcPr>
          <w:p w14:paraId="03AC83D9" w14:textId="77777777" w:rsidR="00E16161" w:rsidRPr="003A7929" w:rsidRDefault="00E16161" w:rsidP="00E16161">
            <w:pPr>
              <w:jc w:val="right"/>
              <w:rPr>
                <w:rFonts w:ascii="Times New Roman" w:eastAsia="Times New Roman" w:hAnsi="Times New Roman" w:cs="Times New Roman"/>
                <w:color w:val="000000"/>
                <w:sz w:val="20"/>
                <w:szCs w:val="20"/>
              </w:rPr>
            </w:pPr>
            <w:r w:rsidRPr="003A7929">
              <w:rPr>
                <w:rFonts w:ascii="Times New Roman" w:eastAsia="Times New Roman" w:hAnsi="Times New Roman" w:cs="Times New Roman"/>
                <w:color w:val="000000"/>
                <w:sz w:val="20"/>
                <w:szCs w:val="20"/>
              </w:rPr>
              <w:t>Административна тежест</w:t>
            </w:r>
          </w:p>
        </w:tc>
        <w:tc>
          <w:tcPr>
            <w:tcW w:w="1155" w:type="dxa"/>
            <w:shd w:val="clear" w:color="auto" w:fill="E7E6E6" w:themeFill="background2"/>
            <w:vAlign w:val="center"/>
          </w:tcPr>
          <w:p w14:paraId="0C4ACE56" w14:textId="77777777" w:rsidR="00E16161" w:rsidRPr="003A7929" w:rsidRDefault="00E16161" w:rsidP="00E16161">
            <w:pPr>
              <w:jc w:val="center"/>
              <w:rPr>
                <w:rFonts w:ascii="Times New Roman" w:eastAsia="Times New Roman" w:hAnsi="Times New Roman" w:cs="Times New Roman"/>
                <w:color w:val="000000"/>
                <w:sz w:val="20"/>
                <w:szCs w:val="20"/>
              </w:rPr>
            </w:pPr>
            <w:r w:rsidRPr="003A7929">
              <w:rPr>
                <w:rFonts w:ascii="Times New Roman" w:eastAsia="Times New Roman" w:hAnsi="Times New Roman" w:cs="Times New Roman"/>
                <w:color w:val="000000"/>
                <w:sz w:val="20"/>
                <w:szCs w:val="20"/>
              </w:rPr>
              <w:t>15</w:t>
            </w:r>
          </w:p>
        </w:tc>
        <w:tc>
          <w:tcPr>
            <w:tcW w:w="1450" w:type="dxa"/>
            <w:shd w:val="clear" w:color="auto" w:fill="E7E6E6" w:themeFill="background2"/>
            <w:vAlign w:val="center"/>
          </w:tcPr>
          <w:p w14:paraId="2CDA7D0E" w14:textId="2D1CC2F0" w:rsidR="00E16161" w:rsidRPr="003A7929" w:rsidRDefault="00651E99" w:rsidP="00E16161">
            <w:pPr>
              <w:jc w:val="center"/>
              <w:rPr>
                <w:rFonts w:ascii="Times New Roman" w:eastAsia="Times New Roman" w:hAnsi="Times New Roman" w:cs="Times New Roman"/>
                <w:color w:val="000000"/>
                <w:sz w:val="20"/>
                <w:szCs w:val="20"/>
              </w:rPr>
            </w:pPr>
            <w:r w:rsidRPr="00651E99">
              <w:rPr>
                <w:rFonts w:ascii="Times New Roman" w:eastAsia="Times New Roman" w:hAnsi="Times New Roman" w:cs="Times New Roman"/>
                <w:color w:val="000000"/>
                <w:sz w:val="20"/>
                <w:szCs w:val="20"/>
              </w:rPr>
              <w:t>+</w:t>
            </w:r>
            <w:r w:rsidR="00E16161" w:rsidRPr="003A7929">
              <w:rPr>
                <w:rFonts w:ascii="Times New Roman" w:eastAsia="Times New Roman" w:hAnsi="Times New Roman" w:cs="Times New Roman"/>
                <w:color w:val="000000"/>
                <w:sz w:val="20"/>
                <w:szCs w:val="20"/>
              </w:rPr>
              <w:t>2</w:t>
            </w:r>
          </w:p>
        </w:tc>
        <w:tc>
          <w:tcPr>
            <w:tcW w:w="1777" w:type="dxa"/>
            <w:shd w:val="clear" w:color="auto" w:fill="E7E6E6" w:themeFill="background2"/>
            <w:vAlign w:val="center"/>
          </w:tcPr>
          <w:p w14:paraId="54FC4452" w14:textId="470DACFE" w:rsidR="00E16161" w:rsidRPr="003A7929" w:rsidRDefault="00651E99" w:rsidP="00E16161">
            <w:pPr>
              <w:jc w:val="center"/>
              <w:rPr>
                <w:rFonts w:ascii="Times New Roman" w:eastAsia="Times New Roman" w:hAnsi="Times New Roman" w:cs="Times New Roman"/>
                <w:color w:val="000000"/>
                <w:sz w:val="20"/>
                <w:szCs w:val="20"/>
              </w:rPr>
            </w:pPr>
            <w:r w:rsidRPr="00651E99">
              <w:rPr>
                <w:rFonts w:ascii="Times New Roman" w:eastAsia="Times New Roman" w:hAnsi="Times New Roman" w:cs="Times New Roman"/>
                <w:color w:val="000000"/>
                <w:sz w:val="20"/>
                <w:szCs w:val="20"/>
              </w:rPr>
              <w:t>+</w:t>
            </w:r>
            <w:r w:rsidR="00E16161" w:rsidRPr="003A7929">
              <w:rPr>
                <w:rFonts w:ascii="Times New Roman" w:eastAsia="Times New Roman" w:hAnsi="Times New Roman" w:cs="Times New Roman"/>
                <w:color w:val="000000"/>
                <w:sz w:val="20"/>
                <w:szCs w:val="20"/>
              </w:rPr>
              <w:t>1</w:t>
            </w:r>
          </w:p>
        </w:tc>
        <w:tc>
          <w:tcPr>
            <w:tcW w:w="1509" w:type="dxa"/>
            <w:shd w:val="clear" w:color="auto" w:fill="E7E6E6" w:themeFill="background2"/>
            <w:vAlign w:val="center"/>
          </w:tcPr>
          <w:p w14:paraId="6CD5ED81" w14:textId="77777777" w:rsidR="00E16161" w:rsidRPr="003A7929" w:rsidRDefault="00E16161" w:rsidP="00E16161">
            <w:pPr>
              <w:jc w:val="center"/>
              <w:rPr>
                <w:rFonts w:ascii="Times New Roman" w:eastAsia="Times New Roman" w:hAnsi="Times New Roman" w:cs="Times New Roman"/>
                <w:color w:val="000000"/>
                <w:sz w:val="20"/>
                <w:szCs w:val="20"/>
              </w:rPr>
            </w:pPr>
            <w:r w:rsidRPr="003A7929">
              <w:rPr>
                <w:rFonts w:ascii="Times New Roman" w:eastAsia="Times New Roman" w:hAnsi="Times New Roman" w:cs="Times New Roman"/>
                <w:color w:val="000000"/>
                <w:sz w:val="20"/>
                <w:szCs w:val="20"/>
              </w:rPr>
              <w:t>0</w:t>
            </w:r>
          </w:p>
        </w:tc>
        <w:tc>
          <w:tcPr>
            <w:tcW w:w="1509" w:type="dxa"/>
            <w:shd w:val="clear" w:color="auto" w:fill="E7E6E6" w:themeFill="background2"/>
            <w:vAlign w:val="center"/>
          </w:tcPr>
          <w:p w14:paraId="66056765" w14:textId="77777777" w:rsidR="00E16161" w:rsidRPr="003A7929" w:rsidRDefault="00E16161" w:rsidP="00E16161">
            <w:pPr>
              <w:jc w:val="center"/>
              <w:rPr>
                <w:rFonts w:ascii="Times New Roman" w:eastAsia="Times New Roman" w:hAnsi="Times New Roman" w:cs="Times New Roman"/>
                <w:color w:val="000000"/>
                <w:sz w:val="20"/>
                <w:szCs w:val="20"/>
              </w:rPr>
            </w:pPr>
            <w:r w:rsidRPr="003A7929">
              <w:rPr>
                <w:rFonts w:ascii="Times New Roman" w:eastAsia="Times New Roman" w:hAnsi="Times New Roman" w:cs="Times New Roman"/>
                <w:color w:val="000000"/>
                <w:sz w:val="20"/>
                <w:szCs w:val="20"/>
              </w:rPr>
              <w:t>-1</w:t>
            </w:r>
          </w:p>
        </w:tc>
      </w:tr>
      <w:tr w:rsidR="00E16161" w:rsidRPr="00DB0F0F" w14:paraId="2DDC50C5" w14:textId="77777777" w:rsidTr="00DD69D5">
        <w:tc>
          <w:tcPr>
            <w:tcW w:w="1978" w:type="dxa"/>
            <w:shd w:val="clear" w:color="auto" w:fill="BDD6EE" w:themeFill="accent1" w:themeFillTint="66"/>
            <w:vAlign w:val="center"/>
          </w:tcPr>
          <w:p w14:paraId="0F9474B2" w14:textId="77777777" w:rsidR="00E16161" w:rsidRPr="003A7929" w:rsidRDefault="00E16161" w:rsidP="00E16161">
            <w:pPr>
              <w:jc w:val="right"/>
              <w:rPr>
                <w:rFonts w:ascii="Times New Roman" w:eastAsia="Times New Roman" w:hAnsi="Times New Roman" w:cs="Times New Roman"/>
                <w:color w:val="000000"/>
                <w:sz w:val="20"/>
                <w:szCs w:val="20"/>
              </w:rPr>
            </w:pPr>
            <w:r w:rsidRPr="003A7929">
              <w:rPr>
                <w:rFonts w:ascii="Times New Roman" w:eastAsia="Times New Roman" w:hAnsi="Times New Roman" w:cs="Times New Roman"/>
                <w:color w:val="000000"/>
                <w:sz w:val="20"/>
                <w:szCs w:val="20"/>
              </w:rPr>
              <w:t>Приложимост и осъществимост</w:t>
            </w:r>
          </w:p>
        </w:tc>
        <w:tc>
          <w:tcPr>
            <w:tcW w:w="1155" w:type="dxa"/>
            <w:shd w:val="clear" w:color="auto" w:fill="E7E6E6" w:themeFill="background2"/>
            <w:vAlign w:val="center"/>
          </w:tcPr>
          <w:p w14:paraId="4D4D9BD1" w14:textId="77777777" w:rsidR="00E16161" w:rsidRPr="003A7929" w:rsidRDefault="00E16161" w:rsidP="00E16161">
            <w:pPr>
              <w:jc w:val="center"/>
              <w:rPr>
                <w:rFonts w:ascii="Times New Roman" w:eastAsia="Times New Roman" w:hAnsi="Times New Roman" w:cs="Times New Roman"/>
                <w:color w:val="000000"/>
                <w:sz w:val="20"/>
                <w:szCs w:val="20"/>
              </w:rPr>
            </w:pPr>
            <w:r w:rsidRPr="003A7929">
              <w:rPr>
                <w:rFonts w:ascii="Times New Roman" w:eastAsia="Times New Roman" w:hAnsi="Times New Roman" w:cs="Times New Roman"/>
                <w:color w:val="000000"/>
                <w:sz w:val="20"/>
                <w:szCs w:val="20"/>
              </w:rPr>
              <w:t>15</w:t>
            </w:r>
          </w:p>
        </w:tc>
        <w:tc>
          <w:tcPr>
            <w:tcW w:w="1450" w:type="dxa"/>
            <w:shd w:val="clear" w:color="auto" w:fill="E7E6E6" w:themeFill="background2"/>
            <w:vAlign w:val="center"/>
          </w:tcPr>
          <w:p w14:paraId="355F81E2" w14:textId="21A225FC" w:rsidR="00E16161" w:rsidRPr="003A7929" w:rsidRDefault="00651E99" w:rsidP="00E16161">
            <w:pPr>
              <w:jc w:val="center"/>
              <w:rPr>
                <w:rFonts w:ascii="Times New Roman" w:eastAsia="Times New Roman" w:hAnsi="Times New Roman" w:cs="Times New Roman"/>
                <w:color w:val="000000"/>
                <w:sz w:val="20"/>
                <w:szCs w:val="20"/>
              </w:rPr>
            </w:pPr>
            <w:r w:rsidRPr="00651E99">
              <w:rPr>
                <w:rFonts w:ascii="Times New Roman" w:eastAsia="Times New Roman" w:hAnsi="Times New Roman" w:cs="Times New Roman"/>
                <w:color w:val="000000"/>
                <w:sz w:val="20"/>
                <w:szCs w:val="20"/>
              </w:rPr>
              <w:t>+</w:t>
            </w:r>
            <w:r w:rsidR="00E16161" w:rsidRPr="003A7929">
              <w:rPr>
                <w:rFonts w:ascii="Times New Roman" w:eastAsia="Times New Roman" w:hAnsi="Times New Roman" w:cs="Times New Roman"/>
                <w:color w:val="000000"/>
                <w:sz w:val="20"/>
                <w:szCs w:val="20"/>
              </w:rPr>
              <w:t>2</w:t>
            </w:r>
          </w:p>
        </w:tc>
        <w:tc>
          <w:tcPr>
            <w:tcW w:w="1777" w:type="dxa"/>
            <w:shd w:val="clear" w:color="auto" w:fill="E7E6E6" w:themeFill="background2"/>
            <w:vAlign w:val="center"/>
          </w:tcPr>
          <w:p w14:paraId="2C069697" w14:textId="1DD70BBE" w:rsidR="00E16161" w:rsidRPr="003A7929" w:rsidRDefault="00651E99" w:rsidP="00E16161">
            <w:pPr>
              <w:jc w:val="center"/>
              <w:rPr>
                <w:rFonts w:ascii="Times New Roman" w:eastAsia="Times New Roman" w:hAnsi="Times New Roman" w:cs="Times New Roman"/>
                <w:color w:val="000000"/>
                <w:sz w:val="20"/>
                <w:szCs w:val="20"/>
              </w:rPr>
            </w:pPr>
            <w:r w:rsidRPr="00651E99">
              <w:rPr>
                <w:rFonts w:ascii="Times New Roman" w:eastAsia="Times New Roman" w:hAnsi="Times New Roman" w:cs="Times New Roman"/>
                <w:color w:val="000000"/>
                <w:sz w:val="20"/>
                <w:szCs w:val="20"/>
              </w:rPr>
              <w:t>+</w:t>
            </w:r>
            <w:r w:rsidR="00E16161" w:rsidRPr="003A7929">
              <w:rPr>
                <w:rFonts w:ascii="Times New Roman" w:eastAsia="Times New Roman" w:hAnsi="Times New Roman" w:cs="Times New Roman"/>
                <w:color w:val="000000"/>
                <w:sz w:val="20"/>
                <w:szCs w:val="20"/>
              </w:rPr>
              <w:t>2</w:t>
            </w:r>
          </w:p>
        </w:tc>
        <w:tc>
          <w:tcPr>
            <w:tcW w:w="1509" w:type="dxa"/>
            <w:shd w:val="clear" w:color="auto" w:fill="E7E6E6" w:themeFill="background2"/>
            <w:vAlign w:val="center"/>
          </w:tcPr>
          <w:p w14:paraId="13CBF061" w14:textId="3794CF6A" w:rsidR="00E16161" w:rsidRPr="003A7929" w:rsidRDefault="00651E99" w:rsidP="00E16161">
            <w:pPr>
              <w:jc w:val="center"/>
              <w:rPr>
                <w:rFonts w:ascii="Times New Roman" w:eastAsia="Times New Roman" w:hAnsi="Times New Roman" w:cs="Times New Roman"/>
                <w:color w:val="000000"/>
                <w:sz w:val="20"/>
                <w:szCs w:val="20"/>
              </w:rPr>
            </w:pPr>
            <w:r w:rsidRPr="00651E99">
              <w:rPr>
                <w:rFonts w:ascii="Times New Roman" w:eastAsia="Times New Roman" w:hAnsi="Times New Roman" w:cs="Times New Roman"/>
                <w:color w:val="000000"/>
                <w:sz w:val="20"/>
                <w:szCs w:val="20"/>
              </w:rPr>
              <w:t>+</w:t>
            </w:r>
            <w:r w:rsidR="00E16161" w:rsidRPr="003A7929">
              <w:rPr>
                <w:rFonts w:ascii="Times New Roman" w:eastAsia="Times New Roman" w:hAnsi="Times New Roman" w:cs="Times New Roman"/>
                <w:color w:val="000000"/>
                <w:sz w:val="20"/>
                <w:szCs w:val="20"/>
              </w:rPr>
              <w:t>1</w:t>
            </w:r>
          </w:p>
        </w:tc>
        <w:tc>
          <w:tcPr>
            <w:tcW w:w="1509" w:type="dxa"/>
            <w:shd w:val="clear" w:color="auto" w:fill="E7E6E6" w:themeFill="background2"/>
            <w:vAlign w:val="center"/>
          </w:tcPr>
          <w:p w14:paraId="11D184B2" w14:textId="77777777" w:rsidR="00E16161" w:rsidRPr="003A7929" w:rsidRDefault="00E16161" w:rsidP="00E16161">
            <w:pPr>
              <w:jc w:val="center"/>
              <w:rPr>
                <w:rFonts w:ascii="Times New Roman" w:eastAsia="Times New Roman" w:hAnsi="Times New Roman" w:cs="Times New Roman"/>
                <w:color w:val="000000"/>
                <w:sz w:val="20"/>
                <w:szCs w:val="20"/>
              </w:rPr>
            </w:pPr>
            <w:r w:rsidRPr="003A7929">
              <w:rPr>
                <w:rFonts w:ascii="Times New Roman" w:eastAsia="Times New Roman" w:hAnsi="Times New Roman" w:cs="Times New Roman"/>
                <w:color w:val="000000"/>
                <w:sz w:val="20"/>
                <w:szCs w:val="20"/>
              </w:rPr>
              <w:t>0</w:t>
            </w:r>
          </w:p>
        </w:tc>
      </w:tr>
      <w:tr w:rsidR="00E16161" w:rsidRPr="00DB0F0F" w14:paraId="3F38E1D3" w14:textId="77777777" w:rsidTr="00DD69D5">
        <w:tc>
          <w:tcPr>
            <w:tcW w:w="1978" w:type="dxa"/>
            <w:shd w:val="clear" w:color="auto" w:fill="D0CECE" w:themeFill="background2" w:themeFillShade="E6"/>
            <w:vAlign w:val="center"/>
          </w:tcPr>
          <w:p w14:paraId="78136091" w14:textId="77777777" w:rsidR="00E16161" w:rsidRPr="007B4A99" w:rsidRDefault="00E16161" w:rsidP="00E16161">
            <w:pPr>
              <w:rPr>
                <w:rFonts w:ascii="Times New Roman" w:hAnsi="Times New Roman" w:cs="Times New Roman"/>
                <w:b/>
                <w:sz w:val="18"/>
                <w:szCs w:val="18"/>
                <w:highlight w:val="yellow"/>
              </w:rPr>
            </w:pPr>
            <w:r w:rsidRPr="00DB0F0F">
              <w:rPr>
                <w:rFonts w:ascii="Times New Roman" w:hAnsi="Times New Roman" w:cs="Times New Roman"/>
                <w:b/>
                <w:sz w:val="18"/>
                <w:szCs w:val="18"/>
              </w:rPr>
              <w:t>Обща оценка:</w:t>
            </w:r>
          </w:p>
        </w:tc>
        <w:tc>
          <w:tcPr>
            <w:tcW w:w="1155" w:type="dxa"/>
            <w:shd w:val="clear" w:color="auto" w:fill="D0CECE" w:themeFill="background2" w:themeFillShade="E6"/>
          </w:tcPr>
          <w:p w14:paraId="1A6C9410" w14:textId="77777777" w:rsidR="00E16161" w:rsidRPr="007B4A99" w:rsidRDefault="00E16161" w:rsidP="00E16161">
            <w:pPr>
              <w:jc w:val="center"/>
              <w:rPr>
                <w:rFonts w:ascii="Times New Roman" w:hAnsi="Times New Roman" w:cs="Times New Roman"/>
                <w:b/>
                <w:sz w:val="18"/>
                <w:szCs w:val="18"/>
                <w:highlight w:val="yellow"/>
              </w:rPr>
            </w:pPr>
            <w:r w:rsidRPr="00DB0F0F">
              <w:rPr>
                <w:rFonts w:ascii="Times New Roman" w:hAnsi="Times New Roman" w:cs="Times New Roman"/>
                <w:b/>
                <w:sz w:val="18"/>
                <w:szCs w:val="18"/>
              </w:rPr>
              <w:t>100%</w:t>
            </w:r>
          </w:p>
        </w:tc>
        <w:tc>
          <w:tcPr>
            <w:tcW w:w="1450" w:type="dxa"/>
            <w:shd w:val="clear" w:color="auto" w:fill="D0CECE" w:themeFill="background2" w:themeFillShade="E6"/>
            <w:vAlign w:val="center"/>
          </w:tcPr>
          <w:p w14:paraId="5278E72E" w14:textId="77777777" w:rsidR="00E16161" w:rsidRPr="00DB0F0F" w:rsidRDefault="00E16161" w:rsidP="00E16161">
            <w:pPr>
              <w:jc w:val="center"/>
              <w:rPr>
                <w:rFonts w:ascii="Times New Roman" w:hAnsi="Times New Roman" w:cs="Times New Roman"/>
                <w:b/>
                <w:sz w:val="18"/>
                <w:szCs w:val="18"/>
              </w:rPr>
            </w:pPr>
            <w:r w:rsidRPr="00DB0F0F">
              <w:rPr>
                <w:rFonts w:ascii="Times New Roman" w:hAnsi="Times New Roman" w:cs="Times New Roman"/>
                <w:b/>
                <w:sz w:val="18"/>
                <w:szCs w:val="18"/>
              </w:rPr>
              <w:t>-1</w:t>
            </w:r>
          </w:p>
        </w:tc>
        <w:tc>
          <w:tcPr>
            <w:tcW w:w="1777" w:type="dxa"/>
            <w:shd w:val="clear" w:color="auto" w:fill="D0CECE" w:themeFill="background2" w:themeFillShade="E6"/>
            <w:vAlign w:val="center"/>
          </w:tcPr>
          <w:p w14:paraId="0349A07D" w14:textId="78904E85" w:rsidR="00E16161" w:rsidRPr="00DB0F0F" w:rsidRDefault="00E16161" w:rsidP="00E16161">
            <w:pPr>
              <w:jc w:val="center"/>
              <w:rPr>
                <w:rFonts w:ascii="Times New Roman" w:hAnsi="Times New Roman" w:cs="Times New Roman"/>
                <w:b/>
                <w:sz w:val="18"/>
                <w:szCs w:val="18"/>
              </w:rPr>
            </w:pPr>
            <w:r w:rsidRPr="00DB0F0F">
              <w:rPr>
                <w:rFonts w:ascii="Times New Roman" w:hAnsi="Times New Roman" w:cs="Times New Roman"/>
                <w:b/>
                <w:sz w:val="18"/>
                <w:szCs w:val="18"/>
              </w:rPr>
              <w:t>2</w:t>
            </w:r>
          </w:p>
        </w:tc>
        <w:tc>
          <w:tcPr>
            <w:tcW w:w="1509" w:type="dxa"/>
            <w:shd w:val="clear" w:color="auto" w:fill="D0CECE" w:themeFill="background2" w:themeFillShade="E6"/>
            <w:vAlign w:val="center"/>
          </w:tcPr>
          <w:p w14:paraId="3A9E878B" w14:textId="43FDBEDF" w:rsidR="00E16161" w:rsidRPr="00DB0F0F" w:rsidRDefault="00E16161" w:rsidP="00E16161">
            <w:pPr>
              <w:jc w:val="center"/>
              <w:rPr>
                <w:rFonts w:ascii="Times New Roman" w:hAnsi="Times New Roman" w:cs="Times New Roman"/>
                <w:b/>
                <w:sz w:val="18"/>
                <w:szCs w:val="18"/>
              </w:rPr>
            </w:pPr>
            <w:r w:rsidRPr="00DB0F0F">
              <w:rPr>
                <w:rFonts w:ascii="Times New Roman" w:hAnsi="Times New Roman" w:cs="Times New Roman"/>
                <w:b/>
                <w:sz w:val="18"/>
                <w:szCs w:val="18"/>
              </w:rPr>
              <w:t>4</w:t>
            </w:r>
          </w:p>
        </w:tc>
        <w:tc>
          <w:tcPr>
            <w:tcW w:w="1509" w:type="dxa"/>
            <w:shd w:val="clear" w:color="auto" w:fill="D0CECE" w:themeFill="background2" w:themeFillShade="E6"/>
            <w:vAlign w:val="center"/>
          </w:tcPr>
          <w:p w14:paraId="6EC2B8CF" w14:textId="3C2DCC27" w:rsidR="00E16161" w:rsidRPr="00DB0F0F" w:rsidRDefault="00E16161" w:rsidP="00E16161">
            <w:pPr>
              <w:jc w:val="center"/>
              <w:rPr>
                <w:rFonts w:ascii="Times New Roman" w:hAnsi="Times New Roman" w:cs="Times New Roman"/>
                <w:b/>
                <w:sz w:val="18"/>
                <w:szCs w:val="18"/>
              </w:rPr>
            </w:pPr>
            <w:r w:rsidRPr="00DB0F0F">
              <w:rPr>
                <w:rFonts w:ascii="Times New Roman" w:hAnsi="Times New Roman" w:cs="Times New Roman"/>
                <w:b/>
                <w:sz w:val="18"/>
                <w:szCs w:val="18"/>
              </w:rPr>
              <w:t>5</w:t>
            </w:r>
          </w:p>
        </w:tc>
      </w:tr>
    </w:tbl>
    <w:p w14:paraId="043C229D" w14:textId="77777777" w:rsidR="00E16161" w:rsidRDefault="00E16161" w:rsidP="00E16161">
      <w:pPr>
        <w:spacing w:after="0" w:line="240" w:lineRule="auto"/>
        <w:ind w:firstLine="567"/>
        <w:jc w:val="both"/>
        <w:rPr>
          <w:rFonts w:ascii="Times New Roman" w:eastAsia="Times New Roman" w:hAnsi="Times New Roman" w:cs="Times New Roman"/>
          <w:sz w:val="24"/>
          <w:szCs w:val="24"/>
        </w:rPr>
      </w:pPr>
    </w:p>
    <w:p w14:paraId="5B121D3C" w14:textId="13DAA52A" w:rsidR="005737E3" w:rsidRPr="002E304E" w:rsidRDefault="005737E3" w:rsidP="005737E3">
      <w:pPr>
        <w:spacing w:after="0" w:line="240" w:lineRule="auto"/>
        <w:ind w:firstLine="567"/>
        <w:jc w:val="both"/>
        <w:rPr>
          <w:rFonts w:ascii="Times New Roman" w:eastAsia="Times New Roman" w:hAnsi="Times New Roman" w:cs="Times New Roman"/>
          <w:b/>
          <w:sz w:val="24"/>
          <w:szCs w:val="24"/>
        </w:rPr>
      </w:pPr>
      <w:r w:rsidRPr="002E304E">
        <w:rPr>
          <w:rFonts w:ascii="Times New Roman" w:eastAsia="Times New Roman" w:hAnsi="Times New Roman" w:cs="Times New Roman"/>
          <w:b/>
          <w:sz w:val="24"/>
          <w:szCs w:val="24"/>
        </w:rPr>
        <w:t xml:space="preserve">V. </w:t>
      </w:r>
      <w:r w:rsidR="002E304E" w:rsidRPr="002E304E">
        <w:rPr>
          <w:rFonts w:ascii="Times New Roman" w:eastAsia="Times New Roman" w:hAnsi="Times New Roman" w:cs="Times New Roman"/>
          <w:b/>
          <w:sz w:val="24"/>
          <w:szCs w:val="24"/>
        </w:rPr>
        <w:t>Общи претеглени оценки на вариантите</w:t>
      </w:r>
    </w:p>
    <w:p w14:paraId="10891172" w14:textId="32AAB848" w:rsidR="00F67ED9" w:rsidRDefault="00F67ED9" w:rsidP="00F67ED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На </w:t>
      </w:r>
      <w:r w:rsidR="005737E3" w:rsidRPr="00375543">
        <w:rPr>
          <w:rFonts w:ascii="Times New Roman" w:eastAsia="Times New Roman" w:hAnsi="Times New Roman" w:cs="Times New Roman"/>
          <w:sz w:val="24"/>
          <w:szCs w:val="24"/>
        </w:rPr>
        <w:t>фигура</w:t>
      </w:r>
      <w:r w:rsidR="00D031C5">
        <w:rPr>
          <w:rFonts w:ascii="Times New Roman" w:eastAsia="Times New Roman" w:hAnsi="Times New Roman" w:cs="Times New Roman"/>
          <w:sz w:val="24"/>
          <w:szCs w:val="24"/>
        </w:rPr>
        <w:t>та по-долу</w:t>
      </w:r>
      <w:r w:rsidR="005737E3" w:rsidRPr="003755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са </w:t>
      </w:r>
      <w:r w:rsidR="005737E3" w:rsidRPr="00375543">
        <w:rPr>
          <w:rFonts w:ascii="Times New Roman" w:eastAsia="Times New Roman" w:hAnsi="Times New Roman" w:cs="Times New Roman"/>
          <w:sz w:val="24"/>
          <w:szCs w:val="24"/>
        </w:rPr>
        <w:t>представ</w:t>
      </w:r>
      <w:r>
        <w:rPr>
          <w:rFonts w:ascii="Times New Roman" w:eastAsia="Times New Roman" w:hAnsi="Times New Roman" w:cs="Times New Roman"/>
          <w:sz w:val="24"/>
          <w:szCs w:val="24"/>
        </w:rPr>
        <w:t>ени</w:t>
      </w:r>
      <w:r w:rsidR="005737E3" w:rsidRPr="00375543">
        <w:rPr>
          <w:rFonts w:ascii="Times New Roman" w:eastAsia="Times New Roman" w:hAnsi="Times New Roman" w:cs="Times New Roman"/>
          <w:sz w:val="24"/>
          <w:szCs w:val="24"/>
        </w:rPr>
        <w:t xml:space="preserve"> всеки един от четирите варианта</w:t>
      </w:r>
      <w:r w:rsidR="005737E3">
        <w:rPr>
          <w:rFonts w:ascii="Times New Roman" w:eastAsia="Times New Roman" w:hAnsi="Times New Roman" w:cs="Times New Roman"/>
          <w:sz w:val="24"/>
          <w:szCs w:val="24"/>
        </w:rPr>
        <w:t xml:space="preserve"> </w:t>
      </w:r>
      <w:r w:rsidR="005737E3" w:rsidRPr="00375543">
        <w:rPr>
          <w:rFonts w:ascii="Times New Roman" w:eastAsia="Times New Roman" w:hAnsi="Times New Roman" w:cs="Times New Roman"/>
          <w:bCs/>
          <w:sz w:val="24"/>
          <w:szCs w:val="24"/>
        </w:rPr>
        <w:t>сп</w:t>
      </w:r>
      <w:r>
        <w:rPr>
          <w:rFonts w:ascii="Times New Roman" w:eastAsia="Times New Roman" w:hAnsi="Times New Roman" w:cs="Times New Roman"/>
          <w:bCs/>
          <w:sz w:val="24"/>
          <w:szCs w:val="24"/>
        </w:rPr>
        <w:t xml:space="preserve">оред </w:t>
      </w:r>
      <w:r w:rsidR="005737E3" w:rsidRPr="00375543">
        <w:rPr>
          <w:rFonts w:ascii="Times New Roman" w:eastAsia="Times New Roman" w:hAnsi="Times New Roman" w:cs="Times New Roman"/>
          <w:bCs/>
          <w:sz w:val="24"/>
          <w:szCs w:val="24"/>
        </w:rPr>
        <w:t xml:space="preserve">притеглената оценка по всеки един от </w:t>
      </w:r>
      <w:r>
        <w:rPr>
          <w:rFonts w:ascii="Times New Roman" w:eastAsia="Times New Roman" w:hAnsi="Times New Roman" w:cs="Times New Roman"/>
          <w:bCs/>
          <w:sz w:val="24"/>
          <w:szCs w:val="24"/>
        </w:rPr>
        <w:t xml:space="preserve">избраните </w:t>
      </w:r>
      <w:r w:rsidR="005737E3" w:rsidRPr="00375543">
        <w:rPr>
          <w:rFonts w:ascii="Times New Roman" w:eastAsia="Times New Roman" w:hAnsi="Times New Roman" w:cs="Times New Roman"/>
          <w:bCs/>
          <w:sz w:val="24"/>
          <w:szCs w:val="24"/>
        </w:rPr>
        <w:t>критерии</w:t>
      </w:r>
      <w:r>
        <w:rPr>
          <w:rFonts w:ascii="Times New Roman" w:eastAsia="Times New Roman" w:hAnsi="Times New Roman" w:cs="Times New Roman"/>
          <w:bCs/>
          <w:sz w:val="24"/>
          <w:szCs w:val="24"/>
        </w:rPr>
        <w:t xml:space="preserve"> за мултикритериен анализ. (Вж. Фигура 9). </w:t>
      </w:r>
    </w:p>
    <w:p w14:paraId="1D883B84" w14:textId="3F655AFA" w:rsidR="00F67ED9" w:rsidRDefault="00F67ED9" w:rsidP="00F67ED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w:t>
      </w:r>
      <w:r w:rsidR="005737E3" w:rsidRPr="00375543">
        <w:rPr>
          <w:rFonts w:ascii="Times New Roman" w:eastAsia="Times New Roman" w:hAnsi="Times New Roman" w:cs="Times New Roman"/>
          <w:bCs/>
          <w:sz w:val="24"/>
          <w:szCs w:val="24"/>
        </w:rPr>
        <w:t xml:space="preserve"> фигурата 0 е </w:t>
      </w:r>
      <w:r w:rsidR="00651E99">
        <w:rPr>
          <w:rFonts w:ascii="Times New Roman" w:eastAsia="Times New Roman" w:hAnsi="Times New Roman" w:cs="Times New Roman"/>
          <w:bCs/>
          <w:sz w:val="24"/>
          <w:szCs w:val="24"/>
        </w:rPr>
        <w:t xml:space="preserve">поставена </w:t>
      </w:r>
      <w:r w:rsidR="005737E3" w:rsidRPr="00375543">
        <w:rPr>
          <w:rFonts w:ascii="Times New Roman" w:eastAsia="Times New Roman" w:hAnsi="Times New Roman" w:cs="Times New Roman"/>
          <w:bCs/>
          <w:sz w:val="24"/>
          <w:szCs w:val="24"/>
        </w:rPr>
        <w:t xml:space="preserve">в центъра и отговаря на неутрален ефект, а крайната окръжност </w:t>
      </w:r>
      <w:r w:rsidR="00951016">
        <w:rPr>
          <w:rFonts w:ascii="Times New Roman" w:eastAsia="Times New Roman" w:hAnsi="Times New Roman" w:cs="Times New Roman"/>
          <w:bCs/>
          <w:sz w:val="24"/>
          <w:szCs w:val="24"/>
        </w:rPr>
        <w:t xml:space="preserve">е </w:t>
      </w:r>
      <w:r w:rsidR="005737E3" w:rsidRPr="00375543">
        <w:rPr>
          <w:rFonts w:ascii="Times New Roman" w:eastAsia="Times New Roman" w:hAnsi="Times New Roman" w:cs="Times New Roman"/>
          <w:bCs/>
          <w:sz w:val="24"/>
          <w:szCs w:val="24"/>
        </w:rPr>
        <w:t>на стойност +2 (силно положително вли</w:t>
      </w:r>
      <w:r w:rsidR="005737E3">
        <w:rPr>
          <w:rFonts w:ascii="Times New Roman" w:eastAsia="Times New Roman" w:hAnsi="Times New Roman" w:cs="Times New Roman"/>
          <w:bCs/>
          <w:sz w:val="24"/>
          <w:szCs w:val="24"/>
        </w:rPr>
        <w:t>яние).</w:t>
      </w:r>
      <w:r w:rsidR="005737E3" w:rsidRPr="00375543">
        <w:rPr>
          <w:rFonts w:ascii="Times New Roman" w:eastAsia="Times New Roman" w:hAnsi="Times New Roman" w:cs="Times New Roman"/>
          <w:bCs/>
          <w:sz w:val="24"/>
          <w:szCs w:val="24"/>
        </w:rPr>
        <w:t xml:space="preserve"> </w:t>
      </w:r>
      <w:r w:rsidR="005737E3">
        <w:rPr>
          <w:rFonts w:ascii="Times New Roman" w:eastAsia="Times New Roman" w:hAnsi="Times New Roman" w:cs="Times New Roman"/>
          <w:bCs/>
          <w:sz w:val="24"/>
          <w:szCs w:val="24"/>
        </w:rPr>
        <w:t>О</w:t>
      </w:r>
      <w:r w:rsidR="005737E3" w:rsidRPr="00375543">
        <w:rPr>
          <w:rFonts w:ascii="Times New Roman" w:eastAsia="Times New Roman" w:hAnsi="Times New Roman" w:cs="Times New Roman"/>
          <w:bCs/>
          <w:sz w:val="24"/>
          <w:szCs w:val="24"/>
        </w:rPr>
        <w:t xml:space="preserve">трицателните стойности са изобразени в средната област (напр. -2, като най-вътрешна точка). </w:t>
      </w:r>
    </w:p>
    <w:p w14:paraId="3D005914" w14:textId="6BE92D7C" w:rsidR="005737E3" w:rsidRDefault="005737E3" w:rsidP="00F67ED9">
      <w:pPr>
        <w:spacing w:after="0" w:line="240" w:lineRule="auto"/>
        <w:ind w:firstLine="567"/>
        <w:jc w:val="both"/>
        <w:rPr>
          <w:rFonts w:ascii="Times New Roman" w:eastAsia="Times New Roman" w:hAnsi="Times New Roman" w:cs="Times New Roman"/>
          <w:bCs/>
          <w:sz w:val="24"/>
          <w:szCs w:val="24"/>
        </w:rPr>
      </w:pPr>
      <w:r w:rsidRPr="00375543">
        <w:rPr>
          <w:rFonts w:ascii="Times New Roman" w:eastAsia="Times New Roman" w:hAnsi="Times New Roman" w:cs="Times New Roman"/>
          <w:bCs/>
          <w:sz w:val="24"/>
          <w:szCs w:val="24"/>
        </w:rPr>
        <w:t>По-широкият полигон означава по-добро цялостно представяне. Ясно се вижда, че полигонът на Вариант 3 (</w:t>
      </w:r>
      <w:r w:rsidR="00F67ED9">
        <w:rPr>
          <w:rFonts w:ascii="Times New Roman" w:eastAsia="Times New Roman" w:hAnsi="Times New Roman" w:cs="Times New Roman"/>
          <w:bCs/>
          <w:sz w:val="24"/>
          <w:szCs w:val="24"/>
        </w:rPr>
        <w:t>ярко</w:t>
      </w:r>
      <w:r w:rsidRPr="00375543">
        <w:rPr>
          <w:rFonts w:ascii="Times New Roman" w:eastAsia="Times New Roman" w:hAnsi="Times New Roman" w:cs="Times New Roman"/>
          <w:bCs/>
          <w:sz w:val="24"/>
          <w:szCs w:val="24"/>
        </w:rPr>
        <w:t xml:space="preserve"> зелен) превъзхожда по повечето оси, докато полигон</w:t>
      </w:r>
      <w:r>
        <w:rPr>
          <w:rFonts w:ascii="Times New Roman" w:eastAsia="Times New Roman" w:hAnsi="Times New Roman" w:cs="Times New Roman"/>
          <w:bCs/>
          <w:sz w:val="24"/>
          <w:szCs w:val="24"/>
        </w:rPr>
        <w:t>ът</w:t>
      </w:r>
      <w:r w:rsidRPr="00375543">
        <w:rPr>
          <w:rFonts w:ascii="Times New Roman" w:eastAsia="Times New Roman" w:hAnsi="Times New Roman" w:cs="Times New Roman"/>
          <w:bCs/>
          <w:sz w:val="24"/>
          <w:szCs w:val="24"/>
        </w:rPr>
        <w:t xml:space="preserve"> на </w:t>
      </w:r>
      <w:r>
        <w:rPr>
          <w:rFonts w:ascii="Times New Roman" w:eastAsia="Times New Roman" w:hAnsi="Times New Roman" w:cs="Times New Roman"/>
          <w:bCs/>
          <w:sz w:val="24"/>
          <w:szCs w:val="24"/>
        </w:rPr>
        <w:t>Вариант</w:t>
      </w:r>
      <w:r w:rsidRPr="00375543">
        <w:rPr>
          <w:rFonts w:ascii="Times New Roman" w:eastAsia="Times New Roman" w:hAnsi="Times New Roman" w:cs="Times New Roman"/>
          <w:bCs/>
          <w:sz w:val="24"/>
          <w:szCs w:val="24"/>
        </w:rPr>
        <w:t xml:space="preserve"> 0 (червен) е силно стеснен при ключови критерии, въпреки че излиза навън при „Административна тежест“ и „Приложимост“.</w:t>
      </w:r>
    </w:p>
    <w:p w14:paraId="5BA8F2A7" w14:textId="77777777" w:rsidR="005737E3" w:rsidRPr="00375543" w:rsidRDefault="005737E3" w:rsidP="005737E3">
      <w:pPr>
        <w:spacing w:after="0" w:line="240" w:lineRule="auto"/>
        <w:ind w:firstLine="567"/>
        <w:jc w:val="both"/>
        <w:rPr>
          <w:rFonts w:ascii="Times New Roman" w:eastAsia="Times New Roman" w:hAnsi="Times New Roman" w:cs="Times New Roman"/>
          <w:sz w:val="24"/>
          <w:szCs w:val="24"/>
        </w:rPr>
      </w:pPr>
    </w:p>
    <w:p w14:paraId="51661C45" w14:textId="77777777" w:rsidR="005737E3" w:rsidRDefault="005737E3" w:rsidP="005737E3">
      <w:pPr>
        <w:spacing w:after="0" w:line="240" w:lineRule="auto"/>
        <w:jc w:val="both"/>
        <w:rPr>
          <w:rFonts w:ascii="Times New Roman" w:eastAsia="Times New Roman" w:hAnsi="Times New Roman" w:cs="Times New Roman"/>
          <w:sz w:val="24"/>
          <w:szCs w:val="24"/>
        </w:rPr>
      </w:pPr>
      <w:r>
        <w:rPr>
          <w:noProof/>
          <w:lang w:val="en-US"/>
        </w:rPr>
        <w:lastRenderedPageBreak/>
        <w:drawing>
          <wp:inline distT="0" distB="0" distL="0" distR="0" wp14:anchorId="4101586E" wp14:editId="6BAA54C4">
            <wp:extent cx="5943600" cy="3898265"/>
            <wp:effectExtent l="0" t="0" r="0" b="6985"/>
            <wp:docPr id="11" name="Chart 11">
              <a:extLst xmlns:a="http://schemas.openxmlformats.org/drawingml/2006/main">
                <a:ext uri="{FF2B5EF4-FFF2-40B4-BE49-F238E27FC236}">
                  <a16:creationId xmlns:a16="http://schemas.microsoft.com/office/drawing/2014/main" id="{5901CFA0-DF01-42A7-A751-7343594AD3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FB081BE" w14:textId="5138A786" w:rsidR="005737E3" w:rsidRDefault="005737E3" w:rsidP="005737E3">
      <w:pPr>
        <w:spacing w:after="0" w:line="240" w:lineRule="auto"/>
        <w:ind w:firstLine="567"/>
        <w:jc w:val="both"/>
        <w:rPr>
          <w:rFonts w:ascii="Times New Roman" w:eastAsia="Times New Roman" w:hAnsi="Times New Roman" w:cs="Times New Roman"/>
          <w:sz w:val="24"/>
          <w:szCs w:val="24"/>
        </w:rPr>
      </w:pPr>
      <w:r w:rsidRPr="00DF704F">
        <w:rPr>
          <w:rFonts w:ascii="Times New Roman" w:eastAsia="Times New Roman" w:hAnsi="Times New Roman" w:cs="Times New Roman"/>
          <w:b/>
          <w:sz w:val="24"/>
          <w:szCs w:val="24"/>
        </w:rPr>
        <w:t>Фигура</w:t>
      </w:r>
      <w:r w:rsidRPr="00733A27">
        <w:rPr>
          <w:rFonts w:ascii="Times New Roman" w:eastAsia="Times New Roman" w:hAnsi="Times New Roman" w:cs="Times New Roman"/>
          <w:b/>
          <w:sz w:val="24"/>
          <w:szCs w:val="24"/>
        </w:rPr>
        <w:t xml:space="preserve"> </w:t>
      </w:r>
      <w:r w:rsidR="00F67ED9" w:rsidRPr="00733A27">
        <w:rPr>
          <w:rFonts w:ascii="Times New Roman" w:eastAsia="Times New Roman" w:hAnsi="Times New Roman" w:cs="Times New Roman"/>
          <w:b/>
          <w:sz w:val="24"/>
          <w:szCs w:val="24"/>
        </w:rPr>
        <w:t>9</w:t>
      </w:r>
      <w:r w:rsidRPr="00733A27">
        <w:rPr>
          <w:rFonts w:ascii="Times New Roman" w:eastAsia="Times New Roman" w:hAnsi="Times New Roman" w:cs="Times New Roman"/>
          <w:b/>
          <w:sz w:val="24"/>
          <w:szCs w:val="24"/>
        </w:rPr>
        <w:t>.</w:t>
      </w:r>
      <w:r w:rsidRPr="00092A08">
        <w:rPr>
          <w:rFonts w:ascii="Times New Roman" w:eastAsia="Times New Roman" w:hAnsi="Times New Roman" w:cs="Times New Roman"/>
          <w:b/>
          <w:sz w:val="24"/>
          <w:szCs w:val="24"/>
        </w:rPr>
        <w:t xml:space="preserve"> Представяне на всеки вариант по </w:t>
      </w:r>
      <w:r>
        <w:rPr>
          <w:rFonts w:ascii="Times New Roman" w:eastAsia="Times New Roman" w:hAnsi="Times New Roman" w:cs="Times New Roman"/>
          <w:b/>
          <w:sz w:val="24"/>
          <w:szCs w:val="24"/>
        </w:rPr>
        <w:t>избраните</w:t>
      </w:r>
      <w:r w:rsidRPr="00092A08">
        <w:rPr>
          <w:rFonts w:ascii="Times New Roman" w:eastAsia="Times New Roman" w:hAnsi="Times New Roman" w:cs="Times New Roman"/>
          <w:b/>
          <w:sz w:val="24"/>
          <w:szCs w:val="24"/>
        </w:rPr>
        <w:t xml:space="preserve"> критери</w:t>
      </w:r>
      <w:r>
        <w:rPr>
          <w:rFonts w:ascii="Times New Roman" w:eastAsia="Times New Roman" w:hAnsi="Times New Roman" w:cs="Times New Roman"/>
          <w:b/>
          <w:sz w:val="24"/>
          <w:szCs w:val="24"/>
        </w:rPr>
        <w:t>и</w:t>
      </w:r>
      <w:r w:rsidRPr="000029C6">
        <w:rPr>
          <w:rFonts w:ascii="Times New Roman" w:eastAsia="Times New Roman" w:hAnsi="Times New Roman" w:cs="Times New Roman"/>
          <w:sz w:val="24"/>
          <w:szCs w:val="24"/>
        </w:rPr>
        <w:t>: ефективност, икономическо въздействие, въздействие върху МСП</w:t>
      </w:r>
      <w:r>
        <w:rPr>
          <w:rFonts w:ascii="Times New Roman" w:eastAsia="Times New Roman" w:hAnsi="Times New Roman" w:cs="Times New Roman"/>
          <w:sz w:val="24"/>
          <w:szCs w:val="24"/>
        </w:rPr>
        <w:t>,</w:t>
      </w:r>
      <w:r w:rsidRPr="00375543">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административна тежест приложимост и осъществимост </w:t>
      </w:r>
    </w:p>
    <w:p w14:paraId="45B77D73" w14:textId="77777777" w:rsidR="00F67ED9" w:rsidRDefault="00F67ED9" w:rsidP="005737E3">
      <w:pPr>
        <w:spacing w:after="0" w:line="240" w:lineRule="auto"/>
        <w:ind w:firstLine="567"/>
        <w:jc w:val="both"/>
        <w:rPr>
          <w:rFonts w:ascii="Times New Roman" w:eastAsia="Times New Roman" w:hAnsi="Times New Roman" w:cs="Times New Roman"/>
          <w:sz w:val="24"/>
          <w:szCs w:val="24"/>
        </w:rPr>
      </w:pPr>
    </w:p>
    <w:p w14:paraId="4523EA44" w14:textId="77777777" w:rsidR="00F67ED9" w:rsidRDefault="00F67ED9" w:rsidP="005737E3">
      <w:pPr>
        <w:spacing w:after="0" w:line="240" w:lineRule="auto"/>
        <w:ind w:firstLine="567"/>
        <w:jc w:val="both"/>
        <w:rPr>
          <w:rFonts w:ascii="Times New Roman" w:eastAsia="Times New Roman" w:hAnsi="Times New Roman" w:cs="Times New Roman"/>
          <w:sz w:val="24"/>
          <w:szCs w:val="24"/>
        </w:rPr>
      </w:pPr>
    </w:p>
    <w:p w14:paraId="6B82DBE4" w14:textId="4E4247E8" w:rsidR="00F67ED9" w:rsidRDefault="00F67ED9" w:rsidP="00F67E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фигурата по-долу са представени о</w:t>
      </w:r>
      <w:r w:rsidRPr="0012740C">
        <w:rPr>
          <w:rFonts w:ascii="Times New Roman" w:eastAsia="Times New Roman" w:hAnsi="Times New Roman" w:cs="Times New Roman"/>
          <w:sz w:val="24"/>
          <w:szCs w:val="24"/>
        </w:rPr>
        <w:t>бщ</w:t>
      </w:r>
      <w:r>
        <w:rPr>
          <w:rFonts w:ascii="Times New Roman" w:eastAsia="Times New Roman" w:hAnsi="Times New Roman" w:cs="Times New Roman"/>
          <w:sz w:val="24"/>
          <w:szCs w:val="24"/>
        </w:rPr>
        <w:t>ите</w:t>
      </w:r>
      <w:r w:rsidRPr="0012740C">
        <w:rPr>
          <w:rFonts w:ascii="Times New Roman" w:eastAsia="Times New Roman" w:hAnsi="Times New Roman" w:cs="Times New Roman"/>
          <w:sz w:val="24"/>
          <w:szCs w:val="24"/>
        </w:rPr>
        <w:t xml:space="preserve"> претеглен</w:t>
      </w:r>
      <w:r>
        <w:rPr>
          <w:rFonts w:ascii="Times New Roman" w:eastAsia="Times New Roman" w:hAnsi="Times New Roman" w:cs="Times New Roman"/>
          <w:sz w:val="24"/>
          <w:szCs w:val="24"/>
        </w:rPr>
        <w:t>и</w:t>
      </w:r>
      <w:r w:rsidRPr="0012740C">
        <w:rPr>
          <w:rFonts w:ascii="Times New Roman" w:eastAsia="Times New Roman" w:hAnsi="Times New Roman" w:cs="Times New Roman"/>
          <w:sz w:val="24"/>
          <w:szCs w:val="24"/>
        </w:rPr>
        <w:t xml:space="preserve"> оценк</w:t>
      </w:r>
      <w:r>
        <w:rPr>
          <w:rFonts w:ascii="Times New Roman" w:eastAsia="Times New Roman" w:hAnsi="Times New Roman" w:cs="Times New Roman"/>
          <w:sz w:val="24"/>
          <w:szCs w:val="24"/>
        </w:rPr>
        <w:t>и</w:t>
      </w:r>
      <w:r w:rsidRPr="0012740C">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 xml:space="preserve"> за всеки от вариантите, като са пресметнати въз основа </w:t>
      </w:r>
      <w:r w:rsidR="00DE742A">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тежестите на всеки един от изведените критерии. (Вж. Фигура 10).</w:t>
      </w:r>
    </w:p>
    <w:p w14:paraId="3869B15C" w14:textId="163A9EC2" w:rsidR="00F67ED9" w:rsidRDefault="00F67ED9" w:rsidP="00F67ED9">
      <w:pPr>
        <w:spacing w:after="0" w:line="240" w:lineRule="auto"/>
        <w:ind w:firstLine="567"/>
        <w:jc w:val="both"/>
        <w:rPr>
          <w:rFonts w:ascii="Times New Roman" w:eastAsia="Times New Roman" w:hAnsi="Times New Roman" w:cs="Times New Roman"/>
          <w:sz w:val="24"/>
          <w:szCs w:val="24"/>
        </w:rPr>
      </w:pPr>
      <w:r w:rsidRPr="0091765E">
        <w:rPr>
          <w:rFonts w:ascii="Times New Roman" w:eastAsia="Times New Roman" w:hAnsi="Times New Roman" w:cs="Times New Roman"/>
          <w:sz w:val="24"/>
          <w:szCs w:val="24"/>
        </w:rPr>
        <w:t>Положителните стойности означават положително въздействие, отрицателните – негативно, а 0 – неутрално/</w:t>
      </w:r>
      <w:r>
        <w:rPr>
          <w:rFonts w:ascii="Times New Roman" w:eastAsia="Times New Roman" w:hAnsi="Times New Roman" w:cs="Times New Roman"/>
          <w:sz w:val="24"/>
          <w:szCs w:val="24"/>
        </w:rPr>
        <w:t xml:space="preserve"> </w:t>
      </w:r>
      <w:r w:rsidRPr="0091765E">
        <w:rPr>
          <w:rFonts w:ascii="Times New Roman" w:eastAsia="Times New Roman" w:hAnsi="Times New Roman" w:cs="Times New Roman"/>
          <w:sz w:val="24"/>
          <w:szCs w:val="24"/>
        </w:rPr>
        <w:t>без промяна.</w:t>
      </w:r>
    </w:p>
    <w:p w14:paraId="49C5E3E6" w14:textId="77777777" w:rsidR="00F67ED9" w:rsidRDefault="00F67ED9" w:rsidP="00F67ED9">
      <w:pPr>
        <w:spacing w:after="0" w:line="240" w:lineRule="auto"/>
        <w:jc w:val="both"/>
        <w:rPr>
          <w:rFonts w:ascii="Times New Roman" w:eastAsia="Times New Roman" w:hAnsi="Times New Roman" w:cs="Times New Roman"/>
          <w:sz w:val="24"/>
          <w:szCs w:val="24"/>
        </w:rPr>
      </w:pPr>
    </w:p>
    <w:p w14:paraId="4D42EA53" w14:textId="77777777" w:rsidR="00F67ED9" w:rsidRDefault="00F67ED9" w:rsidP="00F67ED9">
      <w:pPr>
        <w:spacing w:after="0" w:line="240" w:lineRule="auto"/>
        <w:jc w:val="center"/>
        <w:rPr>
          <w:rFonts w:ascii="Times New Roman" w:eastAsia="Times New Roman" w:hAnsi="Times New Roman" w:cs="Times New Roman"/>
          <w:b/>
          <w:sz w:val="24"/>
          <w:szCs w:val="24"/>
        </w:rPr>
      </w:pPr>
      <w:r>
        <w:rPr>
          <w:noProof/>
          <w:lang w:val="en-US"/>
        </w:rPr>
        <w:lastRenderedPageBreak/>
        <w:drawing>
          <wp:inline distT="0" distB="0" distL="0" distR="0" wp14:anchorId="3E42F6F9" wp14:editId="33B868CD">
            <wp:extent cx="5915025" cy="4067175"/>
            <wp:effectExtent l="0" t="0" r="9525" b="9525"/>
            <wp:docPr id="10" name="Chart 10">
              <a:extLst xmlns:a="http://schemas.openxmlformats.org/drawingml/2006/main">
                <a:ext uri="{FF2B5EF4-FFF2-40B4-BE49-F238E27FC236}">
                  <a16:creationId xmlns:a16="http://schemas.microsoft.com/office/drawing/2014/main" id="{9DFD4C1C-0E72-43B3-A661-4A13931583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B5E971D" w14:textId="62520B49" w:rsidR="00F67ED9" w:rsidRDefault="00F67ED9" w:rsidP="00ED6430">
      <w:pPr>
        <w:spacing w:after="0" w:line="240" w:lineRule="auto"/>
        <w:ind w:firstLine="567"/>
        <w:jc w:val="both"/>
        <w:rPr>
          <w:rFonts w:ascii="Times New Roman" w:eastAsia="Times New Roman" w:hAnsi="Times New Roman" w:cs="Times New Roman"/>
          <w:b/>
          <w:bCs/>
          <w:sz w:val="24"/>
          <w:szCs w:val="24"/>
        </w:rPr>
      </w:pPr>
      <w:r w:rsidRPr="00DF704F">
        <w:rPr>
          <w:rFonts w:ascii="Times New Roman" w:eastAsia="Times New Roman" w:hAnsi="Times New Roman" w:cs="Times New Roman"/>
          <w:b/>
          <w:bCs/>
          <w:sz w:val="24"/>
          <w:szCs w:val="24"/>
        </w:rPr>
        <w:t>Фигура</w:t>
      </w:r>
      <w:r w:rsidRPr="00733A27">
        <w:rPr>
          <w:rFonts w:ascii="Times New Roman" w:eastAsia="Times New Roman" w:hAnsi="Times New Roman" w:cs="Times New Roman"/>
          <w:b/>
          <w:bCs/>
          <w:sz w:val="24"/>
          <w:szCs w:val="24"/>
        </w:rPr>
        <w:t xml:space="preserve"> 10.</w:t>
      </w:r>
      <w:r w:rsidRPr="00733A27">
        <w:rPr>
          <w:rFonts w:ascii="Times New Roman" w:eastAsia="Times New Roman" w:hAnsi="Times New Roman" w:cs="Times New Roman"/>
          <w:b/>
          <w:sz w:val="24"/>
          <w:szCs w:val="24"/>
        </w:rPr>
        <w:t xml:space="preserve"> Крайни</w:t>
      </w:r>
      <w:r w:rsidRPr="00FB03BC">
        <w:rPr>
          <w:rFonts w:ascii="Times New Roman" w:eastAsia="Times New Roman" w:hAnsi="Times New Roman" w:cs="Times New Roman"/>
          <w:b/>
          <w:sz w:val="24"/>
          <w:szCs w:val="24"/>
        </w:rPr>
        <w:t xml:space="preserve"> претеглени резултати</w:t>
      </w:r>
      <w:r>
        <w:rPr>
          <w:rFonts w:ascii="Times New Roman" w:eastAsia="Times New Roman" w:hAnsi="Times New Roman" w:cs="Times New Roman"/>
          <w:b/>
          <w:sz w:val="24"/>
          <w:szCs w:val="24"/>
        </w:rPr>
        <w:t xml:space="preserve"> от</w:t>
      </w:r>
      <w:r w:rsidRPr="00FB03BC">
        <w:rPr>
          <w:rFonts w:ascii="Times New Roman" w:eastAsia="Times New Roman" w:hAnsi="Times New Roman" w:cs="Times New Roman"/>
          <w:b/>
          <w:sz w:val="24"/>
          <w:szCs w:val="24"/>
        </w:rPr>
        <w:t xml:space="preserve"> </w:t>
      </w:r>
      <w:r w:rsidRPr="00F67ED9">
        <w:rPr>
          <w:rFonts w:ascii="Times New Roman" w:eastAsia="Times New Roman" w:hAnsi="Times New Roman" w:cs="Times New Roman"/>
          <w:b/>
          <w:bCs/>
          <w:sz w:val="24"/>
          <w:szCs w:val="24"/>
        </w:rPr>
        <w:t>мултикритери</w:t>
      </w:r>
      <w:r>
        <w:rPr>
          <w:rFonts w:ascii="Times New Roman" w:eastAsia="Times New Roman" w:hAnsi="Times New Roman" w:cs="Times New Roman"/>
          <w:b/>
          <w:bCs/>
          <w:sz w:val="24"/>
          <w:szCs w:val="24"/>
        </w:rPr>
        <w:t>й</w:t>
      </w:r>
      <w:r w:rsidRPr="00F67ED9">
        <w:rPr>
          <w:rFonts w:ascii="Times New Roman" w:eastAsia="Times New Roman" w:hAnsi="Times New Roman" w:cs="Times New Roman"/>
          <w:b/>
          <w:bCs/>
          <w:sz w:val="24"/>
          <w:szCs w:val="24"/>
        </w:rPr>
        <w:t>н</w:t>
      </w:r>
      <w:r>
        <w:rPr>
          <w:rFonts w:ascii="Times New Roman" w:eastAsia="Times New Roman" w:hAnsi="Times New Roman" w:cs="Times New Roman"/>
          <w:b/>
          <w:bCs/>
          <w:sz w:val="24"/>
          <w:szCs w:val="24"/>
        </w:rPr>
        <w:t>ия</w:t>
      </w:r>
      <w:r w:rsidRPr="00F67ED9">
        <w:rPr>
          <w:rFonts w:ascii="Times New Roman" w:eastAsia="Times New Roman" w:hAnsi="Times New Roman" w:cs="Times New Roman"/>
          <w:b/>
          <w:bCs/>
          <w:sz w:val="24"/>
          <w:szCs w:val="24"/>
        </w:rPr>
        <w:t xml:space="preserve"> анализ </w:t>
      </w:r>
    </w:p>
    <w:p w14:paraId="0087E071" w14:textId="77777777" w:rsidR="00F67ED9" w:rsidRDefault="00F67ED9" w:rsidP="00F67ED9">
      <w:pPr>
        <w:spacing w:after="0" w:line="240" w:lineRule="auto"/>
        <w:jc w:val="both"/>
        <w:rPr>
          <w:rFonts w:ascii="Times New Roman" w:eastAsia="Times New Roman" w:hAnsi="Times New Roman" w:cs="Times New Roman"/>
          <w:sz w:val="24"/>
          <w:szCs w:val="24"/>
        </w:rPr>
      </w:pPr>
    </w:p>
    <w:p w14:paraId="56D82CFE" w14:textId="32DB772D" w:rsidR="00F67ED9" w:rsidRPr="00375543" w:rsidRDefault="00F67ED9" w:rsidP="00F67ED9">
      <w:pPr>
        <w:spacing w:after="0" w:line="240" w:lineRule="auto"/>
        <w:ind w:firstLine="567"/>
        <w:jc w:val="both"/>
        <w:rPr>
          <w:rFonts w:ascii="Times New Roman" w:eastAsia="Times New Roman" w:hAnsi="Times New Roman" w:cs="Times New Roman"/>
          <w:sz w:val="24"/>
          <w:szCs w:val="24"/>
        </w:rPr>
      </w:pPr>
      <w:r w:rsidRPr="00375543">
        <w:rPr>
          <w:rFonts w:ascii="Times New Roman" w:eastAsia="Times New Roman" w:hAnsi="Times New Roman" w:cs="Times New Roman"/>
          <w:sz w:val="24"/>
          <w:szCs w:val="24"/>
        </w:rPr>
        <w:t>Както е видно</w:t>
      </w:r>
      <w:r w:rsidR="00DE742A">
        <w:rPr>
          <w:rFonts w:ascii="Times New Roman" w:eastAsia="Times New Roman" w:hAnsi="Times New Roman" w:cs="Times New Roman"/>
          <w:sz w:val="24"/>
          <w:szCs w:val="24"/>
        </w:rPr>
        <w:t>,</w:t>
      </w:r>
      <w:r w:rsidRPr="00375543">
        <w:rPr>
          <w:rFonts w:ascii="Times New Roman" w:eastAsia="Times New Roman" w:hAnsi="Times New Roman" w:cs="Times New Roman"/>
          <w:sz w:val="24"/>
          <w:szCs w:val="24"/>
        </w:rPr>
        <w:t xml:space="preserve"> </w:t>
      </w:r>
      <w:bookmarkStart w:id="27" w:name="_Hlk196143495"/>
      <w:r w:rsidRPr="00375543">
        <w:rPr>
          <w:rFonts w:ascii="Times New Roman" w:eastAsia="Times New Roman" w:hAnsi="Times New Roman" w:cs="Times New Roman"/>
          <w:bCs/>
          <w:sz w:val="24"/>
          <w:szCs w:val="24"/>
        </w:rPr>
        <w:t xml:space="preserve">Вариант 3 „Регулаторен – изцяло нов специален закон“ </w:t>
      </w:r>
      <w:bookmarkEnd w:id="27"/>
      <w:r w:rsidRPr="00375543">
        <w:rPr>
          <w:rFonts w:ascii="Times New Roman" w:eastAsia="Times New Roman" w:hAnsi="Times New Roman" w:cs="Times New Roman"/>
          <w:sz w:val="24"/>
          <w:szCs w:val="24"/>
        </w:rPr>
        <w:t xml:space="preserve">получава най-висока сумарна оценка </w:t>
      </w:r>
      <w:r w:rsidRPr="00375543">
        <w:rPr>
          <w:rFonts w:ascii="Times New Roman" w:eastAsia="Times New Roman" w:hAnsi="Times New Roman" w:cs="Times New Roman"/>
          <w:bCs/>
          <w:sz w:val="24"/>
          <w:szCs w:val="24"/>
        </w:rPr>
        <w:t>S = +1.25</w:t>
      </w:r>
      <w:r w:rsidRPr="00375543">
        <w:rPr>
          <w:rFonts w:ascii="Times New Roman" w:eastAsia="Times New Roman" w:hAnsi="Times New Roman" w:cs="Times New Roman"/>
          <w:sz w:val="24"/>
          <w:szCs w:val="24"/>
        </w:rPr>
        <w:t xml:space="preserve">, следван от </w:t>
      </w:r>
      <w:bookmarkStart w:id="28" w:name="_Hlk196143482"/>
      <w:r w:rsidRPr="00375543">
        <w:rPr>
          <w:rFonts w:ascii="Times New Roman" w:eastAsia="Times New Roman" w:hAnsi="Times New Roman" w:cs="Times New Roman"/>
          <w:bCs/>
          <w:sz w:val="24"/>
          <w:szCs w:val="24"/>
        </w:rPr>
        <w:t>Вариант 2 „Регулаторен - промени в действащата правна уредба“</w:t>
      </w:r>
      <w:bookmarkEnd w:id="28"/>
      <w:r w:rsidRPr="00375543">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ъс</w:t>
      </w:r>
      <w:r w:rsidRPr="00375543">
        <w:rPr>
          <w:rFonts w:ascii="Times New Roman" w:eastAsia="Times New Roman" w:hAnsi="Times New Roman" w:cs="Times New Roman"/>
          <w:sz w:val="24"/>
          <w:szCs w:val="24"/>
        </w:rPr>
        <w:t xml:space="preserve"> </w:t>
      </w:r>
      <w:r w:rsidRPr="00375543">
        <w:rPr>
          <w:rFonts w:ascii="Times New Roman" w:eastAsia="Times New Roman" w:hAnsi="Times New Roman" w:cs="Times New Roman"/>
          <w:bCs/>
          <w:sz w:val="24"/>
          <w:szCs w:val="24"/>
        </w:rPr>
        <w:t>S = +0.85</w:t>
      </w:r>
      <w:r w:rsidRPr="00375543">
        <w:rPr>
          <w:rFonts w:ascii="Times New Roman" w:eastAsia="Times New Roman" w:hAnsi="Times New Roman" w:cs="Times New Roman"/>
          <w:sz w:val="24"/>
          <w:szCs w:val="24"/>
        </w:rPr>
        <w:t xml:space="preserve">, </w:t>
      </w:r>
      <w:r w:rsidRPr="00375543">
        <w:rPr>
          <w:rFonts w:ascii="Times New Roman" w:eastAsia="Times New Roman" w:hAnsi="Times New Roman" w:cs="Times New Roman"/>
          <w:bCs/>
          <w:sz w:val="24"/>
          <w:szCs w:val="24"/>
        </w:rPr>
        <w:t>Вариант 1: „Нерегулаторен“</w:t>
      </w:r>
      <w:r w:rsidRPr="00375543">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ъс</w:t>
      </w:r>
      <w:r w:rsidRPr="00375543">
        <w:rPr>
          <w:rFonts w:ascii="Times New Roman" w:eastAsia="Times New Roman" w:hAnsi="Times New Roman" w:cs="Times New Roman"/>
          <w:sz w:val="24"/>
          <w:szCs w:val="24"/>
        </w:rPr>
        <w:t xml:space="preserve"> </w:t>
      </w:r>
      <w:r w:rsidRPr="00375543">
        <w:rPr>
          <w:rFonts w:ascii="Times New Roman" w:eastAsia="Times New Roman" w:hAnsi="Times New Roman" w:cs="Times New Roman"/>
          <w:bCs/>
          <w:sz w:val="24"/>
          <w:szCs w:val="24"/>
        </w:rPr>
        <w:t>S = +0.</w:t>
      </w:r>
      <w:r w:rsidR="00DE742A">
        <w:rPr>
          <w:rFonts w:ascii="Times New Roman" w:eastAsia="Times New Roman" w:hAnsi="Times New Roman" w:cs="Times New Roman"/>
          <w:bCs/>
          <w:sz w:val="24"/>
          <w:szCs w:val="24"/>
        </w:rPr>
        <w:t>1</w:t>
      </w:r>
      <w:r w:rsidRPr="00375543">
        <w:rPr>
          <w:rFonts w:ascii="Times New Roman" w:eastAsia="Times New Roman" w:hAnsi="Times New Roman" w:cs="Times New Roman"/>
          <w:bCs/>
          <w:sz w:val="24"/>
          <w:szCs w:val="24"/>
        </w:rPr>
        <w:t>5</w:t>
      </w:r>
      <w:r w:rsidRPr="00375543">
        <w:rPr>
          <w:rFonts w:ascii="Times New Roman" w:eastAsia="Times New Roman" w:hAnsi="Times New Roman" w:cs="Times New Roman"/>
          <w:sz w:val="24"/>
          <w:szCs w:val="24"/>
        </w:rPr>
        <w:t xml:space="preserve">. </w:t>
      </w:r>
      <w:r w:rsidRPr="00375543">
        <w:rPr>
          <w:rFonts w:ascii="Times New Roman" w:eastAsia="Times New Roman" w:hAnsi="Times New Roman" w:cs="Times New Roman"/>
          <w:bCs/>
          <w:sz w:val="24"/>
          <w:szCs w:val="24"/>
        </w:rPr>
        <w:t>Вариант 0: „Без действие“</w:t>
      </w:r>
      <w:r w:rsidRPr="00375543">
        <w:rPr>
          <w:rFonts w:ascii="Times New Roman" w:eastAsia="Times New Roman" w:hAnsi="Times New Roman" w:cs="Times New Roman"/>
          <w:sz w:val="24"/>
          <w:szCs w:val="24"/>
        </w:rPr>
        <w:t xml:space="preserve"> е единствен с отрицателен краен резултат </w:t>
      </w:r>
      <w:r w:rsidRPr="00375543">
        <w:rPr>
          <w:rFonts w:ascii="Times New Roman" w:eastAsia="Times New Roman" w:hAnsi="Times New Roman" w:cs="Times New Roman"/>
          <w:bCs/>
          <w:sz w:val="24"/>
          <w:szCs w:val="24"/>
        </w:rPr>
        <w:t>S = –0.60</w:t>
      </w:r>
      <w:r w:rsidRPr="00375543">
        <w:rPr>
          <w:rFonts w:ascii="Times New Roman" w:eastAsia="Times New Roman" w:hAnsi="Times New Roman" w:cs="Times New Roman"/>
          <w:sz w:val="24"/>
          <w:szCs w:val="24"/>
        </w:rPr>
        <w:t>, което означава, че като цяло влиянието му е отрицателно спрямо целите</w:t>
      </w:r>
      <w:r>
        <w:rPr>
          <w:rFonts w:ascii="Times New Roman" w:eastAsia="Times New Roman" w:hAnsi="Times New Roman" w:cs="Times New Roman"/>
          <w:sz w:val="24"/>
          <w:szCs w:val="24"/>
        </w:rPr>
        <w:t>, преследвани с новата политика</w:t>
      </w:r>
      <w:r w:rsidRPr="00375543">
        <w:rPr>
          <w:rFonts w:ascii="Times New Roman" w:eastAsia="Times New Roman" w:hAnsi="Times New Roman" w:cs="Times New Roman"/>
          <w:sz w:val="24"/>
          <w:szCs w:val="24"/>
        </w:rPr>
        <w:t xml:space="preserve"> и интересите на заинтересованите страни.</w:t>
      </w:r>
    </w:p>
    <w:p w14:paraId="747FA9DE" w14:textId="17B14CD4" w:rsidR="005737E3" w:rsidRPr="0091765E" w:rsidRDefault="005737E3" w:rsidP="005737E3">
      <w:pPr>
        <w:spacing w:after="0" w:line="240" w:lineRule="auto"/>
        <w:ind w:firstLine="567"/>
        <w:jc w:val="both"/>
        <w:rPr>
          <w:rFonts w:ascii="Times New Roman" w:eastAsia="Times New Roman" w:hAnsi="Times New Roman" w:cs="Times New Roman"/>
          <w:sz w:val="24"/>
          <w:szCs w:val="24"/>
        </w:rPr>
      </w:pPr>
      <w:r w:rsidRPr="00375543">
        <w:rPr>
          <w:rFonts w:ascii="Times New Roman" w:eastAsia="Times New Roman" w:hAnsi="Times New Roman" w:cs="Times New Roman"/>
          <w:bCs/>
          <w:sz w:val="24"/>
          <w:szCs w:val="24"/>
        </w:rPr>
        <w:t xml:space="preserve">Проведеният мултикритериен анализ сочи, </w:t>
      </w:r>
      <w:r w:rsidR="00DE742A">
        <w:rPr>
          <w:rFonts w:ascii="Times New Roman" w:eastAsia="Times New Roman" w:hAnsi="Times New Roman" w:cs="Times New Roman"/>
          <w:bCs/>
          <w:sz w:val="24"/>
          <w:szCs w:val="24"/>
        </w:rPr>
        <w:t>че Вариант 3</w:t>
      </w:r>
      <w:r w:rsidRPr="00F67ED9">
        <w:rPr>
          <w:rFonts w:ascii="Times New Roman" w:eastAsia="Times New Roman" w:hAnsi="Times New Roman" w:cs="Times New Roman"/>
          <w:bCs/>
          <w:sz w:val="24"/>
          <w:szCs w:val="24"/>
        </w:rPr>
        <w:t xml:space="preserve"> който</w:t>
      </w:r>
      <w:r w:rsidRPr="0037554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предвижда</w:t>
      </w:r>
      <w:r w:rsidRPr="00375543">
        <w:rPr>
          <w:rFonts w:ascii="Times New Roman" w:eastAsia="Times New Roman" w:hAnsi="Times New Roman" w:cs="Times New Roman"/>
          <w:bCs/>
          <w:sz w:val="24"/>
          <w:szCs w:val="24"/>
        </w:rPr>
        <w:t xml:space="preserve"> приемането на изцяло нов специален закон</w:t>
      </w:r>
      <w:r w:rsidR="00F67ED9">
        <w:rPr>
          <w:rFonts w:ascii="Times New Roman" w:eastAsia="Times New Roman" w:hAnsi="Times New Roman" w:cs="Times New Roman"/>
          <w:bCs/>
          <w:sz w:val="24"/>
          <w:szCs w:val="24"/>
        </w:rPr>
        <w:t>,</w:t>
      </w:r>
      <w:r w:rsidRPr="00375543">
        <w:rPr>
          <w:rFonts w:ascii="Times New Roman" w:eastAsia="Times New Roman" w:hAnsi="Times New Roman" w:cs="Times New Roman"/>
          <w:bCs/>
          <w:sz w:val="24"/>
          <w:szCs w:val="24"/>
        </w:rPr>
        <w:t xml:space="preserve"> </w:t>
      </w:r>
      <w:r w:rsidRPr="0091765E">
        <w:rPr>
          <w:rFonts w:ascii="Times New Roman" w:eastAsia="Times New Roman" w:hAnsi="Times New Roman" w:cs="Times New Roman"/>
          <w:sz w:val="24"/>
          <w:szCs w:val="24"/>
        </w:rPr>
        <w:t xml:space="preserve">постига най-висока комплексна оценка. </w:t>
      </w:r>
      <w:r>
        <w:rPr>
          <w:rFonts w:ascii="Times New Roman" w:eastAsia="Times New Roman" w:hAnsi="Times New Roman" w:cs="Times New Roman"/>
          <w:sz w:val="24"/>
          <w:szCs w:val="24"/>
        </w:rPr>
        <w:t>Той</w:t>
      </w:r>
      <w:r w:rsidRPr="0091765E">
        <w:rPr>
          <w:rFonts w:ascii="Times New Roman" w:eastAsia="Times New Roman" w:hAnsi="Times New Roman" w:cs="Times New Roman"/>
          <w:sz w:val="24"/>
          <w:szCs w:val="24"/>
        </w:rPr>
        <w:t xml:space="preserve"> превъзхожда останалите </w:t>
      </w:r>
      <w:r>
        <w:rPr>
          <w:rFonts w:ascii="Times New Roman" w:eastAsia="Times New Roman" w:hAnsi="Times New Roman" w:cs="Times New Roman"/>
          <w:sz w:val="24"/>
          <w:szCs w:val="24"/>
        </w:rPr>
        <w:t>варианти</w:t>
      </w:r>
      <w:r w:rsidRPr="0091765E">
        <w:rPr>
          <w:rFonts w:ascii="Times New Roman" w:eastAsia="Times New Roman" w:hAnsi="Times New Roman" w:cs="Times New Roman"/>
          <w:sz w:val="24"/>
          <w:szCs w:val="24"/>
        </w:rPr>
        <w:t xml:space="preserve"> по </w:t>
      </w:r>
      <w:r w:rsidRPr="000B147C">
        <w:rPr>
          <w:rFonts w:ascii="Times New Roman" w:eastAsia="Times New Roman" w:hAnsi="Times New Roman" w:cs="Times New Roman"/>
          <w:bCs/>
          <w:sz w:val="24"/>
          <w:szCs w:val="24"/>
        </w:rPr>
        <w:t>ефективност</w:t>
      </w:r>
      <w:r w:rsidRPr="0091765E">
        <w:rPr>
          <w:rFonts w:ascii="Times New Roman" w:eastAsia="Times New Roman" w:hAnsi="Times New Roman" w:cs="Times New Roman"/>
          <w:sz w:val="24"/>
          <w:szCs w:val="24"/>
        </w:rPr>
        <w:t xml:space="preserve"> (единствен </w:t>
      </w:r>
      <w:r w:rsidR="00F67ED9">
        <w:rPr>
          <w:rFonts w:ascii="Times New Roman" w:eastAsia="Times New Roman" w:hAnsi="Times New Roman" w:cs="Times New Roman"/>
          <w:sz w:val="24"/>
          <w:szCs w:val="24"/>
        </w:rPr>
        <w:t>раз</w:t>
      </w:r>
      <w:r w:rsidRPr="0091765E">
        <w:rPr>
          <w:rFonts w:ascii="Times New Roman" w:eastAsia="Times New Roman" w:hAnsi="Times New Roman" w:cs="Times New Roman"/>
          <w:sz w:val="24"/>
          <w:szCs w:val="24"/>
        </w:rPr>
        <w:t xml:space="preserve">решава проблемите цялостно и изпълнява ангажиментите към ЕС) и </w:t>
      </w:r>
      <w:r w:rsidRPr="000B147C">
        <w:rPr>
          <w:rFonts w:ascii="Times New Roman" w:eastAsia="Times New Roman" w:hAnsi="Times New Roman" w:cs="Times New Roman"/>
          <w:bCs/>
          <w:sz w:val="24"/>
          <w:szCs w:val="24"/>
        </w:rPr>
        <w:t>икономически и социални ползи</w:t>
      </w:r>
      <w:r w:rsidRPr="0091765E">
        <w:rPr>
          <w:rFonts w:ascii="Times New Roman" w:eastAsia="Times New Roman" w:hAnsi="Times New Roman" w:cs="Times New Roman"/>
          <w:sz w:val="24"/>
          <w:szCs w:val="24"/>
        </w:rPr>
        <w:t xml:space="preserve"> (значително подобрение за производителите, конкуренцията и потребителите), докато умерените </w:t>
      </w:r>
      <w:r>
        <w:rPr>
          <w:rFonts w:ascii="Times New Roman" w:eastAsia="Times New Roman" w:hAnsi="Times New Roman" w:cs="Times New Roman"/>
          <w:sz w:val="24"/>
          <w:szCs w:val="24"/>
        </w:rPr>
        <w:t>му</w:t>
      </w:r>
      <w:r w:rsidRPr="0091765E">
        <w:rPr>
          <w:rFonts w:ascii="Times New Roman" w:eastAsia="Times New Roman" w:hAnsi="Times New Roman" w:cs="Times New Roman"/>
          <w:sz w:val="24"/>
          <w:szCs w:val="24"/>
        </w:rPr>
        <w:t xml:space="preserve"> недостатъци – по-висока административна </w:t>
      </w:r>
      <w:r>
        <w:rPr>
          <w:rFonts w:ascii="Times New Roman" w:eastAsia="Times New Roman" w:hAnsi="Times New Roman" w:cs="Times New Roman"/>
          <w:sz w:val="24"/>
          <w:szCs w:val="24"/>
        </w:rPr>
        <w:t xml:space="preserve">тежест </w:t>
      </w:r>
      <w:r w:rsidRPr="0091765E">
        <w:rPr>
          <w:rFonts w:ascii="Times New Roman" w:eastAsia="Times New Roman" w:hAnsi="Times New Roman" w:cs="Times New Roman"/>
          <w:sz w:val="24"/>
          <w:szCs w:val="24"/>
        </w:rPr>
        <w:t>и сложност – са далеч компенсирани от плюсовете.</w:t>
      </w:r>
    </w:p>
    <w:p w14:paraId="60A495EB" w14:textId="4E5C762C" w:rsidR="005737E3" w:rsidRPr="00375543" w:rsidRDefault="005737E3" w:rsidP="005737E3">
      <w:pPr>
        <w:spacing w:after="0" w:line="240" w:lineRule="auto"/>
        <w:ind w:firstLine="567"/>
        <w:jc w:val="both"/>
        <w:rPr>
          <w:rFonts w:ascii="Times New Roman" w:eastAsia="Times New Roman" w:hAnsi="Times New Roman" w:cs="Times New Roman"/>
          <w:sz w:val="24"/>
          <w:szCs w:val="24"/>
        </w:rPr>
      </w:pPr>
      <w:r w:rsidRPr="00F67ED9">
        <w:rPr>
          <w:rFonts w:ascii="Times New Roman" w:eastAsia="Times New Roman" w:hAnsi="Times New Roman" w:cs="Times New Roman"/>
          <w:bCs/>
          <w:sz w:val="24"/>
          <w:szCs w:val="24"/>
        </w:rPr>
        <w:t>Вариант 2,</w:t>
      </w:r>
      <w:r w:rsidRPr="000B147C">
        <w:rPr>
          <w:rFonts w:ascii="Times New Roman" w:eastAsia="Times New Roman" w:hAnsi="Times New Roman" w:cs="Times New Roman"/>
          <w:bCs/>
          <w:sz w:val="24"/>
          <w:szCs w:val="24"/>
        </w:rPr>
        <w:t xml:space="preserve"> </w:t>
      </w:r>
      <w:r w:rsidRPr="00375543">
        <w:rPr>
          <w:rFonts w:ascii="Times New Roman" w:eastAsia="Times New Roman" w:hAnsi="Times New Roman" w:cs="Times New Roman"/>
          <w:bCs/>
          <w:sz w:val="24"/>
          <w:szCs w:val="24"/>
        </w:rPr>
        <w:t xml:space="preserve">който </w:t>
      </w:r>
      <w:r>
        <w:rPr>
          <w:rFonts w:ascii="Times New Roman" w:eastAsia="Times New Roman" w:hAnsi="Times New Roman" w:cs="Times New Roman"/>
          <w:bCs/>
          <w:sz w:val="24"/>
          <w:szCs w:val="24"/>
        </w:rPr>
        <w:t>включва</w:t>
      </w:r>
      <w:r w:rsidRPr="00375543">
        <w:rPr>
          <w:rFonts w:ascii="Times New Roman" w:eastAsia="Times New Roman" w:hAnsi="Times New Roman" w:cs="Times New Roman"/>
          <w:bCs/>
          <w:sz w:val="24"/>
          <w:szCs w:val="24"/>
        </w:rPr>
        <w:t xml:space="preserve"> промени в действащата правна уредба </w:t>
      </w:r>
      <w:r w:rsidRPr="00375543">
        <w:rPr>
          <w:rFonts w:ascii="Times New Roman" w:eastAsia="Times New Roman" w:hAnsi="Times New Roman" w:cs="Times New Roman"/>
          <w:sz w:val="24"/>
          <w:szCs w:val="24"/>
        </w:rPr>
        <w:t xml:space="preserve">се нарежда на второ място. Той е също реализуем и носи немалко ползи, но тъй като оставя част от проблемите нерешени има чувствително по-нисък общ резултат спрямо Вариант 3. </w:t>
      </w:r>
      <w:r w:rsidR="00F67ED9" w:rsidRPr="00F67ED9">
        <w:rPr>
          <w:rFonts w:ascii="Times New Roman" w:eastAsia="Times New Roman" w:hAnsi="Times New Roman" w:cs="Times New Roman"/>
          <w:bCs/>
          <w:sz w:val="24"/>
          <w:szCs w:val="24"/>
        </w:rPr>
        <w:t>Вариант 2</w:t>
      </w:r>
      <w:r w:rsidR="00F67ED9">
        <w:rPr>
          <w:rFonts w:ascii="Times New Roman" w:eastAsia="Times New Roman" w:hAnsi="Times New Roman" w:cs="Times New Roman"/>
          <w:bCs/>
          <w:sz w:val="24"/>
          <w:szCs w:val="24"/>
        </w:rPr>
        <w:t xml:space="preserve"> м</w:t>
      </w:r>
      <w:r w:rsidRPr="00375543">
        <w:rPr>
          <w:rFonts w:ascii="Times New Roman" w:eastAsia="Times New Roman" w:hAnsi="Times New Roman" w:cs="Times New Roman"/>
          <w:sz w:val="24"/>
          <w:szCs w:val="24"/>
        </w:rPr>
        <w:t xml:space="preserve">оже да се счита за резервен вариант, ако по някаква причина </w:t>
      </w:r>
      <w:r>
        <w:rPr>
          <w:rFonts w:ascii="Times New Roman" w:eastAsia="Times New Roman" w:hAnsi="Times New Roman" w:cs="Times New Roman"/>
          <w:sz w:val="24"/>
          <w:szCs w:val="24"/>
        </w:rPr>
        <w:t>Вариант</w:t>
      </w:r>
      <w:r w:rsidR="00F67ED9">
        <w:rPr>
          <w:rFonts w:ascii="Times New Roman" w:eastAsia="Times New Roman" w:hAnsi="Times New Roman" w:cs="Times New Roman"/>
          <w:sz w:val="24"/>
          <w:szCs w:val="24"/>
        </w:rPr>
        <w:t xml:space="preserve"> 3</w:t>
      </w:r>
      <w:r w:rsidRPr="00375543">
        <w:rPr>
          <w:rFonts w:ascii="Times New Roman" w:eastAsia="Times New Roman" w:hAnsi="Times New Roman" w:cs="Times New Roman"/>
          <w:sz w:val="24"/>
          <w:szCs w:val="24"/>
        </w:rPr>
        <w:t xml:space="preserve"> срещне непреодолими пречки. Но анализът показва, че това би бил компромис,</w:t>
      </w:r>
      <w:r w:rsidR="00F67ED9">
        <w:rPr>
          <w:rFonts w:ascii="Times New Roman" w:eastAsia="Times New Roman" w:hAnsi="Times New Roman" w:cs="Times New Roman"/>
          <w:sz w:val="24"/>
          <w:szCs w:val="24"/>
        </w:rPr>
        <w:t xml:space="preserve"> при</w:t>
      </w:r>
      <w:r w:rsidRPr="00375543">
        <w:rPr>
          <w:rFonts w:ascii="Times New Roman" w:eastAsia="Times New Roman" w:hAnsi="Times New Roman" w:cs="Times New Roman"/>
          <w:sz w:val="24"/>
          <w:szCs w:val="24"/>
        </w:rPr>
        <w:t xml:space="preserve"> който няма да</w:t>
      </w:r>
      <w:r>
        <w:rPr>
          <w:rFonts w:ascii="Times New Roman" w:eastAsia="Times New Roman" w:hAnsi="Times New Roman" w:cs="Times New Roman"/>
          <w:sz w:val="24"/>
          <w:szCs w:val="24"/>
        </w:rPr>
        <w:t xml:space="preserve"> могат да бъдат</w:t>
      </w:r>
      <w:r w:rsidRPr="00375543">
        <w:rPr>
          <w:rFonts w:ascii="Times New Roman" w:eastAsia="Times New Roman" w:hAnsi="Times New Roman" w:cs="Times New Roman"/>
          <w:sz w:val="24"/>
          <w:szCs w:val="24"/>
        </w:rPr>
        <w:t xml:space="preserve"> разгърн</w:t>
      </w:r>
      <w:r>
        <w:rPr>
          <w:rFonts w:ascii="Times New Roman" w:eastAsia="Times New Roman" w:hAnsi="Times New Roman" w:cs="Times New Roman"/>
          <w:sz w:val="24"/>
          <w:szCs w:val="24"/>
        </w:rPr>
        <w:t>ати</w:t>
      </w:r>
      <w:r w:rsidRPr="00375543">
        <w:rPr>
          <w:rFonts w:ascii="Times New Roman" w:eastAsia="Times New Roman" w:hAnsi="Times New Roman" w:cs="Times New Roman"/>
          <w:sz w:val="24"/>
          <w:szCs w:val="24"/>
        </w:rPr>
        <w:t xml:space="preserve"> всички потенциални позитиви</w:t>
      </w:r>
      <w:r w:rsidR="00BF3001">
        <w:rPr>
          <w:rFonts w:ascii="Times New Roman" w:eastAsia="Times New Roman" w:hAnsi="Times New Roman" w:cs="Times New Roman"/>
          <w:sz w:val="24"/>
          <w:szCs w:val="24"/>
        </w:rPr>
        <w:t xml:space="preserve"> от политиката</w:t>
      </w:r>
      <w:r w:rsidRPr="00375543">
        <w:rPr>
          <w:rFonts w:ascii="Times New Roman" w:eastAsia="Times New Roman" w:hAnsi="Times New Roman" w:cs="Times New Roman"/>
          <w:sz w:val="24"/>
          <w:szCs w:val="24"/>
        </w:rPr>
        <w:t>.</w:t>
      </w:r>
    </w:p>
    <w:p w14:paraId="25184458" w14:textId="7DD259F0" w:rsidR="005737E3" w:rsidRPr="00375543" w:rsidRDefault="005737E3" w:rsidP="005737E3">
      <w:pPr>
        <w:spacing w:after="0" w:line="240" w:lineRule="auto"/>
        <w:ind w:firstLine="567"/>
        <w:jc w:val="both"/>
        <w:rPr>
          <w:rFonts w:ascii="Times New Roman" w:eastAsia="Times New Roman" w:hAnsi="Times New Roman" w:cs="Times New Roman"/>
          <w:sz w:val="24"/>
          <w:szCs w:val="24"/>
        </w:rPr>
      </w:pPr>
      <w:r w:rsidRPr="00F67ED9">
        <w:rPr>
          <w:rFonts w:ascii="Times New Roman" w:eastAsia="Times New Roman" w:hAnsi="Times New Roman" w:cs="Times New Roman"/>
          <w:bCs/>
          <w:sz w:val="24"/>
          <w:szCs w:val="24"/>
        </w:rPr>
        <w:lastRenderedPageBreak/>
        <w:t>Вариант 1, който</w:t>
      </w:r>
      <w:r w:rsidRPr="0037554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прилага </w:t>
      </w:r>
      <w:r w:rsidRPr="00375543">
        <w:rPr>
          <w:rFonts w:ascii="Times New Roman" w:eastAsia="Times New Roman" w:hAnsi="Times New Roman" w:cs="Times New Roman"/>
          <w:bCs/>
          <w:sz w:val="24"/>
          <w:szCs w:val="24"/>
        </w:rPr>
        <w:t>нерегулаторен подход</w:t>
      </w:r>
      <w:r w:rsidR="00733A27">
        <w:rPr>
          <w:rFonts w:ascii="Times New Roman" w:eastAsia="Times New Roman" w:hAnsi="Times New Roman" w:cs="Times New Roman"/>
          <w:bCs/>
          <w:sz w:val="24"/>
          <w:szCs w:val="24"/>
        </w:rPr>
        <w:t>,</w:t>
      </w:r>
      <w:r w:rsidRPr="00375543">
        <w:rPr>
          <w:rFonts w:ascii="Times New Roman" w:eastAsia="Times New Roman" w:hAnsi="Times New Roman" w:cs="Times New Roman"/>
          <w:sz w:val="24"/>
          <w:szCs w:val="24"/>
        </w:rPr>
        <w:t xml:space="preserve"> получава</w:t>
      </w:r>
      <w:r>
        <w:rPr>
          <w:rFonts w:ascii="Times New Roman" w:eastAsia="Times New Roman" w:hAnsi="Times New Roman" w:cs="Times New Roman"/>
          <w:sz w:val="24"/>
          <w:szCs w:val="24"/>
        </w:rPr>
        <w:t xml:space="preserve"> скромен положителен резултат</w:t>
      </w:r>
      <w:r w:rsidRPr="00375543">
        <w:rPr>
          <w:rFonts w:ascii="Times New Roman" w:eastAsia="Times New Roman" w:hAnsi="Times New Roman" w:cs="Times New Roman"/>
          <w:sz w:val="24"/>
          <w:szCs w:val="24"/>
        </w:rPr>
        <w:t xml:space="preserve"> главно благодарение на лесната си приложимост и липсата на разходи, но </w:t>
      </w:r>
      <w:r w:rsidRPr="00375543">
        <w:rPr>
          <w:rFonts w:ascii="Times New Roman" w:eastAsia="Times New Roman" w:hAnsi="Times New Roman" w:cs="Times New Roman"/>
          <w:bCs/>
          <w:sz w:val="24"/>
          <w:szCs w:val="24"/>
        </w:rPr>
        <w:t>не успява да донесе значими подобрения</w:t>
      </w:r>
      <w:r w:rsidRPr="00375543">
        <w:rPr>
          <w:rFonts w:ascii="Times New Roman" w:eastAsia="Times New Roman" w:hAnsi="Times New Roman" w:cs="Times New Roman"/>
          <w:sz w:val="24"/>
          <w:szCs w:val="24"/>
        </w:rPr>
        <w:t xml:space="preserve"> по същество. </w:t>
      </w:r>
      <w:r>
        <w:rPr>
          <w:rFonts w:ascii="Times New Roman" w:eastAsia="Times New Roman" w:hAnsi="Times New Roman" w:cs="Times New Roman"/>
          <w:sz w:val="24"/>
          <w:szCs w:val="24"/>
        </w:rPr>
        <w:t>Той</w:t>
      </w:r>
      <w:r w:rsidRPr="00375543">
        <w:rPr>
          <w:rFonts w:ascii="Times New Roman" w:eastAsia="Times New Roman" w:hAnsi="Times New Roman" w:cs="Times New Roman"/>
          <w:sz w:val="24"/>
          <w:szCs w:val="24"/>
        </w:rPr>
        <w:t xml:space="preserve"> рискува да бъде недостатъч</w:t>
      </w:r>
      <w:r>
        <w:rPr>
          <w:rFonts w:ascii="Times New Roman" w:eastAsia="Times New Roman" w:hAnsi="Times New Roman" w:cs="Times New Roman"/>
          <w:sz w:val="24"/>
          <w:szCs w:val="24"/>
        </w:rPr>
        <w:t>ен</w:t>
      </w:r>
      <w:r w:rsidRPr="003755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w:t>
      </w:r>
      <w:r w:rsidRPr="00375543">
        <w:rPr>
          <w:rFonts w:ascii="Times New Roman" w:eastAsia="Times New Roman" w:hAnsi="Times New Roman" w:cs="Times New Roman"/>
          <w:sz w:val="24"/>
          <w:szCs w:val="24"/>
        </w:rPr>
        <w:t>на практика продължава статуквото, което, както е видно от анализа, е проблематично. Може да се използва като допълнение (напр</w:t>
      </w:r>
      <w:r w:rsidR="00733A27">
        <w:rPr>
          <w:rFonts w:ascii="Times New Roman" w:eastAsia="Times New Roman" w:hAnsi="Times New Roman" w:cs="Times New Roman"/>
          <w:sz w:val="24"/>
          <w:szCs w:val="24"/>
        </w:rPr>
        <w:t>имер,</w:t>
      </w:r>
      <w:r w:rsidR="00733A27" w:rsidRPr="00375543">
        <w:rPr>
          <w:rFonts w:ascii="Times New Roman" w:eastAsia="Times New Roman" w:hAnsi="Times New Roman" w:cs="Times New Roman"/>
          <w:sz w:val="24"/>
          <w:szCs w:val="24"/>
        </w:rPr>
        <w:t xml:space="preserve"> </w:t>
      </w:r>
      <w:r w:rsidRPr="00375543">
        <w:rPr>
          <w:rFonts w:ascii="Times New Roman" w:eastAsia="Times New Roman" w:hAnsi="Times New Roman" w:cs="Times New Roman"/>
          <w:sz w:val="24"/>
          <w:szCs w:val="24"/>
        </w:rPr>
        <w:t>временно, докато се подготвя закон), но не и като устойчива самостоятелна политика.</w:t>
      </w:r>
    </w:p>
    <w:p w14:paraId="2F02B3FE" w14:textId="382FC6E2" w:rsidR="005737E3" w:rsidRPr="00375543" w:rsidRDefault="005737E3" w:rsidP="005737E3">
      <w:pPr>
        <w:spacing w:after="0" w:line="240" w:lineRule="auto"/>
        <w:ind w:firstLine="567"/>
        <w:jc w:val="both"/>
        <w:rPr>
          <w:rFonts w:ascii="Times New Roman" w:eastAsia="Times New Roman" w:hAnsi="Times New Roman" w:cs="Times New Roman"/>
          <w:sz w:val="24"/>
          <w:szCs w:val="24"/>
        </w:rPr>
      </w:pPr>
      <w:r w:rsidRPr="00D031C5">
        <w:rPr>
          <w:rFonts w:ascii="Times New Roman" w:eastAsia="Times New Roman" w:hAnsi="Times New Roman" w:cs="Times New Roman"/>
          <w:bCs/>
          <w:sz w:val="24"/>
          <w:szCs w:val="24"/>
        </w:rPr>
        <w:t>Вариант 0</w:t>
      </w:r>
      <w:r w:rsidRPr="0091765E">
        <w:rPr>
          <w:rFonts w:ascii="Times New Roman" w:eastAsia="Times New Roman" w:hAnsi="Times New Roman" w:cs="Times New Roman"/>
          <w:b/>
          <w:bCs/>
          <w:sz w:val="24"/>
          <w:szCs w:val="24"/>
        </w:rPr>
        <w:t xml:space="preserve"> </w:t>
      </w:r>
      <w:r w:rsidRPr="00375543">
        <w:rPr>
          <w:rFonts w:ascii="Times New Roman" w:eastAsia="Times New Roman" w:hAnsi="Times New Roman" w:cs="Times New Roman"/>
          <w:sz w:val="24"/>
          <w:szCs w:val="24"/>
        </w:rPr>
        <w:t>е единственият вариант с негативен нетен ефект и</w:t>
      </w:r>
      <w:r w:rsidR="00733A27">
        <w:rPr>
          <w:rFonts w:ascii="Times New Roman" w:eastAsia="Times New Roman" w:hAnsi="Times New Roman" w:cs="Times New Roman"/>
          <w:sz w:val="24"/>
          <w:szCs w:val="24"/>
        </w:rPr>
        <w:t>,</w:t>
      </w:r>
      <w:r w:rsidRPr="00375543">
        <w:rPr>
          <w:rFonts w:ascii="Times New Roman" w:eastAsia="Times New Roman" w:hAnsi="Times New Roman" w:cs="Times New Roman"/>
          <w:sz w:val="24"/>
          <w:szCs w:val="24"/>
        </w:rPr>
        <w:t xml:space="preserve"> </w:t>
      </w:r>
      <w:r w:rsidRPr="00375543">
        <w:rPr>
          <w:rFonts w:ascii="Times New Roman" w:eastAsia="Times New Roman" w:hAnsi="Times New Roman" w:cs="Times New Roman"/>
          <w:bCs/>
          <w:sz w:val="24"/>
          <w:szCs w:val="24"/>
        </w:rPr>
        <w:t>очевидно</w:t>
      </w:r>
      <w:r w:rsidR="00733A27">
        <w:rPr>
          <w:rFonts w:ascii="Times New Roman" w:eastAsia="Times New Roman" w:hAnsi="Times New Roman" w:cs="Times New Roman"/>
          <w:bCs/>
          <w:sz w:val="24"/>
          <w:szCs w:val="24"/>
        </w:rPr>
        <w:t>,</w:t>
      </w:r>
      <w:r w:rsidRPr="00375543">
        <w:rPr>
          <w:rFonts w:ascii="Times New Roman" w:eastAsia="Times New Roman" w:hAnsi="Times New Roman" w:cs="Times New Roman"/>
          <w:bCs/>
          <w:sz w:val="24"/>
          <w:szCs w:val="24"/>
        </w:rPr>
        <w:t xml:space="preserve"> отпада като приемлив избор</w:t>
      </w:r>
      <w:r w:rsidRPr="00375543">
        <w:rPr>
          <w:rFonts w:ascii="Times New Roman" w:eastAsia="Times New Roman" w:hAnsi="Times New Roman" w:cs="Times New Roman"/>
          <w:sz w:val="24"/>
          <w:szCs w:val="24"/>
        </w:rPr>
        <w:t xml:space="preserve">. Неговото </w:t>
      </w:r>
      <w:r w:rsidR="00BF3001">
        <w:rPr>
          <w:rFonts w:ascii="Times New Roman" w:eastAsia="Times New Roman" w:hAnsi="Times New Roman" w:cs="Times New Roman"/>
          <w:sz w:val="24"/>
          <w:szCs w:val="24"/>
        </w:rPr>
        <w:t xml:space="preserve">предпочитане </w:t>
      </w:r>
      <w:r w:rsidRPr="00375543">
        <w:rPr>
          <w:rFonts w:ascii="Times New Roman" w:eastAsia="Times New Roman" w:hAnsi="Times New Roman" w:cs="Times New Roman"/>
          <w:sz w:val="24"/>
          <w:szCs w:val="24"/>
        </w:rPr>
        <w:t xml:space="preserve">би означавало </w:t>
      </w:r>
      <w:r w:rsidR="00BF3001">
        <w:rPr>
          <w:rFonts w:ascii="Times New Roman" w:eastAsia="Times New Roman" w:hAnsi="Times New Roman" w:cs="Times New Roman"/>
          <w:sz w:val="24"/>
          <w:szCs w:val="24"/>
        </w:rPr>
        <w:t xml:space="preserve">запазване на </w:t>
      </w:r>
      <w:r w:rsidRPr="00375543">
        <w:rPr>
          <w:rFonts w:ascii="Times New Roman" w:eastAsia="Times New Roman" w:hAnsi="Times New Roman" w:cs="Times New Roman"/>
          <w:sz w:val="24"/>
          <w:szCs w:val="24"/>
        </w:rPr>
        <w:t>несправяне</w:t>
      </w:r>
      <w:r w:rsidR="00BF3001">
        <w:rPr>
          <w:rFonts w:ascii="Times New Roman" w:eastAsia="Times New Roman" w:hAnsi="Times New Roman" w:cs="Times New Roman"/>
          <w:sz w:val="24"/>
          <w:szCs w:val="24"/>
        </w:rPr>
        <w:t>то</w:t>
      </w:r>
      <w:r w:rsidRPr="00375543">
        <w:rPr>
          <w:rFonts w:ascii="Times New Roman" w:eastAsia="Times New Roman" w:hAnsi="Times New Roman" w:cs="Times New Roman"/>
          <w:sz w:val="24"/>
          <w:szCs w:val="24"/>
        </w:rPr>
        <w:t xml:space="preserve"> с идентифицираните проблеми, възможни санкции за неизпълнение на право</w:t>
      </w:r>
      <w:r>
        <w:rPr>
          <w:rFonts w:ascii="Times New Roman" w:eastAsia="Times New Roman" w:hAnsi="Times New Roman" w:cs="Times New Roman"/>
          <w:sz w:val="24"/>
          <w:szCs w:val="24"/>
        </w:rPr>
        <w:t>то на ЕС</w:t>
      </w:r>
      <w:r w:rsidRPr="00375543">
        <w:rPr>
          <w:rFonts w:ascii="Times New Roman" w:eastAsia="Times New Roman" w:hAnsi="Times New Roman" w:cs="Times New Roman"/>
          <w:sz w:val="24"/>
          <w:szCs w:val="24"/>
        </w:rPr>
        <w:t xml:space="preserve"> и трайни </w:t>
      </w:r>
      <w:r w:rsidR="00D031C5">
        <w:rPr>
          <w:rFonts w:ascii="Times New Roman" w:eastAsia="Times New Roman" w:hAnsi="Times New Roman" w:cs="Times New Roman"/>
          <w:sz w:val="24"/>
          <w:szCs w:val="24"/>
        </w:rPr>
        <w:t>загуби</w:t>
      </w:r>
      <w:r w:rsidRPr="00375543">
        <w:rPr>
          <w:rFonts w:ascii="Times New Roman" w:eastAsia="Times New Roman" w:hAnsi="Times New Roman" w:cs="Times New Roman"/>
          <w:sz w:val="24"/>
          <w:szCs w:val="24"/>
        </w:rPr>
        <w:t xml:space="preserve"> за уязвимите участници и потребителите.</w:t>
      </w:r>
    </w:p>
    <w:p w14:paraId="15BFF0D1" w14:textId="33EFC84A" w:rsidR="005737E3" w:rsidRPr="00375543" w:rsidRDefault="005737E3" w:rsidP="005737E3">
      <w:pPr>
        <w:spacing w:after="0" w:line="240" w:lineRule="auto"/>
        <w:ind w:firstLine="567"/>
        <w:jc w:val="both"/>
        <w:rPr>
          <w:rFonts w:ascii="Times New Roman" w:hAnsi="Times New Roman" w:cs="Times New Roman"/>
          <w:sz w:val="24"/>
          <w:szCs w:val="24"/>
        </w:rPr>
      </w:pPr>
      <w:r w:rsidRPr="00375543">
        <w:rPr>
          <w:rFonts w:ascii="Times New Roman" w:eastAsia="Times New Roman" w:hAnsi="Times New Roman" w:cs="Times New Roman"/>
          <w:bCs/>
          <w:sz w:val="24"/>
          <w:szCs w:val="24"/>
        </w:rPr>
        <w:t>В заключение</w:t>
      </w:r>
      <w:r w:rsidRPr="00375543">
        <w:rPr>
          <w:rFonts w:ascii="Times New Roman" w:eastAsia="Times New Roman" w:hAnsi="Times New Roman" w:cs="Times New Roman"/>
          <w:sz w:val="24"/>
          <w:szCs w:val="24"/>
        </w:rPr>
        <w:t xml:space="preserve">, мултикритерийният анализ посочва </w:t>
      </w:r>
      <w:r w:rsidRPr="00375543">
        <w:rPr>
          <w:rFonts w:ascii="Times New Roman" w:eastAsia="Times New Roman" w:hAnsi="Times New Roman" w:cs="Times New Roman"/>
          <w:bCs/>
          <w:sz w:val="24"/>
          <w:szCs w:val="24"/>
        </w:rPr>
        <w:t>новия специален закон като оптималния избор</w:t>
      </w:r>
      <w:r w:rsidRPr="00375543">
        <w:rPr>
          <w:rFonts w:ascii="Times New Roman" w:eastAsia="Times New Roman" w:hAnsi="Times New Roman" w:cs="Times New Roman"/>
          <w:sz w:val="24"/>
          <w:szCs w:val="24"/>
        </w:rPr>
        <w:t>, въпреки свързаните с него ресурси и време. Препоръчва се държавата да планира отсега неговото ресурсно обезпечаване (в бюджета за 2025</w:t>
      </w:r>
      <w:r w:rsidR="00BF3001">
        <w:rPr>
          <w:rFonts w:ascii="Times New Roman" w:eastAsia="Times New Roman" w:hAnsi="Times New Roman" w:cs="Times New Roman"/>
          <w:sz w:val="24"/>
          <w:szCs w:val="24"/>
        </w:rPr>
        <w:t xml:space="preserve"> </w:t>
      </w:r>
      <w:r w:rsidRPr="00375543">
        <w:rPr>
          <w:rFonts w:ascii="Times New Roman" w:eastAsia="Times New Roman" w:hAnsi="Times New Roman" w:cs="Times New Roman"/>
          <w:sz w:val="24"/>
          <w:szCs w:val="24"/>
        </w:rPr>
        <w:t>–</w:t>
      </w:r>
      <w:r w:rsidR="00BF3001">
        <w:rPr>
          <w:rFonts w:ascii="Times New Roman" w:eastAsia="Times New Roman" w:hAnsi="Times New Roman" w:cs="Times New Roman"/>
          <w:sz w:val="24"/>
          <w:szCs w:val="24"/>
        </w:rPr>
        <w:t xml:space="preserve"> </w:t>
      </w:r>
      <w:r w:rsidRPr="00375543">
        <w:rPr>
          <w:rFonts w:ascii="Times New Roman" w:eastAsia="Times New Roman" w:hAnsi="Times New Roman" w:cs="Times New Roman"/>
          <w:sz w:val="24"/>
          <w:szCs w:val="24"/>
        </w:rPr>
        <w:t xml:space="preserve">2026 г.). </w:t>
      </w:r>
      <w:r w:rsidR="00BF3001">
        <w:rPr>
          <w:rFonts w:ascii="Times New Roman" w:eastAsia="Times New Roman" w:hAnsi="Times New Roman" w:cs="Times New Roman"/>
          <w:sz w:val="24"/>
          <w:szCs w:val="24"/>
        </w:rPr>
        <w:t>Р</w:t>
      </w:r>
      <w:r w:rsidRPr="00375543">
        <w:rPr>
          <w:rFonts w:ascii="Times New Roman" w:eastAsia="Times New Roman" w:hAnsi="Times New Roman" w:cs="Times New Roman"/>
          <w:sz w:val="24"/>
          <w:szCs w:val="24"/>
        </w:rPr>
        <w:t>ешение</w:t>
      </w:r>
      <w:r w:rsidR="00BF3001">
        <w:rPr>
          <w:rFonts w:ascii="Times New Roman" w:eastAsia="Times New Roman" w:hAnsi="Times New Roman" w:cs="Times New Roman"/>
          <w:sz w:val="24"/>
          <w:szCs w:val="24"/>
        </w:rPr>
        <w:t>то за неговия избор</w:t>
      </w:r>
      <w:r w:rsidRPr="00375543">
        <w:rPr>
          <w:rFonts w:ascii="Times New Roman" w:eastAsia="Times New Roman" w:hAnsi="Times New Roman" w:cs="Times New Roman"/>
          <w:sz w:val="24"/>
          <w:szCs w:val="24"/>
        </w:rPr>
        <w:t xml:space="preserve"> ще донесе най-големи нетни ползи за националната икономика, ще защити устойчиво малките производители и ще гарантира на потребителите по-</w:t>
      </w:r>
      <w:r w:rsidR="00D031C5">
        <w:rPr>
          <w:rFonts w:ascii="Times New Roman" w:eastAsia="Times New Roman" w:hAnsi="Times New Roman" w:cs="Times New Roman"/>
          <w:sz w:val="24"/>
          <w:szCs w:val="24"/>
        </w:rPr>
        <w:t>честен и конкурентен</w:t>
      </w:r>
      <w:r w:rsidRPr="00375543">
        <w:rPr>
          <w:rFonts w:ascii="Times New Roman" w:eastAsia="Times New Roman" w:hAnsi="Times New Roman" w:cs="Times New Roman"/>
          <w:sz w:val="24"/>
          <w:szCs w:val="24"/>
        </w:rPr>
        <w:t xml:space="preserve"> пазар на</w:t>
      </w:r>
      <w:r>
        <w:rPr>
          <w:rFonts w:ascii="Times New Roman" w:eastAsia="Times New Roman" w:hAnsi="Times New Roman" w:cs="Times New Roman"/>
          <w:sz w:val="24"/>
          <w:szCs w:val="24"/>
        </w:rPr>
        <w:t xml:space="preserve"> селскостопанска продукция и</w:t>
      </w:r>
      <w:r w:rsidRPr="00375543">
        <w:rPr>
          <w:rFonts w:ascii="Times New Roman" w:eastAsia="Times New Roman" w:hAnsi="Times New Roman" w:cs="Times New Roman"/>
          <w:sz w:val="24"/>
          <w:szCs w:val="24"/>
        </w:rPr>
        <w:t xml:space="preserve"> храни.</w:t>
      </w:r>
    </w:p>
    <w:p w14:paraId="155C263C" w14:textId="77777777" w:rsidR="00E16161" w:rsidRDefault="00E16161" w:rsidP="00E16161">
      <w:pPr>
        <w:spacing w:after="0" w:line="240" w:lineRule="auto"/>
        <w:jc w:val="both"/>
        <w:rPr>
          <w:rFonts w:ascii="Times New Roman" w:eastAsia="Times New Roman" w:hAnsi="Times New Roman" w:cs="Times New Roman"/>
          <w:sz w:val="24"/>
          <w:szCs w:val="24"/>
        </w:rPr>
      </w:pPr>
    </w:p>
    <w:p w14:paraId="505A6CAB" w14:textId="77777777" w:rsidR="005F44C3" w:rsidRPr="00812050" w:rsidRDefault="005F44C3" w:rsidP="008D0E15">
      <w:pPr>
        <w:pStyle w:val="Heading2"/>
        <w:numPr>
          <w:ilvl w:val="1"/>
          <w:numId w:val="1"/>
        </w:numPr>
        <w:tabs>
          <w:tab w:val="left" w:pos="900"/>
        </w:tabs>
        <w:ind w:left="360" w:firstLine="0"/>
        <w:rPr>
          <w:rFonts w:ascii="Times New Roman" w:hAnsi="Times New Roman"/>
        </w:rPr>
      </w:pPr>
      <w:bookmarkStart w:id="29" w:name="_Toc198633090"/>
      <w:r w:rsidRPr="00812050">
        <w:rPr>
          <w:rFonts w:ascii="Times New Roman" w:hAnsi="Times New Roman"/>
        </w:rPr>
        <w:t>Оценка на въздействието върху малките и средните предприятия</w:t>
      </w:r>
      <w:r w:rsidR="00E02FA0" w:rsidRPr="00812050">
        <w:rPr>
          <w:rFonts w:ascii="Times New Roman" w:hAnsi="Times New Roman"/>
        </w:rPr>
        <w:t xml:space="preserve"> (МСП - тест)</w:t>
      </w:r>
      <w:bookmarkEnd w:id="29"/>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376BFB" w:rsidRPr="007B4A99" w14:paraId="504CA975" w14:textId="77777777" w:rsidTr="009F44BC">
        <w:tc>
          <w:tcPr>
            <w:tcW w:w="9062" w:type="dxa"/>
          </w:tcPr>
          <w:p w14:paraId="3807C82B" w14:textId="77777777" w:rsidR="00376BFB" w:rsidRPr="007B4A99" w:rsidRDefault="00376BFB" w:rsidP="00DD69D5">
            <w:pPr>
              <w:pStyle w:val="7878"/>
              <w:ind w:left="0"/>
              <w:rPr>
                <w:rFonts w:ascii="Times New Roman" w:hAnsi="Times New Roman"/>
                <w:sz w:val="15"/>
                <w:szCs w:val="15"/>
              </w:rPr>
            </w:pPr>
            <w:r w:rsidRPr="007B4A99">
              <w:rPr>
                <w:rFonts w:ascii="Times New Roman" w:hAnsi="Times New Roman"/>
                <w:sz w:val="15"/>
                <w:szCs w:val="15"/>
              </w:rPr>
              <w:t>[Съгласно чл. 22, ал. 3 от Наредбата за обхвата и методологията за извършване на оценка на въздействието при всяка цялостна предварителна оценка на въздействието се извършва и оценка на въздействието върху малките и средните предприятия.</w:t>
            </w:r>
          </w:p>
          <w:p w14:paraId="1D96F09E" w14:textId="77777777" w:rsidR="00376BFB" w:rsidRPr="007B4A99" w:rsidRDefault="00376BFB" w:rsidP="00DD69D5">
            <w:pPr>
              <w:pStyle w:val="7878"/>
              <w:ind w:left="0"/>
              <w:rPr>
                <w:rFonts w:ascii="Times New Roman" w:hAnsi="Times New Roman"/>
                <w:sz w:val="15"/>
                <w:szCs w:val="15"/>
              </w:rPr>
            </w:pPr>
            <w:r w:rsidRPr="007B4A99">
              <w:rPr>
                <w:rFonts w:ascii="Times New Roman" w:hAnsi="Times New Roman"/>
                <w:sz w:val="15"/>
                <w:szCs w:val="15"/>
              </w:rPr>
              <w:t>Оценката на въздействието върху малките и средните предприятия е известна като „МСП – тест“.</w:t>
            </w:r>
          </w:p>
          <w:p w14:paraId="42998C74" w14:textId="77777777" w:rsidR="00376BFB" w:rsidRPr="007B4A99" w:rsidRDefault="00376BFB" w:rsidP="00DD69D5">
            <w:pPr>
              <w:pStyle w:val="7878"/>
              <w:ind w:left="0"/>
              <w:rPr>
                <w:rFonts w:ascii="Times New Roman" w:hAnsi="Times New Roman"/>
                <w:sz w:val="15"/>
                <w:szCs w:val="15"/>
              </w:rPr>
            </w:pPr>
            <w:r w:rsidRPr="007B4A99">
              <w:rPr>
                <w:rFonts w:ascii="Times New Roman" w:hAnsi="Times New Roman"/>
                <w:sz w:val="15"/>
                <w:szCs w:val="15"/>
              </w:rPr>
              <w:t xml:space="preserve"> Оценката на въздействието върху МСП се базира на:</w:t>
            </w:r>
          </w:p>
          <w:p w14:paraId="17AE1AAE" w14:textId="77777777" w:rsidR="00376BFB" w:rsidRPr="007B4A99" w:rsidRDefault="00376BFB" w:rsidP="00DD69D5">
            <w:pPr>
              <w:pStyle w:val="7878"/>
              <w:ind w:left="0"/>
              <w:rPr>
                <w:rFonts w:ascii="Times New Roman" w:hAnsi="Times New Roman"/>
                <w:sz w:val="15"/>
                <w:szCs w:val="15"/>
              </w:rPr>
            </w:pPr>
            <w:r w:rsidRPr="007B4A99">
              <w:rPr>
                <w:rFonts w:ascii="Times New Roman" w:hAnsi="Times New Roman"/>
                <w:sz w:val="15"/>
                <w:szCs w:val="15"/>
              </w:rPr>
              <w:t>1. резултатите от целенасочени консултации със заинтересованите малки и средни предприятия и/или с техни представителни организации;</w:t>
            </w:r>
          </w:p>
          <w:p w14:paraId="0D424534" w14:textId="77777777" w:rsidR="00376BFB" w:rsidRPr="007B4A99" w:rsidRDefault="00376BFB" w:rsidP="00DD69D5">
            <w:pPr>
              <w:pStyle w:val="7878"/>
              <w:ind w:left="0"/>
              <w:rPr>
                <w:rFonts w:ascii="Times New Roman" w:hAnsi="Times New Roman"/>
                <w:sz w:val="15"/>
                <w:szCs w:val="15"/>
              </w:rPr>
            </w:pPr>
            <w:r w:rsidRPr="007B4A99">
              <w:rPr>
                <w:rFonts w:ascii="Times New Roman" w:hAnsi="Times New Roman"/>
                <w:sz w:val="15"/>
                <w:szCs w:val="15"/>
              </w:rPr>
              <w:t>2. броя и категорията на предприятията, които ще бъдат пряко или косвено засегнати от нормативния акт;</w:t>
            </w:r>
          </w:p>
          <w:p w14:paraId="42659403" w14:textId="77777777" w:rsidR="00376BFB" w:rsidRPr="007B4A99" w:rsidRDefault="00376BFB" w:rsidP="00DD69D5">
            <w:pPr>
              <w:pStyle w:val="7878"/>
              <w:ind w:left="0"/>
              <w:rPr>
                <w:rFonts w:ascii="Times New Roman" w:hAnsi="Times New Roman"/>
                <w:sz w:val="15"/>
                <w:szCs w:val="15"/>
              </w:rPr>
            </w:pPr>
            <w:r w:rsidRPr="007B4A99">
              <w:rPr>
                <w:rFonts w:ascii="Times New Roman" w:hAnsi="Times New Roman"/>
                <w:sz w:val="15"/>
                <w:szCs w:val="15"/>
              </w:rPr>
              <w:t>3. описание на разходите и ползите от прилагането на нормативния акт за предприятията - по категории малки и средни предприятия, а където е подходящо - и по основно засегната икономическа дейност;</w:t>
            </w:r>
          </w:p>
          <w:p w14:paraId="4DEC12CD" w14:textId="77777777" w:rsidR="00376BFB" w:rsidRPr="007B4A99" w:rsidRDefault="00376BFB" w:rsidP="00DD69D5">
            <w:pPr>
              <w:pStyle w:val="7878"/>
              <w:ind w:left="0"/>
              <w:rPr>
                <w:rFonts w:ascii="Times New Roman" w:hAnsi="Times New Roman"/>
                <w:sz w:val="15"/>
                <w:szCs w:val="15"/>
              </w:rPr>
            </w:pPr>
            <w:r w:rsidRPr="007B4A99">
              <w:rPr>
                <w:rFonts w:ascii="Times New Roman" w:hAnsi="Times New Roman"/>
                <w:sz w:val="15"/>
                <w:szCs w:val="15"/>
              </w:rPr>
              <w:t>4. доказателства за необходимостта от включване на малки и средни предприятия в обхвата на нормативния акт;</w:t>
            </w:r>
          </w:p>
          <w:p w14:paraId="749A28E6" w14:textId="77777777" w:rsidR="00376BFB" w:rsidRPr="007B4A99" w:rsidRDefault="00376BFB" w:rsidP="00DD69D5">
            <w:pPr>
              <w:pStyle w:val="7878"/>
              <w:ind w:left="0"/>
              <w:rPr>
                <w:rFonts w:ascii="Times New Roman" w:hAnsi="Times New Roman"/>
                <w:sz w:val="15"/>
                <w:szCs w:val="15"/>
              </w:rPr>
            </w:pPr>
            <w:r w:rsidRPr="007B4A99">
              <w:rPr>
                <w:rFonts w:ascii="Times New Roman" w:hAnsi="Times New Roman"/>
                <w:sz w:val="15"/>
                <w:szCs w:val="15"/>
              </w:rPr>
              <w:t>5. предложения за намаляване на негативните въздействия върху предприятията от всяка категория - като цялостното им изключване от обхвата на нормативния акт, временното им изключване от обхвата на нормативния акт, изключването само на някоя от категориите предприятия от обхвата на нормативния акт, намаление на такси и др. (Ръководство, РМС № 728 от 2019 г., стр. 42).]</w:t>
            </w:r>
          </w:p>
          <w:p w14:paraId="591FE502" w14:textId="77777777" w:rsidR="00376BFB" w:rsidRPr="007B4A99" w:rsidRDefault="00376BFB" w:rsidP="00DD69D5">
            <w:pPr>
              <w:spacing w:line="240" w:lineRule="auto"/>
              <w:jc w:val="both"/>
              <w:rPr>
                <w:rFonts w:ascii="Times New Roman" w:hAnsi="Times New Roman" w:cs="Times New Roman"/>
                <w:i/>
                <w:color w:val="1F4E79" w:themeColor="accent1" w:themeShade="80"/>
                <w:sz w:val="15"/>
                <w:szCs w:val="15"/>
              </w:rPr>
            </w:pPr>
            <w:r w:rsidRPr="007B4A99">
              <w:rPr>
                <w:rFonts w:ascii="Times New Roman" w:hAnsi="Times New Roman" w:cs="Times New Roman"/>
                <w:i/>
                <w:color w:val="1F4E79" w:themeColor="accent1" w:themeShade="80"/>
                <w:sz w:val="15"/>
                <w:szCs w:val="15"/>
              </w:rPr>
              <w:t>Опишете в следната поредност:</w:t>
            </w:r>
          </w:p>
          <w:p w14:paraId="37A15578" w14:textId="77777777" w:rsidR="00376BFB" w:rsidRPr="007B4A99" w:rsidRDefault="00376BFB" w:rsidP="00DD69D5">
            <w:pPr>
              <w:spacing w:line="240" w:lineRule="auto"/>
              <w:jc w:val="both"/>
              <w:rPr>
                <w:rFonts w:ascii="Times New Roman" w:hAnsi="Times New Roman" w:cs="Times New Roman"/>
                <w:b/>
                <w:i/>
                <w:sz w:val="15"/>
                <w:szCs w:val="15"/>
                <w:u w:val="single"/>
              </w:rPr>
            </w:pPr>
            <w:r w:rsidRPr="007B4A99">
              <w:rPr>
                <w:rFonts w:ascii="Times New Roman" w:hAnsi="Times New Roman" w:cs="Times New Roman"/>
                <w:b/>
                <w:i/>
                <w:color w:val="1F4E79" w:themeColor="accent1" w:themeShade="80"/>
                <w:sz w:val="15"/>
                <w:szCs w:val="15"/>
                <w:u w:val="single"/>
              </w:rPr>
              <w:t>Проблем 1.</w:t>
            </w:r>
          </w:p>
          <w:p w14:paraId="4358AAF8" w14:textId="77777777" w:rsidR="00376BFB" w:rsidRPr="007B4A99" w:rsidRDefault="00376BFB" w:rsidP="00DD69D5">
            <w:pPr>
              <w:spacing w:line="240" w:lineRule="auto"/>
              <w:ind w:firstLine="708"/>
              <w:jc w:val="both"/>
              <w:rPr>
                <w:rFonts w:ascii="Times New Roman" w:hAnsi="Times New Roman" w:cs="Times New Roman"/>
                <w:b/>
                <w:i/>
                <w:sz w:val="15"/>
                <w:szCs w:val="15"/>
              </w:rPr>
            </w:pPr>
            <w:r w:rsidRPr="007B4A99">
              <w:rPr>
                <w:rFonts w:ascii="Times New Roman" w:hAnsi="Times New Roman" w:cs="Times New Roman"/>
                <w:b/>
                <w:i/>
                <w:color w:val="2E74B5" w:themeColor="accent1" w:themeShade="BF"/>
                <w:sz w:val="15"/>
                <w:szCs w:val="15"/>
              </w:rPr>
              <w:t>Вариант 1</w:t>
            </w:r>
          </w:p>
          <w:p w14:paraId="3BA3C5C9" w14:textId="77777777" w:rsidR="00376BFB" w:rsidRPr="007B4A99" w:rsidRDefault="00376BFB" w:rsidP="00DD69D5">
            <w:pPr>
              <w:spacing w:line="240" w:lineRule="auto"/>
              <w:ind w:firstLine="708"/>
              <w:jc w:val="both"/>
              <w:rPr>
                <w:rFonts w:ascii="Times New Roman" w:hAnsi="Times New Roman" w:cs="Times New Roman"/>
                <w:i/>
                <w:sz w:val="15"/>
                <w:szCs w:val="15"/>
              </w:rPr>
            </w:pPr>
            <w:r w:rsidRPr="007B4A99">
              <w:rPr>
                <w:rFonts w:ascii="Times New Roman" w:hAnsi="Times New Roman" w:cs="Times New Roman"/>
                <w:b/>
                <w:i/>
                <w:color w:val="9CC2E5" w:themeColor="accent1" w:themeTint="99"/>
                <w:sz w:val="15"/>
                <w:szCs w:val="15"/>
              </w:rPr>
              <w:t>Специфично въздействие</w:t>
            </w:r>
            <w:r w:rsidRPr="007B4A99">
              <w:rPr>
                <w:rFonts w:ascii="Times New Roman" w:hAnsi="Times New Roman" w:cs="Times New Roman"/>
                <w:i/>
                <w:sz w:val="15"/>
                <w:szCs w:val="15"/>
              </w:rPr>
              <w:t>: въздействието върху МСП (МСП - тест)</w:t>
            </w:r>
          </w:p>
          <w:p w14:paraId="14E773C2" w14:textId="77777777" w:rsidR="00376BFB" w:rsidRPr="007B4A99" w:rsidRDefault="00376BFB" w:rsidP="00DD69D5">
            <w:pPr>
              <w:spacing w:line="240" w:lineRule="auto"/>
              <w:ind w:firstLine="708"/>
              <w:jc w:val="both"/>
              <w:rPr>
                <w:rFonts w:ascii="Times New Roman" w:hAnsi="Times New Roman" w:cs="Times New Roman"/>
                <w:b/>
                <w:i/>
                <w:sz w:val="15"/>
                <w:szCs w:val="15"/>
              </w:rPr>
            </w:pPr>
            <w:r w:rsidRPr="007B4A99">
              <w:rPr>
                <w:rFonts w:ascii="Times New Roman" w:hAnsi="Times New Roman" w:cs="Times New Roman"/>
                <w:b/>
                <w:i/>
                <w:color w:val="2E74B5" w:themeColor="accent1" w:themeShade="BF"/>
                <w:sz w:val="15"/>
                <w:szCs w:val="15"/>
              </w:rPr>
              <w:t>Вариант 2</w:t>
            </w:r>
          </w:p>
          <w:p w14:paraId="0E5094C0" w14:textId="77777777" w:rsidR="00376BFB" w:rsidRPr="007B4A99" w:rsidRDefault="00376BFB" w:rsidP="00DD69D5">
            <w:pPr>
              <w:spacing w:line="240" w:lineRule="auto"/>
              <w:ind w:firstLine="708"/>
              <w:jc w:val="both"/>
              <w:rPr>
                <w:rFonts w:ascii="Times New Roman" w:hAnsi="Times New Roman" w:cs="Times New Roman"/>
                <w:i/>
                <w:sz w:val="15"/>
                <w:szCs w:val="15"/>
              </w:rPr>
            </w:pPr>
            <w:r w:rsidRPr="007B4A99">
              <w:rPr>
                <w:rFonts w:ascii="Times New Roman" w:hAnsi="Times New Roman" w:cs="Times New Roman"/>
                <w:b/>
                <w:i/>
                <w:color w:val="9CC2E5" w:themeColor="accent1" w:themeTint="99"/>
                <w:sz w:val="15"/>
                <w:szCs w:val="15"/>
              </w:rPr>
              <w:t>Специфично въздействие</w:t>
            </w:r>
            <w:r w:rsidRPr="007B4A99">
              <w:rPr>
                <w:rFonts w:ascii="Times New Roman" w:hAnsi="Times New Roman" w:cs="Times New Roman"/>
                <w:i/>
                <w:sz w:val="15"/>
                <w:szCs w:val="15"/>
              </w:rPr>
              <w:t>: въздействието върху МСП (МСП - тест)</w:t>
            </w:r>
          </w:p>
          <w:p w14:paraId="446730DD" w14:textId="77777777" w:rsidR="00376BFB" w:rsidRPr="007B4A99" w:rsidRDefault="00376BFB" w:rsidP="00DD69D5">
            <w:pPr>
              <w:spacing w:line="240" w:lineRule="auto"/>
              <w:ind w:firstLine="708"/>
              <w:jc w:val="both"/>
              <w:rPr>
                <w:rFonts w:ascii="Times New Roman" w:hAnsi="Times New Roman" w:cs="Times New Roman"/>
                <w:b/>
                <w:i/>
                <w:sz w:val="15"/>
                <w:szCs w:val="15"/>
              </w:rPr>
            </w:pPr>
            <w:r w:rsidRPr="007B4A99">
              <w:rPr>
                <w:rFonts w:ascii="Times New Roman" w:hAnsi="Times New Roman" w:cs="Times New Roman"/>
                <w:b/>
                <w:i/>
                <w:color w:val="2E74B5" w:themeColor="accent1" w:themeShade="BF"/>
                <w:sz w:val="15"/>
                <w:szCs w:val="15"/>
              </w:rPr>
              <w:lastRenderedPageBreak/>
              <w:t>Вариант 3</w:t>
            </w:r>
          </w:p>
          <w:p w14:paraId="45CA6115" w14:textId="77777777" w:rsidR="00376BFB" w:rsidRPr="007B4A99" w:rsidRDefault="00376BFB" w:rsidP="00DD69D5">
            <w:pPr>
              <w:spacing w:line="240" w:lineRule="auto"/>
              <w:ind w:firstLine="708"/>
              <w:jc w:val="both"/>
              <w:rPr>
                <w:rFonts w:ascii="Times New Roman" w:hAnsi="Times New Roman" w:cs="Times New Roman"/>
                <w:i/>
                <w:sz w:val="15"/>
                <w:szCs w:val="15"/>
              </w:rPr>
            </w:pPr>
            <w:r w:rsidRPr="007B4A99">
              <w:rPr>
                <w:rFonts w:ascii="Times New Roman" w:hAnsi="Times New Roman" w:cs="Times New Roman"/>
                <w:b/>
                <w:i/>
                <w:color w:val="9CC2E5" w:themeColor="accent1" w:themeTint="99"/>
                <w:sz w:val="15"/>
                <w:szCs w:val="15"/>
              </w:rPr>
              <w:t>Специфично въздействие</w:t>
            </w:r>
            <w:r w:rsidRPr="007B4A99">
              <w:rPr>
                <w:rFonts w:ascii="Times New Roman" w:hAnsi="Times New Roman" w:cs="Times New Roman"/>
                <w:i/>
                <w:sz w:val="15"/>
                <w:szCs w:val="15"/>
              </w:rPr>
              <w:t>: въздействието върху МСП (МСП - тест)</w:t>
            </w:r>
          </w:p>
          <w:p w14:paraId="7FFB3173" w14:textId="77777777" w:rsidR="00376BFB" w:rsidRPr="007B4A99" w:rsidRDefault="00376BFB" w:rsidP="00DD69D5">
            <w:pPr>
              <w:spacing w:line="240" w:lineRule="auto"/>
              <w:jc w:val="both"/>
              <w:rPr>
                <w:rFonts w:ascii="Times New Roman" w:hAnsi="Times New Roman" w:cs="Times New Roman"/>
                <w:b/>
                <w:i/>
                <w:sz w:val="15"/>
                <w:szCs w:val="15"/>
                <w:u w:val="single"/>
              </w:rPr>
            </w:pPr>
            <w:r w:rsidRPr="007B4A99">
              <w:rPr>
                <w:rFonts w:ascii="Times New Roman" w:hAnsi="Times New Roman" w:cs="Times New Roman"/>
                <w:b/>
                <w:i/>
                <w:color w:val="1F4E79" w:themeColor="accent1" w:themeShade="80"/>
                <w:sz w:val="15"/>
                <w:szCs w:val="15"/>
                <w:u w:val="single"/>
              </w:rPr>
              <w:t>Проблем 2.</w:t>
            </w:r>
          </w:p>
          <w:p w14:paraId="62A50C46" w14:textId="77777777" w:rsidR="00376BFB" w:rsidRPr="007B4A99" w:rsidRDefault="00376BFB" w:rsidP="00DD69D5">
            <w:pPr>
              <w:spacing w:line="240" w:lineRule="auto"/>
              <w:ind w:firstLine="708"/>
              <w:jc w:val="both"/>
              <w:rPr>
                <w:rFonts w:ascii="Times New Roman" w:hAnsi="Times New Roman" w:cs="Times New Roman"/>
                <w:b/>
                <w:i/>
                <w:sz w:val="15"/>
                <w:szCs w:val="15"/>
              </w:rPr>
            </w:pPr>
            <w:r w:rsidRPr="007B4A99">
              <w:rPr>
                <w:rFonts w:ascii="Times New Roman" w:hAnsi="Times New Roman" w:cs="Times New Roman"/>
                <w:b/>
                <w:i/>
                <w:color w:val="2E74B5" w:themeColor="accent1" w:themeShade="BF"/>
                <w:sz w:val="15"/>
                <w:szCs w:val="15"/>
              </w:rPr>
              <w:t>Вариант 1</w:t>
            </w:r>
          </w:p>
          <w:p w14:paraId="70D4D13D" w14:textId="77777777" w:rsidR="00376BFB" w:rsidRPr="007B4A99" w:rsidRDefault="00376BFB" w:rsidP="00DD69D5">
            <w:pPr>
              <w:spacing w:line="240" w:lineRule="auto"/>
              <w:ind w:firstLine="708"/>
              <w:jc w:val="both"/>
              <w:rPr>
                <w:rFonts w:ascii="Times New Roman" w:hAnsi="Times New Roman" w:cs="Times New Roman"/>
                <w:i/>
                <w:sz w:val="15"/>
                <w:szCs w:val="15"/>
              </w:rPr>
            </w:pPr>
            <w:r w:rsidRPr="007B4A99">
              <w:rPr>
                <w:rFonts w:ascii="Times New Roman" w:hAnsi="Times New Roman" w:cs="Times New Roman"/>
                <w:b/>
                <w:i/>
                <w:color w:val="9CC2E5" w:themeColor="accent1" w:themeTint="99"/>
                <w:sz w:val="15"/>
                <w:szCs w:val="15"/>
              </w:rPr>
              <w:t>Специфично въздействие</w:t>
            </w:r>
            <w:r w:rsidRPr="007B4A99">
              <w:rPr>
                <w:rFonts w:ascii="Times New Roman" w:hAnsi="Times New Roman" w:cs="Times New Roman"/>
                <w:i/>
                <w:sz w:val="15"/>
                <w:szCs w:val="15"/>
              </w:rPr>
              <w:t>: въздействието върху МСП (МСП - тест)</w:t>
            </w:r>
          </w:p>
          <w:p w14:paraId="2F6BFC02" w14:textId="77777777" w:rsidR="00376BFB" w:rsidRPr="007B4A99" w:rsidRDefault="00376BFB" w:rsidP="00DD69D5">
            <w:pPr>
              <w:spacing w:line="240" w:lineRule="auto"/>
              <w:ind w:firstLine="708"/>
              <w:jc w:val="both"/>
              <w:rPr>
                <w:rFonts w:ascii="Times New Roman" w:hAnsi="Times New Roman" w:cs="Times New Roman"/>
                <w:b/>
                <w:i/>
                <w:sz w:val="15"/>
                <w:szCs w:val="15"/>
              </w:rPr>
            </w:pPr>
            <w:r w:rsidRPr="007B4A99">
              <w:rPr>
                <w:rFonts w:ascii="Times New Roman" w:hAnsi="Times New Roman" w:cs="Times New Roman"/>
                <w:b/>
                <w:i/>
                <w:color w:val="2E74B5" w:themeColor="accent1" w:themeShade="BF"/>
                <w:sz w:val="15"/>
                <w:szCs w:val="15"/>
              </w:rPr>
              <w:t>Вариант 2</w:t>
            </w:r>
          </w:p>
          <w:p w14:paraId="5CAFB377" w14:textId="77777777" w:rsidR="00376BFB" w:rsidRPr="007B4A99" w:rsidRDefault="00376BFB" w:rsidP="00DD69D5">
            <w:pPr>
              <w:spacing w:line="240" w:lineRule="auto"/>
              <w:ind w:firstLine="708"/>
              <w:jc w:val="both"/>
              <w:rPr>
                <w:rFonts w:ascii="Times New Roman" w:hAnsi="Times New Roman" w:cs="Times New Roman"/>
                <w:i/>
                <w:sz w:val="15"/>
                <w:szCs w:val="15"/>
              </w:rPr>
            </w:pPr>
            <w:r w:rsidRPr="007B4A99">
              <w:rPr>
                <w:rFonts w:ascii="Times New Roman" w:hAnsi="Times New Roman" w:cs="Times New Roman"/>
                <w:b/>
                <w:i/>
                <w:color w:val="9CC2E5" w:themeColor="accent1" w:themeTint="99"/>
                <w:sz w:val="15"/>
                <w:szCs w:val="15"/>
              </w:rPr>
              <w:t>Специфично въздействие</w:t>
            </w:r>
            <w:r w:rsidRPr="007B4A99">
              <w:rPr>
                <w:rFonts w:ascii="Times New Roman" w:hAnsi="Times New Roman" w:cs="Times New Roman"/>
                <w:i/>
                <w:sz w:val="15"/>
                <w:szCs w:val="15"/>
              </w:rPr>
              <w:t>: въздействието върху МСП (МСП - тест)</w:t>
            </w:r>
          </w:p>
          <w:p w14:paraId="5B84B4CB" w14:textId="77777777" w:rsidR="00376BFB" w:rsidRPr="007B4A99" w:rsidRDefault="00376BFB" w:rsidP="00DD69D5">
            <w:pPr>
              <w:spacing w:line="240" w:lineRule="auto"/>
              <w:ind w:firstLine="708"/>
              <w:jc w:val="both"/>
              <w:rPr>
                <w:rFonts w:ascii="Times New Roman" w:hAnsi="Times New Roman" w:cs="Times New Roman"/>
                <w:b/>
                <w:i/>
                <w:sz w:val="15"/>
                <w:szCs w:val="15"/>
              </w:rPr>
            </w:pPr>
            <w:r w:rsidRPr="007B4A99">
              <w:rPr>
                <w:rFonts w:ascii="Times New Roman" w:hAnsi="Times New Roman" w:cs="Times New Roman"/>
                <w:b/>
                <w:i/>
                <w:color w:val="2E74B5" w:themeColor="accent1" w:themeShade="BF"/>
                <w:sz w:val="15"/>
                <w:szCs w:val="15"/>
              </w:rPr>
              <w:t>Вариант 3</w:t>
            </w:r>
          </w:p>
          <w:p w14:paraId="0D18C46A" w14:textId="77777777" w:rsidR="00376BFB" w:rsidRPr="007B4A99" w:rsidRDefault="00376BFB" w:rsidP="00DD69D5">
            <w:pPr>
              <w:spacing w:line="240" w:lineRule="auto"/>
              <w:ind w:firstLine="708"/>
              <w:jc w:val="both"/>
              <w:rPr>
                <w:rFonts w:ascii="Times New Roman" w:hAnsi="Times New Roman" w:cs="Times New Roman"/>
                <w:i/>
                <w:sz w:val="15"/>
                <w:szCs w:val="15"/>
              </w:rPr>
            </w:pPr>
            <w:r w:rsidRPr="007B4A99">
              <w:rPr>
                <w:rFonts w:ascii="Times New Roman" w:hAnsi="Times New Roman" w:cs="Times New Roman"/>
                <w:b/>
                <w:i/>
                <w:color w:val="9CC2E5" w:themeColor="accent1" w:themeTint="99"/>
                <w:sz w:val="15"/>
                <w:szCs w:val="15"/>
              </w:rPr>
              <w:t>Специфично въздействие</w:t>
            </w:r>
            <w:r w:rsidRPr="007B4A99">
              <w:rPr>
                <w:rFonts w:ascii="Times New Roman" w:hAnsi="Times New Roman" w:cs="Times New Roman"/>
                <w:i/>
                <w:sz w:val="15"/>
                <w:szCs w:val="15"/>
              </w:rPr>
              <w:t>: въздействието върху МСП (МСП - тест)</w:t>
            </w:r>
          </w:p>
          <w:p w14:paraId="0A33C2DE" w14:textId="77777777" w:rsidR="00376BFB" w:rsidRPr="007B4A99" w:rsidRDefault="00376BFB" w:rsidP="00DD69D5">
            <w:pPr>
              <w:spacing w:line="240" w:lineRule="auto"/>
              <w:jc w:val="both"/>
              <w:rPr>
                <w:rFonts w:ascii="Times New Roman" w:hAnsi="Times New Roman" w:cs="Times New Roman"/>
                <w:b/>
                <w:i/>
                <w:sz w:val="15"/>
                <w:szCs w:val="15"/>
                <w:u w:val="single"/>
              </w:rPr>
            </w:pPr>
            <w:r w:rsidRPr="007B4A99">
              <w:rPr>
                <w:rFonts w:ascii="Times New Roman" w:hAnsi="Times New Roman" w:cs="Times New Roman"/>
                <w:b/>
                <w:i/>
                <w:color w:val="1F4E79" w:themeColor="accent1" w:themeShade="80"/>
                <w:sz w:val="15"/>
                <w:szCs w:val="15"/>
                <w:u w:val="single"/>
              </w:rPr>
              <w:t>Проблем 3.</w:t>
            </w:r>
          </w:p>
          <w:p w14:paraId="7EC78680" w14:textId="77777777" w:rsidR="00376BFB" w:rsidRPr="007B4A99" w:rsidRDefault="00376BFB" w:rsidP="00DD69D5">
            <w:pPr>
              <w:spacing w:line="240" w:lineRule="auto"/>
              <w:ind w:firstLine="708"/>
              <w:jc w:val="both"/>
              <w:rPr>
                <w:rFonts w:ascii="Times New Roman" w:hAnsi="Times New Roman" w:cs="Times New Roman"/>
                <w:b/>
                <w:i/>
                <w:sz w:val="15"/>
                <w:szCs w:val="15"/>
              </w:rPr>
            </w:pPr>
            <w:r w:rsidRPr="007B4A99">
              <w:rPr>
                <w:rFonts w:ascii="Times New Roman" w:hAnsi="Times New Roman" w:cs="Times New Roman"/>
                <w:b/>
                <w:i/>
                <w:color w:val="2E74B5" w:themeColor="accent1" w:themeShade="BF"/>
                <w:sz w:val="15"/>
                <w:szCs w:val="15"/>
              </w:rPr>
              <w:t>Вариант 1</w:t>
            </w:r>
          </w:p>
          <w:p w14:paraId="477FE41F" w14:textId="77777777" w:rsidR="00376BFB" w:rsidRPr="007B4A99" w:rsidRDefault="00376BFB" w:rsidP="00DD69D5">
            <w:pPr>
              <w:spacing w:line="240" w:lineRule="auto"/>
              <w:ind w:firstLine="708"/>
              <w:jc w:val="both"/>
              <w:rPr>
                <w:rFonts w:ascii="Times New Roman" w:hAnsi="Times New Roman" w:cs="Times New Roman"/>
                <w:i/>
                <w:sz w:val="15"/>
                <w:szCs w:val="15"/>
              </w:rPr>
            </w:pPr>
            <w:r w:rsidRPr="007B4A99">
              <w:rPr>
                <w:rFonts w:ascii="Times New Roman" w:hAnsi="Times New Roman" w:cs="Times New Roman"/>
                <w:b/>
                <w:i/>
                <w:color w:val="9CC2E5" w:themeColor="accent1" w:themeTint="99"/>
                <w:sz w:val="15"/>
                <w:szCs w:val="15"/>
              </w:rPr>
              <w:t>Специфично въздействие</w:t>
            </w:r>
            <w:r w:rsidRPr="007B4A99">
              <w:rPr>
                <w:rFonts w:ascii="Times New Roman" w:hAnsi="Times New Roman" w:cs="Times New Roman"/>
                <w:i/>
                <w:sz w:val="15"/>
                <w:szCs w:val="15"/>
              </w:rPr>
              <w:t>: въздействието върху МСП (МСП - тест)</w:t>
            </w:r>
          </w:p>
          <w:p w14:paraId="105F4A6A" w14:textId="77777777" w:rsidR="00376BFB" w:rsidRPr="007B4A99" w:rsidRDefault="00376BFB" w:rsidP="00DD69D5">
            <w:pPr>
              <w:spacing w:line="240" w:lineRule="auto"/>
              <w:ind w:firstLine="708"/>
              <w:jc w:val="both"/>
              <w:rPr>
                <w:rFonts w:ascii="Times New Roman" w:hAnsi="Times New Roman" w:cs="Times New Roman"/>
                <w:b/>
                <w:i/>
                <w:sz w:val="15"/>
                <w:szCs w:val="15"/>
              </w:rPr>
            </w:pPr>
            <w:r w:rsidRPr="007B4A99">
              <w:rPr>
                <w:rFonts w:ascii="Times New Roman" w:hAnsi="Times New Roman" w:cs="Times New Roman"/>
                <w:b/>
                <w:i/>
                <w:color w:val="2E74B5" w:themeColor="accent1" w:themeShade="BF"/>
                <w:sz w:val="15"/>
                <w:szCs w:val="15"/>
              </w:rPr>
              <w:t>Вариант 2</w:t>
            </w:r>
          </w:p>
          <w:p w14:paraId="32B66D1F" w14:textId="77777777" w:rsidR="00376BFB" w:rsidRPr="007B4A99" w:rsidRDefault="00376BFB" w:rsidP="00DD69D5">
            <w:pPr>
              <w:spacing w:line="240" w:lineRule="auto"/>
              <w:ind w:firstLine="708"/>
              <w:jc w:val="both"/>
              <w:rPr>
                <w:rFonts w:ascii="Times New Roman" w:hAnsi="Times New Roman" w:cs="Times New Roman"/>
                <w:i/>
                <w:sz w:val="15"/>
                <w:szCs w:val="15"/>
              </w:rPr>
            </w:pPr>
            <w:r w:rsidRPr="007B4A99">
              <w:rPr>
                <w:rFonts w:ascii="Times New Roman" w:hAnsi="Times New Roman" w:cs="Times New Roman"/>
                <w:b/>
                <w:i/>
                <w:color w:val="9CC2E5" w:themeColor="accent1" w:themeTint="99"/>
                <w:sz w:val="15"/>
                <w:szCs w:val="15"/>
              </w:rPr>
              <w:t>Специфично въздействие</w:t>
            </w:r>
            <w:r w:rsidRPr="007B4A99">
              <w:rPr>
                <w:rFonts w:ascii="Times New Roman" w:hAnsi="Times New Roman" w:cs="Times New Roman"/>
                <w:i/>
                <w:sz w:val="15"/>
                <w:szCs w:val="15"/>
              </w:rPr>
              <w:t>: въздействието върху МСП (МСП - тест)</w:t>
            </w:r>
          </w:p>
          <w:p w14:paraId="1B8502F9" w14:textId="77777777" w:rsidR="00376BFB" w:rsidRPr="007B4A99" w:rsidRDefault="00376BFB" w:rsidP="00DD69D5">
            <w:pPr>
              <w:spacing w:line="240" w:lineRule="auto"/>
              <w:ind w:firstLine="708"/>
              <w:jc w:val="both"/>
              <w:rPr>
                <w:rFonts w:ascii="Times New Roman" w:hAnsi="Times New Roman" w:cs="Times New Roman"/>
                <w:b/>
                <w:i/>
                <w:sz w:val="15"/>
                <w:szCs w:val="15"/>
              </w:rPr>
            </w:pPr>
            <w:r w:rsidRPr="007B4A99">
              <w:rPr>
                <w:rFonts w:ascii="Times New Roman" w:hAnsi="Times New Roman" w:cs="Times New Roman"/>
                <w:b/>
                <w:i/>
                <w:color w:val="2E74B5" w:themeColor="accent1" w:themeShade="BF"/>
                <w:sz w:val="15"/>
                <w:szCs w:val="15"/>
              </w:rPr>
              <w:t>Вариант 3</w:t>
            </w:r>
          </w:p>
          <w:p w14:paraId="58CFD396" w14:textId="77777777" w:rsidR="00376BFB" w:rsidRPr="007B4A99" w:rsidRDefault="00376BFB" w:rsidP="00DD69D5">
            <w:pPr>
              <w:spacing w:line="240" w:lineRule="auto"/>
              <w:ind w:firstLine="708"/>
              <w:jc w:val="both"/>
              <w:rPr>
                <w:rFonts w:ascii="Times New Roman" w:hAnsi="Times New Roman" w:cs="Times New Roman"/>
                <w:i/>
                <w:sz w:val="15"/>
                <w:szCs w:val="15"/>
              </w:rPr>
            </w:pPr>
            <w:r w:rsidRPr="007B4A99">
              <w:rPr>
                <w:rFonts w:ascii="Times New Roman" w:hAnsi="Times New Roman" w:cs="Times New Roman"/>
                <w:b/>
                <w:i/>
                <w:color w:val="9CC2E5" w:themeColor="accent1" w:themeTint="99"/>
                <w:sz w:val="15"/>
                <w:szCs w:val="15"/>
              </w:rPr>
              <w:t>Специфично въздействие</w:t>
            </w:r>
            <w:r w:rsidRPr="007B4A99">
              <w:rPr>
                <w:rFonts w:ascii="Times New Roman" w:hAnsi="Times New Roman" w:cs="Times New Roman"/>
                <w:i/>
                <w:sz w:val="15"/>
                <w:szCs w:val="15"/>
              </w:rPr>
              <w:t>: въздействието върху МСП (МСП - тест)</w:t>
            </w:r>
          </w:p>
          <w:p w14:paraId="4DF8AAED" w14:textId="77777777" w:rsidR="00376BFB" w:rsidRPr="007B4A99" w:rsidRDefault="00376BFB" w:rsidP="00DD69D5">
            <w:pPr>
              <w:spacing w:line="240" w:lineRule="auto"/>
              <w:jc w:val="both"/>
              <w:rPr>
                <w:rFonts w:ascii="Times New Roman" w:hAnsi="Times New Roman" w:cs="Times New Roman"/>
                <w:i/>
                <w:color w:val="1F4E79" w:themeColor="accent1" w:themeShade="80"/>
                <w:sz w:val="15"/>
                <w:szCs w:val="15"/>
              </w:rPr>
            </w:pPr>
            <w:r w:rsidRPr="007B4A99">
              <w:rPr>
                <w:rFonts w:ascii="Times New Roman" w:hAnsi="Times New Roman" w:cs="Times New Roman"/>
                <w:i/>
                <w:color w:val="1F4E79" w:themeColor="accent1" w:themeShade="80"/>
                <w:sz w:val="15"/>
                <w:szCs w:val="15"/>
              </w:rPr>
              <w:t>Възможни методи за анализа на въздействията</w:t>
            </w:r>
          </w:p>
          <w:p w14:paraId="57C233DE" w14:textId="77777777" w:rsidR="00376BFB" w:rsidRPr="007B4A99" w:rsidRDefault="00376BFB" w:rsidP="00DD69D5">
            <w:pPr>
              <w:numPr>
                <w:ilvl w:val="0"/>
                <w:numId w:val="2"/>
              </w:numPr>
              <w:spacing w:line="240" w:lineRule="auto"/>
              <w:ind w:left="0"/>
              <w:contextualSpacing/>
              <w:jc w:val="both"/>
              <w:rPr>
                <w:rFonts w:ascii="Times New Roman" w:hAnsi="Times New Roman" w:cs="Times New Roman"/>
                <w:i/>
              </w:rPr>
            </w:pPr>
            <w:r w:rsidRPr="007B4A99">
              <w:rPr>
                <w:rFonts w:ascii="Times New Roman" w:hAnsi="Times New Roman" w:cs="Times New Roman"/>
                <w:i/>
                <w:sz w:val="15"/>
                <w:szCs w:val="15"/>
              </w:rPr>
              <w:t>Оценка на въздействието върху малките и средните предприятия</w:t>
            </w:r>
          </w:p>
        </w:tc>
      </w:tr>
    </w:tbl>
    <w:p w14:paraId="73F1A1F1" w14:textId="77777777" w:rsidR="006C2F70" w:rsidRPr="007B4A99" w:rsidRDefault="006C2F70" w:rsidP="00DE2073">
      <w:pPr>
        <w:spacing w:after="0"/>
        <w:ind w:firstLine="567"/>
        <w:jc w:val="both"/>
        <w:rPr>
          <w:rFonts w:ascii="Times New Roman" w:hAnsi="Times New Roman"/>
          <w:sz w:val="24"/>
          <w:szCs w:val="24"/>
        </w:rPr>
      </w:pPr>
    </w:p>
    <w:p w14:paraId="5EBCF8E9" w14:textId="1BE1F622" w:rsidR="00CB0A97" w:rsidRPr="00943C4D" w:rsidRDefault="00CB0A97" w:rsidP="00DD69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Н</w:t>
      </w:r>
      <w:r w:rsidRPr="00513248">
        <w:rPr>
          <w:rFonts w:ascii="Times New Roman" w:eastAsia="Times New Roman" w:hAnsi="Times New Roman" w:cs="Times New Roman"/>
          <w:sz w:val="24"/>
          <w:szCs w:val="24"/>
        </w:rPr>
        <w:t>астоящия</w:t>
      </w:r>
      <w:r>
        <w:rPr>
          <w:rFonts w:ascii="Times New Roman" w:eastAsia="Times New Roman" w:hAnsi="Times New Roman" w:cs="Times New Roman"/>
          <w:sz w:val="24"/>
          <w:szCs w:val="24"/>
        </w:rPr>
        <w:t>т</w:t>
      </w:r>
      <w:r w:rsidRPr="00943C4D">
        <w:rPr>
          <w:rFonts w:ascii="Times New Roman" w:eastAsia="Times New Roman" w:hAnsi="Times New Roman" w:cs="Times New Roman"/>
          <w:sz w:val="24"/>
          <w:szCs w:val="24"/>
        </w:rPr>
        <w:t xml:space="preserve"> МСП-тест</w:t>
      </w:r>
      <w:r>
        <w:rPr>
          <w:rFonts w:ascii="Times New Roman" w:eastAsia="Times New Roman" w:hAnsi="Times New Roman" w:cs="Times New Roman"/>
          <w:sz w:val="24"/>
          <w:szCs w:val="24"/>
        </w:rPr>
        <w:t xml:space="preserve"> </w:t>
      </w:r>
      <w:r w:rsidRPr="00943C4D">
        <w:rPr>
          <w:rFonts w:ascii="Times New Roman" w:eastAsia="Times New Roman" w:hAnsi="Times New Roman" w:cs="Times New Roman"/>
          <w:sz w:val="24"/>
          <w:szCs w:val="24"/>
        </w:rPr>
        <w:t xml:space="preserve">представлява подробен анализ на въздействието върху МСП </w:t>
      </w:r>
      <w:r>
        <w:rPr>
          <w:rFonts w:ascii="Times New Roman" w:eastAsia="Times New Roman" w:hAnsi="Times New Roman" w:cs="Times New Roman"/>
          <w:sz w:val="24"/>
          <w:szCs w:val="24"/>
        </w:rPr>
        <w:t xml:space="preserve">на </w:t>
      </w:r>
      <w:r w:rsidRPr="00943C4D">
        <w:rPr>
          <w:rFonts w:ascii="Times New Roman" w:eastAsia="Times New Roman" w:hAnsi="Times New Roman" w:cs="Times New Roman"/>
          <w:sz w:val="24"/>
          <w:szCs w:val="24"/>
        </w:rPr>
        <w:t>разглежда</w:t>
      </w:r>
      <w:r>
        <w:rPr>
          <w:rFonts w:ascii="Times New Roman" w:eastAsia="Times New Roman" w:hAnsi="Times New Roman" w:cs="Times New Roman"/>
          <w:sz w:val="24"/>
          <w:szCs w:val="24"/>
        </w:rPr>
        <w:t>ните от ОВ</w:t>
      </w:r>
      <w:r w:rsidRPr="00943C4D">
        <w:rPr>
          <w:rFonts w:ascii="Times New Roman" w:eastAsia="Times New Roman" w:hAnsi="Times New Roman" w:cs="Times New Roman"/>
          <w:sz w:val="24"/>
          <w:szCs w:val="24"/>
        </w:rPr>
        <w:t xml:space="preserve"> четири алтернативни варианта на </w:t>
      </w:r>
      <w:r>
        <w:rPr>
          <w:rFonts w:ascii="Times New Roman" w:eastAsia="Times New Roman" w:hAnsi="Times New Roman" w:cs="Times New Roman"/>
          <w:sz w:val="24"/>
          <w:szCs w:val="24"/>
        </w:rPr>
        <w:t xml:space="preserve">публична </w:t>
      </w:r>
      <w:r w:rsidRPr="00943C4D">
        <w:rPr>
          <w:rFonts w:ascii="Times New Roman" w:eastAsia="Times New Roman" w:hAnsi="Times New Roman" w:cs="Times New Roman"/>
          <w:sz w:val="24"/>
          <w:szCs w:val="24"/>
        </w:rPr>
        <w:t>намеса</w:t>
      </w:r>
      <w:r>
        <w:rPr>
          <w:rFonts w:ascii="Times New Roman" w:eastAsia="Times New Roman" w:hAnsi="Times New Roman" w:cs="Times New Roman"/>
          <w:sz w:val="24"/>
          <w:szCs w:val="24"/>
        </w:rPr>
        <w:t xml:space="preserve"> </w:t>
      </w:r>
      <w:r w:rsidR="00812050">
        <w:rPr>
          <w:rFonts w:ascii="Times New Roman" w:eastAsia="Times New Roman" w:hAnsi="Times New Roman" w:cs="Times New Roman"/>
          <w:sz w:val="24"/>
          <w:szCs w:val="24"/>
        </w:rPr>
        <w:t xml:space="preserve">в отношенията </w:t>
      </w:r>
      <w:r>
        <w:rPr>
          <w:rFonts w:ascii="Times New Roman" w:eastAsia="Times New Roman" w:hAnsi="Times New Roman" w:cs="Times New Roman"/>
          <w:sz w:val="24"/>
          <w:szCs w:val="24"/>
        </w:rPr>
        <w:t xml:space="preserve">по </w:t>
      </w:r>
      <w:r w:rsidRPr="00895CC4">
        <w:rPr>
          <w:rFonts w:ascii="Times New Roman" w:eastAsia="Times New Roman" w:hAnsi="Times New Roman" w:cs="Times New Roman"/>
          <w:sz w:val="24"/>
          <w:szCs w:val="24"/>
        </w:rPr>
        <w:t>веригата на доставк</w:t>
      </w:r>
      <w:r w:rsidR="00C5257A">
        <w:rPr>
          <w:rFonts w:ascii="Times New Roman" w:eastAsia="Times New Roman" w:hAnsi="Times New Roman" w:cs="Times New Roman"/>
          <w:sz w:val="24"/>
          <w:szCs w:val="24"/>
        </w:rPr>
        <w:t>и</w:t>
      </w:r>
      <w:r w:rsidRPr="00895CC4">
        <w:rPr>
          <w:rFonts w:ascii="Times New Roman" w:eastAsia="Times New Roman" w:hAnsi="Times New Roman" w:cs="Times New Roman"/>
          <w:sz w:val="24"/>
          <w:szCs w:val="24"/>
        </w:rPr>
        <w:t xml:space="preserve"> на земеделски продукти и храни</w:t>
      </w:r>
      <w:r w:rsidRPr="00943C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Предвид, че</w:t>
      </w:r>
      <w:r w:rsidRPr="00943C4D">
        <w:rPr>
          <w:rFonts w:ascii="Times New Roman" w:eastAsia="Times New Roman" w:hAnsi="Times New Roman" w:cs="Times New Roman"/>
          <w:sz w:val="24"/>
          <w:szCs w:val="24"/>
        </w:rPr>
        <w:t xml:space="preserve"> секторът обхваща огромен брой малки стопанства, преработватели и търговци</w:t>
      </w:r>
      <w:r w:rsidR="00D953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 </w:t>
      </w:r>
      <w:r w:rsidRPr="00943C4D">
        <w:rPr>
          <w:rFonts w:ascii="Times New Roman" w:eastAsia="Times New Roman" w:hAnsi="Times New Roman" w:cs="Times New Roman"/>
          <w:sz w:val="24"/>
          <w:szCs w:val="24"/>
        </w:rPr>
        <w:t>важно</w:t>
      </w:r>
      <w:r>
        <w:rPr>
          <w:rFonts w:ascii="Times New Roman" w:eastAsia="Times New Roman" w:hAnsi="Times New Roman" w:cs="Times New Roman"/>
          <w:sz w:val="24"/>
          <w:szCs w:val="24"/>
        </w:rPr>
        <w:t xml:space="preserve"> </w:t>
      </w:r>
      <w:r w:rsidRPr="00943C4D">
        <w:rPr>
          <w:rFonts w:ascii="Times New Roman" w:eastAsia="Times New Roman" w:hAnsi="Times New Roman" w:cs="Times New Roman"/>
          <w:sz w:val="24"/>
          <w:szCs w:val="24"/>
        </w:rPr>
        <w:t>да се оцени как различните варианти на политика биха се отразили на МСП, включително</w:t>
      </w:r>
      <w:r w:rsidR="00812050">
        <w:rPr>
          <w:rFonts w:ascii="Times New Roman" w:eastAsia="Times New Roman" w:hAnsi="Times New Roman" w:cs="Times New Roman"/>
          <w:sz w:val="24"/>
          <w:szCs w:val="24"/>
        </w:rPr>
        <w:t xml:space="preserve"> какви са</w:t>
      </w:r>
      <w:r w:rsidRPr="00943C4D">
        <w:rPr>
          <w:rFonts w:ascii="Times New Roman" w:eastAsia="Times New Roman" w:hAnsi="Times New Roman" w:cs="Times New Roman"/>
          <w:sz w:val="24"/>
          <w:szCs w:val="24"/>
        </w:rPr>
        <w:t xml:space="preserve"> потенциални</w:t>
      </w:r>
      <w:r w:rsidR="00144C9C">
        <w:rPr>
          <w:rFonts w:ascii="Times New Roman" w:eastAsia="Times New Roman" w:hAnsi="Times New Roman" w:cs="Times New Roman"/>
          <w:sz w:val="24"/>
          <w:szCs w:val="24"/>
        </w:rPr>
        <w:t>те</w:t>
      </w:r>
      <w:r w:rsidRPr="00943C4D">
        <w:rPr>
          <w:rFonts w:ascii="Times New Roman" w:eastAsia="Times New Roman" w:hAnsi="Times New Roman" w:cs="Times New Roman"/>
          <w:sz w:val="24"/>
          <w:szCs w:val="24"/>
        </w:rPr>
        <w:t xml:space="preserve"> </w:t>
      </w:r>
      <w:r w:rsidR="00812050">
        <w:rPr>
          <w:rFonts w:ascii="Times New Roman" w:eastAsia="Times New Roman" w:hAnsi="Times New Roman" w:cs="Times New Roman"/>
          <w:sz w:val="24"/>
          <w:szCs w:val="24"/>
        </w:rPr>
        <w:t xml:space="preserve">им </w:t>
      </w:r>
      <w:r w:rsidRPr="00943C4D">
        <w:rPr>
          <w:rFonts w:ascii="Times New Roman" w:eastAsia="Times New Roman" w:hAnsi="Times New Roman" w:cs="Times New Roman"/>
          <w:sz w:val="24"/>
          <w:szCs w:val="24"/>
        </w:rPr>
        <w:t>административни и финансови тежести.</w:t>
      </w:r>
    </w:p>
    <w:p w14:paraId="12A5F045" w14:textId="04C68725" w:rsidR="00CB0A97" w:rsidRDefault="00CB0A97" w:rsidP="00DD69D5">
      <w:pPr>
        <w:spacing w:after="0" w:line="240" w:lineRule="auto"/>
        <w:ind w:firstLine="567"/>
        <w:jc w:val="both"/>
        <w:rPr>
          <w:rFonts w:ascii="Times New Roman" w:eastAsia="Times New Roman" w:hAnsi="Times New Roman" w:cs="Times New Roman"/>
          <w:b/>
          <w:bCs/>
          <w:sz w:val="24"/>
          <w:szCs w:val="24"/>
        </w:rPr>
      </w:pPr>
      <w:r w:rsidRPr="00E129ED">
        <w:rPr>
          <w:rFonts w:ascii="Times New Roman" w:eastAsia="Times New Roman" w:hAnsi="Times New Roman" w:cs="Times New Roman"/>
          <w:sz w:val="24"/>
          <w:szCs w:val="24"/>
        </w:rPr>
        <w:t xml:space="preserve">В съответствие с най-добрите практики за </w:t>
      </w:r>
      <w:r w:rsidR="00812050">
        <w:rPr>
          <w:rFonts w:ascii="Times New Roman" w:eastAsia="Times New Roman" w:hAnsi="Times New Roman" w:cs="Times New Roman"/>
          <w:sz w:val="24"/>
          <w:szCs w:val="24"/>
        </w:rPr>
        <w:t xml:space="preserve">цялостна предварителна </w:t>
      </w:r>
      <w:r w:rsidRPr="00E129ED">
        <w:rPr>
          <w:rFonts w:ascii="Times New Roman" w:eastAsia="Times New Roman" w:hAnsi="Times New Roman" w:cs="Times New Roman"/>
          <w:sz w:val="24"/>
          <w:szCs w:val="24"/>
        </w:rPr>
        <w:t xml:space="preserve">оценка на въздействието е </w:t>
      </w:r>
      <w:r w:rsidR="00C5257A">
        <w:rPr>
          <w:rFonts w:ascii="Times New Roman" w:eastAsia="Times New Roman" w:hAnsi="Times New Roman" w:cs="Times New Roman"/>
          <w:sz w:val="24"/>
          <w:szCs w:val="24"/>
        </w:rPr>
        <w:t xml:space="preserve">извършен </w:t>
      </w:r>
      <w:r w:rsidRPr="00E129ED">
        <w:rPr>
          <w:rFonts w:ascii="Times New Roman" w:eastAsia="Times New Roman" w:hAnsi="Times New Roman" w:cs="Times New Roman"/>
          <w:sz w:val="24"/>
          <w:szCs w:val="24"/>
        </w:rPr>
        <w:t xml:space="preserve">анализ на </w:t>
      </w:r>
      <w:r w:rsidR="00812050">
        <w:rPr>
          <w:rFonts w:ascii="Times New Roman" w:eastAsia="Times New Roman" w:hAnsi="Times New Roman" w:cs="Times New Roman"/>
          <w:sz w:val="24"/>
          <w:szCs w:val="24"/>
        </w:rPr>
        <w:t>ефектите</w:t>
      </w:r>
      <w:r w:rsidRPr="00E129ED">
        <w:rPr>
          <w:rFonts w:ascii="Times New Roman" w:eastAsia="Times New Roman" w:hAnsi="Times New Roman" w:cs="Times New Roman"/>
          <w:sz w:val="24"/>
          <w:szCs w:val="24"/>
        </w:rPr>
        <w:t xml:space="preserve"> от всеки вариант </w:t>
      </w:r>
      <w:r w:rsidR="00812050">
        <w:rPr>
          <w:rFonts w:ascii="Times New Roman" w:eastAsia="Times New Roman" w:hAnsi="Times New Roman" w:cs="Times New Roman"/>
          <w:sz w:val="24"/>
          <w:szCs w:val="24"/>
        </w:rPr>
        <w:t>спрямо</w:t>
      </w:r>
      <w:r w:rsidRPr="00E129ED">
        <w:rPr>
          <w:rFonts w:ascii="Times New Roman" w:eastAsia="Times New Roman" w:hAnsi="Times New Roman" w:cs="Times New Roman"/>
          <w:sz w:val="24"/>
          <w:szCs w:val="24"/>
        </w:rPr>
        <w:t xml:space="preserve"> засегнатите МСП </w:t>
      </w:r>
      <w:r w:rsidR="00C5257A">
        <w:rPr>
          <w:rFonts w:ascii="Times New Roman" w:eastAsia="Times New Roman" w:hAnsi="Times New Roman" w:cs="Times New Roman"/>
          <w:sz w:val="24"/>
          <w:szCs w:val="24"/>
        </w:rPr>
        <w:t>по критериите</w:t>
      </w:r>
      <w:r w:rsidRPr="00E129ED">
        <w:rPr>
          <w:rFonts w:ascii="Times New Roman" w:eastAsia="Times New Roman" w:hAnsi="Times New Roman" w:cs="Times New Roman"/>
          <w:sz w:val="24"/>
          <w:szCs w:val="24"/>
        </w:rPr>
        <w:t xml:space="preserve"> обхват на предприятията, качествени ефекти (ползи/ недостатъци) и количествени измерени</w:t>
      </w:r>
      <w:r w:rsidR="00812050">
        <w:rPr>
          <w:rFonts w:ascii="Times New Roman" w:eastAsia="Times New Roman" w:hAnsi="Times New Roman" w:cs="Times New Roman"/>
          <w:sz w:val="24"/>
          <w:szCs w:val="24"/>
        </w:rPr>
        <w:t>я, сравнени със статуквото (базисен</w:t>
      </w:r>
      <w:r w:rsidRPr="00E129ED">
        <w:rPr>
          <w:rFonts w:ascii="Times New Roman" w:eastAsia="Times New Roman" w:hAnsi="Times New Roman" w:cs="Times New Roman"/>
          <w:sz w:val="24"/>
          <w:szCs w:val="24"/>
        </w:rPr>
        <w:t xml:space="preserve"> сценарий – Вариант 0).</w:t>
      </w:r>
      <w:r w:rsidRPr="00E129ED">
        <w:rPr>
          <w:rFonts w:ascii="Times New Roman" w:eastAsia="Times New Roman" w:hAnsi="Times New Roman" w:cs="Times New Roman"/>
          <w:b/>
          <w:bCs/>
          <w:sz w:val="24"/>
          <w:szCs w:val="24"/>
        </w:rPr>
        <w:t xml:space="preserve"> </w:t>
      </w:r>
    </w:p>
    <w:p w14:paraId="02FF3095" w14:textId="77777777" w:rsidR="00CB0A97" w:rsidRDefault="00CB0A97" w:rsidP="00DD69D5">
      <w:pPr>
        <w:spacing w:after="0" w:line="240" w:lineRule="auto"/>
        <w:ind w:firstLine="567"/>
        <w:jc w:val="both"/>
        <w:rPr>
          <w:rFonts w:ascii="Times New Roman" w:eastAsia="Times New Roman" w:hAnsi="Times New Roman" w:cs="Times New Roman"/>
          <w:b/>
          <w:bCs/>
          <w:sz w:val="24"/>
          <w:szCs w:val="24"/>
        </w:rPr>
      </w:pPr>
    </w:p>
    <w:p w14:paraId="12F7695F" w14:textId="77777777" w:rsidR="00CB0A97" w:rsidRDefault="00CB0A97" w:rsidP="00DD69D5">
      <w:pPr>
        <w:spacing w:after="0" w:line="240" w:lineRule="auto"/>
        <w:ind w:firstLine="567"/>
        <w:jc w:val="both"/>
        <w:rPr>
          <w:rFonts w:ascii="Times New Roman" w:eastAsia="Times New Roman" w:hAnsi="Times New Roman" w:cs="Times New Roman"/>
          <w:b/>
          <w:bCs/>
          <w:sz w:val="24"/>
          <w:szCs w:val="24"/>
        </w:rPr>
      </w:pPr>
      <w:r w:rsidRPr="00484380">
        <w:rPr>
          <w:rFonts w:ascii="Times New Roman" w:eastAsia="Times New Roman" w:hAnsi="Times New Roman" w:cs="Times New Roman"/>
          <w:b/>
          <w:bCs/>
          <w:sz w:val="24"/>
          <w:szCs w:val="24"/>
        </w:rPr>
        <w:t xml:space="preserve">Вариант 0: „Без действие“ </w:t>
      </w:r>
    </w:p>
    <w:p w14:paraId="38921F8E" w14:textId="7F7A61C5" w:rsidR="00CB0A97" w:rsidRDefault="00CB0A97" w:rsidP="00DD69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484380">
        <w:rPr>
          <w:rFonts w:ascii="Times New Roman" w:eastAsia="Times New Roman" w:hAnsi="Times New Roman" w:cs="Times New Roman"/>
          <w:sz w:val="24"/>
          <w:szCs w:val="24"/>
        </w:rPr>
        <w:t xml:space="preserve">ри този вариант не се предприемат нови мерки. Остава действаща настоящата нормативна уредба, като не се </w:t>
      </w:r>
      <w:r>
        <w:rPr>
          <w:rFonts w:ascii="Times New Roman" w:eastAsia="Times New Roman" w:hAnsi="Times New Roman" w:cs="Times New Roman"/>
          <w:sz w:val="24"/>
          <w:szCs w:val="24"/>
        </w:rPr>
        <w:t>постига пълно съответствие с изискванията на правото на ЕС</w:t>
      </w:r>
      <w:r w:rsidRPr="00484380">
        <w:rPr>
          <w:rFonts w:ascii="Times New Roman" w:eastAsia="Times New Roman" w:hAnsi="Times New Roman" w:cs="Times New Roman"/>
          <w:sz w:val="24"/>
          <w:szCs w:val="24"/>
        </w:rPr>
        <w:t xml:space="preserve">. Нелоялните търговски практики продължават да се регулират </w:t>
      </w:r>
      <w:r>
        <w:rPr>
          <w:rFonts w:ascii="Times New Roman" w:eastAsia="Times New Roman" w:hAnsi="Times New Roman" w:cs="Times New Roman"/>
          <w:sz w:val="24"/>
          <w:szCs w:val="24"/>
        </w:rPr>
        <w:t xml:space="preserve">по досегашния начин </w:t>
      </w:r>
      <w:r w:rsidRPr="00484380">
        <w:rPr>
          <w:rFonts w:ascii="Times New Roman" w:eastAsia="Times New Roman" w:hAnsi="Times New Roman" w:cs="Times New Roman"/>
          <w:sz w:val="24"/>
          <w:szCs w:val="24"/>
        </w:rPr>
        <w:t>или изобщо не се адресират изрично</w:t>
      </w:r>
      <w:r>
        <w:rPr>
          <w:rFonts w:ascii="Times New Roman" w:eastAsia="Times New Roman" w:hAnsi="Times New Roman" w:cs="Times New Roman"/>
          <w:sz w:val="24"/>
          <w:szCs w:val="24"/>
        </w:rPr>
        <w:t>,</w:t>
      </w:r>
      <w:r w:rsidRPr="00484380">
        <w:rPr>
          <w:rFonts w:ascii="Times New Roman" w:eastAsia="Times New Roman" w:hAnsi="Times New Roman" w:cs="Times New Roman"/>
          <w:sz w:val="24"/>
          <w:szCs w:val="24"/>
        </w:rPr>
        <w:t xml:space="preserve"> няма специални ограничения за надценки </w:t>
      </w:r>
      <w:r>
        <w:rPr>
          <w:rFonts w:ascii="Times New Roman" w:eastAsia="Times New Roman" w:hAnsi="Times New Roman" w:cs="Times New Roman"/>
          <w:sz w:val="24"/>
          <w:szCs w:val="24"/>
        </w:rPr>
        <w:t>или квоти за български продукти</w:t>
      </w:r>
      <w:r w:rsidR="00144C9C">
        <w:rPr>
          <w:rFonts w:ascii="Times New Roman" w:eastAsia="Times New Roman" w:hAnsi="Times New Roman" w:cs="Times New Roman"/>
          <w:sz w:val="24"/>
          <w:szCs w:val="24"/>
        </w:rPr>
        <w:t>,</w:t>
      </w:r>
      <w:r w:rsidRPr="00484380">
        <w:rPr>
          <w:rFonts w:ascii="Times New Roman" w:eastAsia="Times New Roman" w:hAnsi="Times New Roman" w:cs="Times New Roman"/>
          <w:sz w:val="24"/>
          <w:szCs w:val="24"/>
        </w:rPr>
        <w:t xml:space="preserve"> няма нови регистри или наблюдени</w:t>
      </w:r>
      <w:r>
        <w:rPr>
          <w:rFonts w:ascii="Times New Roman" w:eastAsia="Times New Roman" w:hAnsi="Times New Roman" w:cs="Times New Roman"/>
          <w:sz w:val="24"/>
          <w:szCs w:val="24"/>
        </w:rPr>
        <w:t>е на пазара</w:t>
      </w:r>
      <w:r w:rsidRPr="00484380">
        <w:rPr>
          <w:rFonts w:ascii="Times New Roman" w:eastAsia="Times New Roman" w:hAnsi="Times New Roman" w:cs="Times New Roman"/>
          <w:sz w:val="24"/>
          <w:szCs w:val="24"/>
        </w:rPr>
        <w:t xml:space="preserve">, освен съществуващите </w:t>
      </w:r>
      <w:r w:rsidR="00DE0597">
        <w:rPr>
          <w:rFonts w:ascii="Times New Roman" w:eastAsia="Times New Roman" w:hAnsi="Times New Roman" w:cs="Times New Roman"/>
          <w:sz w:val="24"/>
          <w:szCs w:val="24"/>
        </w:rPr>
        <w:t>механизми за събиране на</w:t>
      </w:r>
      <w:r w:rsidRPr="00484380">
        <w:rPr>
          <w:rFonts w:ascii="Times New Roman" w:eastAsia="Times New Roman" w:hAnsi="Times New Roman" w:cs="Times New Roman"/>
          <w:sz w:val="24"/>
          <w:szCs w:val="24"/>
        </w:rPr>
        <w:t xml:space="preserve"> данни</w:t>
      </w:r>
      <w:r w:rsidR="00DE0597">
        <w:rPr>
          <w:rFonts w:ascii="Times New Roman" w:eastAsia="Times New Roman" w:hAnsi="Times New Roman" w:cs="Times New Roman"/>
          <w:sz w:val="24"/>
          <w:szCs w:val="24"/>
        </w:rPr>
        <w:t xml:space="preserve"> за </w:t>
      </w:r>
      <w:r w:rsidR="00DE0597" w:rsidRPr="00484380">
        <w:rPr>
          <w:rFonts w:ascii="Times New Roman" w:eastAsia="Times New Roman" w:hAnsi="Times New Roman" w:cs="Times New Roman"/>
          <w:sz w:val="24"/>
          <w:szCs w:val="24"/>
        </w:rPr>
        <w:t>статистически</w:t>
      </w:r>
      <w:r w:rsidR="00DE0597">
        <w:rPr>
          <w:rFonts w:ascii="Times New Roman" w:eastAsia="Times New Roman" w:hAnsi="Times New Roman" w:cs="Times New Roman"/>
          <w:sz w:val="24"/>
          <w:szCs w:val="24"/>
        </w:rPr>
        <w:t xml:space="preserve"> цели</w:t>
      </w:r>
      <w:r w:rsidRPr="00484380">
        <w:rPr>
          <w:rFonts w:ascii="Times New Roman" w:eastAsia="Times New Roman" w:hAnsi="Times New Roman" w:cs="Times New Roman"/>
          <w:sz w:val="24"/>
          <w:szCs w:val="24"/>
        </w:rPr>
        <w:t>.</w:t>
      </w:r>
    </w:p>
    <w:p w14:paraId="58D16459" w14:textId="4C168057" w:rsidR="00CB0A97" w:rsidRDefault="00CB0A97" w:rsidP="00DD69D5">
      <w:pPr>
        <w:spacing w:after="0" w:line="240" w:lineRule="auto"/>
        <w:ind w:firstLine="567"/>
        <w:jc w:val="both"/>
        <w:rPr>
          <w:rFonts w:ascii="Times New Roman" w:eastAsia="Times New Roman" w:hAnsi="Times New Roman" w:cs="Times New Roman"/>
          <w:sz w:val="24"/>
          <w:szCs w:val="24"/>
        </w:rPr>
      </w:pPr>
      <w:r w:rsidRPr="00E129ED">
        <w:rPr>
          <w:rFonts w:ascii="Times New Roman" w:eastAsia="Times New Roman" w:hAnsi="Times New Roman" w:cs="Times New Roman"/>
          <w:b/>
          <w:bCs/>
          <w:i/>
          <w:sz w:val="24"/>
          <w:szCs w:val="24"/>
        </w:rPr>
        <w:t>Обхват на засегнати МСП:</w:t>
      </w:r>
      <w:r w:rsidRPr="005377B4">
        <w:rPr>
          <w:rFonts w:ascii="Times New Roman" w:eastAsia="Times New Roman" w:hAnsi="Times New Roman" w:cs="Times New Roman"/>
          <w:b/>
          <w:bCs/>
          <w:sz w:val="24"/>
          <w:szCs w:val="24"/>
        </w:rPr>
        <w:t xml:space="preserve"> </w:t>
      </w:r>
      <w:r w:rsidR="00940D80">
        <w:rPr>
          <w:rFonts w:ascii="Times New Roman" w:eastAsia="Times New Roman" w:hAnsi="Times New Roman" w:cs="Times New Roman"/>
          <w:sz w:val="24"/>
          <w:szCs w:val="24"/>
        </w:rPr>
        <w:t>п</w:t>
      </w:r>
      <w:r w:rsidRPr="00E129ED">
        <w:rPr>
          <w:rFonts w:ascii="Times New Roman" w:eastAsia="Times New Roman" w:hAnsi="Times New Roman" w:cs="Times New Roman"/>
          <w:sz w:val="24"/>
          <w:szCs w:val="24"/>
        </w:rPr>
        <w:t xml:space="preserve">ри </w:t>
      </w:r>
      <w:r w:rsidRPr="00E129ED">
        <w:rPr>
          <w:rFonts w:ascii="Times New Roman" w:eastAsia="Times New Roman" w:hAnsi="Times New Roman" w:cs="Times New Roman"/>
          <w:bCs/>
          <w:sz w:val="24"/>
          <w:szCs w:val="24"/>
        </w:rPr>
        <w:t>липса на ново действие няма допълнително засегнати предприятия</w:t>
      </w:r>
      <w:r w:rsidRPr="00E129ED">
        <w:rPr>
          <w:rFonts w:ascii="Times New Roman" w:eastAsia="Times New Roman" w:hAnsi="Times New Roman" w:cs="Times New Roman"/>
          <w:sz w:val="24"/>
          <w:szCs w:val="24"/>
        </w:rPr>
        <w:t xml:space="preserve"> освен вече действащите на пазара. </w:t>
      </w:r>
      <w:r w:rsidRPr="00E129ED">
        <w:rPr>
          <w:rFonts w:ascii="Times New Roman" w:eastAsia="Times New Roman" w:hAnsi="Times New Roman" w:cs="Times New Roman"/>
          <w:color w:val="000000" w:themeColor="text1"/>
          <w:sz w:val="24"/>
          <w:szCs w:val="24"/>
        </w:rPr>
        <w:t xml:space="preserve">В </w:t>
      </w:r>
      <w:r w:rsidR="008A1DD6" w:rsidRPr="00AA510E">
        <w:rPr>
          <w:rFonts w:ascii="Times New Roman" w:eastAsia="Times New Roman" w:hAnsi="Times New Roman" w:cs="Times New Roman"/>
          <w:color w:val="000000" w:themeColor="text1"/>
          <w:sz w:val="24"/>
          <w:szCs w:val="24"/>
        </w:rPr>
        <w:t>Република</w:t>
      </w:r>
      <w:r w:rsidR="008A1DD6">
        <w:rPr>
          <w:rFonts w:ascii="Times New Roman" w:eastAsia="Times New Roman" w:hAnsi="Times New Roman" w:cs="Times New Roman"/>
          <w:color w:val="000000" w:themeColor="text1"/>
          <w:sz w:val="24"/>
          <w:szCs w:val="24"/>
        </w:rPr>
        <w:t xml:space="preserve"> </w:t>
      </w:r>
      <w:r w:rsidRPr="00E129ED">
        <w:rPr>
          <w:rFonts w:ascii="Times New Roman" w:eastAsia="Times New Roman" w:hAnsi="Times New Roman" w:cs="Times New Roman"/>
          <w:color w:val="000000" w:themeColor="text1"/>
          <w:sz w:val="24"/>
          <w:szCs w:val="24"/>
        </w:rPr>
        <w:t xml:space="preserve">България във веригата на доставка на храни участват десетки хиляди малки стопанства и фирми. По данни на НСИ, </w:t>
      </w:r>
      <w:r w:rsidRPr="00DE0597">
        <w:rPr>
          <w:rFonts w:ascii="Times New Roman" w:eastAsia="Times New Roman" w:hAnsi="Times New Roman" w:cs="Times New Roman"/>
          <w:color w:val="000000" w:themeColor="text1"/>
          <w:sz w:val="24"/>
          <w:szCs w:val="24"/>
        </w:rPr>
        <w:t xml:space="preserve">в сектор </w:t>
      </w:r>
      <w:r w:rsidRPr="00DE0597">
        <w:rPr>
          <w:rFonts w:ascii="Times New Roman" w:eastAsia="Times New Roman" w:hAnsi="Times New Roman" w:cs="Times New Roman"/>
          <w:iCs/>
          <w:color w:val="000000" w:themeColor="text1"/>
          <w:sz w:val="24"/>
          <w:szCs w:val="24"/>
        </w:rPr>
        <w:t>„Селско, горско и рибно стопанство“</w:t>
      </w:r>
      <w:r w:rsidRPr="00E129ED">
        <w:rPr>
          <w:rFonts w:ascii="Times New Roman" w:eastAsia="Times New Roman" w:hAnsi="Times New Roman" w:cs="Times New Roman"/>
          <w:color w:val="000000" w:themeColor="text1"/>
          <w:sz w:val="24"/>
          <w:szCs w:val="24"/>
        </w:rPr>
        <w:t xml:space="preserve"> функционират </w:t>
      </w:r>
      <w:r w:rsidRPr="00E129ED">
        <w:rPr>
          <w:rFonts w:ascii="Times New Roman" w:eastAsia="Times New Roman" w:hAnsi="Times New Roman" w:cs="Times New Roman"/>
          <w:bCs/>
          <w:color w:val="000000" w:themeColor="text1"/>
          <w:sz w:val="24"/>
          <w:szCs w:val="24"/>
        </w:rPr>
        <w:t xml:space="preserve">49 108 </w:t>
      </w:r>
      <w:r w:rsidRPr="00E129ED">
        <w:rPr>
          <w:rFonts w:ascii="Times New Roman" w:eastAsia="Times New Roman" w:hAnsi="Times New Roman" w:cs="Times New Roman"/>
          <w:bCs/>
          <w:color w:val="000000" w:themeColor="text1"/>
          <w:sz w:val="24"/>
          <w:szCs w:val="24"/>
        </w:rPr>
        <w:lastRenderedPageBreak/>
        <w:t>нефинансови предприятия</w:t>
      </w:r>
      <w:r w:rsidR="00DE0597">
        <w:rPr>
          <w:rFonts w:ascii="Times New Roman" w:eastAsia="Times New Roman" w:hAnsi="Times New Roman" w:cs="Times New Roman"/>
          <w:bCs/>
          <w:color w:val="000000" w:themeColor="text1"/>
          <w:sz w:val="24"/>
          <w:szCs w:val="24"/>
        </w:rPr>
        <w:t>. П</w:t>
      </w:r>
      <w:r w:rsidRPr="00E129ED">
        <w:rPr>
          <w:rFonts w:ascii="Times New Roman" w:eastAsia="Times New Roman" w:hAnsi="Times New Roman" w:cs="Times New Roman"/>
          <w:color w:val="000000" w:themeColor="text1"/>
          <w:sz w:val="24"/>
          <w:szCs w:val="24"/>
        </w:rPr>
        <w:t xml:space="preserve">очти всички от </w:t>
      </w:r>
      <w:r w:rsidR="00DE0597">
        <w:rPr>
          <w:rFonts w:ascii="Times New Roman" w:eastAsia="Times New Roman" w:hAnsi="Times New Roman" w:cs="Times New Roman"/>
          <w:color w:val="000000" w:themeColor="text1"/>
          <w:sz w:val="24"/>
          <w:szCs w:val="24"/>
        </w:rPr>
        <w:t>тях</w:t>
      </w:r>
      <w:r w:rsidRPr="00E129ED">
        <w:rPr>
          <w:rFonts w:ascii="Times New Roman" w:eastAsia="Times New Roman" w:hAnsi="Times New Roman" w:cs="Times New Roman"/>
          <w:color w:val="000000" w:themeColor="text1"/>
          <w:sz w:val="24"/>
          <w:szCs w:val="24"/>
        </w:rPr>
        <w:t xml:space="preserve"> са микропредприятия (над 47 хил. с под 10 заети)</w:t>
      </w:r>
      <w:r w:rsidRPr="00E129ED">
        <w:rPr>
          <w:rStyle w:val="FootnoteReference"/>
          <w:rFonts w:ascii="Times New Roman" w:eastAsia="Times New Roman" w:hAnsi="Times New Roman" w:cs="Times New Roman"/>
          <w:color w:val="000000" w:themeColor="text1"/>
          <w:sz w:val="24"/>
          <w:szCs w:val="24"/>
        </w:rPr>
        <w:footnoteReference w:id="51"/>
      </w:r>
      <w:r w:rsidRPr="00E129ED">
        <w:rPr>
          <w:rFonts w:ascii="Times New Roman" w:eastAsia="Times New Roman" w:hAnsi="Times New Roman" w:cs="Times New Roman"/>
          <w:color w:val="000000" w:themeColor="text1"/>
          <w:sz w:val="24"/>
          <w:szCs w:val="24"/>
        </w:rPr>
        <w:t xml:space="preserve">. В </w:t>
      </w:r>
      <w:r w:rsidRPr="00DE0597">
        <w:rPr>
          <w:rFonts w:ascii="Times New Roman" w:eastAsia="Times New Roman" w:hAnsi="Times New Roman" w:cs="Times New Roman"/>
          <w:color w:val="000000" w:themeColor="text1"/>
          <w:sz w:val="24"/>
          <w:szCs w:val="24"/>
        </w:rPr>
        <w:t xml:space="preserve">сектор </w:t>
      </w:r>
      <w:r w:rsidRPr="00DE0597">
        <w:rPr>
          <w:rFonts w:ascii="Times New Roman" w:eastAsia="Times New Roman" w:hAnsi="Times New Roman" w:cs="Times New Roman"/>
          <w:iCs/>
          <w:color w:val="000000" w:themeColor="text1"/>
          <w:sz w:val="24"/>
          <w:szCs w:val="24"/>
        </w:rPr>
        <w:t>„Преработваща промишленост“</w:t>
      </w:r>
      <w:r w:rsidRPr="00DE0597">
        <w:rPr>
          <w:rFonts w:ascii="Times New Roman" w:eastAsia="Times New Roman" w:hAnsi="Times New Roman" w:cs="Times New Roman"/>
          <w:color w:val="000000" w:themeColor="text1"/>
          <w:sz w:val="24"/>
          <w:szCs w:val="24"/>
        </w:rPr>
        <w:t xml:space="preserve"> има около </w:t>
      </w:r>
      <w:r w:rsidRPr="00DE0597">
        <w:rPr>
          <w:rFonts w:ascii="Times New Roman" w:eastAsia="Times New Roman" w:hAnsi="Times New Roman" w:cs="Times New Roman"/>
          <w:bCs/>
          <w:color w:val="000000" w:themeColor="text1"/>
          <w:sz w:val="24"/>
          <w:szCs w:val="24"/>
        </w:rPr>
        <w:t>30 хил. предприятия</w:t>
      </w:r>
      <w:r w:rsidRPr="00DE0597">
        <w:rPr>
          <w:rFonts w:ascii="Times New Roman" w:eastAsia="Times New Roman" w:hAnsi="Times New Roman" w:cs="Times New Roman"/>
          <w:color w:val="000000" w:themeColor="text1"/>
          <w:sz w:val="24"/>
          <w:szCs w:val="24"/>
        </w:rPr>
        <w:t>, сред които производството на храни и напитки заема значим дял</w:t>
      </w:r>
      <w:r w:rsidRPr="00DE0597">
        <w:rPr>
          <w:rStyle w:val="FootnoteReference"/>
          <w:rFonts w:ascii="Times New Roman" w:eastAsia="Times New Roman" w:hAnsi="Times New Roman" w:cs="Times New Roman"/>
          <w:color w:val="000000" w:themeColor="text1"/>
          <w:sz w:val="24"/>
          <w:szCs w:val="24"/>
        </w:rPr>
        <w:footnoteReference w:id="52"/>
      </w:r>
      <w:r w:rsidRPr="00DE0597">
        <w:rPr>
          <w:rFonts w:ascii="Times New Roman" w:eastAsia="Times New Roman" w:hAnsi="Times New Roman" w:cs="Times New Roman"/>
          <w:color w:val="000000" w:themeColor="text1"/>
          <w:sz w:val="24"/>
          <w:szCs w:val="24"/>
        </w:rPr>
        <w:t xml:space="preserve">. Още по-мащабен е секторът </w:t>
      </w:r>
      <w:r w:rsidRPr="00DE0597">
        <w:rPr>
          <w:rFonts w:ascii="Times New Roman" w:eastAsia="Times New Roman" w:hAnsi="Times New Roman" w:cs="Times New Roman"/>
          <w:iCs/>
          <w:color w:val="000000" w:themeColor="text1"/>
          <w:sz w:val="24"/>
          <w:szCs w:val="24"/>
        </w:rPr>
        <w:t>„Търговия (на едро и дребно)“</w:t>
      </w:r>
      <w:r w:rsidRPr="00DE0597">
        <w:rPr>
          <w:rFonts w:ascii="Times New Roman" w:eastAsia="Times New Roman" w:hAnsi="Times New Roman" w:cs="Times New Roman"/>
          <w:color w:val="000000" w:themeColor="text1"/>
          <w:sz w:val="24"/>
          <w:szCs w:val="24"/>
        </w:rPr>
        <w:t xml:space="preserve">, където общо има </w:t>
      </w:r>
      <w:r w:rsidRPr="00DE0597">
        <w:rPr>
          <w:rFonts w:ascii="Times New Roman" w:eastAsia="Times New Roman" w:hAnsi="Times New Roman" w:cs="Times New Roman"/>
          <w:bCs/>
          <w:color w:val="000000" w:themeColor="text1"/>
          <w:sz w:val="24"/>
          <w:szCs w:val="24"/>
        </w:rPr>
        <w:t>138 086 предприятия</w:t>
      </w:r>
      <w:r w:rsidRPr="00DE0597">
        <w:rPr>
          <w:rFonts w:ascii="Times New Roman" w:eastAsia="Times New Roman" w:hAnsi="Times New Roman" w:cs="Times New Roman"/>
          <w:color w:val="000000" w:themeColor="text1"/>
          <w:sz w:val="24"/>
          <w:szCs w:val="24"/>
        </w:rPr>
        <w:t>, доминирани от микро-фирми (над 130 хил. с под 10</w:t>
      </w:r>
      <w:r w:rsidRPr="00E129ED">
        <w:rPr>
          <w:rFonts w:ascii="Times New Roman" w:eastAsia="Times New Roman" w:hAnsi="Times New Roman" w:cs="Times New Roman"/>
          <w:color w:val="000000" w:themeColor="text1"/>
          <w:sz w:val="24"/>
          <w:szCs w:val="24"/>
        </w:rPr>
        <w:t xml:space="preserve"> заети)</w:t>
      </w:r>
      <w:r w:rsidRPr="00E129ED">
        <w:rPr>
          <w:rStyle w:val="FootnoteReference"/>
          <w:rFonts w:ascii="Times New Roman" w:eastAsia="Times New Roman" w:hAnsi="Times New Roman" w:cs="Times New Roman"/>
          <w:color w:val="000000" w:themeColor="text1"/>
          <w:sz w:val="24"/>
          <w:szCs w:val="24"/>
        </w:rPr>
        <w:footnoteReference w:id="53"/>
      </w:r>
      <w:r w:rsidRPr="00E129ED">
        <w:rPr>
          <w:rFonts w:ascii="Times New Roman" w:eastAsia="Times New Roman" w:hAnsi="Times New Roman" w:cs="Times New Roman"/>
          <w:color w:val="000000" w:themeColor="text1"/>
          <w:sz w:val="24"/>
          <w:szCs w:val="24"/>
        </w:rPr>
        <w:t>. Не всички от тях са пряко свързани с храни, но официални</w:t>
      </w:r>
      <w:r w:rsidR="00D953EE">
        <w:rPr>
          <w:rFonts w:ascii="Times New Roman" w:eastAsia="Times New Roman" w:hAnsi="Times New Roman" w:cs="Times New Roman"/>
          <w:color w:val="000000" w:themeColor="text1"/>
          <w:sz w:val="24"/>
          <w:szCs w:val="24"/>
        </w:rPr>
        <w:t>те</w:t>
      </w:r>
      <w:r w:rsidRPr="00E129ED">
        <w:rPr>
          <w:rFonts w:ascii="Times New Roman" w:eastAsia="Times New Roman" w:hAnsi="Times New Roman" w:cs="Times New Roman"/>
          <w:color w:val="000000" w:themeColor="text1"/>
          <w:sz w:val="24"/>
          <w:szCs w:val="24"/>
        </w:rPr>
        <w:t xml:space="preserve"> данни за търговските обекти показват, че в края на 2023 г. има </w:t>
      </w:r>
      <w:r w:rsidRPr="00E129ED">
        <w:rPr>
          <w:rFonts w:ascii="Times New Roman" w:eastAsia="Times New Roman" w:hAnsi="Times New Roman" w:cs="Times New Roman"/>
          <w:bCs/>
          <w:color w:val="000000" w:themeColor="text1"/>
          <w:sz w:val="24"/>
          <w:szCs w:val="24"/>
        </w:rPr>
        <w:t>39 293 магазина за храни, напитки и тютюневи изделия</w:t>
      </w:r>
      <w:r w:rsidRPr="00E129ED">
        <w:rPr>
          <w:rFonts w:ascii="Times New Roman" w:eastAsia="Times New Roman" w:hAnsi="Times New Roman" w:cs="Times New Roman"/>
          <w:color w:val="000000" w:themeColor="text1"/>
          <w:sz w:val="24"/>
          <w:szCs w:val="24"/>
        </w:rPr>
        <w:t xml:space="preserve"> в страната</w:t>
      </w:r>
      <w:r w:rsidRPr="00E129ED">
        <w:rPr>
          <w:rStyle w:val="FootnoteReference"/>
          <w:rFonts w:ascii="Times New Roman" w:eastAsia="Times New Roman" w:hAnsi="Times New Roman" w:cs="Times New Roman"/>
          <w:color w:val="000000" w:themeColor="text1"/>
          <w:sz w:val="24"/>
          <w:szCs w:val="24"/>
        </w:rPr>
        <w:footnoteReference w:id="54"/>
      </w:r>
      <w:r w:rsidRPr="00E129ED">
        <w:rPr>
          <w:rFonts w:ascii="Times New Roman" w:eastAsia="Times New Roman" w:hAnsi="Times New Roman" w:cs="Times New Roman"/>
          <w:color w:val="000000" w:themeColor="text1"/>
          <w:sz w:val="24"/>
          <w:szCs w:val="24"/>
        </w:rPr>
        <w:t xml:space="preserve"> (от общо 108 хил. търговски обекти на дребно). </w:t>
      </w:r>
      <w:r w:rsidRPr="00E129ED">
        <w:rPr>
          <w:rFonts w:ascii="Times New Roman" w:eastAsia="Times New Roman" w:hAnsi="Times New Roman" w:cs="Times New Roman"/>
          <w:sz w:val="24"/>
          <w:szCs w:val="24"/>
        </w:rPr>
        <w:t xml:space="preserve">Това подсказва, че </w:t>
      </w:r>
      <w:r w:rsidRPr="00E129ED">
        <w:rPr>
          <w:rFonts w:ascii="Times New Roman" w:eastAsia="Times New Roman" w:hAnsi="Times New Roman" w:cs="Times New Roman"/>
          <w:bCs/>
          <w:sz w:val="24"/>
          <w:szCs w:val="24"/>
        </w:rPr>
        <w:t>де факто засегнатите по веригата на храните са десетки хиляди МСП</w:t>
      </w:r>
      <w:r w:rsidRPr="00E129ED">
        <w:rPr>
          <w:rFonts w:ascii="Times New Roman" w:eastAsia="Times New Roman" w:hAnsi="Times New Roman" w:cs="Times New Roman"/>
          <w:sz w:val="24"/>
          <w:szCs w:val="24"/>
        </w:rPr>
        <w:t xml:space="preserve">, основно микропредприятия и семейни бизнеси. При Вариант 0 </w:t>
      </w:r>
      <w:r w:rsidRPr="00E129ED">
        <w:rPr>
          <w:rFonts w:ascii="Times New Roman" w:eastAsia="Times New Roman" w:hAnsi="Times New Roman" w:cs="Times New Roman"/>
          <w:bCs/>
          <w:sz w:val="24"/>
          <w:szCs w:val="24"/>
        </w:rPr>
        <w:t xml:space="preserve">няма нов </w:t>
      </w:r>
      <w:r w:rsidR="00DE0597">
        <w:rPr>
          <w:rFonts w:ascii="Times New Roman" w:eastAsia="Times New Roman" w:hAnsi="Times New Roman" w:cs="Times New Roman"/>
          <w:bCs/>
          <w:sz w:val="24"/>
          <w:szCs w:val="24"/>
        </w:rPr>
        <w:t>регулаторен</w:t>
      </w:r>
      <w:r w:rsidRPr="00E129ED">
        <w:rPr>
          <w:rFonts w:ascii="Times New Roman" w:eastAsia="Times New Roman" w:hAnsi="Times New Roman" w:cs="Times New Roman"/>
          <w:bCs/>
          <w:sz w:val="24"/>
          <w:szCs w:val="24"/>
        </w:rPr>
        <w:t xml:space="preserve"> ефект</w:t>
      </w:r>
      <w:r w:rsidRPr="00E129ED">
        <w:rPr>
          <w:rFonts w:ascii="Times New Roman" w:eastAsia="Times New Roman" w:hAnsi="Times New Roman" w:cs="Times New Roman"/>
          <w:sz w:val="24"/>
          <w:szCs w:val="24"/>
        </w:rPr>
        <w:t xml:space="preserve"> върху тях</w:t>
      </w:r>
      <w:r w:rsidR="00DE0597">
        <w:rPr>
          <w:rFonts w:ascii="Times New Roman" w:eastAsia="Times New Roman" w:hAnsi="Times New Roman" w:cs="Times New Roman"/>
          <w:sz w:val="24"/>
          <w:szCs w:val="24"/>
        </w:rPr>
        <w:t>.</w:t>
      </w:r>
      <w:r w:rsidRPr="00E129ED">
        <w:rPr>
          <w:rFonts w:ascii="Times New Roman" w:eastAsia="Times New Roman" w:hAnsi="Times New Roman" w:cs="Times New Roman"/>
          <w:sz w:val="24"/>
          <w:szCs w:val="24"/>
        </w:rPr>
        <w:t xml:space="preserve"> </w:t>
      </w:r>
      <w:r w:rsidR="00DE0597">
        <w:rPr>
          <w:rFonts w:ascii="Times New Roman" w:eastAsia="Times New Roman" w:hAnsi="Times New Roman" w:cs="Times New Roman"/>
          <w:sz w:val="24"/>
          <w:szCs w:val="24"/>
        </w:rPr>
        <w:t>Т</w:t>
      </w:r>
      <w:r w:rsidRPr="00E129ED">
        <w:rPr>
          <w:rFonts w:ascii="Times New Roman" w:eastAsia="Times New Roman" w:hAnsi="Times New Roman" w:cs="Times New Roman"/>
          <w:sz w:val="24"/>
          <w:szCs w:val="24"/>
        </w:rPr>
        <w:t>е продължават да работят при текущите условия, без допълнителни задължения</w:t>
      </w:r>
      <w:r w:rsidR="002A4A1E">
        <w:rPr>
          <w:rFonts w:ascii="Times New Roman" w:eastAsia="Times New Roman" w:hAnsi="Times New Roman" w:cs="Times New Roman"/>
          <w:sz w:val="24"/>
          <w:szCs w:val="24"/>
        </w:rPr>
        <w:t>, но и</w:t>
      </w:r>
      <w:r w:rsidRPr="00E129ED">
        <w:rPr>
          <w:rFonts w:ascii="Times New Roman" w:eastAsia="Times New Roman" w:hAnsi="Times New Roman" w:cs="Times New Roman"/>
          <w:sz w:val="24"/>
          <w:szCs w:val="24"/>
        </w:rPr>
        <w:t xml:space="preserve"> защити.</w:t>
      </w:r>
    </w:p>
    <w:p w14:paraId="74039B65" w14:textId="09D14C78" w:rsidR="00CB0A97" w:rsidRPr="00E129ED" w:rsidRDefault="00CB0A97" w:rsidP="00DD69D5">
      <w:pPr>
        <w:spacing w:after="0" w:line="240" w:lineRule="auto"/>
        <w:ind w:firstLine="567"/>
        <w:jc w:val="both"/>
        <w:rPr>
          <w:rFonts w:ascii="Times New Roman" w:eastAsia="Times New Roman" w:hAnsi="Times New Roman" w:cs="Times New Roman"/>
          <w:sz w:val="24"/>
          <w:szCs w:val="24"/>
        </w:rPr>
      </w:pPr>
      <w:r w:rsidRPr="00E129ED">
        <w:rPr>
          <w:rFonts w:ascii="Times New Roman" w:eastAsia="Times New Roman" w:hAnsi="Times New Roman" w:cs="Times New Roman"/>
          <w:b/>
          <w:bCs/>
          <w:i/>
          <w:sz w:val="24"/>
          <w:szCs w:val="24"/>
        </w:rPr>
        <w:t>Ефекти върху МСП:</w:t>
      </w:r>
      <w:r w:rsidRPr="00943C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E129ED">
        <w:rPr>
          <w:rFonts w:ascii="Times New Roman" w:eastAsia="Times New Roman" w:hAnsi="Times New Roman" w:cs="Times New Roman"/>
          <w:iCs/>
          <w:sz w:val="24"/>
          <w:szCs w:val="24"/>
        </w:rPr>
        <w:t>оложителното</w:t>
      </w:r>
      <w:r w:rsidRPr="00E129ED">
        <w:rPr>
          <w:rFonts w:ascii="Times New Roman" w:eastAsia="Times New Roman" w:hAnsi="Times New Roman" w:cs="Times New Roman"/>
          <w:sz w:val="24"/>
          <w:szCs w:val="24"/>
        </w:rPr>
        <w:t xml:space="preserve"> на този вариант е </w:t>
      </w:r>
      <w:r w:rsidRPr="00E129ED">
        <w:rPr>
          <w:rFonts w:ascii="Times New Roman" w:eastAsia="Times New Roman" w:hAnsi="Times New Roman" w:cs="Times New Roman"/>
          <w:bCs/>
          <w:sz w:val="24"/>
          <w:szCs w:val="24"/>
        </w:rPr>
        <w:t>липсата на нова административна тежест</w:t>
      </w:r>
      <w:r w:rsidRPr="00E129ED">
        <w:rPr>
          <w:rFonts w:ascii="Times New Roman" w:eastAsia="Times New Roman" w:hAnsi="Times New Roman" w:cs="Times New Roman"/>
          <w:sz w:val="24"/>
          <w:szCs w:val="24"/>
        </w:rPr>
        <w:t xml:space="preserve">. </w:t>
      </w:r>
      <w:r w:rsidRPr="00943C4D">
        <w:rPr>
          <w:rFonts w:ascii="Times New Roman" w:eastAsia="Times New Roman" w:hAnsi="Times New Roman" w:cs="Times New Roman"/>
          <w:sz w:val="24"/>
          <w:szCs w:val="24"/>
        </w:rPr>
        <w:t>МСП няма да бъдат изправени пред допълнителни разходи за съответствие, документи или промяна в практиките</w:t>
      </w:r>
      <w:r w:rsidRPr="00DE0597">
        <w:rPr>
          <w:rFonts w:ascii="Times New Roman" w:eastAsia="Times New Roman" w:hAnsi="Times New Roman" w:cs="Times New Roman"/>
          <w:sz w:val="24"/>
          <w:szCs w:val="24"/>
        </w:rPr>
        <w:t xml:space="preserve">. </w:t>
      </w:r>
      <w:r w:rsidRPr="00DE0597">
        <w:rPr>
          <w:rFonts w:ascii="Times New Roman" w:eastAsia="Times New Roman" w:hAnsi="Times New Roman" w:cs="Times New Roman"/>
          <w:iCs/>
          <w:sz w:val="24"/>
          <w:szCs w:val="24"/>
        </w:rPr>
        <w:t>Отрицателно</w:t>
      </w:r>
      <w:r w:rsidRPr="00943C4D">
        <w:rPr>
          <w:rFonts w:ascii="Times New Roman" w:eastAsia="Times New Roman" w:hAnsi="Times New Roman" w:cs="Times New Roman"/>
          <w:sz w:val="24"/>
          <w:szCs w:val="24"/>
        </w:rPr>
        <w:t xml:space="preserve"> обаче е</w:t>
      </w:r>
      <w:r w:rsidRPr="00E129ED">
        <w:rPr>
          <w:rFonts w:ascii="Times New Roman" w:eastAsia="Times New Roman" w:hAnsi="Times New Roman" w:cs="Times New Roman"/>
          <w:sz w:val="24"/>
          <w:szCs w:val="24"/>
        </w:rPr>
        <w:t xml:space="preserve">, че </w:t>
      </w:r>
      <w:r w:rsidRPr="00E129ED">
        <w:rPr>
          <w:rFonts w:ascii="Times New Roman" w:eastAsia="Times New Roman" w:hAnsi="Times New Roman" w:cs="Times New Roman"/>
          <w:bCs/>
          <w:sz w:val="24"/>
          <w:szCs w:val="24"/>
        </w:rPr>
        <w:t>съществуващите проблеми остават не</w:t>
      </w:r>
      <w:r>
        <w:rPr>
          <w:rFonts w:ascii="Times New Roman" w:eastAsia="Times New Roman" w:hAnsi="Times New Roman" w:cs="Times New Roman"/>
          <w:bCs/>
          <w:sz w:val="24"/>
          <w:szCs w:val="24"/>
        </w:rPr>
        <w:t>раз</w:t>
      </w:r>
      <w:r w:rsidRPr="00E129ED">
        <w:rPr>
          <w:rFonts w:ascii="Times New Roman" w:eastAsia="Times New Roman" w:hAnsi="Times New Roman" w:cs="Times New Roman"/>
          <w:bCs/>
          <w:sz w:val="24"/>
          <w:szCs w:val="24"/>
        </w:rPr>
        <w:t>решени</w:t>
      </w:r>
      <w:r w:rsidRPr="00E129ED">
        <w:rPr>
          <w:rFonts w:ascii="Times New Roman" w:eastAsia="Times New Roman" w:hAnsi="Times New Roman" w:cs="Times New Roman"/>
          <w:sz w:val="24"/>
          <w:szCs w:val="24"/>
        </w:rPr>
        <w:t>. Малките земеделски производители и малките преработватели ще продължат да се сблъскват с нелоялни търговски практики</w:t>
      </w:r>
      <w:r w:rsidRPr="00943C4D">
        <w:rPr>
          <w:rFonts w:ascii="Times New Roman" w:eastAsia="Times New Roman" w:hAnsi="Times New Roman" w:cs="Times New Roman"/>
          <w:sz w:val="24"/>
          <w:szCs w:val="24"/>
        </w:rPr>
        <w:t xml:space="preserve"> от страна на по-силни преговарящи партньори (например забавени плащания, внезапни откази на поръчки, едностранно променяни условия). </w:t>
      </w:r>
      <w:r w:rsidRPr="00E129ED">
        <w:rPr>
          <w:rFonts w:ascii="Times New Roman" w:eastAsia="Times New Roman" w:hAnsi="Times New Roman" w:cs="Times New Roman"/>
          <w:sz w:val="24"/>
          <w:szCs w:val="24"/>
        </w:rPr>
        <w:t xml:space="preserve">Също така, </w:t>
      </w:r>
      <w:r w:rsidRPr="00E129ED">
        <w:rPr>
          <w:rFonts w:ascii="Times New Roman" w:eastAsia="Times New Roman" w:hAnsi="Times New Roman" w:cs="Times New Roman"/>
          <w:bCs/>
          <w:sz w:val="24"/>
          <w:szCs w:val="24"/>
        </w:rPr>
        <w:t>сегашната среда на високи търговски надценки</w:t>
      </w:r>
      <w:r w:rsidRPr="00E129ED">
        <w:rPr>
          <w:rFonts w:ascii="Times New Roman" w:eastAsia="Times New Roman" w:hAnsi="Times New Roman" w:cs="Times New Roman"/>
          <w:sz w:val="24"/>
          <w:szCs w:val="24"/>
        </w:rPr>
        <w:t xml:space="preserve"> на дребно за основни храни няма да се подобри </w:t>
      </w:r>
      <w:r w:rsidR="00DE0597">
        <w:rPr>
          <w:rFonts w:ascii="Times New Roman" w:eastAsia="Times New Roman" w:hAnsi="Times New Roman" w:cs="Times New Roman"/>
          <w:sz w:val="24"/>
          <w:szCs w:val="24"/>
        </w:rPr>
        <w:t>като</w:t>
      </w:r>
      <w:r w:rsidRPr="00E129ED">
        <w:rPr>
          <w:rFonts w:ascii="Times New Roman" w:eastAsia="Times New Roman" w:hAnsi="Times New Roman" w:cs="Times New Roman"/>
          <w:sz w:val="24"/>
          <w:szCs w:val="24"/>
        </w:rPr>
        <w:t xml:space="preserve"> малките доставчици ще имат </w:t>
      </w:r>
      <w:r w:rsidR="00DE0597">
        <w:rPr>
          <w:rFonts w:ascii="Times New Roman" w:eastAsia="Times New Roman" w:hAnsi="Times New Roman" w:cs="Times New Roman"/>
          <w:sz w:val="24"/>
          <w:szCs w:val="24"/>
        </w:rPr>
        <w:t>по-</w:t>
      </w:r>
      <w:r w:rsidRPr="00E129ED">
        <w:rPr>
          <w:rFonts w:ascii="Times New Roman" w:eastAsia="Times New Roman" w:hAnsi="Times New Roman" w:cs="Times New Roman"/>
          <w:sz w:val="24"/>
          <w:szCs w:val="24"/>
        </w:rPr>
        <w:t>слаби позиции</w:t>
      </w:r>
      <w:r w:rsidRPr="00943C4D">
        <w:rPr>
          <w:rFonts w:ascii="Times New Roman" w:eastAsia="Times New Roman" w:hAnsi="Times New Roman" w:cs="Times New Roman"/>
          <w:sz w:val="24"/>
          <w:szCs w:val="24"/>
        </w:rPr>
        <w:t xml:space="preserve"> да </w:t>
      </w:r>
      <w:r w:rsidR="002A4A1E" w:rsidRPr="00943C4D">
        <w:rPr>
          <w:rFonts w:ascii="Times New Roman" w:eastAsia="Times New Roman" w:hAnsi="Times New Roman" w:cs="Times New Roman"/>
          <w:sz w:val="24"/>
          <w:szCs w:val="24"/>
        </w:rPr>
        <w:t>догов</w:t>
      </w:r>
      <w:r w:rsidR="002A4A1E">
        <w:rPr>
          <w:rFonts w:ascii="Times New Roman" w:eastAsia="Times New Roman" w:hAnsi="Times New Roman" w:cs="Times New Roman"/>
          <w:sz w:val="24"/>
          <w:szCs w:val="24"/>
        </w:rPr>
        <w:t>а</w:t>
      </w:r>
      <w:r w:rsidR="002A4A1E" w:rsidRPr="00943C4D">
        <w:rPr>
          <w:rFonts w:ascii="Times New Roman" w:eastAsia="Times New Roman" w:hAnsi="Times New Roman" w:cs="Times New Roman"/>
          <w:sz w:val="24"/>
          <w:szCs w:val="24"/>
        </w:rPr>
        <w:t xml:space="preserve">рят </w:t>
      </w:r>
      <w:r w:rsidRPr="00943C4D">
        <w:rPr>
          <w:rFonts w:ascii="Times New Roman" w:eastAsia="Times New Roman" w:hAnsi="Times New Roman" w:cs="Times New Roman"/>
          <w:sz w:val="24"/>
          <w:szCs w:val="24"/>
        </w:rPr>
        <w:t>по-добри условия. Не</w:t>
      </w:r>
      <w:r>
        <w:rPr>
          <w:rFonts w:ascii="Times New Roman" w:eastAsia="Times New Roman" w:hAnsi="Times New Roman" w:cs="Times New Roman"/>
          <w:sz w:val="24"/>
          <w:szCs w:val="24"/>
        </w:rPr>
        <w:t>равнопоставеността по</w:t>
      </w:r>
      <w:r w:rsidRPr="00943C4D">
        <w:rPr>
          <w:rFonts w:ascii="Times New Roman" w:eastAsia="Times New Roman" w:hAnsi="Times New Roman" w:cs="Times New Roman"/>
          <w:sz w:val="24"/>
          <w:szCs w:val="24"/>
        </w:rPr>
        <w:t xml:space="preserve"> веригата би продължил</w:t>
      </w:r>
      <w:r>
        <w:rPr>
          <w:rFonts w:ascii="Times New Roman" w:eastAsia="Times New Roman" w:hAnsi="Times New Roman" w:cs="Times New Roman"/>
          <w:sz w:val="24"/>
          <w:szCs w:val="24"/>
        </w:rPr>
        <w:t>а</w:t>
      </w:r>
      <w:r w:rsidRPr="00943C4D">
        <w:rPr>
          <w:rFonts w:ascii="Times New Roman" w:eastAsia="Times New Roman" w:hAnsi="Times New Roman" w:cs="Times New Roman"/>
          <w:sz w:val="24"/>
          <w:szCs w:val="24"/>
        </w:rPr>
        <w:t xml:space="preserve"> да ограничава растежа на малките </w:t>
      </w:r>
      <w:r w:rsidR="00D953EE">
        <w:rPr>
          <w:rFonts w:ascii="Times New Roman" w:eastAsia="Times New Roman" w:hAnsi="Times New Roman" w:cs="Times New Roman"/>
          <w:sz w:val="24"/>
          <w:szCs w:val="24"/>
        </w:rPr>
        <w:t>производители</w:t>
      </w:r>
      <w:r w:rsidR="00D953EE" w:rsidRPr="00943C4D">
        <w:rPr>
          <w:rFonts w:ascii="Times New Roman" w:eastAsia="Times New Roman" w:hAnsi="Times New Roman" w:cs="Times New Roman"/>
          <w:sz w:val="24"/>
          <w:szCs w:val="24"/>
        </w:rPr>
        <w:t xml:space="preserve"> </w:t>
      </w:r>
      <w:r w:rsidRPr="00943C4D">
        <w:rPr>
          <w:rFonts w:ascii="Times New Roman" w:eastAsia="Times New Roman" w:hAnsi="Times New Roman" w:cs="Times New Roman"/>
          <w:sz w:val="24"/>
          <w:szCs w:val="24"/>
        </w:rPr>
        <w:t xml:space="preserve">и </w:t>
      </w:r>
      <w:r w:rsidR="002A4A1E">
        <w:rPr>
          <w:rFonts w:ascii="Times New Roman" w:eastAsia="Times New Roman" w:hAnsi="Times New Roman" w:cs="Times New Roman"/>
          <w:sz w:val="24"/>
          <w:szCs w:val="24"/>
        </w:rPr>
        <w:t>предприятия</w:t>
      </w:r>
      <w:r w:rsidRPr="00943C4D">
        <w:rPr>
          <w:rFonts w:ascii="Times New Roman" w:eastAsia="Times New Roman" w:hAnsi="Times New Roman" w:cs="Times New Roman"/>
          <w:sz w:val="24"/>
          <w:szCs w:val="24"/>
        </w:rPr>
        <w:t xml:space="preserve">, да </w:t>
      </w:r>
      <w:r>
        <w:rPr>
          <w:rFonts w:ascii="Times New Roman" w:eastAsia="Times New Roman" w:hAnsi="Times New Roman" w:cs="Times New Roman"/>
          <w:sz w:val="24"/>
          <w:szCs w:val="24"/>
        </w:rPr>
        <w:t>потиска</w:t>
      </w:r>
      <w:r w:rsidRPr="00943C4D">
        <w:rPr>
          <w:rFonts w:ascii="Times New Roman" w:eastAsia="Times New Roman" w:hAnsi="Times New Roman" w:cs="Times New Roman"/>
          <w:sz w:val="24"/>
          <w:szCs w:val="24"/>
        </w:rPr>
        <w:t xml:space="preserve"> инвестициите и да възпрепятств</w:t>
      </w:r>
      <w:r>
        <w:rPr>
          <w:rFonts w:ascii="Times New Roman" w:eastAsia="Times New Roman" w:hAnsi="Times New Roman" w:cs="Times New Roman"/>
          <w:sz w:val="24"/>
          <w:szCs w:val="24"/>
        </w:rPr>
        <w:t>а</w:t>
      </w:r>
      <w:r w:rsidRPr="00943C4D">
        <w:rPr>
          <w:rFonts w:ascii="Times New Roman" w:eastAsia="Times New Roman" w:hAnsi="Times New Roman" w:cs="Times New Roman"/>
          <w:sz w:val="24"/>
          <w:szCs w:val="24"/>
        </w:rPr>
        <w:t xml:space="preserve"> устойчивото им развитие. Липсата на действие </w:t>
      </w:r>
      <w:r w:rsidRPr="00E129ED">
        <w:rPr>
          <w:rFonts w:ascii="Times New Roman" w:eastAsia="Times New Roman" w:hAnsi="Times New Roman" w:cs="Times New Roman"/>
          <w:iCs/>
          <w:sz w:val="24"/>
          <w:szCs w:val="24"/>
        </w:rPr>
        <w:t>не подпомага</w:t>
      </w:r>
      <w:r w:rsidRPr="00E129ED">
        <w:rPr>
          <w:rFonts w:ascii="Times New Roman" w:eastAsia="Times New Roman" w:hAnsi="Times New Roman" w:cs="Times New Roman"/>
          <w:sz w:val="24"/>
          <w:szCs w:val="24"/>
        </w:rPr>
        <w:t xml:space="preserve"> изпълнението</w:t>
      </w:r>
      <w:r>
        <w:rPr>
          <w:rFonts w:ascii="Times New Roman" w:eastAsia="Times New Roman" w:hAnsi="Times New Roman" w:cs="Times New Roman"/>
          <w:sz w:val="24"/>
          <w:szCs w:val="24"/>
        </w:rPr>
        <w:t xml:space="preserve"> на </w:t>
      </w:r>
      <w:r w:rsidRPr="00943C4D">
        <w:rPr>
          <w:rFonts w:ascii="Times New Roman" w:eastAsia="Times New Roman" w:hAnsi="Times New Roman" w:cs="Times New Roman"/>
          <w:sz w:val="24"/>
          <w:szCs w:val="24"/>
        </w:rPr>
        <w:t>национални</w:t>
      </w:r>
      <w:r>
        <w:rPr>
          <w:rFonts w:ascii="Times New Roman" w:eastAsia="Times New Roman" w:hAnsi="Times New Roman" w:cs="Times New Roman"/>
          <w:sz w:val="24"/>
          <w:szCs w:val="24"/>
        </w:rPr>
        <w:t>те</w:t>
      </w:r>
      <w:r w:rsidRPr="00943C4D">
        <w:rPr>
          <w:rFonts w:ascii="Times New Roman" w:eastAsia="Times New Roman" w:hAnsi="Times New Roman" w:cs="Times New Roman"/>
          <w:sz w:val="24"/>
          <w:szCs w:val="24"/>
        </w:rPr>
        <w:t xml:space="preserve"> цели като</w:t>
      </w:r>
      <w:r>
        <w:rPr>
          <w:rFonts w:ascii="Times New Roman" w:eastAsia="Times New Roman" w:hAnsi="Times New Roman" w:cs="Times New Roman"/>
          <w:sz w:val="24"/>
          <w:szCs w:val="24"/>
        </w:rPr>
        <w:t>:</w:t>
      </w:r>
      <w:r w:rsidRPr="00943C4D">
        <w:rPr>
          <w:rFonts w:ascii="Times New Roman" w:eastAsia="Times New Roman" w:hAnsi="Times New Roman" w:cs="Times New Roman"/>
          <w:sz w:val="24"/>
          <w:szCs w:val="24"/>
        </w:rPr>
        <w:t xml:space="preserve"> повишаване на продоволствената сигурност и устойчиво земеделие. </w:t>
      </w:r>
      <w:r w:rsidRPr="00E129ED">
        <w:rPr>
          <w:rFonts w:ascii="Times New Roman" w:eastAsia="Times New Roman" w:hAnsi="Times New Roman" w:cs="Times New Roman"/>
          <w:sz w:val="24"/>
          <w:szCs w:val="24"/>
        </w:rPr>
        <w:t>Съответно</w:t>
      </w:r>
      <w:r w:rsidR="002A4A1E">
        <w:rPr>
          <w:rFonts w:ascii="Times New Roman" w:eastAsia="Times New Roman" w:hAnsi="Times New Roman" w:cs="Times New Roman"/>
          <w:sz w:val="24"/>
          <w:szCs w:val="24"/>
        </w:rPr>
        <w:t>,</w:t>
      </w:r>
      <w:r w:rsidRPr="00E129ED">
        <w:rPr>
          <w:rFonts w:ascii="Times New Roman" w:eastAsia="Times New Roman" w:hAnsi="Times New Roman" w:cs="Times New Roman"/>
          <w:sz w:val="24"/>
          <w:szCs w:val="24"/>
        </w:rPr>
        <w:t xml:space="preserve"> при </w:t>
      </w:r>
      <w:r w:rsidRPr="00E129ED">
        <w:rPr>
          <w:rFonts w:ascii="Times New Roman" w:eastAsia="Times New Roman" w:hAnsi="Times New Roman" w:cs="Times New Roman"/>
          <w:bCs/>
          <w:sz w:val="24"/>
          <w:szCs w:val="24"/>
        </w:rPr>
        <w:t>Вариант 0 се запазва статуквото</w:t>
      </w:r>
      <w:r w:rsidRPr="00E129ED">
        <w:rPr>
          <w:rFonts w:ascii="Times New Roman" w:eastAsia="Times New Roman" w:hAnsi="Times New Roman" w:cs="Times New Roman"/>
          <w:sz w:val="24"/>
          <w:szCs w:val="24"/>
        </w:rPr>
        <w:t xml:space="preserve">, при което </w:t>
      </w:r>
      <w:r w:rsidRPr="00E129ED">
        <w:rPr>
          <w:rFonts w:ascii="Times New Roman" w:eastAsia="Times New Roman" w:hAnsi="Times New Roman" w:cs="Times New Roman"/>
          <w:bCs/>
          <w:sz w:val="24"/>
          <w:szCs w:val="24"/>
        </w:rPr>
        <w:t>МСП продължават да понасят негативите</w:t>
      </w:r>
      <w:r w:rsidRPr="00E129ED">
        <w:rPr>
          <w:rFonts w:ascii="Times New Roman" w:eastAsia="Times New Roman" w:hAnsi="Times New Roman" w:cs="Times New Roman"/>
          <w:sz w:val="24"/>
          <w:szCs w:val="24"/>
        </w:rPr>
        <w:t xml:space="preserve"> на съществуващите пазарни дисбаланси без допълнителна </w:t>
      </w:r>
      <w:r w:rsidR="00DE0597">
        <w:rPr>
          <w:rFonts w:ascii="Times New Roman" w:eastAsia="Times New Roman" w:hAnsi="Times New Roman" w:cs="Times New Roman"/>
          <w:sz w:val="24"/>
          <w:szCs w:val="24"/>
        </w:rPr>
        <w:t>публична</w:t>
      </w:r>
      <w:r w:rsidRPr="00E129ED">
        <w:rPr>
          <w:rFonts w:ascii="Times New Roman" w:eastAsia="Times New Roman" w:hAnsi="Times New Roman" w:cs="Times New Roman"/>
          <w:sz w:val="24"/>
          <w:szCs w:val="24"/>
        </w:rPr>
        <w:t xml:space="preserve"> защита.</w:t>
      </w:r>
    </w:p>
    <w:p w14:paraId="496D7591" w14:textId="05B72206" w:rsidR="00CB0A97" w:rsidRDefault="00CB0A97" w:rsidP="00DD69D5">
      <w:pPr>
        <w:spacing w:after="0" w:line="240" w:lineRule="auto"/>
        <w:ind w:firstLine="567"/>
        <w:jc w:val="both"/>
        <w:rPr>
          <w:rFonts w:ascii="Times New Roman" w:eastAsia="Times New Roman" w:hAnsi="Times New Roman" w:cs="Times New Roman"/>
          <w:b/>
          <w:bCs/>
          <w:sz w:val="24"/>
          <w:szCs w:val="24"/>
        </w:rPr>
      </w:pPr>
      <w:r w:rsidRPr="00E129ED">
        <w:rPr>
          <w:rFonts w:ascii="Times New Roman" w:eastAsia="Times New Roman" w:hAnsi="Times New Roman" w:cs="Times New Roman"/>
          <w:b/>
          <w:bCs/>
          <w:i/>
          <w:sz w:val="24"/>
          <w:szCs w:val="24"/>
        </w:rPr>
        <w:t>Административна тежест:</w:t>
      </w:r>
      <w:r w:rsidRPr="00943C4D">
        <w:rPr>
          <w:rFonts w:ascii="Times New Roman" w:eastAsia="Times New Roman" w:hAnsi="Times New Roman" w:cs="Times New Roman"/>
          <w:sz w:val="24"/>
          <w:szCs w:val="24"/>
        </w:rPr>
        <w:t xml:space="preserve"> </w:t>
      </w:r>
      <w:r w:rsidR="00940D80">
        <w:rPr>
          <w:rFonts w:ascii="Times New Roman" w:eastAsia="Times New Roman" w:hAnsi="Times New Roman" w:cs="Times New Roman"/>
          <w:sz w:val="24"/>
          <w:szCs w:val="24"/>
        </w:rPr>
        <w:t>н</w:t>
      </w:r>
      <w:r w:rsidRPr="00943C4D">
        <w:rPr>
          <w:rFonts w:ascii="Times New Roman" w:eastAsia="Times New Roman" w:hAnsi="Times New Roman" w:cs="Times New Roman"/>
          <w:sz w:val="24"/>
          <w:szCs w:val="24"/>
        </w:rPr>
        <w:t xml:space="preserve">яма нови регулации, </w:t>
      </w:r>
      <w:r w:rsidRPr="00E129ED">
        <w:rPr>
          <w:rFonts w:ascii="Times New Roman" w:eastAsia="Times New Roman" w:hAnsi="Times New Roman" w:cs="Times New Roman"/>
          <w:sz w:val="24"/>
          <w:szCs w:val="24"/>
        </w:rPr>
        <w:t>следователно</w:t>
      </w:r>
      <w:r w:rsidR="00D953EE">
        <w:rPr>
          <w:rFonts w:ascii="Times New Roman" w:eastAsia="Times New Roman" w:hAnsi="Times New Roman" w:cs="Times New Roman"/>
          <w:sz w:val="24"/>
          <w:szCs w:val="24"/>
        </w:rPr>
        <w:t>,</w:t>
      </w:r>
      <w:r w:rsidRPr="00E129ED">
        <w:rPr>
          <w:rFonts w:ascii="Times New Roman" w:eastAsia="Times New Roman" w:hAnsi="Times New Roman" w:cs="Times New Roman"/>
          <w:sz w:val="24"/>
          <w:szCs w:val="24"/>
        </w:rPr>
        <w:t xml:space="preserve"> </w:t>
      </w:r>
      <w:r w:rsidRPr="00E129ED">
        <w:rPr>
          <w:rFonts w:ascii="Times New Roman" w:eastAsia="Times New Roman" w:hAnsi="Times New Roman" w:cs="Times New Roman"/>
          <w:bCs/>
          <w:sz w:val="24"/>
          <w:szCs w:val="24"/>
        </w:rPr>
        <w:t>няма допълнителна административна тежест</w:t>
      </w:r>
      <w:r w:rsidRPr="00E129ED">
        <w:rPr>
          <w:rFonts w:ascii="Times New Roman" w:eastAsia="Times New Roman" w:hAnsi="Times New Roman" w:cs="Times New Roman"/>
          <w:sz w:val="24"/>
          <w:szCs w:val="24"/>
        </w:rPr>
        <w:t xml:space="preserve"> за бизнеса или за държавата. Разходите</w:t>
      </w:r>
      <w:r w:rsidR="00DE0597">
        <w:rPr>
          <w:rFonts w:ascii="Times New Roman" w:eastAsia="Times New Roman" w:hAnsi="Times New Roman" w:cs="Times New Roman"/>
          <w:sz w:val="24"/>
          <w:szCs w:val="24"/>
        </w:rPr>
        <w:t xml:space="preserve"> остават само текущите – </w:t>
      </w:r>
      <w:r w:rsidRPr="00943C4D">
        <w:rPr>
          <w:rFonts w:ascii="Times New Roman" w:eastAsia="Times New Roman" w:hAnsi="Times New Roman" w:cs="Times New Roman"/>
          <w:sz w:val="24"/>
          <w:szCs w:val="24"/>
        </w:rPr>
        <w:t>съществуващи</w:t>
      </w:r>
      <w:r w:rsidR="00DE0597">
        <w:rPr>
          <w:rFonts w:ascii="Times New Roman" w:eastAsia="Times New Roman" w:hAnsi="Times New Roman" w:cs="Times New Roman"/>
          <w:sz w:val="24"/>
          <w:szCs w:val="24"/>
        </w:rPr>
        <w:t>те и към момента</w:t>
      </w:r>
      <w:r w:rsidRPr="00943C4D">
        <w:rPr>
          <w:rFonts w:ascii="Times New Roman" w:eastAsia="Times New Roman" w:hAnsi="Times New Roman" w:cs="Times New Roman"/>
          <w:sz w:val="24"/>
          <w:szCs w:val="24"/>
        </w:rPr>
        <w:t xml:space="preserve"> изисквания за счетоводство, санитарен контрол и др</w:t>
      </w:r>
      <w:r w:rsidR="00DE0597">
        <w:rPr>
          <w:rFonts w:ascii="Times New Roman" w:eastAsia="Times New Roman" w:hAnsi="Times New Roman" w:cs="Times New Roman"/>
          <w:sz w:val="24"/>
          <w:szCs w:val="24"/>
        </w:rPr>
        <w:t>. се запазват</w:t>
      </w:r>
      <w:r w:rsidRPr="00943C4D">
        <w:rPr>
          <w:rFonts w:ascii="Times New Roman" w:eastAsia="Times New Roman" w:hAnsi="Times New Roman" w:cs="Times New Roman"/>
          <w:sz w:val="24"/>
          <w:szCs w:val="24"/>
        </w:rPr>
        <w:t xml:space="preserve"> непроменени. </w:t>
      </w:r>
      <w:r w:rsidRPr="00E129ED">
        <w:rPr>
          <w:rFonts w:ascii="Times New Roman" w:eastAsia="Times New Roman" w:hAnsi="Times New Roman" w:cs="Times New Roman"/>
          <w:iCs/>
          <w:sz w:val="24"/>
          <w:szCs w:val="24"/>
        </w:rPr>
        <w:t>Д</w:t>
      </w:r>
      <w:r w:rsidRPr="00943C4D">
        <w:rPr>
          <w:rFonts w:ascii="Times New Roman" w:eastAsia="Times New Roman" w:hAnsi="Times New Roman" w:cs="Times New Roman"/>
          <w:sz w:val="24"/>
          <w:szCs w:val="24"/>
        </w:rPr>
        <w:t xml:space="preserve">окато този вариант не поражда допълнителни разходи, </w:t>
      </w:r>
      <w:r w:rsidRPr="00E129ED">
        <w:rPr>
          <w:rFonts w:ascii="Times New Roman" w:eastAsia="Times New Roman" w:hAnsi="Times New Roman" w:cs="Times New Roman"/>
          <w:sz w:val="24"/>
          <w:szCs w:val="24"/>
        </w:rPr>
        <w:t xml:space="preserve">той </w:t>
      </w:r>
      <w:r w:rsidRPr="00E129ED">
        <w:rPr>
          <w:rFonts w:ascii="Times New Roman" w:eastAsia="Times New Roman" w:hAnsi="Times New Roman" w:cs="Times New Roman"/>
          <w:bCs/>
          <w:sz w:val="24"/>
          <w:szCs w:val="24"/>
        </w:rPr>
        <w:t>не носи и допълнителни ползи</w:t>
      </w:r>
      <w:r w:rsidR="002A4A1E">
        <w:rPr>
          <w:rFonts w:ascii="Times New Roman" w:eastAsia="Times New Roman" w:hAnsi="Times New Roman" w:cs="Times New Roman"/>
          <w:sz w:val="24"/>
          <w:szCs w:val="24"/>
        </w:rPr>
        <w:t>. Е</w:t>
      </w:r>
      <w:r w:rsidRPr="00E129ED">
        <w:rPr>
          <w:rFonts w:ascii="Times New Roman" w:eastAsia="Times New Roman" w:hAnsi="Times New Roman" w:cs="Times New Roman"/>
          <w:sz w:val="24"/>
          <w:szCs w:val="24"/>
        </w:rPr>
        <w:t>фектът за МСП е неутрален по отношение на нови задължения, но негативен поради пропуснатата възможност за подобрение на условията им.</w:t>
      </w:r>
      <w:r w:rsidRPr="00E129ED">
        <w:rPr>
          <w:rFonts w:ascii="Times New Roman" w:eastAsia="Times New Roman" w:hAnsi="Times New Roman" w:cs="Times New Roman"/>
          <w:b/>
          <w:bCs/>
          <w:sz w:val="24"/>
          <w:szCs w:val="24"/>
        </w:rPr>
        <w:t xml:space="preserve"> </w:t>
      </w:r>
    </w:p>
    <w:p w14:paraId="35FB990B" w14:textId="77777777" w:rsidR="00FC439B" w:rsidRDefault="00FC439B" w:rsidP="00DD69D5">
      <w:pPr>
        <w:spacing w:after="0" w:line="240" w:lineRule="auto"/>
        <w:ind w:firstLine="567"/>
        <w:jc w:val="both"/>
        <w:rPr>
          <w:rFonts w:ascii="Times New Roman" w:eastAsia="Times New Roman" w:hAnsi="Times New Roman" w:cs="Times New Roman"/>
          <w:b/>
          <w:bCs/>
          <w:sz w:val="24"/>
          <w:szCs w:val="24"/>
        </w:rPr>
      </w:pPr>
    </w:p>
    <w:p w14:paraId="582E4F51" w14:textId="77777777" w:rsidR="00CB0A97" w:rsidRDefault="00CB0A97" w:rsidP="00DD69D5">
      <w:pPr>
        <w:spacing w:after="0" w:line="240" w:lineRule="auto"/>
        <w:ind w:firstLine="567"/>
        <w:jc w:val="both"/>
        <w:rPr>
          <w:rFonts w:ascii="Times New Roman" w:eastAsia="Times New Roman" w:hAnsi="Times New Roman" w:cs="Times New Roman"/>
          <w:sz w:val="24"/>
          <w:szCs w:val="24"/>
        </w:rPr>
      </w:pPr>
      <w:r w:rsidRPr="0091765E">
        <w:rPr>
          <w:rFonts w:ascii="Times New Roman" w:eastAsia="Times New Roman" w:hAnsi="Times New Roman" w:cs="Times New Roman"/>
          <w:b/>
          <w:bCs/>
          <w:sz w:val="24"/>
          <w:szCs w:val="24"/>
        </w:rPr>
        <w:t xml:space="preserve">Вариант 1: </w:t>
      </w:r>
      <w:r>
        <w:rPr>
          <w:rFonts w:ascii="Times New Roman" w:eastAsia="Times New Roman" w:hAnsi="Times New Roman" w:cs="Times New Roman"/>
          <w:b/>
          <w:bCs/>
          <w:sz w:val="24"/>
          <w:szCs w:val="24"/>
        </w:rPr>
        <w:t>„</w:t>
      </w:r>
      <w:r w:rsidRPr="0091765E">
        <w:rPr>
          <w:rFonts w:ascii="Times New Roman" w:eastAsia="Times New Roman" w:hAnsi="Times New Roman" w:cs="Times New Roman"/>
          <w:b/>
          <w:bCs/>
          <w:sz w:val="24"/>
          <w:szCs w:val="24"/>
        </w:rPr>
        <w:t>Нерегулаторен подход</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p>
    <w:p w14:paraId="03A5B703" w14:textId="5F1F9661" w:rsidR="00CB0A97" w:rsidRPr="00E129ED" w:rsidRDefault="00CB0A97" w:rsidP="00DD69D5">
      <w:pPr>
        <w:spacing w:after="0" w:line="240" w:lineRule="auto"/>
        <w:ind w:firstLine="567"/>
        <w:jc w:val="both"/>
        <w:rPr>
          <w:rFonts w:ascii="Times New Roman" w:eastAsia="Times New Roman" w:hAnsi="Times New Roman" w:cs="Times New Roman"/>
          <w:sz w:val="24"/>
          <w:szCs w:val="24"/>
        </w:rPr>
      </w:pPr>
      <w:r w:rsidRPr="00E129ED">
        <w:rPr>
          <w:rFonts w:ascii="Times New Roman" w:eastAsia="Times New Roman" w:hAnsi="Times New Roman" w:cs="Times New Roman"/>
          <w:sz w:val="24"/>
          <w:szCs w:val="24"/>
        </w:rPr>
        <w:t xml:space="preserve">При този вариант се предвиждат </w:t>
      </w:r>
      <w:r w:rsidRPr="00E129ED">
        <w:rPr>
          <w:rFonts w:ascii="Times New Roman" w:eastAsia="Times New Roman" w:hAnsi="Times New Roman" w:cs="Times New Roman"/>
          <w:bCs/>
          <w:sz w:val="24"/>
          <w:szCs w:val="24"/>
        </w:rPr>
        <w:t>доброволни мерки</w:t>
      </w:r>
      <w:r w:rsidRPr="00E129ED">
        <w:rPr>
          <w:rFonts w:ascii="Times New Roman" w:eastAsia="Times New Roman" w:hAnsi="Times New Roman" w:cs="Times New Roman"/>
          <w:sz w:val="24"/>
          <w:szCs w:val="24"/>
        </w:rPr>
        <w:t xml:space="preserve"> вместо </w:t>
      </w:r>
      <w:r w:rsidR="0090026A">
        <w:rPr>
          <w:rFonts w:ascii="Times New Roman" w:eastAsia="Times New Roman" w:hAnsi="Times New Roman" w:cs="Times New Roman"/>
          <w:sz w:val="24"/>
          <w:szCs w:val="24"/>
        </w:rPr>
        <w:t>публична регулаторна намеса</w:t>
      </w:r>
      <w:r w:rsidRPr="00E129ED">
        <w:rPr>
          <w:rFonts w:ascii="Times New Roman" w:eastAsia="Times New Roman" w:hAnsi="Times New Roman" w:cs="Times New Roman"/>
          <w:sz w:val="24"/>
          <w:szCs w:val="24"/>
        </w:rPr>
        <w:t xml:space="preserve">. Това може да включва изготвяне на </w:t>
      </w:r>
      <w:r w:rsidRPr="00E129ED">
        <w:rPr>
          <w:rFonts w:ascii="Times New Roman" w:eastAsia="Times New Roman" w:hAnsi="Times New Roman" w:cs="Times New Roman"/>
          <w:bCs/>
          <w:sz w:val="24"/>
          <w:szCs w:val="24"/>
        </w:rPr>
        <w:t>кодекси за добри практики</w:t>
      </w:r>
      <w:r w:rsidRPr="00E129ED">
        <w:rPr>
          <w:rFonts w:ascii="Times New Roman" w:eastAsia="Times New Roman" w:hAnsi="Times New Roman" w:cs="Times New Roman"/>
          <w:sz w:val="24"/>
          <w:szCs w:val="24"/>
        </w:rPr>
        <w:t xml:space="preserve"> по веригата </w:t>
      </w:r>
      <w:r>
        <w:rPr>
          <w:rFonts w:ascii="Times New Roman" w:eastAsia="Times New Roman" w:hAnsi="Times New Roman" w:cs="Times New Roman"/>
          <w:sz w:val="24"/>
          <w:szCs w:val="24"/>
        </w:rPr>
        <w:t>н</w:t>
      </w:r>
      <w:r w:rsidRPr="00E129ED">
        <w:rPr>
          <w:rFonts w:ascii="Times New Roman" w:eastAsia="Times New Roman" w:hAnsi="Times New Roman" w:cs="Times New Roman"/>
          <w:sz w:val="24"/>
          <w:szCs w:val="24"/>
        </w:rPr>
        <w:t xml:space="preserve">а </w:t>
      </w:r>
      <w:r w:rsidRPr="00E129ED">
        <w:rPr>
          <w:rFonts w:ascii="Times New Roman" w:eastAsia="Times New Roman" w:hAnsi="Times New Roman" w:cs="Times New Roman"/>
          <w:sz w:val="24"/>
          <w:szCs w:val="24"/>
        </w:rPr>
        <w:lastRenderedPageBreak/>
        <w:t xml:space="preserve">доставка, </w:t>
      </w:r>
      <w:r w:rsidRPr="00E129ED">
        <w:rPr>
          <w:rFonts w:ascii="Times New Roman" w:eastAsia="Times New Roman" w:hAnsi="Times New Roman" w:cs="Times New Roman"/>
          <w:bCs/>
          <w:sz w:val="24"/>
          <w:szCs w:val="24"/>
        </w:rPr>
        <w:t>морални ангажименти</w:t>
      </w:r>
      <w:r w:rsidRPr="00E129ED">
        <w:rPr>
          <w:rFonts w:ascii="Times New Roman" w:eastAsia="Times New Roman" w:hAnsi="Times New Roman" w:cs="Times New Roman"/>
          <w:sz w:val="24"/>
          <w:szCs w:val="24"/>
        </w:rPr>
        <w:t xml:space="preserve"> от страна на големите търговци към по-справедливо отношение към доставчиците, секторни споразумения, кампании за саморегулация и обучения. Държавата може да насърчава диалог</w:t>
      </w:r>
      <w:r>
        <w:rPr>
          <w:rFonts w:ascii="Times New Roman" w:eastAsia="Times New Roman" w:hAnsi="Times New Roman" w:cs="Times New Roman"/>
          <w:sz w:val="24"/>
          <w:szCs w:val="24"/>
        </w:rPr>
        <w:t>а</w:t>
      </w:r>
      <w:r w:rsidRPr="00E129ED">
        <w:rPr>
          <w:rFonts w:ascii="Times New Roman" w:eastAsia="Times New Roman" w:hAnsi="Times New Roman" w:cs="Times New Roman"/>
          <w:sz w:val="24"/>
          <w:szCs w:val="24"/>
        </w:rPr>
        <w:t xml:space="preserve"> между участниците (напр</w:t>
      </w:r>
      <w:r w:rsidR="0090026A">
        <w:rPr>
          <w:rFonts w:ascii="Times New Roman" w:eastAsia="Times New Roman" w:hAnsi="Times New Roman" w:cs="Times New Roman"/>
          <w:sz w:val="24"/>
          <w:szCs w:val="24"/>
        </w:rPr>
        <w:t>имер</w:t>
      </w:r>
      <w:r w:rsidR="00D953EE">
        <w:rPr>
          <w:rFonts w:ascii="Times New Roman" w:eastAsia="Times New Roman" w:hAnsi="Times New Roman" w:cs="Times New Roman"/>
          <w:sz w:val="24"/>
          <w:szCs w:val="24"/>
        </w:rPr>
        <w:t>,</w:t>
      </w:r>
      <w:r w:rsidRPr="00E129ED">
        <w:rPr>
          <w:rFonts w:ascii="Times New Roman" w:eastAsia="Times New Roman" w:hAnsi="Times New Roman" w:cs="Times New Roman"/>
          <w:sz w:val="24"/>
          <w:szCs w:val="24"/>
        </w:rPr>
        <w:t xml:space="preserve"> създаване на платформи за преговори между </w:t>
      </w:r>
      <w:r w:rsidR="002A4A1E">
        <w:rPr>
          <w:rFonts w:ascii="Times New Roman" w:eastAsia="Times New Roman" w:hAnsi="Times New Roman" w:cs="Times New Roman"/>
          <w:sz w:val="24"/>
          <w:szCs w:val="24"/>
        </w:rPr>
        <w:t>търговски вериги</w:t>
      </w:r>
      <w:r w:rsidR="002A4A1E" w:rsidRPr="00E129ED">
        <w:rPr>
          <w:rFonts w:ascii="Times New Roman" w:eastAsia="Times New Roman" w:hAnsi="Times New Roman" w:cs="Times New Roman"/>
          <w:sz w:val="24"/>
          <w:szCs w:val="24"/>
        </w:rPr>
        <w:t xml:space="preserve"> </w:t>
      </w:r>
      <w:r w:rsidRPr="00E129ED">
        <w:rPr>
          <w:rFonts w:ascii="Times New Roman" w:eastAsia="Times New Roman" w:hAnsi="Times New Roman" w:cs="Times New Roman"/>
          <w:sz w:val="24"/>
          <w:szCs w:val="24"/>
        </w:rPr>
        <w:t xml:space="preserve">и доставчици), но </w:t>
      </w:r>
      <w:r w:rsidRPr="00E129ED">
        <w:rPr>
          <w:rFonts w:ascii="Times New Roman" w:eastAsia="Times New Roman" w:hAnsi="Times New Roman" w:cs="Times New Roman"/>
          <w:bCs/>
          <w:sz w:val="24"/>
          <w:szCs w:val="24"/>
        </w:rPr>
        <w:t xml:space="preserve">не </w:t>
      </w:r>
      <w:r>
        <w:rPr>
          <w:rFonts w:ascii="Times New Roman" w:eastAsia="Times New Roman" w:hAnsi="Times New Roman" w:cs="Times New Roman"/>
          <w:bCs/>
          <w:sz w:val="24"/>
          <w:szCs w:val="24"/>
        </w:rPr>
        <w:t xml:space="preserve">да </w:t>
      </w:r>
      <w:r w:rsidRPr="00E129ED">
        <w:rPr>
          <w:rFonts w:ascii="Times New Roman" w:eastAsia="Times New Roman" w:hAnsi="Times New Roman" w:cs="Times New Roman"/>
          <w:bCs/>
          <w:sz w:val="24"/>
          <w:szCs w:val="24"/>
        </w:rPr>
        <w:t>налага правно обвързващи правила</w:t>
      </w:r>
      <w:r w:rsidRPr="00E129ED">
        <w:rPr>
          <w:rFonts w:ascii="Times New Roman" w:eastAsia="Times New Roman" w:hAnsi="Times New Roman" w:cs="Times New Roman"/>
          <w:sz w:val="24"/>
          <w:szCs w:val="24"/>
        </w:rPr>
        <w:t xml:space="preserve">. Вариант 1 не изменя законови или подзаконови актове, а разчита на </w:t>
      </w:r>
      <w:r w:rsidRPr="00E129ED">
        <w:rPr>
          <w:rFonts w:ascii="Times New Roman" w:eastAsia="Times New Roman" w:hAnsi="Times New Roman" w:cs="Times New Roman"/>
          <w:bCs/>
          <w:sz w:val="24"/>
          <w:szCs w:val="24"/>
        </w:rPr>
        <w:t>добра воля</w:t>
      </w:r>
      <w:r w:rsidRPr="00E129ED">
        <w:rPr>
          <w:rFonts w:ascii="Times New Roman" w:eastAsia="Times New Roman" w:hAnsi="Times New Roman" w:cs="Times New Roman"/>
          <w:sz w:val="24"/>
          <w:szCs w:val="24"/>
        </w:rPr>
        <w:t xml:space="preserve"> и пазарен натиск (напр. потребителско неодобрение на нелоялни практики), за да </w:t>
      </w:r>
      <w:r>
        <w:rPr>
          <w:rFonts w:ascii="Times New Roman" w:eastAsia="Times New Roman" w:hAnsi="Times New Roman" w:cs="Times New Roman"/>
          <w:sz w:val="24"/>
          <w:szCs w:val="24"/>
        </w:rPr>
        <w:t xml:space="preserve">се </w:t>
      </w:r>
      <w:r w:rsidRPr="00E129ED">
        <w:rPr>
          <w:rFonts w:ascii="Times New Roman" w:eastAsia="Times New Roman" w:hAnsi="Times New Roman" w:cs="Times New Roman"/>
          <w:sz w:val="24"/>
          <w:szCs w:val="24"/>
        </w:rPr>
        <w:t>подобри ситуацията.</w:t>
      </w:r>
    </w:p>
    <w:p w14:paraId="076AA6BD" w14:textId="3D6F49DF" w:rsidR="00CB0A97" w:rsidRPr="00E129ED" w:rsidRDefault="00CB0A97" w:rsidP="00DD69D5">
      <w:pPr>
        <w:spacing w:after="0" w:line="240" w:lineRule="auto"/>
        <w:ind w:firstLine="567"/>
        <w:jc w:val="both"/>
        <w:rPr>
          <w:rFonts w:ascii="Times New Roman" w:eastAsia="Times New Roman" w:hAnsi="Times New Roman" w:cs="Times New Roman"/>
          <w:sz w:val="24"/>
          <w:szCs w:val="24"/>
        </w:rPr>
      </w:pPr>
      <w:r w:rsidRPr="00E129ED">
        <w:rPr>
          <w:rFonts w:ascii="Times New Roman" w:eastAsia="Times New Roman" w:hAnsi="Times New Roman" w:cs="Times New Roman"/>
          <w:b/>
          <w:bCs/>
          <w:i/>
          <w:sz w:val="24"/>
          <w:szCs w:val="24"/>
        </w:rPr>
        <w:t>Обхват на засегнатите МСП:</w:t>
      </w:r>
      <w:r w:rsidRPr="00943C4D">
        <w:rPr>
          <w:rFonts w:ascii="Times New Roman" w:eastAsia="Times New Roman" w:hAnsi="Times New Roman" w:cs="Times New Roman"/>
          <w:sz w:val="24"/>
          <w:szCs w:val="24"/>
        </w:rPr>
        <w:t xml:space="preserve"> </w:t>
      </w:r>
      <w:r w:rsidR="00940D80">
        <w:rPr>
          <w:rFonts w:ascii="Times New Roman" w:eastAsia="Times New Roman" w:hAnsi="Times New Roman" w:cs="Times New Roman"/>
          <w:iCs/>
          <w:sz w:val="24"/>
          <w:szCs w:val="24"/>
        </w:rPr>
        <w:t>д</w:t>
      </w:r>
      <w:r w:rsidRPr="00E129ED">
        <w:rPr>
          <w:rFonts w:ascii="Times New Roman" w:eastAsia="Times New Roman" w:hAnsi="Times New Roman" w:cs="Times New Roman"/>
          <w:iCs/>
          <w:sz w:val="24"/>
          <w:szCs w:val="24"/>
        </w:rPr>
        <w:t>иректно задължени</w:t>
      </w:r>
      <w:r w:rsidRPr="00E129ED">
        <w:rPr>
          <w:rFonts w:ascii="Times New Roman" w:eastAsia="Times New Roman" w:hAnsi="Times New Roman" w:cs="Times New Roman"/>
          <w:sz w:val="24"/>
          <w:szCs w:val="24"/>
        </w:rPr>
        <w:t xml:space="preserve"> по този вариант няма, тъй като мерките са доброволни. </w:t>
      </w:r>
      <w:r w:rsidRPr="00E129ED">
        <w:rPr>
          <w:rFonts w:ascii="Times New Roman" w:eastAsia="Times New Roman" w:hAnsi="Times New Roman" w:cs="Times New Roman"/>
          <w:bCs/>
          <w:sz w:val="24"/>
          <w:szCs w:val="24"/>
        </w:rPr>
        <w:t>Не се въвежда задължителен обхват на предприятия</w:t>
      </w:r>
      <w:r w:rsidRPr="00E129ED">
        <w:rPr>
          <w:rFonts w:ascii="Times New Roman" w:eastAsia="Times New Roman" w:hAnsi="Times New Roman" w:cs="Times New Roman"/>
          <w:sz w:val="24"/>
          <w:szCs w:val="24"/>
        </w:rPr>
        <w:t xml:space="preserve">, но </w:t>
      </w:r>
      <w:r w:rsidRPr="00E129ED">
        <w:rPr>
          <w:rFonts w:ascii="Times New Roman" w:eastAsia="Times New Roman" w:hAnsi="Times New Roman" w:cs="Times New Roman"/>
          <w:iCs/>
          <w:sz w:val="24"/>
          <w:szCs w:val="24"/>
        </w:rPr>
        <w:t>косвено</w:t>
      </w:r>
      <w:r w:rsidRPr="00E129ED">
        <w:rPr>
          <w:rFonts w:ascii="Times New Roman" w:eastAsia="Times New Roman" w:hAnsi="Times New Roman" w:cs="Times New Roman"/>
          <w:sz w:val="24"/>
          <w:szCs w:val="24"/>
        </w:rPr>
        <w:t xml:space="preserve"> могат да бъдат засегнати много МСП, ако се включат в доброволните инициативи. Например, </w:t>
      </w:r>
      <w:r w:rsidRPr="00E129ED">
        <w:rPr>
          <w:rFonts w:ascii="Times New Roman" w:eastAsia="Times New Roman" w:hAnsi="Times New Roman" w:cs="Times New Roman"/>
          <w:bCs/>
          <w:sz w:val="24"/>
          <w:szCs w:val="24"/>
        </w:rPr>
        <w:t>големи</w:t>
      </w:r>
      <w:r w:rsidR="002A4A1E">
        <w:rPr>
          <w:rFonts w:ascii="Times New Roman" w:eastAsia="Times New Roman" w:hAnsi="Times New Roman" w:cs="Times New Roman"/>
          <w:bCs/>
          <w:sz w:val="24"/>
          <w:szCs w:val="24"/>
        </w:rPr>
        <w:t>те</w:t>
      </w:r>
      <w:r w:rsidRPr="00E129ED">
        <w:rPr>
          <w:rFonts w:ascii="Times New Roman" w:eastAsia="Times New Roman" w:hAnsi="Times New Roman" w:cs="Times New Roman"/>
          <w:bCs/>
          <w:sz w:val="24"/>
          <w:szCs w:val="24"/>
        </w:rPr>
        <w:t xml:space="preserve"> търговски вериги</w:t>
      </w:r>
      <w:r w:rsidRPr="00E129ED">
        <w:rPr>
          <w:rFonts w:ascii="Times New Roman" w:eastAsia="Times New Roman" w:hAnsi="Times New Roman" w:cs="Times New Roman"/>
          <w:sz w:val="24"/>
          <w:szCs w:val="24"/>
        </w:rPr>
        <w:t xml:space="preserve"> биха били приканени да спазват кодекса </w:t>
      </w:r>
      <w:r w:rsidR="002A4A1E">
        <w:rPr>
          <w:rFonts w:ascii="Times New Roman" w:eastAsia="Times New Roman" w:hAnsi="Times New Roman" w:cs="Times New Roman"/>
          <w:sz w:val="24"/>
          <w:szCs w:val="24"/>
        </w:rPr>
        <w:t>и</w:t>
      </w:r>
      <w:r w:rsidR="002A4A1E" w:rsidRPr="00E129ED">
        <w:rPr>
          <w:rFonts w:ascii="Times New Roman" w:eastAsia="Times New Roman" w:hAnsi="Times New Roman" w:cs="Times New Roman"/>
          <w:sz w:val="24"/>
          <w:szCs w:val="24"/>
        </w:rPr>
        <w:t xml:space="preserve"> </w:t>
      </w:r>
      <w:r w:rsidRPr="00E129ED">
        <w:rPr>
          <w:rFonts w:ascii="Times New Roman" w:eastAsia="Times New Roman" w:hAnsi="Times New Roman" w:cs="Times New Roman"/>
          <w:sz w:val="24"/>
          <w:szCs w:val="24"/>
        </w:rPr>
        <w:t xml:space="preserve">това би облагодетелствало </w:t>
      </w:r>
      <w:r w:rsidRPr="00E129ED">
        <w:rPr>
          <w:rFonts w:ascii="Times New Roman" w:eastAsia="Times New Roman" w:hAnsi="Times New Roman" w:cs="Times New Roman"/>
          <w:bCs/>
          <w:sz w:val="24"/>
          <w:szCs w:val="24"/>
        </w:rPr>
        <w:t>хиляди малки доставчици</w:t>
      </w:r>
      <w:r w:rsidRPr="00E129ED">
        <w:rPr>
          <w:rFonts w:ascii="Times New Roman" w:eastAsia="Times New Roman" w:hAnsi="Times New Roman" w:cs="Times New Roman"/>
          <w:sz w:val="24"/>
          <w:szCs w:val="24"/>
        </w:rPr>
        <w:t xml:space="preserve"> (</w:t>
      </w:r>
      <w:r w:rsidR="00D953EE">
        <w:rPr>
          <w:rFonts w:ascii="Times New Roman" w:eastAsia="Times New Roman" w:hAnsi="Times New Roman" w:cs="Times New Roman"/>
          <w:sz w:val="24"/>
          <w:szCs w:val="24"/>
        </w:rPr>
        <w:t>производители</w:t>
      </w:r>
      <w:r w:rsidRPr="00E129ED">
        <w:rPr>
          <w:rFonts w:ascii="Times New Roman" w:eastAsia="Times New Roman" w:hAnsi="Times New Roman" w:cs="Times New Roman"/>
          <w:sz w:val="24"/>
          <w:szCs w:val="24"/>
        </w:rPr>
        <w:t>, малки преработватели), ако веригите доброволно ограничат нелоялни</w:t>
      </w:r>
      <w:r>
        <w:rPr>
          <w:rFonts w:ascii="Times New Roman" w:eastAsia="Times New Roman" w:hAnsi="Times New Roman" w:cs="Times New Roman"/>
          <w:sz w:val="24"/>
          <w:szCs w:val="24"/>
        </w:rPr>
        <w:t>те търговски</w:t>
      </w:r>
      <w:r w:rsidRPr="00E129ED">
        <w:rPr>
          <w:rFonts w:ascii="Times New Roman" w:eastAsia="Times New Roman" w:hAnsi="Times New Roman" w:cs="Times New Roman"/>
          <w:sz w:val="24"/>
          <w:szCs w:val="24"/>
        </w:rPr>
        <w:t xml:space="preserve"> практики (като забавени плащания) спрямо тях. Също така, </w:t>
      </w:r>
      <w:r w:rsidRPr="00E129ED">
        <w:rPr>
          <w:rFonts w:ascii="Times New Roman" w:eastAsia="Times New Roman" w:hAnsi="Times New Roman" w:cs="Times New Roman"/>
          <w:bCs/>
          <w:sz w:val="24"/>
          <w:szCs w:val="24"/>
        </w:rPr>
        <w:t>браншови</w:t>
      </w:r>
      <w:r w:rsidR="002A4A1E">
        <w:rPr>
          <w:rFonts w:ascii="Times New Roman" w:eastAsia="Times New Roman" w:hAnsi="Times New Roman" w:cs="Times New Roman"/>
          <w:bCs/>
          <w:sz w:val="24"/>
          <w:szCs w:val="24"/>
        </w:rPr>
        <w:t>те</w:t>
      </w:r>
      <w:r w:rsidRPr="00E129ED">
        <w:rPr>
          <w:rFonts w:ascii="Times New Roman" w:eastAsia="Times New Roman" w:hAnsi="Times New Roman" w:cs="Times New Roman"/>
          <w:bCs/>
          <w:sz w:val="24"/>
          <w:szCs w:val="24"/>
        </w:rPr>
        <w:t xml:space="preserve"> организации</w:t>
      </w:r>
      <w:r w:rsidRPr="00E129ED">
        <w:rPr>
          <w:rFonts w:ascii="Times New Roman" w:eastAsia="Times New Roman" w:hAnsi="Times New Roman" w:cs="Times New Roman"/>
          <w:sz w:val="24"/>
          <w:szCs w:val="24"/>
        </w:rPr>
        <w:t xml:space="preserve"> на малки търговци биха могли да поемат ангажимент</w:t>
      </w:r>
      <w:r w:rsidRPr="00943C4D">
        <w:rPr>
          <w:rFonts w:ascii="Times New Roman" w:eastAsia="Times New Roman" w:hAnsi="Times New Roman" w:cs="Times New Roman"/>
          <w:sz w:val="24"/>
          <w:szCs w:val="24"/>
        </w:rPr>
        <w:t xml:space="preserve"> за поддържане на </w:t>
      </w:r>
      <w:r>
        <w:rPr>
          <w:rFonts w:ascii="Times New Roman" w:eastAsia="Times New Roman" w:hAnsi="Times New Roman" w:cs="Times New Roman"/>
          <w:sz w:val="24"/>
          <w:szCs w:val="24"/>
        </w:rPr>
        <w:t>„</w:t>
      </w:r>
      <w:r w:rsidRPr="00943C4D">
        <w:rPr>
          <w:rFonts w:ascii="Times New Roman" w:eastAsia="Times New Roman" w:hAnsi="Times New Roman" w:cs="Times New Roman"/>
          <w:sz w:val="24"/>
          <w:szCs w:val="24"/>
        </w:rPr>
        <w:t>разумни</w:t>
      </w:r>
      <w:r>
        <w:rPr>
          <w:rFonts w:ascii="Times New Roman" w:eastAsia="Times New Roman" w:hAnsi="Times New Roman" w:cs="Times New Roman"/>
          <w:sz w:val="24"/>
          <w:szCs w:val="24"/>
        </w:rPr>
        <w:t>“</w:t>
      </w:r>
      <w:r w:rsidRPr="00943C4D">
        <w:rPr>
          <w:rFonts w:ascii="Times New Roman" w:eastAsia="Times New Roman" w:hAnsi="Times New Roman" w:cs="Times New Roman"/>
          <w:sz w:val="24"/>
          <w:szCs w:val="24"/>
        </w:rPr>
        <w:t xml:space="preserve"> надценки на определени стоки, което би обхванало членовете им. </w:t>
      </w:r>
      <w:r w:rsidRPr="00E129ED">
        <w:rPr>
          <w:rFonts w:ascii="Times New Roman" w:eastAsia="Times New Roman" w:hAnsi="Times New Roman" w:cs="Times New Roman"/>
          <w:bCs/>
          <w:sz w:val="24"/>
          <w:szCs w:val="24"/>
        </w:rPr>
        <w:t>Участието обаче не е всеобхватно</w:t>
      </w:r>
      <w:r w:rsidRPr="00E129ED">
        <w:rPr>
          <w:rFonts w:ascii="Times New Roman" w:eastAsia="Times New Roman" w:hAnsi="Times New Roman" w:cs="Times New Roman"/>
          <w:sz w:val="24"/>
          <w:szCs w:val="24"/>
        </w:rPr>
        <w:t xml:space="preserve"> </w:t>
      </w:r>
      <w:r w:rsidR="002A4A1E">
        <w:rPr>
          <w:rFonts w:ascii="Times New Roman" w:eastAsia="Times New Roman" w:hAnsi="Times New Roman" w:cs="Times New Roman"/>
          <w:sz w:val="24"/>
          <w:szCs w:val="24"/>
        </w:rPr>
        <w:t>и</w:t>
      </w:r>
      <w:r w:rsidR="002A4A1E" w:rsidRPr="00E129ED">
        <w:rPr>
          <w:rFonts w:ascii="Times New Roman" w:eastAsia="Times New Roman" w:hAnsi="Times New Roman" w:cs="Times New Roman"/>
          <w:sz w:val="24"/>
          <w:szCs w:val="24"/>
        </w:rPr>
        <w:t xml:space="preserve"> </w:t>
      </w:r>
      <w:r w:rsidRPr="00E129ED">
        <w:rPr>
          <w:rFonts w:ascii="Times New Roman" w:eastAsia="Times New Roman" w:hAnsi="Times New Roman" w:cs="Times New Roman"/>
          <w:sz w:val="24"/>
          <w:szCs w:val="24"/>
        </w:rPr>
        <w:t xml:space="preserve">вероятно само по-организираните или </w:t>
      </w:r>
      <w:r>
        <w:rPr>
          <w:rFonts w:ascii="Times New Roman" w:eastAsia="Times New Roman" w:hAnsi="Times New Roman" w:cs="Times New Roman"/>
          <w:sz w:val="24"/>
          <w:szCs w:val="24"/>
        </w:rPr>
        <w:t xml:space="preserve">социално </w:t>
      </w:r>
      <w:r w:rsidRPr="00E129ED">
        <w:rPr>
          <w:rFonts w:ascii="Times New Roman" w:eastAsia="Times New Roman" w:hAnsi="Times New Roman" w:cs="Times New Roman"/>
          <w:sz w:val="24"/>
          <w:szCs w:val="24"/>
        </w:rPr>
        <w:t xml:space="preserve">отговорни фирми ще се включат. Много МСП, особено тези извън </w:t>
      </w:r>
      <w:r w:rsidR="0090026A">
        <w:rPr>
          <w:rFonts w:ascii="Times New Roman" w:eastAsia="Times New Roman" w:hAnsi="Times New Roman" w:cs="Times New Roman"/>
          <w:sz w:val="24"/>
          <w:szCs w:val="24"/>
        </w:rPr>
        <w:t>браншовите</w:t>
      </w:r>
      <w:r w:rsidRPr="00E129ED">
        <w:rPr>
          <w:rFonts w:ascii="Times New Roman" w:eastAsia="Times New Roman" w:hAnsi="Times New Roman" w:cs="Times New Roman"/>
          <w:sz w:val="24"/>
          <w:szCs w:val="24"/>
        </w:rPr>
        <w:t xml:space="preserve"> организации или </w:t>
      </w:r>
      <w:r w:rsidR="0090026A">
        <w:rPr>
          <w:rFonts w:ascii="Times New Roman" w:eastAsia="Times New Roman" w:hAnsi="Times New Roman" w:cs="Times New Roman"/>
          <w:sz w:val="24"/>
          <w:szCs w:val="24"/>
        </w:rPr>
        <w:t xml:space="preserve">участващите </w:t>
      </w:r>
      <w:r w:rsidRPr="00E129ED">
        <w:rPr>
          <w:rFonts w:ascii="Times New Roman" w:eastAsia="Times New Roman" w:hAnsi="Times New Roman" w:cs="Times New Roman"/>
          <w:sz w:val="24"/>
          <w:szCs w:val="24"/>
        </w:rPr>
        <w:t xml:space="preserve">по веригата </w:t>
      </w:r>
      <w:r w:rsidR="0090026A">
        <w:rPr>
          <w:rFonts w:ascii="Times New Roman" w:eastAsia="Times New Roman" w:hAnsi="Times New Roman" w:cs="Times New Roman"/>
          <w:sz w:val="24"/>
          <w:szCs w:val="24"/>
        </w:rPr>
        <w:t xml:space="preserve">без </w:t>
      </w:r>
      <w:r w:rsidRPr="00E129ED">
        <w:rPr>
          <w:rFonts w:ascii="Times New Roman" w:eastAsia="Times New Roman" w:hAnsi="Times New Roman" w:cs="Times New Roman"/>
          <w:sz w:val="24"/>
          <w:szCs w:val="24"/>
        </w:rPr>
        <w:t>формалн</w:t>
      </w:r>
      <w:r w:rsidR="0090026A">
        <w:rPr>
          <w:rFonts w:ascii="Times New Roman" w:eastAsia="Times New Roman" w:hAnsi="Times New Roman" w:cs="Times New Roman"/>
          <w:sz w:val="24"/>
          <w:szCs w:val="24"/>
        </w:rPr>
        <w:t>и договори</w:t>
      </w:r>
      <w:r w:rsidRPr="00E129ED">
        <w:rPr>
          <w:rFonts w:ascii="Times New Roman" w:eastAsia="Times New Roman" w:hAnsi="Times New Roman" w:cs="Times New Roman"/>
          <w:sz w:val="24"/>
          <w:szCs w:val="24"/>
        </w:rPr>
        <w:t xml:space="preserve">, </w:t>
      </w:r>
      <w:r w:rsidRPr="00E129ED">
        <w:rPr>
          <w:rFonts w:ascii="Times New Roman" w:eastAsia="Times New Roman" w:hAnsi="Times New Roman" w:cs="Times New Roman"/>
          <w:bCs/>
          <w:sz w:val="24"/>
          <w:szCs w:val="24"/>
        </w:rPr>
        <w:t xml:space="preserve">може изобщо да не </w:t>
      </w:r>
      <w:r w:rsidR="0090026A">
        <w:rPr>
          <w:rFonts w:ascii="Times New Roman" w:eastAsia="Times New Roman" w:hAnsi="Times New Roman" w:cs="Times New Roman"/>
          <w:bCs/>
          <w:sz w:val="24"/>
          <w:szCs w:val="24"/>
        </w:rPr>
        <w:t>се включат</w:t>
      </w:r>
      <w:r w:rsidRPr="00E129ED">
        <w:rPr>
          <w:rFonts w:ascii="Times New Roman" w:eastAsia="Times New Roman" w:hAnsi="Times New Roman" w:cs="Times New Roman"/>
          <w:sz w:val="24"/>
          <w:szCs w:val="24"/>
        </w:rPr>
        <w:t>. Така</w:t>
      </w:r>
      <w:r w:rsidR="00D953EE">
        <w:rPr>
          <w:rFonts w:ascii="Times New Roman" w:eastAsia="Times New Roman" w:hAnsi="Times New Roman" w:cs="Times New Roman"/>
          <w:sz w:val="24"/>
          <w:szCs w:val="24"/>
        </w:rPr>
        <w:t>,</w:t>
      </w:r>
      <w:r w:rsidRPr="00E129ED">
        <w:rPr>
          <w:rFonts w:ascii="Times New Roman" w:eastAsia="Times New Roman" w:hAnsi="Times New Roman" w:cs="Times New Roman"/>
          <w:sz w:val="24"/>
          <w:szCs w:val="24"/>
        </w:rPr>
        <w:t xml:space="preserve"> обхватът е неопределен: </w:t>
      </w:r>
      <w:r w:rsidRPr="00E129ED">
        <w:rPr>
          <w:rFonts w:ascii="Times New Roman" w:eastAsia="Times New Roman" w:hAnsi="Times New Roman" w:cs="Times New Roman"/>
          <w:iCs/>
          <w:sz w:val="24"/>
          <w:szCs w:val="24"/>
        </w:rPr>
        <w:t>най-вероятно ограничен</w:t>
      </w:r>
      <w:r w:rsidRPr="00E129ED">
        <w:rPr>
          <w:rFonts w:ascii="Times New Roman" w:eastAsia="Times New Roman" w:hAnsi="Times New Roman" w:cs="Times New Roman"/>
          <w:sz w:val="24"/>
          <w:szCs w:val="24"/>
        </w:rPr>
        <w:t>. Няма регистри за вписване, няма изискване „всички производители“ или „всички магазини“ да правят нещо конкретно</w:t>
      </w:r>
      <w:r w:rsidR="002A4A1E">
        <w:rPr>
          <w:rFonts w:ascii="Times New Roman" w:eastAsia="Times New Roman" w:hAnsi="Times New Roman" w:cs="Times New Roman"/>
          <w:sz w:val="24"/>
          <w:szCs w:val="24"/>
        </w:rPr>
        <w:t>, т.е.</w:t>
      </w:r>
      <w:r w:rsidRPr="00E129ED">
        <w:rPr>
          <w:rFonts w:ascii="Times New Roman" w:eastAsia="Times New Roman" w:hAnsi="Times New Roman" w:cs="Times New Roman"/>
          <w:sz w:val="24"/>
          <w:szCs w:val="24"/>
        </w:rPr>
        <w:t xml:space="preserve"> </w:t>
      </w:r>
      <w:r w:rsidRPr="00E129ED">
        <w:rPr>
          <w:rFonts w:ascii="Times New Roman" w:eastAsia="Times New Roman" w:hAnsi="Times New Roman" w:cs="Times New Roman"/>
          <w:bCs/>
          <w:sz w:val="24"/>
          <w:szCs w:val="24"/>
        </w:rPr>
        <w:t>обхватът зависи от доброволното покритие</w:t>
      </w:r>
      <w:r w:rsidRPr="00E129ED">
        <w:rPr>
          <w:rFonts w:ascii="Times New Roman" w:eastAsia="Times New Roman" w:hAnsi="Times New Roman" w:cs="Times New Roman"/>
          <w:sz w:val="24"/>
          <w:szCs w:val="24"/>
        </w:rPr>
        <w:t>.</w:t>
      </w:r>
    </w:p>
    <w:p w14:paraId="218B606D" w14:textId="34AA29C2" w:rsidR="00CB0A97" w:rsidRPr="009229B0" w:rsidRDefault="00CB0A97" w:rsidP="00DD69D5">
      <w:pPr>
        <w:spacing w:after="0" w:line="240" w:lineRule="auto"/>
        <w:ind w:firstLine="567"/>
        <w:jc w:val="both"/>
        <w:rPr>
          <w:rFonts w:ascii="Times New Roman" w:eastAsia="Times New Roman" w:hAnsi="Times New Roman" w:cs="Times New Roman"/>
          <w:sz w:val="24"/>
          <w:szCs w:val="24"/>
        </w:rPr>
      </w:pPr>
      <w:r w:rsidRPr="009229B0">
        <w:rPr>
          <w:rFonts w:ascii="Times New Roman" w:eastAsia="Times New Roman" w:hAnsi="Times New Roman" w:cs="Times New Roman"/>
          <w:b/>
          <w:bCs/>
          <w:i/>
          <w:sz w:val="24"/>
          <w:szCs w:val="24"/>
        </w:rPr>
        <w:t>Ефекти върху МСП (качествено):</w:t>
      </w:r>
      <w:r w:rsidRPr="00943C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9229B0">
        <w:rPr>
          <w:rFonts w:ascii="Times New Roman" w:eastAsia="Times New Roman" w:hAnsi="Times New Roman" w:cs="Times New Roman"/>
          <w:iCs/>
          <w:sz w:val="24"/>
          <w:szCs w:val="24"/>
        </w:rPr>
        <w:t>отенциални</w:t>
      </w:r>
      <w:r>
        <w:rPr>
          <w:rFonts w:ascii="Times New Roman" w:eastAsia="Times New Roman" w:hAnsi="Times New Roman" w:cs="Times New Roman"/>
          <w:iCs/>
          <w:sz w:val="24"/>
          <w:szCs w:val="24"/>
        </w:rPr>
        <w:t>те</w:t>
      </w:r>
      <w:r w:rsidRPr="009229B0">
        <w:rPr>
          <w:rFonts w:ascii="Times New Roman" w:eastAsia="Times New Roman" w:hAnsi="Times New Roman" w:cs="Times New Roman"/>
          <w:iCs/>
          <w:sz w:val="24"/>
          <w:szCs w:val="24"/>
        </w:rPr>
        <w:t xml:space="preserve"> ползи</w:t>
      </w:r>
      <w:r>
        <w:rPr>
          <w:rFonts w:ascii="Times New Roman" w:eastAsia="Times New Roman" w:hAnsi="Times New Roman" w:cs="Times New Roman"/>
          <w:iCs/>
          <w:sz w:val="24"/>
          <w:szCs w:val="24"/>
        </w:rPr>
        <w:t xml:space="preserve"> са, че </w:t>
      </w:r>
      <w:r w:rsidRPr="009229B0">
        <w:rPr>
          <w:rFonts w:ascii="Times New Roman" w:eastAsia="Times New Roman" w:hAnsi="Times New Roman" w:cs="Times New Roman"/>
          <w:sz w:val="24"/>
          <w:szCs w:val="24"/>
        </w:rPr>
        <w:t xml:space="preserve">ако достатъчно големи </w:t>
      </w:r>
      <w:r w:rsidRPr="00943C4D">
        <w:rPr>
          <w:rFonts w:ascii="Times New Roman" w:eastAsia="Times New Roman" w:hAnsi="Times New Roman" w:cs="Times New Roman"/>
          <w:sz w:val="24"/>
          <w:szCs w:val="24"/>
        </w:rPr>
        <w:t xml:space="preserve">играчи приемат доброволни правила, </w:t>
      </w:r>
      <w:r w:rsidRPr="009229B0">
        <w:rPr>
          <w:rFonts w:ascii="Times New Roman" w:eastAsia="Times New Roman" w:hAnsi="Times New Roman" w:cs="Times New Roman"/>
          <w:bCs/>
          <w:sz w:val="24"/>
          <w:szCs w:val="24"/>
        </w:rPr>
        <w:t>малките доставчици биха получили частична защита</w:t>
      </w:r>
      <w:r w:rsidRPr="009229B0">
        <w:rPr>
          <w:rFonts w:ascii="Times New Roman" w:eastAsia="Times New Roman" w:hAnsi="Times New Roman" w:cs="Times New Roman"/>
          <w:sz w:val="24"/>
          <w:szCs w:val="24"/>
        </w:rPr>
        <w:t xml:space="preserve"> без тежестта на бюрокрацията. Например, </w:t>
      </w:r>
      <w:r>
        <w:rPr>
          <w:rFonts w:ascii="Times New Roman" w:eastAsia="Times New Roman" w:hAnsi="Times New Roman" w:cs="Times New Roman"/>
          <w:sz w:val="24"/>
          <w:szCs w:val="24"/>
        </w:rPr>
        <w:t xml:space="preserve">един добре въведен и  прилаган </w:t>
      </w:r>
      <w:r w:rsidRPr="009229B0">
        <w:rPr>
          <w:rFonts w:ascii="Times New Roman" w:eastAsia="Times New Roman" w:hAnsi="Times New Roman" w:cs="Times New Roman"/>
          <w:sz w:val="24"/>
          <w:szCs w:val="24"/>
        </w:rPr>
        <w:t xml:space="preserve">кодекс за добри практики може да гарантира, че </w:t>
      </w:r>
      <w:r w:rsidR="00D953EE">
        <w:rPr>
          <w:rFonts w:ascii="Times New Roman" w:eastAsia="Times New Roman" w:hAnsi="Times New Roman" w:cs="Times New Roman"/>
          <w:sz w:val="24"/>
          <w:szCs w:val="24"/>
        </w:rPr>
        <w:t>земеделските стопанства</w:t>
      </w:r>
      <w:r w:rsidR="00D953EE" w:rsidRPr="009229B0">
        <w:rPr>
          <w:rFonts w:ascii="Times New Roman" w:eastAsia="Times New Roman" w:hAnsi="Times New Roman" w:cs="Times New Roman"/>
          <w:sz w:val="24"/>
          <w:szCs w:val="24"/>
        </w:rPr>
        <w:t xml:space="preserve"> </w:t>
      </w:r>
      <w:r w:rsidRPr="009229B0">
        <w:rPr>
          <w:rFonts w:ascii="Times New Roman" w:eastAsia="Times New Roman" w:hAnsi="Times New Roman" w:cs="Times New Roman"/>
          <w:sz w:val="24"/>
          <w:szCs w:val="24"/>
        </w:rPr>
        <w:t>ще получават плащане до определен срок и няма да им се отменят поръчки в последния момент</w:t>
      </w:r>
      <w:r>
        <w:rPr>
          <w:rFonts w:ascii="Times New Roman" w:eastAsia="Times New Roman" w:hAnsi="Times New Roman" w:cs="Times New Roman"/>
          <w:sz w:val="24"/>
          <w:szCs w:val="24"/>
        </w:rPr>
        <w:t>. Т</w:t>
      </w:r>
      <w:r w:rsidRPr="009229B0">
        <w:rPr>
          <w:rFonts w:ascii="Times New Roman" w:eastAsia="Times New Roman" w:hAnsi="Times New Roman" w:cs="Times New Roman"/>
          <w:sz w:val="24"/>
          <w:szCs w:val="24"/>
        </w:rPr>
        <w:t>ова</w:t>
      </w:r>
      <w:r>
        <w:rPr>
          <w:rFonts w:ascii="Times New Roman" w:eastAsia="Times New Roman" w:hAnsi="Times New Roman" w:cs="Times New Roman"/>
          <w:sz w:val="24"/>
          <w:szCs w:val="24"/>
        </w:rPr>
        <w:t xml:space="preserve"> би</w:t>
      </w:r>
      <w:r w:rsidRPr="009229B0">
        <w:rPr>
          <w:rFonts w:ascii="Times New Roman" w:eastAsia="Times New Roman" w:hAnsi="Times New Roman" w:cs="Times New Roman"/>
          <w:sz w:val="24"/>
          <w:szCs w:val="24"/>
        </w:rPr>
        <w:t xml:space="preserve"> </w:t>
      </w:r>
      <w:r w:rsidRPr="009229B0">
        <w:rPr>
          <w:rFonts w:ascii="Times New Roman" w:eastAsia="Times New Roman" w:hAnsi="Times New Roman" w:cs="Times New Roman"/>
          <w:bCs/>
          <w:sz w:val="24"/>
          <w:szCs w:val="24"/>
        </w:rPr>
        <w:t>подобр</w:t>
      </w:r>
      <w:r>
        <w:rPr>
          <w:rFonts w:ascii="Times New Roman" w:eastAsia="Times New Roman" w:hAnsi="Times New Roman" w:cs="Times New Roman"/>
          <w:bCs/>
          <w:sz w:val="24"/>
          <w:szCs w:val="24"/>
        </w:rPr>
        <w:t xml:space="preserve">ило </w:t>
      </w:r>
      <w:r w:rsidRPr="009229B0">
        <w:rPr>
          <w:rFonts w:ascii="Times New Roman" w:eastAsia="Times New Roman" w:hAnsi="Times New Roman" w:cs="Times New Roman"/>
          <w:bCs/>
          <w:sz w:val="24"/>
          <w:szCs w:val="24"/>
        </w:rPr>
        <w:t>ликвидността и сигурността</w:t>
      </w:r>
      <w:r w:rsidRPr="009229B0">
        <w:rPr>
          <w:rFonts w:ascii="Times New Roman" w:eastAsia="Times New Roman" w:hAnsi="Times New Roman" w:cs="Times New Roman"/>
          <w:sz w:val="24"/>
          <w:szCs w:val="24"/>
        </w:rPr>
        <w:t xml:space="preserve"> за малките производители (няма санкции, но има морален ангажимент). Малките търговци пък няма да бъдат принудени </w:t>
      </w:r>
      <w:r w:rsidR="0090026A">
        <w:rPr>
          <w:rFonts w:ascii="Times New Roman" w:eastAsia="Times New Roman" w:hAnsi="Times New Roman" w:cs="Times New Roman"/>
          <w:sz w:val="24"/>
          <w:szCs w:val="24"/>
        </w:rPr>
        <w:t>да представят</w:t>
      </w:r>
      <w:r w:rsidRPr="009229B0">
        <w:rPr>
          <w:rFonts w:ascii="Times New Roman" w:eastAsia="Times New Roman" w:hAnsi="Times New Roman" w:cs="Times New Roman"/>
          <w:sz w:val="24"/>
          <w:szCs w:val="24"/>
        </w:rPr>
        <w:t xml:space="preserve"> сложни отчети или </w:t>
      </w:r>
      <w:r w:rsidR="0090026A">
        <w:rPr>
          <w:rFonts w:ascii="Times New Roman" w:eastAsia="Times New Roman" w:hAnsi="Times New Roman" w:cs="Times New Roman"/>
          <w:sz w:val="24"/>
          <w:szCs w:val="24"/>
        </w:rPr>
        <w:t xml:space="preserve">да правят </w:t>
      </w:r>
      <w:r w:rsidRPr="009229B0">
        <w:rPr>
          <w:rFonts w:ascii="Times New Roman" w:eastAsia="Times New Roman" w:hAnsi="Times New Roman" w:cs="Times New Roman"/>
          <w:sz w:val="24"/>
          <w:szCs w:val="24"/>
        </w:rPr>
        <w:t>регистрации</w:t>
      </w:r>
      <w:r w:rsidR="002A4A1E">
        <w:rPr>
          <w:rFonts w:ascii="Times New Roman" w:eastAsia="Times New Roman" w:hAnsi="Times New Roman" w:cs="Times New Roman"/>
          <w:sz w:val="24"/>
          <w:szCs w:val="24"/>
        </w:rPr>
        <w:t>, т.е.</w:t>
      </w:r>
      <w:r w:rsidRPr="009229B0">
        <w:rPr>
          <w:rFonts w:ascii="Times New Roman" w:eastAsia="Times New Roman" w:hAnsi="Times New Roman" w:cs="Times New Roman"/>
          <w:sz w:val="24"/>
          <w:szCs w:val="24"/>
        </w:rPr>
        <w:t xml:space="preserve"> те </w:t>
      </w:r>
      <w:r w:rsidRPr="009229B0">
        <w:rPr>
          <w:rFonts w:ascii="Times New Roman" w:eastAsia="Times New Roman" w:hAnsi="Times New Roman" w:cs="Times New Roman"/>
          <w:bCs/>
          <w:sz w:val="24"/>
          <w:szCs w:val="24"/>
        </w:rPr>
        <w:t>запазват гъвкавостта си</w:t>
      </w:r>
      <w:r w:rsidRPr="009229B0">
        <w:rPr>
          <w:rFonts w:ascii="Times New Roman" w:eastAsia="Times New Roman" w:hAnsi="Times New Roman" w:cs="Times New Roman"/>
          <w:sz w:val="24"/>
          <w:szCs w:val="24"/>
        </w:rPr>
        <w:t xml:space="preserve">, като същевременно могат да се възползват от указания и обучения, предоставени от държавата или </w:t>
      </w:r>
      <w:r w:rsidR="0090026A">
        <w:rPr>
          <w:rFonts w:ascii="Times New Roman" w:eastAsia="Times New Roman" w:hAnsi="Times New Roman" w:cs="Times New Roman"/>
          <w:sz w:val="24"/>
          <w:szCs w:val="24"/>
        </w:rPr>
        <w:t xml:space="preserve">от техните </w:t>
      </w:r>
      <w:r w:rsidRPr="009229B0">
        <w:rPr>
          <w:rFonts w:ascii="Times New Roman" w:eastAsia="Times New Roman" w:hAnsi="Times New Roman" w:cs="Times New Roman"/>
          <w:sz w:val="24"/>
          <w:szCs w:val="24"/>
        </w:rPr>
        <w:t>браншови</w:t>
      </w:r>
      <w:r w:rsidR="0090026A">
        <w:rPr>
          <w:rFonts w:ascii="Times New Roman" w:eastAsia="Times New Roman" w:hAnsi="Times New Roman" w:cs="Times New Roman"/>
          <w:sz w:val="24"/>
          <w:szCs w:val="24"/>
        </w:rPr>
        <w:t xml:space="preserve"> организации</w:t>
      </w:r>
      <w:r w:rsidRPr="009229B0">
        <w:rPr>
          <w:rFonts w:ascii="Times New Roman" w:eastAsia="Times New Roman" w:hAnsi="Times New Roman" w:cs="Times New Roman"/>
          <w:sz w:val="24"/>
          <w:szCs w:val="24"/>
        </w:rPr>
        <w:t xml:space="preserve">. </w:t>
      </w:r>
    </w:p>
    <w:p w14:paraId="7AFEFF2D" w14:textId="409A405C" w:rsidR="00CB0A97" w:rsidRPr="009229B0" w:rsidRDefault="00CB0A97" w:rsidP="00DD69D5">
      <w:pPr>
        <w:spacing w:after="0" w:line="240" w:lineRule="auto"/>
        <w:ind w:firstLine="567"/>
        <w:jc w:val="both"/>
        <w:rPr>
          <w:rFonts w:ascii="Times New Roman" w:eastAsia="Times New Roman" w:hAnsi="Times New Roman" w:cs="Times New Roman"/>
          <w:sz w:val="24"/>
          <w:szCs w:val="24"/>
        </w:rPr>
      </w:pPr>
      <w:r w:rsidRPr="009229B0">
        <w:rPr>
          <w:rFonts w:ascii="Times New Roman" w:eastAsia="Times New Roman" w:hAnsi="Times New Roman" w:cs="Times New Roman"/>
          <w:iCs/>
          <w:sz w:val="24"/>
          <w:szCs w:val="24"/>
        </w:rPr>
        <w:t>Недостатъците са свързани с л</w:t>
      </w:r>
      <w:r w:rsidRPr="009229B0">
        <w:rPr>
          <w:rFonts w:ascii="Times New Roman" w:eastAsia="Times New Roman" w:hAnsi="Times New Roman" w:cs="Times New Roman"/>
          <w:bCs/>
          <w:sz w:val="24"/>
          <w:szCs w:val="24"/>
        </w:rPr>
        <w:t>ипсата на задължителност на новите принципи и правила, което поставя под въпрос ефективността.</w:t>
      </w:r>
      <w:r w:rsidRPr="009229B0">
        <w:rPr>
          <w:rFonts w:ascii="Times New Roman" w:eastAsia="Times New Roman" w:hAnsi="Times New Roman" w:cs="Times New Roman"/>
          <w:sz w:val="24"/>
          <w:szCs w:val="24"/>
        </w:rPr>
        <w:t xml:space="preserve"> Доброволните мерки често имат ограничен обхват и сила</w:t>
      </w:r>
      <w:r w:rsidR="002A4A1E">
        <w:rPr>
          <w:rFonts w:ascii="Times New Roman" w:eastAsia="Times New Roman" w:hAnsi="Times New Roman" w:cs="Times New Roman"/>
          <w:sz w:val="24"/>
          <w:szCs w:val="24"/>
        </w:rPr>
        <w:t>. Дружествата</w:t>
      </w:r>
      <w:r w:rsidRPr="009229B0">
        <w:rPr>
          <w:rFonts w:ascii="Times New Roman" w:eastAsia="Times New Roman" w:hAnsi="Times New Roman" w:cs="Times New Roman"/>
          <w:sz w:val="24"/>
          <w:szCs w:val="24"/>
        </w:rPr>
        <w:t>, които вече се отнасят добре с партньорите си, ще спазват кодекса</w:t>
      </w:r>
      <w:r w:rsidR="0090026A">
        <w:rPr>
          <w:rFonts w:ascii="Times New Roman" w:eastAsia="Times New Roman" w:hAnsi="Times New Roman" w:cs="Times New Roman"/>
          <w:sz w:val="24"/>
          <w:szCs w:val="24"/>
        </w:rPr>
        <w:t xml:space="preserve"> за поведение или за добри практики</w:t>
      </w:r>
      <w:r w:rsidRPr="009229B0">
        <w:rPr>
          <w:rFonts w:ascii="Times New Roman" w:eastAsia="Times New Roman" w:hAnsi="Times New Roman" w:cs="Times New Roman"/>
          <w:sz w:val="24"/>
          <w:szCs w:val="24"/>
        </w:rPr>
        <w:t xml:space="preserve">, но </w:t>
      </w:r>
      <w:r w:rsidRPr="009229B0">
        <w:rPr>
          <w:rFonts w:ascii="Times New Roman" w:eastAsia="Times New Roman" w:hAnsi="Times New Roman" w:cs="Times New Roman"/>
          <w:bCs/>
          <w:sz w:val="24"/>
          <w:szCs w:val="24"/>
        </w:rPr>
        <w:t>нелоялните играчи може да го игнорират</w:t>
      </w:r>
      <w:r w:rsidRPr="009229B0">
        <w:rPr>
          <w:rFonts w:ascii="Times New Roman" w:eastAsia="Times New Roman" w:hAnsi="Times New Roman" w:cs="Times New Roman"/>
          <w:sz w:val="24"/>
          <w:szCs w:val="24"/>
        </w:rPr>
        <w:t xml:space="preserve">. Това означава, че </w:t>
      </w:r>
      <w:r w:rsidRPr="009229B0">
        <w:rPr>
          <w:rFonts w:ascii="Times New Roman" w:eastAsia="Times New Roman" w:hAnsi="Times New Roman" w:cs="Times New Roman"/>
          <w:bCs/>
          <w:sz w:val="24"/>
          <w:szCs w:val="24"/>
        </w:rPr>
        <w:t>основните проблеми (</w:t>
      </w:r>
      <w:r w:rsidR="00D953EE" w:rsidRPr="009229B0">
        <w:rPr>
          <w:rFonts w:ascii="Times New Roman" w:eastAsia="Times New Roman" w:hAnsi="Times New Roman" w:cs="Times New Roman"/>
          <w:bCs/>
          <w:sz w:val="24"/>
          <w:szCs w:val="24"/>
        </w:rPr>
        <w:t>неравноправни</w:t>
      </w:r>
      <w:r w:rsidRPr="009229B0">
        <w:rPr>
          <w:rFonts w:ascii="Times New Roman" w:eastAsia="Times New Roman" w:hAnsi="Times New Roman" w:cs="Times New Roman"/>
          <w:bCs/>
          <w:sz w:val="24"/>
          <w:szCs w:val="24"/>
        </w:rPr>
        <w:t xml:space="preserve"> условия, дълги срокове за плащане, високи надценки</w:t>
      </w:r>
      <w:r w:rsidR="002A4A1E">
        <w:rPr>
          <w:rFonts w:ascii="Times New Roman" w:eastAsia="Times New Roman" w:hAnsi="Times New Roman" w:cs="Times New Roman"/>
          <w:bCs/>
          <w:sz w:val="24"/>
          <w:szCs w:val="24"/>
        </w:rPr>
        <w:t xml:space="preserve"> и др.</w:t>
      </w:r>
      <w:r w:rsidRPr="009229B0">
        <w:rPr>
          <w:rFonts w:ascii="Times New Roman" w:eastAsia="Times New Roman" w:hAnsi="Times New Roman" w:cs="Times New Roman"/>
          <w:bCs/>
          <w:sz w:val="24"/>
          <w:szCs w:val="24"/>
        </w:rPr>
        <w:t>)</w:t>
      </w:r>
      <w:r w:rsidRPr="009229B0">
        <w:rPr>
          <w:rFonts w:ascii="Times New Roman" w:eastAsia="Times New Roman" w:hAnsi="Times New Roman" w:cs="Times New Roman"/>
          <w:sz w:val="24"/>
          <w:szCs w:val="24"/>
        </w:rPr>
        <w:t xml:space="preserve"> вероятно </w:t>
      </w:r>
      <w:r w:rsidRPr="009229B0">
        <w:rPr>
          <w:rFonts w:ascii="Times New Roman" w:eastAsia="Times New Roman" w:hAnsi="Times New Roman" w:cs="Times New Roman"/>
          <w:bCs/>
          <w:sz w:val="24"/>
          <w:szCs w:val="24"/>
        </w:rPr>
        <w:t>ще продължат</w:t>
      </w:r>
      <w:r w:rsidRPr="009229B0">
        <w:rPr>
          <w:rFonts w:ascii="Times New Roman" w:eastAsia="Times New Roman" w:hAnsi="Times New Roman" w:cs="Times New Roman"/>
          <w:sz w:val="24"/>
          <w:szCs w:val="24"/>
        </w:rPr>
        <w:t xml:space="preserve"> </w:t>
      </w:r>
      <w:r w:rsidR="0090026A">
        <w:rPr>
          <w:rFonts w:ascii="Times New Roman" w:eastAsia="Times New Roman" w:hAnsi="Times New Roman" w:cs="Times New Roman"/>
          <w:sz w:val="24"/>
          <w:szCs w:val="24"/>
        </w:rPr>
        <w:t xml:space="preserve">да съществуват </w:t>
      </w:r>
      <w:r w:rsidRPr="009229B0">
        <w:rPr>
          <w:rFonts w:ascii="Times New Roman" w:eastAsia="Times New Roman" w:hAnsi="Times New Roman" w:cs="Times New Roman"/>
          <w:sz w:val="24"/>
          <w:szCs w:val="24"/>
        </w:rPr>
        <w:t xml:space="preserve">при този вариант. Малките </w:t>
      </w:r>
      <w:r w:rsidR="00D953EE">
        <w:rPr>
          <w:rFonts w:ascii="Times New Roman" w:eastAsia="Times New Roman" w:hAnsi="Times New Roman" w:cs="Times New Roman"/>
          <w:sz w:val="24"/>
          <w:szCs w:val="24"/>
        </w:rPr>
        <w:t>производители</w:t>
      </w:r>
      <w:r w:rsidR="00D953EE" w:rsidRPr="009229B0">
        <w:rPr>
          <w:rFonts w:ascii="Times New Roman" w:eastAsia="Times New Roman" w:hAnsi="Times New Roman" w:cs="Times New Roman"/>
          <w:sz w:val="24"/>
          <w:szCs w:val="24"/>
        </w:rPr>
        <w:t xml:space="preserve"> </w:t>
      </w:r>
      <w:r w:rsidRPr="009229B0">
        <w:rPr>
          <w:rFonts w:ascii="Times New Roman" w:eastAsia="Times New Roman" w:hAnsi="Times New Roman" w:cs="Times New Roman"/>
          <w:sz w:val="24"/>
          <w:szCs w:val="24"/>
        </w:rPr>
        <w:t xml:space="preserve">и </w:t>
      </w:r>
      <w:r w:rsidR="002A4A1E">
        <w:rPr>
          <w:rFonts w:ascii="Times New Roman" w:eastAsia="Times New Roman" w:hAnsi="Times New Roman" w:cs="Times New Roman"/>
          <w:sz w:val="24"/>
          <w:szCs w:val="24"/>
        </w:rPr>
        <w:t>предприятия</w:t>
      </w:r>
      <w:r w:rsidRPr="009229B0">
        <w:rPr>
          <w:rFonts w:ascii="Times New Roman" w:eastAsia="Times New Roman" w:hAnsi="Times New Roman" w:cs="Times New Roman"/>
          <w:sz w:val="24"/>
          <w:szCs w:val="24"/>
        </w:rPr>
        <w:t xml:space="preserve">, които </w:t>
      </w:r>
      <w:r>
        <w:rPr>
          <w:rFonts w:ascii="Times New Roman" w:eastAsia="Times New Roman" w:hAnsi="Times New Roman" w:cs="Times New Roman"/>
          <w:sz w:val="24"/>
          <w:szCs w:val="24"/>
        </w:rPr>
        <w:t xml:space="preserve">понасят негативните ефекти на </w:t>
      </w:r>
      <w:r w:rsidRPr="009229B0">
        <w:rPr>
          <w:rFonts w:ascii="Times New Roman" w:eastAsia="Times New Roman" w:hAnsi="Times New Roman" w:cs="Times New Roman"/>
          <w:sz w:val="24"/>
          <w:szCs w:val="24"/>
        </w:rPr>
        <w:t>нелоялни</w:t>
      </w:r>
      <w:r>
        <w:rPr>
          <w:rFonts w:ascii="Times New Roman" w:eastAsia="Times New Roman" w:hAnsi="Times New Roman" w:cs="Times New Roman"/>
          <w:sz w:val="24"/>
          <w:szCs w:val="24"/>
        </w:rPr>
        <w:t>те търговски</w:t>
      </w:r>
      <w:r w:rsidRPr="009229B0">
        <w:rPr>
          <w:rFonts w:ascii="Times New Roman" w:eastAsia="Times New Roman" w:hAnsi="Times New Roman" w:cs="Times New Roman"/>
          <w:sz w:val="24"/>
          <w:szCs w:val="24"/>
        </w:rPr>
        <w:t xml:space="preserve"> практики, </w:t>
      </w:r>
      <w:r w:rsidRPr="009229B0">
        <w:rPr>
          <w:rFonts w:ascii="Times New Roman" w:eastAsia="Times New Roman" w:hAnsi="Times New Roman" w:cs="Times New Roman"/>
          <w:bCs/>
          <w:sz w:val="24"/>
          <w:szCs w:val="24"/>
        </w:rPr>
        <w:t>няма да имат гаранци</w:t>
      </w:r>
      <w:r>
        <w:rPr>
          <w:rFonts w:ascii="Times New Roman" w:eastAsia="Times New Roman" w:hAnsi="Times New Roman" w:cs="Times New Roman"/>
          <w:bCs/>
          <w:sz w:val="24"/>
          <w:szCs w:val="24"/>
        </w:rPr>
        <w:t>и</w:t>
      </w:r>
      <w:r w:rsidRPr="009229B0">
        <w:rPr>
          <w:rFonts w:ascii="Times New Roman" w:eastAsia="Times New Roman" w:hAnsi="Times New Roman" w:cs="Times New Roman"/>
          <w:bCs/>
          <w:sz w:val="24"/>
          <w:szCs w:val="24"/>
        </w:rPr>
        <w:t xml:space="preserve"> за подобрение</w:t>
      </w:r>
      <w:r>
        <w:rPr>
          <w:rFonts w:ascii="Times New Roman" w:eastAsia="Times New Roman" w:hAnsi="Times New Roman" w:cs="Times New Roman"/>
          <w:bCs/>
          <w:sz w:val="24"/>
          <w:szCs w:val="24"/>
        </w:rPr>
        <w:t xml:space="preserve"> на средата, в която оперират</w:t>
      </w:r>
      <w:r w:rsidRPr="009229B0">
        <w:rPr>
          <w:rFonts w:ascii="Times New Roman" w:eastAsia="Times New Roman" w:hAnsi="Times New Roman" w:cs="Times New Roman"/>
          <w:sz w:val="24"/>
          <w:szCs w:val="24"/>
        </w:rPr>
        <w:t>, освен ако по-големите доброволно не променят пов</w:t>
      </w:r>
      <w:r>
        <w:rPr>
          <w:rFonts w:ascii="Times New Roman" w:eastAsia="Times New Roman" w:hAnsi="Times New Roman" w:cs="Times New Roman"/>
          <w:sz w:val="24"/>
          <w:szCs w:val="24"/>
        </w:rPr>
        <w:t xml:space="preserve">едението си, което е </w:t>
      </w:r>
      <w:r w:rsidRPr="009229B0">
        <w:rPr>
          <w:rFonts w:ascii="Times New Roman" w:eastAsia="Times New Roman" w:hAnsi="Times New Roman" w:cs="Times New Roman"/>
          <w:sz w:val="24"/>
          <w:szCs w:val="24"/>
        </w:rPr>
        <w:t xml:space="preserve">нещо несигурно. Също така, </w:t>
      </w:r>
      <w:r w:rsidRPr="009229B0">
        <w:rPr>
          <w:rFonts w:ascii="Times New Roman" w:eastAsia="Times New Roman" w:hAnsi="Times New Roman" w:cs="Times New Roman"/>
          <w:bCs/>
          <w:sz w:val="24"/>
          <w:szCs w:val="24"/>
        </w:rPr>
        <w:t>липсата на контролен орган</w:t>
      </w:r>
      <w:r w:rsidRPr="009229B0">
        <w:rPr>
          <w:rFonts w:ascii="Times New Roman" w:eastAsia="Times New Roman" w:hAnsi="Times New Roman" w:cs="Times New Roman"/>
          <w:sz w:val="24"/>
          <w:szCs w:val="24"/>
        </w:rPr>
        <w:t xml:space="preserve"> означава, че </w:t>
      </w:r>
      <w:r w:rsidR="002A4A1E">
        <w:rPr>
          <w:rFonts w:ascii="Times New Roman" w:eastAsia="Times New Roman" w:hAnsi="Times New Roman" w:cs="Times New Roman"/>
          <w:bCs/>
          <w:sz w:val="24"/>
          <w:szCs w:val="24"/>
        </w:rPr>
        <w:t>не е предвидено</w:t>
      </w:r>
      <w:r w:rsidR="002A4A1E" w:rsidRPr="009229B0">
        <w:rPr>
          <w:rFonts w:ascii="Times New Roman" w:eastAsia="Times New Roman" w:hAnsi="Times New Roman" w:cs="Times New Roman"/>
          <w:bCs/>
          <w:sz w:val="24"/>
          <w:szCs w:val="24"/>
        </w:rPr>
        <w:t xml:space="preserve"> </w:t>
      </w:r>
      <w:r w:rsidRPr="009229B0">
        <w:rPr>
          <w:rFonts w:ascii="Times New Roman" w:eastAsia="Times New Roman" w:hAnsi="Times New Roman" w:cs="Times New Roman"/>
          <w:bCs/>
          <w:sz w:val="24"/>
          <w:szCs w:val="24"/>
        </w:rPr>
        <w:t>систематично проследяване</w:t>
      </w:r>
      <w:r w:rsidRPr="009229B0">
        <w:rPr>
          <w:rFonts w:ascii="Times New Roman" w:eastAsia="Times New Roman" w:hAnsi="Times New Roman" w:cs="Times New Roman"/>
          <w:sz w:val="24"/>
          <w:szCs w:val="24"/>
        </w:rPr>
        <w:t xml:space="preserve"> дали условията се подобряват или влошават. Някои заинтересовани страни изразяват скептицизъм, че подобен „мек“ подход би имал </w:t>
      </w:r>
      <w:r w:rsidRPr="009229B0">
        <w:rPr>
          <w:rFonts w:ascii="Times New Roman" w:eastAsia="Times New Roman" w:hAnsi="Times New Roman" w:cs="Times New Roman"/>
          <w:sz w:val="24"/>
          <w:szCs w:val="24"/>
        </w:rPr>
        <w:lastRenderedPageBreak/>
        <w:t xml:space="preserve">реален ефект върху дълбоко вкоренени проблеми в </w:t>
      </w:r>
      <w:r w:rsidR="0090026A">
        <w:rPr>
          <w:rFonts w:ascii="Times New Roman" w:eastAsia="Times New Roman" w:hAnsi="Times New Roman" w:cs="Times New Roman"/>
          <w:sz w:val="24"/>
          <w:szCs w:val="24"/>
        </w:rPr>
        <w:t>отношенията по</w:t>
      </w:r>
      <w:r w:rsidRPr="009229B0">
        <w:rPr>
          <w:rFonts w:ascii="Times New Roman" w:eastAsia="Times New Roman" w:hAnsi="Times New Roman" w:cs="Times New Roman"/>
          <w:sz w:val="24"/>
          <w:szCs w:val="24"/>
        </w:rPr>
        <w:t xml:space="preserve"> верига</w:t>
      </w:r>
      <w:r w:rsidR="0090026A">
        <w:rPr>
          <w:rFonts w:ascii="Times New Roman" w:eastAsia="Times New Roman" w:hAnsi="Times New Roman" w:cs="Times New Roman"/>
          <w:sz w:val="24"/>
          <w:szCs w:val="24"/>
        </w:rPr>
        <w:t>та на доставки</w:t>
      </w:r>
      <w:r w:rsidRPr="009229B0">
        <w:rPr>
          <w:rFonts w:ascii="Times New Roman" w:eastAsia="Times New Roman" w:hAnsi="Times New Roman" w:cs="Times New Roman"/>
          <w:sz w:val="24"/>
          <w:szCs w:val="24"/>
        </w:rPr>
        <w:t>.</w:t>
      </w:r>
    </w:p>
    <w:p w14:paraId="2390496D" w14:textId="283C81B2" w:rsidR="00CB0A97" w:rsidRDefault="00CB0A97" w:rsidP="00DD69D5">
      <w:pPr>
        <w:spacing w:after="0" w:line="240" w:lineRule="auto"/>
        <w:ind w:firstLine="567"/>
        <w:jc w:val="both"/>
        <w:rPr>
          <w:rFonts w:ascii="Times New Roman" w:eastAsia="Times New Roman" w:hAnsi="Times New Roman" w:cs="Times New Roman"/>
          <w:sz w:val="24"/>
          <w:szCs w:val="24"/>
        </w:rPr>
      </w:pPr>
      <w:r w:rsidRPr="009229B0">
        <w:rPr>
          <w:rFonts w:ascii="Times New Roman" w:eastAsia="Times New Roman" w:hAnsi="Times New Roman" w:cs="Times New Roman"/>
          <w:b/>
          <w:bCs/>
          <w:i/>
          <w:sz w:val="24"/>
          <w:szCs w:val="24"/>
        </w:rPr>
        <w:t>Административна тежест:</w:t>
      </w:r>
      <w:r w:rsidRPr="00943C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тя е </w:t>
      </w:r>
      <w:r w:rsidRPr="009229B0">
        <w:rPr>
          <w:rFonts w:ascii="Times New Roman" w:eastAsia="Times New Roman" w:hAnsi="Times New Roman" w:cs="Times New Roman"/>
          <w:sz w:val="24"/>
          <w:szCs w:val="24"/>
        </w:rPr>
        <w:t>м</w:t>
      </w:r>
      <w:r w:rsidRPr="009229B0">
        <w:rPr>
          <w:rFonts w:ascii="Times New Roman" w:eastAsia="Times New Roman" w:hAnsi="Times New Roman" w:cs="Times New Roman"/>
          <w:bCs/>
          <w:sz w:val="24"/>
          <w:szCs w:val="24"/>
        </w:rPr>
        <w:t>инимална към нулева за МСП.</w:t>
      </w:r>
      <w:r w:rsidRPr="009229B0">
        <w:rPr>
          <w:rFonts w:ascii="Times New Roman" w:eastAsia="Times New Roman" w:hAnsi="Times New Roman" w:cs="Times New Roman"/>
          <w:sz w:val="24"/>
          <w:szCs w:val="24"/>
        </w:rPr>
        <w:t xml:space="preserve"> Понеже </w:t>
      </w:r>
      <w:r>
        <w:rPr>
          <w:rFonts w:ascii="Times New Roman" w:eastAsia="Times New Roman" w:hAnsi="Times New Roman" w:cs="Times New Roman"/>
          <w:sz w:val="24"/>
          <w:szCs w:val="24"/>
        </w:rPr>
        <w:t xml:space="preserve">при този вариант </w:t>
      </w:r>
      <w:r w:rsidRPr="009229B0">
        <w:rPr>
          <w:rFonts w:ascii="Times New Roman" w:eastAsia="Times New Roman" w:hAnsi="Times New Roman" w:cs="Times New Roman"/>
          <w:sz w:val="24"/>
          <w:szCs w:val="24"/>
        </w:rPr>
        <w:t xml:space="preserve">всичко е доброволно, </w:t>
      </w:r>
      <w:r w:rsidRPr="009229B0">
        <w:rPr>
          <w:rFonts w:ascii="Times New Roman" w:eastAsia="Times New Roman" w:hAnsi="Times New Roman" w:cs="Times New Roman"/>
          <w:bCs/>
          <w:sz w:val="24"/>
          <w:szCs w:val="24"/>
        </w:rPr>
        <w:t>няма задължителни нови административни изисквания</w:t>
      </w:r>
      <w:r w:rsidRPr="009229B0">
        <w:rPr>
          <w:rFonts w:ascii="Times New Roman" w:eastAsia="Times New Roman" w:hAnsi="Times New Roman" w:cs="Times New Roman"/>
          <w:sz w:val="24"/>
          <w:szCs w:val="24"/>
        </w:rPr>
        <w:t xml:space="preserve">. Няма </w:t>
      </w:r>
      <w:r>
        <w:rPr>
          <w:rFonts w:ascii="Times New Roman" w:eastAsia="Times New Roman" w:hAnsi="Times New Roman" w:cs="Times New Roman"/>
          <w:sz w:val="24"/>
          <w:szCs w:val="24"/>
        </w:rPr>
        <w:t xml:space="preserve">правни </w:t>
      </w:r>
      <w:r w:rsidRPr="009229B0">
        <w:rPr>
          <w:rFonts w:ascii="Times New Roman" w:eastAsia="Times New Roman" w:hAnsi="Times New Roman" w:cs="Times New Roman"/>
          <w:sz w:val="24"/>
          <w:szCs w:val="24"/>
        </w:rPr>
        <w:t>регулации, следователно</w:t>
      </w:r>
      <w:r w:rsidR="002A4A1E">
        <w:rPr>
          <w:rFonts w:ascii="Times New Roman" w:eastAsia="Times New Roman" w:hAnsi="Times New Roman" w:cs="Times New Roman"/>
          <w:sz w:val="24"/>
          <w:szCs w:val="24"/>
        </w:rPr>
        <w:t>,</w:t>
      </w:r>
      <w:r w:rsidRPr="009229B0">
        <w:rPr>
          <w:rFonts w:ascii="Times New Roman" w:eastAsia="Times New Roman" w:hAnsi="Times New Roman" w:cs="Times New Roman"/>
          <w:sz w:val="24"/>
          <w:szCs w:val="24"/>
        </w:rPr>
        <w:t xml:space="preserve"> </w:t>
      </w:r>
      <w:r w:rsidRPr="009229B0">
        <w:rPr>
          <w:rFonts w:ascii="Times New Roman" w:eastAsia="Times New Roman" w:hAnsi="Times New Roman" w:cs="Times New Roman"/>
          <w:bCs/>
          <w:sz w:val="24"/>
          <w:szCs w:val="24"/>
        </w:rPr>
        <w:t>няма формални отчети, регистрации или санкции</w:t>
      </w:r>
      <w:r w:rsidRPr="009229B0">
        <w:rPr>
          <w:rFonts w:ascii="Times New Roman" w:eastAsia="Times New Roman" w:hAnsi="Times New Roman" w:cs="Times New Roman"/>
          <w:sz w:val="24"/>
          <w:szCs w:val="24"/>
        </w:rPr>
        <w:t xml:space="preserve">. Възможни </w:t>
      </w:r>
      <w:r w:rsidR="00373622">
        <w:rPr>
          <w:rFonts w:ascii="Times New Roman" w:eastAsia="Times New Roman" w:hAnsi="Times New Roman" w:cs="Times New Roman"/>
          <w:sz w:val="24"/>
          <w:szCs w:val="24"/>
        </w:rPr>
        <w:t xml:space="preserve">са </w:t>
      </w:r>
      <w:r w:rsidRPr="009229B0">
        <w:rPr>
          <w:rFonts w:ascii="Times New Roman" w:eastAsia="Times New Roman" w:hAnsi="Times New Roman" w:cs="Times New Roman"/>
          <w:sz w:val="24"/>
          <w:szCs w:val="24"/>
        </w:rPr>
        <w:t>ма</w:t>
      </w:r>
      <w:r w:rsidR="00373622">
        <w:rPr>
          <w:rFonts w:ascii="Times New Roman" w:eastAsia="Times New Roman" w:hAnsi="Times New Roman" w:cs="Times New Roman"/>
          <w:sz w:val="24"/>
          <w:szCs w:val="24"/>
        </w:rPr>
        <w:t xml:space="preserve">лки разходи, </w:t>
      </w:r>
      <w:r>
        <w:rPr>
          <w:rFonts w:ascii="Times New Roman" w:eastAsia="Times New Roman" w:hAnsi="Times New Roman" w:cs="Times New Roman"/>
          <w:sz w:val="24"/>
          <w:szCs w:val="24"/>
        </w:rPr>
        <w:t>свързани с</w:t>
      </w:r>
      <w:r w:rsidRPr="00943C4D">
        <w:rPr>
          <w:rFonts w:ascii="Times New Roman" w:eastAsia="Times New Roman" w:hAnsi="Times New Roman" w:cs="Times New Roman"/>
          <w:sz w:val="24"/>
          <w:szCs w:val="24"/>
        </w:rPr>
        <w:t xml:space="preserve"> участие в доброволни обучения или срещи</w:t>
      </w:r>
      <w:r w:rsidR="002A4A1E">
        <w:rPr>
          <w:rFonts w:ascii="Times New Roman" w:eastAsia="Times New Roman" w:hAnsi="Times New Roman" w:cs="Times New Roman"/>
          <w:sz w:val="24"/>
          <w:szCs w:val="24"/>
        </w:rPr>
        <w:t>,</w:t>
      </w:r>
      <w:r w:rsidRPr="00943C4D">
        <w:rPr>
          <w:rFonts w:ascii="Times New Roman" w:eastAsia="Times New Roman" w:hAnsi="Times New Roman" w:cs="Times New Roman"/>
          <w:sz w:val="24"/>
          <w:szCs w:val="24"/>
        </w:rPr>
        <w:t xml:space="preserve"> например, ако се проведат семинари за добри практики, едн</w:t>
      </w:r>
      <w:r w:rsidR="002A4A1E">
        <w:rPr>
          <w:rFonts w:ascii="Times New Roman" w:eastAsia="Times New Roman" w:hAnsi="Times New Roman" w:cs="Times New Roman"/>
          <w:sz w:val="24"/>
          <w:szCs w:val="24"/>
        </w:rPr>
        <w:t xml:space="preserve">о малко дружество </w:t>
      </w:r>
      <w:r w:rsidR="00373622">
        <w:rPr>
          <w:rFonts w:ascii="Times New Roman" w:eastAsia="Times New Roman" w:hAnsi="Times New Roman" w:cs="Times New Roman"/>
          <w:sz w:val="24"/>
          <w:szCs w:val="24"/>
        </w:rPr>
        <w:t>ще трябва</w:t>
      </w:r>
      <w:r w:rsidRPr="00943C4D">
        <w:rPr>
          <w:rFonts w:ascii="Times New Roman" w:eastAsia="Times New Roman" w:hAnsi="Times New Roman" w:cs="Times New Roman"/>
          <w:sz w:val="24"/>
          <w:szCs w:val="24"/>
        </w:rPr>
        <w:t xml:space="preserve"> да отдели време </w:t>
      </w:r>
      <w:r w:rsidR="00373622">
        <w:rPr>
          <w:rFonts w:ascii="Times New Roman" w:eastAsia="Times New Roman" w:hAnsi="Times New Roman" w:cs="Times New Roman"/>
          <w:sz w:val="24"/>
          <w:szCs w:val="24"/>
        </w:rPr>
        <w:t xml:space="preserve">и средства за </w:t>
      </w:r>
      <w:r w:rsidRPr="00943C4D">
        <w:rPr>
          <w:rFonts w:ascii="Times New Roman" w:eastAsia="Times New Roman" w:hAnsi="Times New Roman" w:cs="Times New Roman"/>
          <w:sz w:val="24"/>
          <w:szCs w:val="24"/>
        </w:rPr>
        <w:t xml:space="preserve">да </w:t>
      </w:r>
      <w:r w:rsidR="00373622">
        <w:rPr>
          <w:rFonts w:ascii="Times New Roman" w:eastAsia="Times New Roman" w:hAnsi="Times New Roman" w:cs="Times New Roman"/>
          <w:sz w:val="24"/>
          <w:szCs w:val="24"/>
        </w:rPr>
        <w:t>уча</w:t>
      </w:r>
      <w:r w:rsidRPr="00943C4D">
        <w:rPr>
          <w:rFonts w:ascii="Times New Roman" w:eastAsia="Times New Roman" w:hAnsi="Times New Roman" w:cs="Times New Roman"/>
          <w:sz w:val="24"/>
          <w:szCs w:val="24"/>
        </w:rPr>
        <w:t xml:space="preserve">ства. Но това </w:t>
      </w:r>
      <w:r w:rsidR="002A4A1E">
        <w:rPr>
          <w:rFonts w:ascii="Times New Roman" w:eastAsia="Times New Roman" w:hAnsi="Times New Roman" w:cs="Times New Roman"/>
          <w:sz w:val="24"/>
          <w:szCs w:val="24"/>
        </w:rPr>
        <w:t>може да се разглежда като възможност</w:t>
      </w:r>
      <w:r w:rsidR="002A4A1E" w:rsidRPr="00943C4D">
        <w:rPr>
          <w:rFonts w:ascii="Times New Roman" w:eastAsia="Times New Roman" w:hAnsi="Times New Roman" w:cs="Times New Roman"/>
          <w:sz w:val="24"/>
          <w:szCs w:val="24"/>
        </w:rPr>
        <w:t xml:space="preserve"> </w:t>
      </w:r>
      <w:r w:rsidRPr="00943C4D">
        <w:rPr>
          <w:rFonts w:ascii="Times New Roman" w:eastAsia="Times New Roman" w:hAnsi="Times New Roman" w:cs="Times New Roman"/>
          <w:sz w:val="24"/>
          <w:szCs w:val="24"/>
        </w:rPr>
        <w:t>по избор</w:t>
      </w:r>
      <w:r w:rsidR="002A4A1E">
        <w:rPr>
          <w:rFonts w:ascii="Times New Roman" w:eastAsia="Times New Roman" w:hAnsi="Times New Roman" w:cs="Times New Roman"/>
          <w:sz w:val="24"/>
          <w:szCs w:val="24"/>
        </w:rPr>
        <w:t xml:space="preserve"> и </w:t>
      </w:r>
      <w:r w:rsidRPr="00943C4D">
        <w:rPr>
          <w:rFonts w:ascii="Times New Roman" w:eastAsia="Times New Roman" w:hAnsi="Times New Roman" w:cs="Times New Roman"/>
          <w:sz w:val="24"/>
          <w:szCs w:val="24"/>
        </w:rPr>
        <w:t>инвестиция с п</w:t>
      </w:r>
      <w:r>
        <w:rPr>
          <w:rFonts w:ascii="Times New Roman" w:eastAsia="Times New Roman" w:hAnsi="Times New Roman" w:cs="Times New Roman"/>
          <w:sz w:val="24"/>
          <w:szCs w:val="24"/>
        </w:rPr>
        <w:t xml:space="preserve">отенциална полза от </w:t>
      </w:r>
      <w:r w:rsidRPr="00943C4D">
        <w:rPr>
          <w:rFonts w:ascii="Times New Roman" w:eastAsia="Times New Roman" w:hAnsi="Times New Roman" w:cs="Times New Roman"/>
          <w:sz w:val="24"/>
          <w:szCs w:val="24"/>
        </w:rPr>
        <w:t>научаване на по-добри практики</w:t>
      </w:r>
      <w:r w:rsidR="00373622">
        <w:rPr>
          <w:rFonts w:ascii="Times New Roman" w:eastAsia="Times New Roman" w:hAnsi="Times New Roman" w:cs="Times New Roman"/>
          <w:sz w:val="24"/>
          <w:szCs w:val="24"/>
        </w:rPr>
        <w:t xml:space="preserve"> за по-добри условия за бизнес</w:t>
      </w:r>
      <w:r w:rsidRPr="00943C4D">
        <w:rPr>
          <w:rFonts w:ascii="Times New Roman" w:eastAsia="Times New Roman" w:hAnsi="Times New Roman" w:cs="Times New Roman"/>
          <w:sz w:val="24"/>
          <w:szCs w:val="24"/>
        </w:rPr>
        <w:t>, а не</w:t>
      </w:r>
      <w:r w:rsidR="002A4A1E">
        <w:rPr>
          <w:rFonts w:ascii="Times New Roman" w:eastAsia="Times New Roman" w:hAnsi="Times New Roman" w:cs="Times New Roman"/>
          <w:sz w:val="24"/>
          <w:szCs w:val="24"/>
        </w:rPr>
        <w:t xml:space="preserve"> като</w:t>
      </w:r>
      <w:r w:rsidRPr="00943C4D">
        <w:rPr>
          <w:rFonts w:ascii="Times New Roman" w:eastAsia="Times New Roman" w:hAnsi="Times New Roman" w:cs="Times New Roman"/>
          <w:sz w:val="24"/>
          <w:szCs w:val="24"/>
        </w:rPr>
        <w:t xml:space="preserve"> административно бреме. </w:t>
      </w:r>
    </w:p>
    <w:p w14:paraId="715D999C" w14:textId="00BE72F0" w:rsidR="00CB0A97" w:rsidRDefault="00CB0A97" w:rsidP="00DD69D5">
      <w:pPr>
        <w:spacing w:after="0" w:line="240" w:lineRule="auto"/>
        <w:ind w:firstLine="567"/>
        <w:jc w:val="both"/>
        <w:rPr>
          <w:rFonts w:ascii="Times New Roman" w:eastAsia="Times New Roman" w:hAnsi="Times New Roman" w:cs="Times New Roman"/>
          <w:b/>
          <w:bCs/>
          <w:sz w:val="24"/>
          <w:szCs w:val="24"/>
        </w:rPr>
      </w:pPr>
      <w:r w:rsidRPr="009229B0">
        <w:rPr>
          <w:rFonts w:ascii="Times New Roman" w:eastAsia="Times New Roman" w:hAnsi="Times New Roman" w:cs="Times New Roman"/>
          <w:sz w:val="24"/>
          <w:szCs w:val="24"/>
        </w:rPr>
        <w:t xml:space="preserve">За </w:t>
      </w:r>
      <w:r w:rsidR="002A4A1E">
        <w:rPr>
          <w:rFonts w:ascii="Times New Roman" w:eastAsia="Times New Roman" w:hAnsi="Times New Roman" w:cs="Times New Roman"/>
          <w:sz w:val="24"/>
          <w:szCs w:val="24"/>
        </w:rPr>
        <w:t xml:space="preserve">публичните </w:t>
      </w:r>
      <w:r>
        <w:rPr>
          <w:rFonts w:ascii="Times New Roman" w:eastAsia="Times New Roman" w:hAnsi="Times New Roman" w:cs="Times New Roman"/>
          <w:sz w:val="24"/>
          <w:szCs w:val="24"/>
        </w:rPr>
        <w:t>органи тежестта също е ниска. Д</w:t>
      </w:r>
      <w:r w:rsidRPr="009229B0">
        <w:rPr>
          <w:rFonts w:ascii="Times New Roman" w:eastAsia="Times New Roman" w:hAnsi="Times New Roman" w:cs="Times New Roman"/>
          <w:sz w:val="24"/>
          <w:szCs w:val="24"/>
        </w:rPr>
        <w:t>ържавата би</w:t>
      </w:r>
      <w:r>
        <w:rPr>
          <w:rFonts w:ascii="Times New Roman" w:eastAsia="Times New Roman" w:hAnsi="Times New Roman" w:cs="Times New Roman"/>
          <w:sz w:val="24"/>
          <w:szCs w:val="24"/>
        </w:rPr>
        <w:t xml:space="preserve"> могла да</w:t>
      </w:r>
      <w:r w:rsidRPr="009229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организира</w:t>
      </w:r>
      <w:r w:rsidRPr="009229B0">
        <w:rPr>
          <w:rFonts w:ascii="Times New Roman" w:eastAsia="Times New Roman" w:hAnsi="Times New Roman" w:cs="Times New Roman"/>
          <w:sz w:val="24"/>
          <w:szCs w:val="24"/>
        </w:rPr>
        <w:t xml:space="preserve"> срещи и изготвяне на кодекси, но </w:t>
      </w:r>
      <w:r w:rsidRPr="009229B0">
        <w:rPr>
          <w:rFonts w:ascii="Times New Roman" w:eastAsia="Times New Roman" w:hAnsi="Times New Roman" w:cs="Times New Roman"/>
          <w:bCs/>
          <w:sz w:val="24"/>
          <w:szCs w:val="24"/>
        </w:rPr>
        <w:t xml:space="preserve">без нужда от нови структури или </w:t>
      </w:r>
      <w:r w:rsidR="002A4A1E">
        <w:rPr>
          <w:rFonts w:ascii="Times New Roman" w:eastAsia="Times New Roman" w:hAnsi="Times New Roman" w:cs="Times New Roman"/>
          <w:bCs/>
          <w:sz w:val="24"/>
          <w:szCs w:val="24"/>
        </w:rPr>
        <w:t>интензивен</w:t>
      </w:r>
      <w:r w:rsidR="002A4A1E" w:rsidRPr="009229B0">
        <w:rPr>
          <w:rFonts w:ascii="Times New Roman" w:eastAsia="Times New Roman" w:hAnsi="Times New Roman" w:cs="Times New Roman"/>
          <w:bCs/>
          <w:sz w:val="24"/>
          <w:szCs w:val="24"/>
        </w:rPr>
        <w:t xml:space="preserve"> </w:t>
      </w:r>
      <w:r w:rsidRPr="009229B0">
        <w:rPr>
          <w:rFonts w:ascii="Times New Roman" w:eastAsia="Times New Roman" w:hAnsi="Times New Roman" w:cs="Times New Roman"/>
          <w:bCs/>
          <w:sz w:val="24"/>
          <w:szCs w:val="24"/>
        </w:rPr>
        <w:t>контрол</w:t>
      </w:r>
      <w:r w:rsidRPr="009229B0">
        <w:rPr>
          <w:rFonts w:ascii="Times New Roman" w:eastAsia="Times New Roman" w:hAnsi="Times New Roman" w:cs="Times New Roman"/>
          <w:sz w:val="24"/>
          <w:szCs w:val="24"/>
        </w:rPr>
        <w:t xml:space="preserve">. Възможно е да има </w:t>
      </w:r>
      <w:r w:rsidRPr="009229B0">
        <w:rPr>
          <w:rFonts w:ascii="Times New Roman" w:eastAsia="Times New Roman" w:hAnsi="Times New Roman" w:cs="Times New Roman"/>
          <w:bCs/>
          <w:sz w:val="24"/>
          <w:szCs w:val="24"/>
        </w:rPr>
        <w:t>минимални разходи</w:t>
      </w:r>
      <w:r w:rsidRPr="009229B0">
        <w:rPr>
          <w:rFonts w:ascii="Times New Roman" w:eastAsia="Times New Roman" w:hAnsi="Times New Roman" w:cs="Times New Roman"/>
          <w:sz w:val="24"/>
          <w:szCs w:val="24"/>
        </w:rPr>
        <w:t xml:space="preserve"> за комуникационни кампании или поддръжка на платформа за диалог, които обаче са незначителни спрямо</w:t>
      </w:r>
      <w:r>
        <w:rPr>
          <w:rFonts w:ascii="Times New Roman" w:eastAsia="Times New Roman" w:hAnsi="Times New Roman" w:cs="Times New Roman"/>
          <w:sz w:val="24"/>
          <w:szCs w:val="24"/>
        </w:rPr>
        <w:t xml:space="preserve"> един правно </w:t>
      </w:r>
      <w:r w:rsidR="00373622">
        <w:rPr>
          <w:rFonts w:ascii="Times New Roman" w:eastAsia="Times New Roman" w:hAnsi="Times New Roman" w:cs="Times New Roman"/>
          <w:sz w:val="24"/>
          <w:szCs w:val="24"/>
        </w:rPr>
        <w:t xml:space="preserve">уреден институционален </w:t>
      </w:r>
      <w:r w:rsidRPr="009229B0">
        <w:rPr>
          <w:rFonts w:ascii="Times New Roman" w:eastAsia="Times New Roman" w:hAnsi="Times New Roman" w:cs="Times New Roman"/>
          <w:sz w:val="24"/>
          <w:szCs w:val="24"/>
        </w:rPr>
        <w:t xml:space="preserve">надзор. </w:t>
      </w:r>
      <w:r w:rsidRPr="009229B0">
        <w:rPr>
          <w:rFonts w:ascii="Times New Roman" w:eastAsia="Times New Roman" w:hAnsi="Times New Roman" w:cs="Times New Roman"/>
          <w:iCs/>
          <w:sz w:val="24"/>
          <w:szCs w:val="24"/>
        </w:rPr>
        <w:t>Обобщено</w:t>
      </w:r>
      <w:r w:rsidRPr="009229B0">
        <w:rPr>
          <w:rFonts w:ascii="Times New Roman" w:eastAsia="Times New Roman" w:hAnsi="Times New Roman" w:cs="Times New Roman"/>
          <w:sz w:val="24"/>
          <w:szCs w:val="24"/>
        </w:rPr>
        <w:t xml:space="preserve">, Вариант 1 </w:t>
      </w:r>
      <w:r w:rsidRPr="009229B0">
        <w:rPr>
          <w:rFonts w:ascii="Times New Roman" w:eastAsia="Times New Roman" w:hAnsi="Times New Roman" w:cs="Times New Roman"/>
          <w:bCs/>
          <w:sz w:val="24"/>
          <w:szCs w:val="24"/>
        </w:rPr>
        <w:t>не създава измерима административна тежест</w:t>
      </w:r>
      <w:r>
        <w:rPr>
          <w:rFonts w:ascii="Times New Roman" w:eastAsia="Times New Roman" w:hAnsi="Times New Roman" w:cs="Times New Roman"/>
          <w:sz w:val="24"/>
          <w:szCs w:val="24"/>
        </w:rPr>
        <w:t xml:space="preserve"> за малкия бизнес.</w:t>
      </w:r>
      <w:r w:rsidRPr="009229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w:t>
      </w:r>
      <w:r w:rsidRPr="009229B0">
        <w:rPr>
          <w:rFonts w:ascii="Times New Roman" w:eastAsia="Times New Roman" w:hAnsi="Times New Roman" w:cs="Times New Roman"/>
          <w:bCs/>
          <w:sz w:val="24"/>
          <w:szCs w:val="24"/>
        </w:rPr>
        <w:t>ормулата за административна тежест тук би дала нула</w:t>
      </w:r>
      <w:r w:rsidRPr="009229B0">
        <w:rPr>
          <w:rFonts w:ascii="Times New Roman" w:eastAsia="Times New Roman" w:hAnsi="Times New Roman" w:cs="Times New Roman"/>
          <w:sz w:val="24"/>
          <w:szCs w:val="24"/>
        </w:rPr>
        <w:t>, тъй като бро</w:t>
      </w:r>
      <w:r w:rsidR="00373622">
        <w:rPr>
          <w:rFonts w:ascii="Times New Roman" w:eastAsia="Times New Roman" w:hAnsi="Times New Roman" w:cs="Times New Roman"/>
          <w:sz w:val="24"/>
          <w:szCs w:val="24"/>
        </w:rPr>
        <w:t xml:space="preserve">ят на </w:t>
      </w:r>
      <w:r w:rsidRPr="009229B0">
        <w:rPr>
          <w:rFonts w:ascii="Times New Roman" w:eastAsia="Times New Roman" w:hAnsi="Times New Roman" w:cs="Times New Roman"/>
          <w:sz w:val="24"/>
          <w:szCs w:val="24"/>
        </w:rPr>
        <w:t xml:space="preserve">засегнати МСП по закон =0 (всички действия са доброволни). Това го прави привлекателен откъм </w:t>
      </w:r>
      <w:r w:rsidRPr="009229B0">
        <w:rPr>
          <w:rFonts w:ascii="Times New Roman" w:eastAsia="Times New Roman" w:hAnsi="Times New Roman" w:cs="Times New Roman"/>
          <w:iCs/>
          <w:sz w:val="24"/>
          <w:szCs w:val="24"/>
        </w:rPr>
        <w:t>липса на бюрокрация</w:t>
      </w:r>
      <w:r w:rsidRPr="009229B0">
        <w:rPr>
          <w:rFonts w:ascii="Times New Roman" w:eastAsia="Times New Roman" w:hAnsi="Times New Roman" w:cs="Times New Roman"/>
          <w:sz w:val="24"/>
          <w:szCs w:val="24"/>
        </w:rPr>
        <w:t>, но с цената на несигурност в постигането на целите.</w:t>
      </w:r>
      <w:r w:rsidRPr="009229B0">
        <w:rPr>
          <w:rFonts w:ascii="Times New Roman" w:eastAsia="Times New Roman" w:hAnsi="Times New Roman" w:cs="Times New Roman"/>
          <w:b/>
          <w:bCs/>
          <w:sz w:val="24"/>
          <w:szCs w:val="24"/>
        </w:rPr>
        <w:t xml:space="preserve"> </w:t>
      </w:r>
    </w:p>
    <w:p w14:paraId="2EDAECA9" w14:textId="77777777" w:rsidR="00CB0A97" w:rsidRDefault="00CB0A97" w:rsidP="00DD69D5">
      <w:pPr>
        <w:spacing w:after="0" w:line="240" w:lineRule="auto"/>
        <w:ind w:firstLine="567"/>
        <w:jc w:val="both"/>
        <w:rPr>
          <w:rFonts w:ascii="Times New Roman" w:eastAsia="Times New Roman" w:hAnsi="Times New Roman" w:cs="Times New Roman"/>
          <w:b/>
          <w:bCs/>
          <w:sz w:val="24"/>
          <w:szCs w:val="24"/>
        </w:rPr>
      </w:pPr>
    </w:p>
    <w:p w14:paraId="1FB5D3F5" w14:textId="77777777" w:rsidR="00CB0A97" w:rsidRDefault="00CB0A97" w:rsidP="00DD69D5">
      <w:pPr>
        <w:spacing w:after="0" w:line="240" w:lineRule="auto"/>
        <w:ind w:firstLine="567"/>
        <w:jc w:val="both"/>
        <w:rPr>
          <w:rFonts w:ascii="Times New Roman" w:eastAsia="Times New Roman" w:hAnsi="Times New Roman" w:cs="Times New Roman"/>
          <w:sz w:val="24"/>
          <w:szCs w:val="24"/>
        </w:rPr>
      </w:pPr>
      <w:r w:rsidRPr="0091765E">
        <w:rPr>
          <w:rFonts w:ascii="Times New Roman" w:eastAsia="Times New Roman" w:hAnsi="Times New Roman" w:cs="Times New Roman"/>
          <w:b/>
          <w:bCs/>
          <w:sz w:val="24"/>
          <w:szCs w:val="24"/>
        </w:rPr>
        <w:t xml:space="preserve">Вариант 2: </w:t>
      </w:r>
      <w:r>
        <w:rPr>
          <w:rFonts w:ascii="Times New Roman" w:eastAsia="Times New Roman" w:hAnsi="Times New Roman" w:cs="Times New Roman"/>
          <w:b/>
          <w:bCs/>
          <w:sz w:val="24"/>
          <w:szCs w:val="24"/>
        </w:rPr>
        <w:t>„</w:t>
      </w:r>
      <w:r w:rsidRPr="0091765E">
        <w:rPr>
          <w:rFonts w:ascii="Times New Roman" w:eastAsia="Times New Roman" w:hAnsi="Times New Roman" w:cs="Times New Roman"/>
          <w:b/>
          <w:bCs/>
          <w:sz w:val="24"/>
          <w:szCs w:val="24"/>
        </w:rPr>
        <w:t xml:space="preserve">Регулаторни промени в действащата </w:t>
      </w:r>
      <w:r>
        <w:rPr>
          <w:rFonts w:ascii="Times New Roman" w:eastAsia="Times New Roman" w:hAnsi="Times New Roman" w:cs="Times New Roman"/>
          <w:b/>
          <w:bCs/>
          <w:sz w:val="24"/>
          <w:szCs w:val="24"/>
        </w:rPr>
        <w:t xml:space="preserve">правна </w:t>
      </w:r>
      <w:r w:rsidRPr="0091765E">
        <w:rPr>
          <w:rFonts w:ascii="Times New Roman" w:eastAsia="Times New Roman" w:hAnsi="Times New Roman" w:cs="Times New Roman"/>
          <w:b/>
          <w:bCs/>
          <w:sz w:val="24"/>
          <w:szCs w:val="24"/>
        </w:rPr>
        <w:t>уредба</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p>
    <w:p w14:paraId="1D911933" w14:textId="4BA7C83A" w:rsidR="00CB0A97" w:rsidRDefault="00CB0A97" w:rsidP="00DD69D5">
      <w:pPr>
        <w:spacing w:after="0" w:line="240" w:lineRule="auto"/>
        <w:ind w:firstLine="567"/>
        <w:jc w:val="both"/>
        <w:rPr>
          <w:rFonts w:ascii="Times New Roman" w:eastAsia="Times New Roman" w:hAnsi="Times New Roman" w:cs="Times New Roman"/>
          <w:sz w:val="24"/>
          <w:szCs w:val="24"/>
        </w:rPr>
      </w:pPr>
      <w:r w:rsidRPr="009229B0">
        <w:rPr>
          <w:rFonts w:ascii="Times New Roman" w:eastAsia="Times New Roman" w:hAnsi="Times New Roman" w:cs="Times New Roman"/>
          <w:sz w:val="24"/>
          <w:szCs w:val="24"/>
        </w:rPr>
        <w:t xml:space="preserve">Този вариант </w:t>
      </w:r>
      <w:r>
        <w:rPr>
          <w:rFonts w:ascii="Times New Roman" w:eastAsia="Times New Roman" w:hAnsi="Times New Roman" w:cs="Times New Roman"/>
          <w:sz w:val="24"/>
          <w:szCs w:val="24"/>
        </w:rPr>
        <w:t>включва</w:t>
      </w:r>
      <w:r w:rsidRPr="009229B0">
        <w:rPr>
          <w:rFonts w:ascii="Times New Roman" w:eastAsia="Times New Roman" w:hAnsi="Times New Roman" w:cs="Times New Roman"/>
          <w:sz w:val="24"/>
          <w:szCs w:val="24"/>
        </w:rPr>
        <w:t xml:space="preserve"> </w:t>
      </w:r>
      <w:r w:rsidRPr="009229B0">
        <w:rPr>
          <w:rFonts w:ascii="Times New Roman" w:eastAsia="Times New Roman" w:hAnsi="Times New Roman" w:cs="Times New Roman"/>
          <w:bCs/>
          <w:sz w:val="24"/>
          <w:szCs w:val="24"/>
        </w:rPr>
        <w:t>ограничена регулация</w:t>
      </w:r>
      <w:r w:rsidRPr="009229B0">
        <w:rPr>
          <w:rFonts w:ascii="Times New Roman" w:eastAsia="Times New Roman" w:hAnsi="Times New Roman" w:cs="Times New Roman"/>
          <w:sz w:val="24"/>
          <w:szCs w:val="24"/>
        </w:rPr>
        <w:t xml:space="preserve"> чрез </w:t>
      </w:r>
      <w:r w:rsidRPr="009229B0">
        <w:rPr>
          <w:rFonts w:ascii="Times New Roman" w:eastAsia="Times New Roman" w:hAnsi="Times New Roman" w:cs="Times New Roman"/>
          <w:bCs/>
          <w:sz w:val="24"/>
          <w:szCs w:val="24"/>
        </w:rPr>
        <w:t>изменение и допълнение на съществуващи закони</w:t>
      </w:r>
      <w:r w:rsidRPr="009229B0">
        <w:rPr>
          <w:rFonts w:ascii="Times New Roman" w:eastAsia="Times New Roman" w:hAnsi="Times New Roman" w:cs="Times New Roman"/>
          <w:sz w:val="24"/>
          <w:szCs w:val="24"/>
        </w:rPr>
        <w:t xml:space="preserve">, вместо създаване на нов </w:t>
      </w:r>
      <w:r>
        <w:rPr>
          <w:rFonts w:ascii="Times New Roman" w:eastAsia="Times New Roman" w:hAnsi="Times New Roman" w:cs="Times New Roman"/>
          <w:sz w:val="24"/>
          <w:szCs w:val="24"/>
        </w:rPr>
        <w:t>отделен</w:t>
      </w:r>
      <w:r w:rsidRPr="009229B0">
        <w:rPr>
          <w:rFonts w:ascii="Times New Roman" w:eastAsia="Times New Roman" w:hAnsi="Times New Roman" w:cs="Times New Roman"/>
          <w:sz w:val="24"/>
          <w:szCs w:val="24"/>
        </w:rPr>
        <w:t xml:space="preserve"> закон. Вариант 2 би </w:t>
      </w:r>
      <w:r w:rsidRPr="009229B0">
        <w:rPr>
          <w:rFonts w:ascii="Times New Roman" w:eastAsia="Times New Roman" w:hAnsi="Times New Roman" w:cs="Times New Roman"/>
          <w:bCs/>
          <w:sz w:val="24"/>
          <w:szCs w:val="24"/>
        </w:rPr>
        <w:t>забранил определен набор от най-вредните нелоялни практики</w:t>
      </w:r>
      <w:r w:rsidRPr="009229B0">
        <w:rPr>
          <w:rFonts w:ascii="Times New Roman" w:eastAsia="Times New Roman" w:hAnsi="Times New Roman" w:cs="Times New Roman"/>
          <w:sz w:val="24"/>
          <w:szCs w:val="24"/>
        </w:rPr>
        <w:t xml:space="preserve"> (късно плащане, отменяне на поръчки в последния момент, едностранни промени в договора и т.н.) между купувачи и доставчици на земеделски продукти, като се фокусира върху защита на по-слабата страна (обикновено дребния производител). Този подход е </w:t>
      </w:r>
      <w:r w:rsidRPr="009229B0">
        <w:rPr>
          <w:rFonts w:ascii="Times New Roman" w:eastAsia="Times New Roman" w:hAnsi="Times New Roman" w:cs="Times New Roman"/>
          <w:iCs/>
          <w:sz w:val="24"/>
          <w:szCs w:val="24"/>
        </w:rPr>
        <w:t>инкрементален</w:t>
      </w:r>
      <w:r w:rsidRPr="009229B0">
        <w:rPr>
          <w:rFonts w:ascii="Times New Roman" w:eastAsia="Times New Roman" w:hAnsi="Times New Roman" w:cs="Times New Roman"/>
          <w:sz w:val="24"/>
          <w:szCs w:val="24"/>
        </w:rPr>
        <w:t xml:space="preserve"> – надгражда вече съществуващ контрол</w:t>
      </w:r>
      <w:r w:rsidR="009D6110">
        <w:rPr>
          <w:rFonts w:ascii="Times New Roman" w:eastAsia="Times New Roman" w:hAnsi="Times New Roman" w:cs="Times New Roman"/>
          <w:sz w:val="24"/>
          <w:szCs w:val="24"/>
        </w:rPr>
        <w:t>.</w:t>
      </w:r>
      <w:r w:rsidRPr="009229B0">
        <w:rPr>
          <w:rFonts w:ascii="Times New Roman" w:eastAsia="Times New Roman" w:hAnsi="Times New Roman" w:cs="Times New Roman"/>
          <w:sz w:val="24"/>
          <w:szCs w:val="24"/>
        </w:rPr>
        <w:t xml:space="preserve"> </w:t>
      </w:r>
      <w:r w:rsidRPr="009229B0">
        <w:rPr>
          <w:rFonts w:ascii="Times New Roman" w:eastAsia="Times New Roman" w:hAnsi="Times New Roman" w:cs="Times New Roman"/>
          <w:bCs/>
          <w:sz w:val="24"/>
          <w:szCs w:val="24"/>
        </w:rPr>
        <w:t>Не се създава нов специализиран орган</w:t>
      </w:r>
      <w:r w:rsidRPr="009229B0">
        <w:rPr>
          <w:rFonts w:ascii="Times New Roman" w:eastAsia="Times New Roman" w:hAnsi="Times New Roman" w:cs="Times New Roman"/>
          <w:sz w:val="24"/>
          <w:szCs w:val="24"/>
        </w:rPr>
        <w:t>, нито изцяло нова нормативна система</w:t>
      </w:r>
      <w:r w:rsidR="009D6110">
        <w:rPr>
          <w:rFonts w:ascii="Times New Roman" w:eastAsia="Times New Roman" w:hAnsi="Times New Roman" w:cs="Times New Roman"/>
          <w:sz w:val="24"/>
          <w:szCs w:val="24"/>
        </w:rPr>
        <w:t>, т.е.</w:t>
      </w:r>
      <w:r w:rsidRPr="009229B0">
        <w:rPr>
          <w:rFonts w:ascii="Times New Roman" w:eastAsia="Times New Roman" w:hAnsi="Times New Roman" w:cs="Times New Roman"/>
          <w:sz w:val="24"/>
          <w:szCs w:val="24"/>
        </w:rPr>
        <w:t xml:space="preserve"> интегрират се новите правила към наличната структура.</w:t>
      </w:r>
    </w:p>
    <w:p w14:paraId="62808008" w14:textId="07196F29" w:rsidR="00CB0A97" w:rsidRDefault="00CB0A97" w:rsidP="00DD69D5">
      <w:pPr>
        <w:spacing w:after="0" w:line="240" w:lineRule="auto"/>
        <w:ind w:firstLine="567"/>
        <w:jc w:val="both"/>
        <w:rPr>
          <w:rFonts w:ascii="Times New Roman" w:eastAsia="Times New Roman" w:hAnsi="Times New Roman" w:cs="Times New Roman"/>
          <w:sz w:val="24"/>
          <w:szCs w:val="24"/>
        </w:rPr>
      </w:pPr>
      <w:r w:rsidRPr="009229B0">
        <w:rPr>
          <w:rFonts w:ascii="Times New Roman" w:eastAsia="Times New Roman" w:hAnsi="Times New Roman" w:cs="Times New Roman"/>
          <w:b/>
          <w:bCs/>
          <w:i/>
          <w:sz w:val="24"/>
          <w:szCs w:val="24"/>
        </w:rPr>
        <w:t>Обхват на засегнатите МСП:</w:t>
      </w:r>
      <w:r w:rsidRPr="00943C4D">
        <w:rPr>
          <w:rFonts w:ascii="Times New Roman" w:eastAsia="Times New Roman" w:hAnsi="Times New Roman" w:cs="Times New Roman"/>
          <w:sz w:val="24"/>
          <w:szCs w:val="24"/>
        </w:rPr>
        <w:t xml:space="preserve"> </w:t>
      </w:r>
      <w:r w:rsidRPr="009229B0">
        <w:rPr>
          <w:rFonts w:ascii="Times New Roman" w:eastAsia="Times New Roman" w:hAnsi="Times New Roman" w:cs="Times New Roman"/>
          <w:sz w:val="24"/>
          <w:szCs w:val="24"/>
        </w:rPr>
        <w:t xml:space="preserve">регулаторният обхват на Вариант 2 е </w:t>
      </w:r>
      <w:r w:rsidRPr="009229B0">
        <w:rPr>
          <w:rFonts w:ascii="Times New Roman" w:eastAsia="Times New Roman" w:hAnsi="Times New Roman" w:cs="Times New Roman"/>
          <w:bCs/>
          <w:sz w:val="24"/>
          <w:szCs w:val="24"/>
        </w:rPr>
        <w:t>по-тесен от този на Вариант 3</w:t>
      </w:r>
      <w:r w:rsidRPr="009229B0">
        <w:rPr>
          <w:rFonts w:ascii="Times New Roman" w:eastAsia="Times New Roman" w:hAnsi="Times New Roman" w:cs="Times New Roman"/>
          <w:sz w:val="24"/>
          <w:szCs w:val="24"/>
        </w:rPr>
        <w:t>, насочен главно към определени взаимоотношения във веригата. Например, Дирек</w:t>
      </w:r>
      <w:r>
        <w:rPr>
          <w:rFonts w:ascii="Times New Roman" w:eastAsia="Times New Roman" w:hAnsi="Times New Roman" w:cs="Times New Roman"/>
          <w:sz w:val="24"/>
          <w:szCs w:val="24"/>
        </w:rPr>
        <w:t>тива</w:t>
      </w:r>
      <w:r w:rsidR="00AC2F82">
        <w:rPr>
          <w:rFonts w:ascii="Times New Roman" w:eastAsia="Times New Roman" w:hAnsi="Times New Roman" w:cs="Times New Roman"/>
          <w:sz w:val="24"/>
          <w:szCs w:val="24"/>
        </w:rPr>
        <w:t xml:space="preserve"> </w:t>
      </w:r>
      <w:r w:rsidR="00AC2F82" w:rsidRPr="00AC2F82">
        <w:rPr>
          <w:rFonts w:ascii="Times New Roman" w:eastAsia="Times New Roman" w:hAnsi="Times New Roman" w:cs="Times New Roman"/>
          <w:sz w:val="24"/>
          <w:szCs w:val="24"/>
        </w:rPr>
        <w:t>(ЕС)</w:t>
      </w:r>
      <w:r>
        <w:rPr>
          <w:rFonts w:ascii="Times New Roman" w:eastAsia="Times New Roman" w:hAnsi="Times New Roman" w:cs="Times New Roman"/>
          <w:sz w:val="24"/>
          <w:szCs w:val="24"/>
        </w:rPr>
        <w:t xml:space="preserve"> 2019/633 дефинира прагове като </w:t>
      </w:r>
      <w:r w:rsidRPr="009229B0">
        <w:rPr>
          <w:rFonts w:ascii="Times New Roman" w:eastAsia="Times New Roman" w:hAnsi="Times New Roman" w:cs="Times New Roman"/>
          <w:sz w:val="24"/>
          <w:szCs w:val="24"/>
        </w:rPr>
        <w:t xml:space="preserve">защитава доставчици (вкл. МСП) срещу купувачи с по-голям размер. </w:t>
      </w:r>
      <w:r>
        <w:rPr>
          <w:rFonts w:ascii="Times New Roman" w:eastAsia="Times New Roman" w:hAnsi="Times New Roman" w:cs="Times New Roman"/>
          <w:sz w:val="24"/>
          <w:szCs w:val="24"/>
        </w:rPr>
        <w:t>Така</w:t>
      </w:r>
      <w:r w:rsidRPr="009229B0">
        <w:rPr>
          <w:rFonts w:ascii="Times New Roman" w:eastAsia="Times New Roman" w:hAnsi="Times New Roman" w:cs="Times New Roman"/>
          <w:sz w:val="24"/>
          <w:szCs w:val="24"/>
        </w:rPr>
        <w:t xml:space="preserve">, </w:t>
      </w:r>
      <w:r w:rsidR="00373622">
        <w:rPr>
          <w:rFonts w:ascii="Times New Roman" w:eastAsia="Times New Roman" w:hAnsi="Times New Roman" w:cs="Times New Roman"/>
          <w:bCs/>
          <w:sz w:val="24"/>
          <w:szCs w:val="24"/>
        </w:rPr>
        <w:t xml:space="preserve">само </w:t>
      </w:r>
      <w:r w:rsidRPr="009229B0">
        <w:rPr>
          <w:rFonts w:ascii="Times New Roman" w:eastAsia="Times New Roman" w:hAnsi="Times New Roman" w:cs="Times New Roman"/>
          <w:bCs/>
          <w:sz w:val="24"/>
          <w:szCs w:val="24"/>
        </w:rPr>
        <w:t>сделките, п</w:t>
      </w:r>
      <w:r w:rsidR="00373622">
        <w:rPr>
          <w:rFonts w:ascii="Times New Roman" w:eastAsia="Times New Roman" w:hAnsi="Times New Roman" w:cs="Times New Roman"/>
          <w:bCs/>
          <w:sz w:val="24"/>
          <w:szCs w:val="24"/>
        </w:rPr>
        <w:t>о</w:t>
      </w:r>
      <w:r w:rsidRPr="009229B0">
        <w:rPr>
          <w:rFonts w:ascii="Times New Roman" w:eastAsia="Times New Roman" w:hAnsi="Times New Roman" w:cs="Times New Roman"/>
          <w:bCs/>
          <w:sz w:val="24"/>
          <w:szCs w:val="24"/>
        </w:rPr>
        <w:t xml:space="preserve"> които едната страна е МСП, а другата е по-</w:t>
      </w:r>
      <w:r>
        <w:rPr>
          <w:rFonts w:ascii="Times New Roman" w:eastAsia="Times New Roman" w:hAnsi="Times New Roman" w:cs="Times New Roman"/>
          <w:bCs/>
          <w:sz w:val="24"/>
          <w:szCs w:val="24"/>
        </w:rPr>
        <w:t>голяма</w:t>
      </w:r>
      <w:r w:rsidRPr="009229B0">
        <w:rPr>
          <w:rFonts w:ascii="Times New Roman" w:eastAsia="Times New Roman" w:hAnsi="Times New Roman" w:cs="Times New Roman"/>
          <w:bCs/>
          <w:sz w:val="24"/>
          <w:szCs w:val="24"/>
        </w:rPr>
        <w:t xml:space="preserve"> компания</w:t>
      </w:r>
      <w:r w:rsidR="00D953E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9229B0">
        <w:rPr>
          <w:rFonts w:ascii="Times New Roman" w:eastAsia="Times New Roman" w:hAnsi="Times New Roman" w:cs="Times New Roman"/>
          <w:sz w:val="24"/>
          <w:szCs w:val="24"/>
        </w:rPr>
        <w:t>би</w:t>
      </w:r>
      <w:r w:rsidR="00373622">
        <w:rPr>
          <w:rFonts w:ascii="Times New Roman" w:eastAsia="Times New Roman" w:hAnsi="Times New Roman" w:cs="Times New Roman"/>
          <w:sz w:val="24"/>
          <w:szCs w:val="24"/>
        </w:rPr>
        <w:t>ха</w:t>
      </w:r>
      <w:r w:rsidRPr="009229B0">
        <w:rPr>
          <w:rFonts w:ascii="Times New Roman" w:eastAsia="Times New Roman" w:hAnsi="Times New Roman" w:cs="Times New Roman"/>
          <w:sz w:val="24"/>
          <w:szCs w:val="24"/>
        </w:rPr>
        <w:t xml:space="preserve"> попаднали под забраните за </w:t>
      </w:r>
      <w:r w:rsidR="009D6110">
        <w:rPr>
          <w:rFonts w:ascii="Times New Roman" w:eastAsia="Times New Roman" w:hAnsi="Times New Roman" w:cs="Times New Roman"/>
          <w:sz w:val="24"/>
          <w:szCs w:val="24"/>
        </w:rPr>
        <w:t>нелоялни търговски практики</w:t>
      </w:r>
      <w:r w:rsidRPr="009229B0">
        <w:rPr>
          <w:rFonts w:ascii="Times New Roman" w:eastAsia="Times New Roman" w:hAnsi="Times New Roman" w:cs="Times New Roman"/>
          <w:sz w:val="24"/>
          <w:szCs w:val="24"/>
        </w:rPr>
        <w:t xml:space="preserve">. Това означава, че </w:t>
      </w:r>
      <w:r w:rsidRPr="009229B0">
        <w:rPr>
          <w:rFonts w:ascii="Times New Roman" w:eastAsia="Times New Roman" w:hAnsi="Times New Roman" w:cs="Times New Roman"/>
          <w:bCs/>
          <w:sz w:val="24"/>
          <w:szCs w:val="24"/>
        </w:rPr>
        <w:t>прякото въздействие е концентрирано върху големите търговци и преработватели</w:t>
      </w:r>
      <w:r w:rsidRPr="009229B0">
        <w:rPr>
          <w:rFonts w:ascii="Times New Roman" w:eastAsia="Times New Roman" w:hAnsi="Times New Roman" w:cs="Times New Roman"/>
          <w:sz w:val="24"/>
          <w:szCs w:val="24"/>
        </w:rPr>
        <w:t xml:space="preserve">, които трябва да прекратят определени практики, и върху МСП </w:t>
      </w:r>
      <w:r w:rsidRPr="009229B0">
        <w:rPr>
          <w:rFonts w:ascii="Times New Roman" w:eastAsia="Times New Roman" w:hAnsi="Times New Roman" w:cs="Times New Roman"/>
          <w:bCs/>
          <w:sz w:val="24"/>
          <w:szCs w:val="24"/>
        </w:rPr>
        <w:t>като потърпевши, които получават защита</w:t>
      </w:r>
      <w:r w:rsidRPr="009229B0">
        <w:rPr>
          <w:rFonts w:ascii="Times New Roman" w:eastAsia="Times New Roman" w:hAnsi="Times New Roman" w:cs="Times New Roman"/>
          <w:sz w:val="24"/>
          <w:szCs w:val="24"/>
        </w:rPr>
        <w:t xml:space="preserve">. </w:t>
      </w:r>
      <w:r w:rsidRPr="009229B0">
        <w:rPr>
          <w:rFonts w:ascii="Times New Roman" w:eastAsia="Times New Roman" w:hAnsi="Times New Roman" w:cs="Times New Roman"/>
          <w:bCs/>
          <w:sz w:val="24"/>
          <w:szCs w:val="24"/>
        </w:rPr>
        <w:t>Броят на засегнатите МСП</w:t>
      </w:r>
      <w:r w:rsidRPr="009229B0">
        <w:rPr>
          <w:rFonts w:ascii="Times New Roman" w:eastAsia="Times New Roman" w:hAnsi="Times New Roman" w:cs="Times New Roman"/>
          <w:sz w:val="24"/>
          <w:szCs w:val="24"/>
        </w:rPr>
        <w:t xml:space="preserve"> от нови задължения в този вариант </w:t>
      </w:r>
      <w:r w:rsidRPr="009229B0">
        <w:rPr>
          <w:rFonts w:ascii="Times New Roman" w:eastAsia="Times New Roman" w:hAnsi="Times New Roman" w:cs="Times New Roman"/>
          <w:bCs/>
          <w:sz w:val="24"/>
          <w:szCs w:val="24"/>
        </w:rPr>
        <w:t>не е голям</w:t>
      </w:r>
      <w:r w:rsidRPr="009229B0">
        <w:rPr>
          <w:rFonts w:ascii="Times New Roman" w:eastAsia="Times New Roman" w:hAnsi="Times New Roman" w:cs="Times New Roman"/>
          <w:sz w:val="24"/>
          <w:szCs w:val="24"/>
        </w:rPr>
        <w:t xml:space="preserve">: малките </w:t>
      </w:r>
      <w:r w:rsidRPr="009229B0">
        <w:rPr>
          <w:rFonts w:ascii="Times New Roman" w:eastAsia="Times New Roman" w:hAnsi="Times New Roman" w:cs="Times New Roman"/>
          <w:bCs/>
          <w:sz w:val="24"/>
          <w:szCs w:val="24"/>
        </w:rPr>
        <w:t>доставчици нямат нови изисквания</w:t>
      </w:r>
      <w:r w:rsidRPr="009229B0">
        <w:rPr>
          <w:rFonts w:ascii="Times New Roman" w:eastAsia="Times New Roman" w:hAnsi="Times New Roman" w:cs="Times New Roman"/>
          <w:sz w:val="24"/>
          <w:szCs w:val="24"/>
        </w:rPr>
        <w:t xml:space="preserve">, те просто имат повече права. </w:t>
      </w:r>
      <w:r w:rsidRPr="009229B0">
        <w:rPr>
          <w:rFonts w:ascii="Times New Roman" w:eastAsia="Times New Roman" w:hAnsi="Times New Roman" w:cs="Times New Roman"/>
          <w:bCs/>
          <w:sz w:val="24"/>
          <w:szCs w:val="24"/>
        </w:rPr>
        <w:t>Новите изисквания по-скоро касаят по-едрите предприятия</w:t>
      </w:r>
      <w:r w:rsidRPr="00943C4D">
        <w:rPr>
          <w:rFonts w:ascii="Times New Roman" w:eastAsia="Times New Roman" w:hAnsi="Times New Roman" w:cs="Times New Roman"/>
          <w:sz w:val="24"/>
          <w:szCs w:val="24"/>
        </w:rPr>
        <w:t xml:space="preserve"> (които трябва да се съобразяват с</w:t>
      </w:r>
      <w:r>
        <w:rPr>
          <w:rFonts w:ascii="Times New Roman" w:eastAsia="Times New Roman" w:hAnsi="Times New Roman" w:cs="Times New Roman"/>
          <w:sz w:val="24"/>
          <w:szCs w:val="24"/>
        </w:rPr>
        <w:t>ъс</w:t>
      </w:r>
      <w:r w:rsidRPr="00943C4D">
        <w:rPr>
          <w:rFonts w:ascii="Times New Roman" w:eastAsia="Times New Roman" w:hAnsi="Times New Roman" w:cs="Times New Roman"/>
          <w:sz w:val="24"/>
          <w:szCs w:val="24"/>
        </w:rPr>
        <w:t xml:space="preserve"> забраните). </w:t>
      </w:r>
      <w:r w:rsidRPr="009229B0">
        <w:rPr>
          <w:rFonts w:ascii="Times New Roman" w:eastAsia="Times New Roman" w:hAnsi="Times New Roman" w:cs="Times New Roman"/>
          <w:bCs/>
          <w:sz w:val="24"/>
          <w:szCs w:val="24"/>
        </w:rPr>
        <w:t>Малките търговци</w:t>
      </w:r>
      <w:r w:rsidRPr="009229B0">
        <w:rPr>
          <w:rFonts w:ascii="Times New Roman" w:eastAsia="Times New Roman" w:hAnsi="Times New Roman" w:cs="Times New Roman"/>
          <w:sz w:val="24"/>
          <w:szCs w:val="24"/>
        </w:rPr>
        <w:t xml:space="preserve">, които не упражняват такива практики, няма да бъдат пряко засегнати. Вариант 2 вероятно би обхванал всички земеделски продукти и храни, но </w:t>
      </w:r>
      <w:r w:rsidRPr="009229B0">
        <w:rPr>
          <w:rFonts w:ascii="Times New Roman" w:eastAsia="Times New Roman" w:hAnsi="Times New Roman" w:cs="Times New Roman"/>
          <w:bCs/>
          <w:sz w:val="24"/>
          <w:szCs w:val="24"/>
        </w:rPr>
        <w:t>само по отношение на определени практики</w:t>
      </w:r>
      <w:r w:rsidRPr="009229B0">
        <w:rPr>
          <w:rFonts w:ascii="Times New Roman" w:eastAsia="Times New Roman" w:hAnsi="Times New Roman" w:cs="Times New Roman"/>
          <w:sz w:val="24"/>
          <w:szCs w:val="24"/>
        </w:rPr>
        <w:t xml:space="preserve"> и без допълнителни мерки като контрол на цени или квоти. Т.е. </w:t>
      </w:r>
      <w:r w:rsidRPr="009229B0">
        <w:rPr>
          <w:rFonts w:ascii="Times New Roman" w:eastAsia="Times New Roman" w:hAnsi="Times New Roman" w:cs="Times New Roman"/>
          <w:bCs/>
          <w:sz w:val="24"/>
          <w:szCs w:val="24"/>
        </w:rPr>
        <w:t>засегнати</w:t>
      </w:r>
      <w:r w:rsidRPr="009229B0">
        <w:rPr>
          <w:rFonts w:ascii="Times New Roman" w:eastAsia="Times New Roman" w:hAnsi="Times New Roman" w:cs="Times New Roman"/>
          <w:sz w:val="24"/>
          <w:szCs w:val="24"/>
        </w:rPr>
        <w:t xml:space="preserve"> (като адресати на нормите) </w:t>
      </w:r>
      <w:r w:rsidRPr="009229B0">
        <w:rPr>
          <w:rFonts w:ascii="Times New Roman" w:eastAsia="Times New Roman" w:hAnsi="Times New Roman" w:cs="Times New Roman"/>
          <w:bCs/>
          <w:sz w:val="24"/>
          <w:szCs w:val="24"/>
        </w:rPr>
        <w:t>са стотици до хиляди предприятия</w:t>
      </w:r>
      <w:r w:rsidRPr="009229B0">
        <w:rPr>
          <w:rFonts w:ascii="Times New Roman" w:eastAsia="Times New Roman" w:hAnsi="Times New Roman" w:cs="Times New Roman"/>
          <w:sz w:val="24"/>
          <w:szCs w:val="24"/>
        </w:rPr>
        <w:t xml:space="preserve">, главно големи търговци </w:t>
      </w:r>
      <w:r w:rsidRPr="009229B0">
        <w:rPr>
          <w:rFonts w:ascii="Times New Roman" w:eastAsia="Times New Roman" w:hAnsi="Times New Roman" w:cs="Times New Roman"/>
          <w:sz w:val="24"/>
          <w:szCs w:val="24"/>
        </w:rPr>
        <w:lastRenderedPageBreak/>
        <w:t xml:space="preserve">на храни и големи преработватели, плюс някои средни </w:t>
      </w:r>
      <w:r w:rsidR="009D6110">
        <w:rPr>
          <w:rFonts w:ascii="Times New Roman" w:eastAsia="Times New Roman" w:hAnsi="Times New Roman" w:cs="Times New Roman"/>
          <w:sz w:val="24"/>
          <w:szCs w:val="24"/>
        </w:rPr>
        <w:t>предприятия</w:t>
      </w:r>
      <w:r w:rsidRPr="009229B0">
        <w:rPr>
          <w:rFonts w:ascii="Times New Roman" w:eastAsia="Times New Roman" w:hAnsi="Times New Roman" w:cs="Times New Roman"/>
          <w:sz w:val="24"/>
          <w:szCs w:val="24"/>
        </w:rPr>
        <w:t xml:space="preserve">. </w:t>
      </w:r>
      <w:r w:rsidRPr="009229B0">
        <w:rPr>
          <w:rFonts w:ascii="Times New Roman" w:eastAsia="Times New Roman" w:hAnsi="Times New Roman" w:cs="Times New Roman"/>
          <w:bCs/>
          <w:sz w:val="24"/>
          <w:szCs w:val="24"/>
        </w:rPr>
        <w:t>МСП са засегнати най-вече косвено</w:t>
      </w:r>
      <w:r w:rsidRPr="009229B0">
        <w:rPr>
          <w:rFonts w:ascii="Times New Roman" w:eastAsia="Times New Roman" w:hAnsi="Times New Roman" w:cs="Times New Roman"/>
          <w:sz w:val="24"/>
          <w:szCs w:val="24"/>
        </w:rPr>
        <w:t xml:space="preserve"> – като </w:t>
      </w:r>
      <w:r w:rsidRPr="009229B0">
        <w:rPr>
          <w:rFonts w:ascii="Times New Roman" w:eastAsia="Times New Roman" w:hAnsi="Times New Roman" w:cs="Times New Roman"/>
          <w:bCs/>
          <w:sz w:val="24"/>
          <w:szCs w:val="24"/>
        </w:rPr>
        <w:t>бенефициенти на по-добра защита</w:t>
      </w:r>
      <w:r w:rsidRPr="009229B0">
        <w:rPr>
          <w:rFonts w:ascii="Times New Roman" w:eastAsia="Times New Roman" w:hAnsi="Times New Roman" w:cs="Times New Roman"/>
          <w:sz w:val="24"/>
          <w:szCs w:val="24"/>
        </w:rPr>
        <w:t xml:space="preserve">, а </w:t>
      </w:r>
      <w:r w:rsidRPr="009229B0">
        <w:rPr>
          <w:rFonts w:ascii="Times New Roman" w:eastAsia="Times New Roman" w:hAnsi="Times New Roman" w:cs="Times New Roman"/>
          <w:bCs/>
          <w:sz w:val="24"/>
          <w:szCs w:val="24"/>
        </w:rPr>
        <w:t>не като носители на нови задължения</w:t>
      </w:r>
      <w:r w:rsidRPr="009229B0">
        <w:rPr>
          <w:rFonts w:ascii="Times New Roman" w:eastAsia="Times New Roman" w:hAnsi="Times New Roman" w:cs="Times New Roman"/>
          <w:sz w:val="24"/>
          <w:szCs w:val="24"/>
        </w:rPr>
        <w:t>.</w:t>
      </w:r>
    </w:p>
    <w:p w14:paraId="76BCB02F" w14:textId="68BC492E" w:rsidR="00CB0A97" w:rsidRPr="009229B0" w:rsidRDefault="00CB0A97" w:rsidP="00DD69D5">
      <w:pPr>
        <w:spacing w:after="0" w:line="240" w:lineRule="auto"/>
        <w:ind w:firstLine="567"/>
        <w:jc w:val="both"/>
        <w:rPr>
          <w:rFonts w:ascii="Times New Roman" w:eastAsia="Times New Roman" w:hAnsi="Times New Roman" w:cs="Times New Roman"/>
          <w:sz w:val="24"/>
          <w:szCs w:val="24"/>
        </w:rPr>
      </w:pPr>
      <w:r w:rsidRPr="009229B0">
        <w:rPr>
          <w:rFonts w:ascii="Times New Roman" w:eastAsia="Times New Roman" w:hAnsi="Times New Roman" w:cs="Times New Roman"/>
          <w:b/>
          <w:bCs/>
          <w:i/>
          <w:sz w:val="24"/>
          <w:szCs w:val="24"/>
        </w:rPr>
        <w:t>Ефекти върху МСП (качествено):</w:t>
      </w:r>
      <w:r w:rsidRPr="009229B0">
        <w:rPr>
          <w:rFonts w:ascii="Times New Roman" w:eastAsia="Times New Roman" w:hAnsi="Times New Roman" w:cs="Times New Roman"/>
          <w:i/>
          <w:sz w:val="24"/>
          <w:szCs w:val="24"/>
        </w:rPr>
        <w:t xml:space="preserve"> </w:t>
      </w:r>
      <w:r w:rsidR="00940D80">
        <w:rPr>
          <w:rFonts w:ascii="Times New Roman" w:eastAsia="Times New Roman" w:hAnsi="Times New Roman" w:cs="Times New Roman"/>
          <w:iCs/>
          <w:sz w:val="24"/>
          <w:szCs w:val="24"/>
        </w:rPr>
        <w:t>о</w:t>
      </w:r>
      <w:r w:rsidRPr="009229B0">
        <w:rPr>
          <w:rFonts w:ascii="Times New Roman" w:eastAsia="Times New Roman" w:hAnsi="Times New Roman" w:cs="Times New Roman"/>
          <w:iCs/>
          <w:sz w:val="24"/>
          <w:szCs w:val="24"/>
        </w:rPr>
        <w:t>чаквани</w:t>
      </w:r>
      <w:r>
        <w:rPr>
          <w:rFonts w:ascii="Times New Roman" w:eastAsia="Times New Roman" w:hAnsi="Times New Roman" w:cs="Times New Roman"/>
          <w:iCs/>
          <w:sz w:val="24"/>
          <w:szCs w:val="24"/>
        </w:rPr>
        <w:t>те</w:t>
      </w:r>
      <w:r w:rsidRPr="009229B0">
        <w:rPr>
          <w:rFonts w:ascii="Times New Roman" w:eastAsia="Times New Roman" w:hAnsi="Times New Roman" w:cs="Times New Roman"/>
          <w:iCs/>
          <w:sz w:val="24"/>
          <w:szCs w:val="24"/>
        </w:rPr>
        <w:t xml:space="preserve"> ползи</w:t>
      </w:r>
      <w:r>
        <w:rPr>
          <w:rFonts w:ascii="Times New Roman" w:eastAsia="Times New Roman" w:hAnsi="Times New Roman" w:cs="Times New Roman"/>
          <w:iCs/>
          <w:sz w:val="24"/>
          <w:szCs w:val="24"/>
        </w:rPr>
        <w:t xml:space="preserve"> от</w:t>
      </w:r>
      <w:r w:rsidRPr="009229B0">
        <w:rPr>
          <w:rFonts w:ascii="Times New Roman" w:eastAsia="Times New Roman" w:hAnsi="Times New Roman" w:cs="Times New Roman"/>
          <w:sz w:val="24"/>
          <w:szCs w:val="24"/>
        </w:rPr>
        <w:t xml:space="preserve"> Вариант 2 </w:t>
      </w:r>
      <w:r>
        <w:rPr>
          <w:rFonts w:ascii="Times New Roman" w:eastAsia="Times New Roman" w:hAnsi="Times New Roman" w:cs="Times New Roman"/>
          <w:sz w:val="24"/>
          <w:szCs w:val="24"/>
        </w:rPr>
        <w:t xml:space="preserve">са свързани с това, че той </w:t>
      </w:r>
      <w:r w:rsidRPr="009229B0">
        <w:rPr>
          <w:rFonts w:ascii="Times New Roman" w:eastAsia="Times New Roman" w:hAnsi="Times New Roman" w:cs="Times New Roman"/>
          <w:sz w:val="24"/>
          <w:szCs w:val="24"/>
        </w:rPr>
        <w:t>адресира ключови</w:t>
      </w:r>
      <w:r w:rsidR="009D6110">
        <w:rPr>
          <w:rFonts w:ascii="Times New Roman" w:eastAsia="Times New Roman" w:hAnsi="Times New Roman" w:cs="Times New Roman"/>
          <w:sz w:val="24"/>
          <w:szCs w:val="24"/>
        </w:rPr>
        <w:t>те</w:t>
      </w:r>
      <w:r w:rsidRPr="009229B0">
        <w:rPr>
          <w:rFonts w:ascii="Times New Roman" w:eastAsia="Times New Roman" w:hAnsi="Times New Roman" w:cs="Times New Roman"/>
          <w:sz w:val="24"/>
          <w:szCs w:val="24"/>
        </w:rPr>
        <w:t xml:space="preserve"> </w:t>
      </w:r>
      <w:r w:rsidRPr="00943C4D">
        <w:rPr>
          <w:rFonts w:ascii="Times New Roman" w:eastAsia="Times New Roman" w:hAnsi="Times New Roman" w:cs="Times New Roman"/>
          <w:sz w:val="24"/>
          <w:szCs w:val="24"/>
        </w:rPr>
        <w:t xml:space="preserve">проблеми </w:t>
      </w:r>
      <w:r w:rsidRPr="009229B0">
        <w:rPr>
          <w:rFonts w:ascii="Times New Roman" w:eastAsia="Times New Roman" w:hAnsi="Times New Roman" w:cs="Times New Roman"/>
          <w:bCs/>
          <w:sz w:val="24"/>
          <w:szCs w:val="24"/>
        </w:rPr>
        <w:t>с минимално необходима намеса</w:t>
      </w:r>
      <w:r w:rsidRPr="009229B0">
        <w:rPr>
          <w:rFonts w:ascii="Times New Roman" w:eastAsia="Times New Roman" w:hAnsi="Times New Roman" w:cs="Times New Roman"/>
          <w:sz w:val="24"/>
          <w:szCs w:val="24"/>
        </w:rPr>
        <w:t xml:space="preserve">. Забраната на определени нелоялни </w:t>
      </w:r>
      <w:r>
        <w:rPr>
          <w:rFonts w:ascii="Times New Roman" w:eastAsia="Times New Roman" w:hAnsi="Times New Roman" w:cs="Times New Roman"/>
          <w:sz w:val="24"/>
          <w:szCs w:val="24"/>
        </w:rPr>
        <w:t xml:space="preserve">търговски </w:t>
      </w:r>
      <w:r w:rsidRPr="009229B0">
        <w:rPr>
          <w:rFonts w:ascii="Times New Roman" w:eastAsia="Times New Roman" w:hAnsi="Times New Roman" w:cs="Times New Roman"/>
          <w:sz w:val="24"/>
          <w:szCs w:val="24"/>
        </w:rPr>
        <w:t xml:space="preserve">практики </w:t>
      </w:r>
      <w:r w:rsidRPr="009229B0">
        <w:rPr>
          <w:rFonts w:ascii="Times New Roman" w:eastAsia="Times New Roman" w:hAnsi="Times New Roman" w:cs="Times New Roman"/>
          <w:bCs/>
          <w:sz w:val="24"/>
          <w:szCs w:val="24"/>
        </w:rPr>
        <w:t>ще подобри положението на малките производители и доставчици</w:t>
      </w:r>
      <w:r w:rsidRPr="009229B0">
        <w:rPr>
          <w:rFonts w:ascii="Times New Roman" w:eastAsia="Times New Roman" w:hAnsi="Times New Roman" w:cs="Times New Roman"/>
          <w:sz w:val="24"/>
          <w:szCs w:val="24"/>
        </w:rPr>
        <w:t xml:space="preserve"> при преговори с големи изкупвачи. Например, ако се въведе правило за </w:t>
      </w:r>
      <w:r w:rsidRPr="009229B0">
        <w:rPr>
          <w:rFonts w:ascii="Times New Roman" w:eastAsia="Times New Roman" w:hAnsi="Times New Roman" w:cs="Times New Roman"/>
          <w:bCs/>
          <w:sz w:val="24"/>
          <w:szCs w:val="24"/>
        </w:rPr>
        <w:t>максимален срок за плащане</w:t>
      </w:r>
      <w:r w:rsidRPr="009229B0">
        <w:rPr>
          <w:rFonts w:ascii="Times New Roman" w:eastAsia="Times New Roman" w:hAnsi="Times New Roman" w:cs="Times New Roman"/>
          <w:sz w:val="24"/>
          <w:szCs w:val="24"/>
        </w:rPr>
        <w:t xml:space="preserve"> (30 дни) за бързоразвалящи се храни, един малък </w:t>
      </w:r>
      <w:r w:rsidR="00D953EE">
        <w:rPr>
          <w:rFonts w:ascii="Times New Roman" w:eastAsia="Times New Roman" w:hAnsi="Times New Roman" w:cs="Times New Roman"/>
          <w:sz w:val="24"/>
          <w:szCs w:val="24"/>
        </w:rPr>
        <w:t xml:space="preserve">земеделски производител </w:t>
      </w:r>
      <w:r w:rsidRPr="009229B0">
        <w:rPr>
          <w:rFonts w:ascii="Times New Roman" w:eastAsia="Times New Roman" w:hAnsi="Times New Roman" w:cs="Times New Roman"/>
          <w:sz w:val="24"/>
          <w:szCs w:val="24"/>
        </w:rPr>
        <w:t xml:space="preserve">ще получава парите си навреме, което </w:t>
      </w:r>
      <w:r w:rsidRPr="009229B0">
        <w:rPr>
          <w:rFonts w:ascii="Times New Roman" w:eastAsia="Times New Roman" w:hAnsi="Times New Roman" w:cs="Times New Roman"/>
          <w:bCs/>
          <w:sz w:val="24"/>
          <w:szCs w:val="24"/>
        </w:rPr>
        <w:t>подобрява ликвидността му и намалява риска от фалит</w:t>
      </w:r>
      <w:r w:rsidRPr="009229B0">
        <w:rPr>
          <w:rFonts w:ascii="Times New Roman" w:eastAsia="Times New Roman" w:hAnsi="Times New Roman" w:cs="Times New Roman"/>
          <w:sz w:val="24"/>
          <w:szCs w:val="24"/>
        </w:rPr>
        <w:t xml:space="preserve">. Ако се забрани на купувачите да отменят поръчки в последния момент, </w:t>
      </w:r>
      <w:r w:rsidR="00D953EE">
        <w:rPr>
          <w:rFonts w:ascii="Times New Roman" w:eastAsia="Times New Roman" w:hAnsi="Times New Roman" w:cs="Times New Roman"/>
          <w:bCs/>
          <w:sz w:val="24"/>
          <w:szCs w:val="24"/>
        </w:rPr>
        <w:t>производителите</w:t>
      </w:r>
      <w:r w:rsidR="00D953EE" w:rsidRPr="009229B0">
        <w:rPr>
          <w:rFonts w:ascii="Times New Roman" w:eastAsia="Times New Roman" w:hAnsi="Times New Roman" w:cs="Times New Roman"/>
          <w:bCs/>
          <w:sz w:val="24"/>
          <w:szCs w:val="24"/>
        </w:rPr>
        <w:t xml:space="preserve"> </w:t>
      </w:r>
      <w:r w:rsidRPr="009229B0">
        <w:rPr>
          <w:rFonts w:ascii="Times New Roman" w:eastAsia="Times New Roman" w:hAnsi="Times New Roman" w:cs="Times New Roman"/>
          <w:bCs/>
          <w:sz w:val="24"/>
          <w:szCs w:val="24"/>
        </w:rPr>
        <w:t>няма да остават с непродадена продукция</w:t>
      </w:r>
      <w:r w:rsidRPr="009229B0">
        <w:rPr>
          <w:rFonts w:ascii="Times New Roman" w:eastAsia="Times New Roman" w:hAnsi="Times New Roman" w:cs="Times New Roman"/>
          <w:sz w:val="24"/>
          <w:szCs w:val="24"/>
        </w:rPr>
        <w:t xml:space="preserve"> в последния момент</w:t>
      </w:r>
      <w:r>
        <w:rPr>
          <w:rFonts w:ascii="Times New Roman" w:eastAsia="Times New Roman" w:hAnsi="Times New Roman" w:cs="Times New Roman"/>
          <w:sz w:val="24"/>
          <w:szCs w:val="24"/>
        </w:rPr>
        <w:t>, а</w:t>
      </w:r>
      <w:r w:rsidRPr="009229B0">
        <w:rPr>
          <w:rFonts w:ascii="Times New Roman" w:eastAsia="Times New Roman" w:hAnsi="Times New Roman" w:cs="Times New Roman"/>
          <w:sz w:val="24"/>
          <w:szCs w:val="24"/>
        </w:rPr>
        <w:t xml:space="preserve"> това директно повишава</w:t>
      </w:r>
      <w:r w:rsidRPr="00943C4D">
        <w:rPr>
          <w:rFonts w:ascii="Times New Roman" w:eastAsia="Times New Roman" w:hAnsi="Times New Roman" w:cs="Times New Roman"/>
          <w:sz w:val="24"/>
          <w:szCs w:val="24"/>
        </w:rPr>
        <w:t xml:space="preserve"> доходната стабилност на МСП в селското стопанство. </w:t>
      </w:r>
      <w:r w:rsidRPr="009229B0">
        <w:rPr>
          <w:rFonts w:ascii="Times New Roman" w:eastAsia="Times New Roman" w:hAnsi="Times New Roman" w:cs="Times New Roman"/>
          <w:bCs/>
          <w:sz w:val="24"/>
          <w:szCs w:val="24"/>
        </w:rPr>
        <w:t>Социалният ефект</w:t>
      </w:r>
      <w:r w:rsidRPr="009229B0">
        <w:rPr>
          <w:rFonts w:ascii="Times New Roman" w:eastAsia="Times New Roman" w:hAnsi="Times New Roman" w:cs="Times New Roman"/>
          <w:sz w:val="24"/>
          <w:szCs w:val="24"/>
        </w:rPr>
        <w:t xml:space="preserve"> също </w:t>
      </w:r>
      <w:r>
        <w:rPr>
          <w:rFonts w:ascii="Times New Roman" w:eastAsia="Times New Roman" w:hAnsi="Times New Roman" w:cs="Times New Roman"/>
          <w:sz w:val="24"/>
          <w:szCs w:val="24"/>
        </w:rPr>
        <w:t>е положителен.</w:t>
      </w:r>
      <w:r w:rsidRPr="009229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9229B0">
        <w:rPr>
          <w:rFonts w:ascii="Times New Roman" w:eastAsia="Times New Roman" w:hAnsi="Times New Roman" w:cs="Times New Roman"/>
          <w:sz w:val="24"/>
          <w:szCs w:val="24"/>
        </w:rPr>
        <w:t>о-стабилни</w:t>
      </w:r>
      <w:r w:rsidR="009D6110">
        <w:rPr>
          <w:rFonts w:ascii="Times New Roman" w:eastAsia="Times New Roman" w:hAnsi="Times New Roman" w:cs="Times New Roman"/>
          <w:sz w:val="24"/>
          <w:szCs w:val="24"/>
        </w:rPr>
        <w:t>те</w:t>
      </w:r>
      <w:r w:rsidRPr="009229B0">
        <w:rPr>
          <w:rFonts w:ascii="Times New Roman" w:eastAsia="Times New Roman" w:hAnsi="Times New Roman" w:cs="Times New Roman"/>
          <w:sz w:val="24"/>
          <w:szCs w:val="24"/>
        </w:rPr>
        <w:t xml:space="preserve"> доходи</w:t>
      </w:r>
      <w:r w:rsidR="00D953EE">
        <w:rPr>
          <w:rFonts w:ascii="Times New Roman" w:eastAsia="Times New Roman" w:hAnsi="Times New Roman" w:cs="Times New Roman"/>
          <w:sz w:val="24"/>
          <w:szCs w:val="24"/>
        </w:rPr>
        <w:t xml:space="preserve"> за земеделските производители</w:t>
      </w:r>
      <w:r w:rsidRPr="009229B0">
        <w:rPr>
          <w:rFonts w:ascii="Times New Roman" w:eastAsia="Times New Roman" w:hAnsi="Times New Roman" w:cs="Times New Roman"/>
          <w:sz w:val="24"/>
          <w:szCs w:val="24"/>
        </w:rPr>
        <w:t xml:space="preserve"> подпомагат заетостта в селските райони и намаляват несигурността за работниците. </w:t>
      </w:r>
      <w:r>
        <w:rPr>
          <w:rFonts w:ascii="Times New Roman" w:eastAsia="Times New Roman" w:hAnsi="Times New Roman" w:cs="Times New Roman"/>
          <w:sz w:val="24"/>
          <w:szCs w:val="24"/>
        </w:rPr>
        <w:t>М</w:t>
      </w:r>
      <w:r w:rsidRPr="00BC576B">
        <w:rPr>
          <w:rFonts w:ascii="Times New Roman" w:eastAsia="Times New Roman" w:hAnsi="Times New Roman" w:cs="Times New Roman"/>
          <w:iCs/>
          <w:sz w:val="24"/>
          <w:szCs w:val="24"/>
        </w:rPr>
        <w:t>алките търговци и преработватели</w:t>
      </w:r>
      <w:r w:rsidRPr="009229B0">
        <w:rPr>
          <w:rFonts w:ascii="Times New Roman" w:eastAsia="Times New Roman" w:hAnsi="Times New Roman" w:cs="Times New Roman"/>
          <w:sz w:val="24"/>
          <w:szCs w:val="24"/>
        </w:rPr>
        <w:t xml:space="preserve"> на практика </w:t>
      </w:r>
      <w:r w:rsidRPr="009229B0">
        <w:rPr>
          <w:rFonts w:ascii="Times New Roman" w:eastAsia="Times New Roman" w:hAnsi="Times New Roman" w:cs="Times New Roman"/>
          <w:bCs/>
          <w:sz w:val="24"/>
          <w:szCs w:val="24"/>
        </w:rPr>
        <w:t>почти не са обременени от новите правила</w:t>
      </w:r>
      <w:r w:rsidRPr="009229B0">
        <w:rPr>
          <w:rFonts w:ascii="Times New Roman" w:eastAsia="Times New Roman" w:hAnsi="Times New Roman" w:cs="Times New Roman"/>
          <w:sz w:val="24"/>
          <w:szCs w:val="24"/>
        </w:rPr>
        <w:t xml:space="preserve">, а дори могат да се възползват, когато са в позиция на доставчик към по-голям клиент. Освен това, понеже Вариант 2 </w:t>
      </w:r>
      <w:r w:rsidRPr="009229B0">
        <w:rPr>
          <w:rFonts w:ascii="Times New Roman" w:eastAsia="Times New Roman" w:hAnsi="Times New Roman" w:cs="Times New Roman"/>
          <w:bCs/>
          <w:sz w:val="24"/>
          <w:szCs w:val="24"/>
        </w:rPr>
        <w:t>не включва спорни мерки като контрол на цени или задължителни квоти</w:t>
      </w:r>
      <w:r w:rsidRPr="009229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той </w:t>
      </w:r>
      <w:r w:rsidRPr="009229B0">
        <w:rPr>
          <w:rFonts w:ascii="Times New Roman" w:eastAsia="Times New Roman" w:hAnsi="Times New Roman" w:cs="Times New Roman"/>
          <w:bCs/>
          <w:sz w:val="24"/>
          <w:szCs w:val="24"/>
        </w:rPr>
        <w:t xml:space="preserve">не създава </w:t>
      </w:r>
      <w:r>
        <w:rPr>
          <w:rFonts w:ascii="Times New Roman" w:eastAsia="Times New Roman" w:hAnsi="Times New Roman" w:cs="Times New Roman"/>
          <w:bCs/>
          <w:sz w:val="24"/>
          <w:szCs w:val="24"/>
        </w:rPr>
        <w:t xml:space="preserve">и </w:t>
      </w:r>
      <w:r w:rsidRPr="009229B0">
        <w:rPr>
          <w:rFonts w:ascii="Times New Roman" w:eastAsia="Times New Roman" w:hAnsi="Times New Roman" w:cs="Times New Roman"/>
          <w:bCs/>
          <w:sz w:val="24"/>
          <w:szCs w:val="24"/>
        </w:rPr>
        <w:t>пазарни изкривявания</w:t>
      </w:r>
      <w:r w:rsidRPr="009229B0">
        <w:rPr>
          <w:rFonts w:ascii="Times New Roman" w:eastAsia="Times New Roman" w:hAnsi="Times New Roman" w:cs="Times New Roman"/>
          <w:sz w:val="24"/>
          <w:szCs w:val="24"/>
        </w:rPr>
        <w:t xml:space="preserve">, които биха </w:t>
      </w:r>
      <w:r w:rsidR="00004614">
        <w:rPr>
          <w:rFonts w:ascii="Times New Roman" w:eastAsia="Times New Roman" w:hAnsi="Times New Roman" w:cs="Times New Roman"/>
          <w:sz w:val="24"/>
          <w:szCs w:val="24"/>
        </w:rPr>
        <w:t>засегнали негативно</w:t>
      </w:r>
      <w:r w:rsidRPr="009229B0">
        <w:rPr>
          <w:rFonts w:ascii="Times New Roman" w:eastAsia="Times New Roman" w:hAnsi="Times New Roman" w:cs="Times New Roman"/>
          <w:sz w:val="24"/>
          <w:szCs w:val="24"/>
        </w:rPr>
        <w:t xml:space="preserve"> малкия бизнес. </w:t>
      </w:r>
      <w:r w:rsidRPr="00BC576B">
        <w:rPr>
          <w:rFonts w:ascii="Times New Roman" w:eastAsia="Times New Roman" w:hAnsi="Times New Roman" w:cs="Times New Roman"/>
          <w:iCs/>
          <w:sz w:val="24"/>
          <w:szCs w:val="24"/>
        </w:rPr>
        <w:t>Недостатъци</w:t>
      </w:r>
      <w:r>
        <w:rPr>
          <w:rFonts w:ascii="Times New Roman" w:eastAsia="Times New Roman" w:hAnsi="Times New Roman" w:cs="Times New Roman"/>
          <w:iCs/>
          <w:sz w:val="24"/>
          <w:szCs w:val="24"/>
        </w:rPr>
        <w:t xml:space="preserve">те при този </w:t>
      </w:r>
      <w:r w:rsidR="009D6110">
        <w:rPr>
          <w:rFonts w:ascii="Times New Roman" w:eastAsia="Times New Roman" w:hAnsi="Times New Roman" w:cs="Times New Roman"/>
          <w:sz w:val="24"/>
          <w:szCs w:val="24"/>
        </w:rPr>
        <w:t>вариант</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са свързани с пропуснати</w:t>
      </w:r>
      <w:r w:rsidR="009D6110">
        <w:rPr>
          <w:rFonts w:ascii="Times New Roman" w:eastAsia="Times New Roman" w:hAnsi="Times New Roman" w:cs="Times New Roman"/>
          <w:iCs/>
          <w:sz w:val="24"/>
          <w:szCs w:val="24"/>
        </w:rPr>
        <w:t>те</w:t>
      </w:r>
      <w:r>
        <w:rPr>
          <w:rFonts w:ascii="Times New Roman" w:eastAsia="Times New Roman" w:hAnsi="Times New Roman" w:cs="Times New Roman"/>
          <w:iCs/>
          <w:sz w:val="24"/>
          <w:szCs w:val="24"/>
        </w:rPr>
        <w:t xml:space="preserve"> ползи. Той </w:t>
      </w:r>
      <w:r w:rsidRPr="009229B0">
        <w:rPr>
          <w:rFonts w:ascii="Times New Roman" w:eastAsia="Times New Roman" w:hAnsi="Times New Roman" w:cs="Times New Roman"/>
          <w:sz w:val="24"/>
          <w:szCs w:val="24"/>
        </w:rPr>
        <w:t xml:space="preserve">е </w:t>
      </w:r>
      <w:r w:rsidRPr="009229B0">
        <w:rPr>
          <w:rFonts w:ascii="Times New Roman" w:eastAsia="Times New Roman" w:hAnsi="Times New Roman" w:cs="Times New Roman"/>
          <w:bCs/>
          <w:sz w:val="24"/>
          <w:szCs w:val="24"/>
        </w:rPr>
        <w:t>по-ограничен по обхват</w:t>
      </w:r>
      <w:r w:rsidRPr="009229B0">
        <w:rPr>
          <w:rFonts w:ascii="Times New Roman" w:eastAsia="Times New Roman" w:hAnsi="Times New Roman" w:cs="Times New Roman"/>
          <w:sz w:val="24"/>
          <w:szCs w:val="24"/>
        </w:rPr>
        <w:t xml:space="preserve"> и </w:t>
      </w:r>
      <w:r w:rsidRPr="009229B0">
        <w:rPr>
          <w:rFonts w:ascii="Times New Roman" w:eastAsia="Times New Roman" w:hAnsi="Times New Roman" w:cs="Times New Roman"/>
          <w:bCs/>
          <w:sz w:val="24"/>
          <w:szCs w:val="24"/>
        </w:rPr>
        <w:t xml:space="preserve">не </w:t>
      </w:r>
      <w:r>
        <w:rPr>
          <w:rFonts w:ascii="Times New Roman" w:eastAsia="Times New Roman" w:hAnsi="Times New Roman" w:cs="Times New Roman"/>
          <w:bCs/>
          <w:sz w:val="24"/>
          <w:szCs w:val="24"/>
        </w:rPr>
        <w:t>раз</w:t>
      </w:r>
      <w:r w:rsidRPr="009229B0">
        <w:rPr>
          <w:rFonts w:ascii="Times New Roman" w:eastAsia="Times New Roman" w:hAnsi="Times New Roman" w:cs="Times New Roman"/>
          <w:bCs/>
          <w:sz w:val="24"/>
          <w:szCs w:val="24"/>
        </w:rPr>
        <w:t>решава всички проблеми</w:t>
      </w:r>
      <w:r w:rsidRPr="009229B0">
        <w:rPr>
          <w:rFonts w:ascii="Times New Roman" w:eastAsia="Times New Roman" w:hAnsi="Times New Roman" w:cs="Times New Roman"/>
          <w:sz w:val="24"/>
          <w:szCs w:val="24"/>
        </w:rPr>
        <w:t>. Например</w:t>
      </w:r>
      <w:r>
        <w:rPr>
          <w:rFonts w:ascii="Times New Roman" w:eastAsia="Times New Roman" w:hAnsi="Times New Roman" w:cs="Times New Roman"/>
          <w:sz w:val="24"/>
          <w:szCs w:val="24"/>
        </w:rPr>
        <w:t xml:space="preserve">, </w:t>
      </w:r>
      <w:r w:rsidRPr="009229B0">
        <w:rPr>
          <w:rFonts w:ascii="Times New Roman" w:eastAsia="Times New Roman" w:hAnsi="Times New Roman" w:cs="Times New Roman"/>
          <w:sz w:val="24"/>
          <w:szCs w:val="24"/>
        </w:rPr>
        <w:t xml:space="preserve">ако общественият проблем е високата крайна цена за потребителя и ниския дял за производителя, този вариант не се намесва пряко в ценообразуването. Също така, </w:t>
      </w:r>
      <w:r w:rsidRPr="009229B0">
        <w:rPr>
          <w:rFonts w:ascii="Times New Roman" w:eastAsia="Times New Roman" w:hAnsi="Times New Roman" w:cs="Times New Roman"/>
          <w:bCs/>
          <w:sz w:val="24"/>
          <w:szCs w:val="24"/>
        </w:rPr>
        <w:t>няма гарантирана печалба за производителя</w:t>
      </w:r>
      <w:r w:rsidRPr="009229B0">
        <w:rPr>
          <w:rFonts w:ascii="Times New Roman" w:eastAsia="Times New Roman" w:hAnsi="Times New Roman" w:cs="Times New Roman"/>
          <w:sz w:val="24"/>
          <w:szCs w:val="24"/>
        </w:rPr>
        <w:t xml:space="preserve">, както е предвидено във Вариант 3, което част от фермерските организации може да виждат като пропуск. </w:t>
      </w:r>
    </w:p>
    <w:p w14:paraId="3FBFEFE3" w14:textId="67C689A6" w:rsidR="00CB0A97" w:rsidRPr="00BC576B" w:rsidRDefault="00CB0A97" w:rsidP="00DD69D5">
      <w:pPr>
        <w:spacing w:after="0" w:line="240" w:lineRule="auto"/>
        <w:ind w:firstLine="567"/>
        <w:jc w:val="both"/>
        <w:rPr>
          <w:rFonts w:ascii="Times New Roman" w:eastAsia="Times New Roman" w:hAnsi="Times New Roman" w:cs="Times New Roman"/>
          <w:sz w:val="24"/>
          <w:szCs w:val="24"/>
        </w:rPr>
      </w:pPr>
      <w:r w:rsidRPr="00BC576B">
        <w:rPr>
          <w:rFonts w:ascii="Times New Roman" w:eastAsia="Times New Roman" w:hAnsi="Times New Roman" w:cs="Times New Roman"/>
          <w:sz w:val="24"/>
          <w:szCs w:val="24"/>
        </w:rPr>
        <w:t xml:space="preserve">Вариант 2 </w:t>
      </w:r>
      <w:r w:rsidRPr="00BC576B">
        <w:rPr>
          <w:rFonts w:ascii="Times New Roman" w:eastAsia="Times New Roman" w:hAnsi="Times New Roman" w:cs="Times New Roman"/>
          <w:bCs/>
          <w:sz w:val="24"/>
          <w:szCs w:val="24"/>
        </w:rPr>
        <w:t>постига частично подобрение</w:t>
      </w:r>
      <w:r>
        <w:rPr>
          <w:rFonts w:ascii="Times New Roman" w:eastAsia="Times New Roman" w:hAnsi="Times New Roman" w:cs="Times New Roman"/>
          <w:sz w:val="24"/>
          <w:szCs w:val="24"/>
        </w:rPr>
        <w:t>,</w:t>
      </w:r>
      <w:r w:rsidRPr="00BC576B">
        <w:rPr>
          <w:rFonts w:ascii="Times New Roman" w:eastAsia="Times New Roman" w:hAnsi="Times New Roman" w:cs="Times New Roman"/>
          <w:sz w:val="24"/>
          <w:szCs w:val="24"/>
        </w:rPr>
        <w:t xml:space="preserve"> най-вече </w:t>
      </w:r>
      <w:r w:rsidR="00004614">
        <w:rPr>
          <w:rFonts w:ascii="Times New Roman" w:eastAsia="Times New Roman" w:hAnsi="Times New Roman" w:cs="Times New Roman"/>
          <w:sz w:val="24"/>
          <w:szCs w:val="24"/>
        </w:rPr>
        <w:t>по о</w:t>
      </w:r>
      <w:r w:rsidRPr="00BC576B">
        <w:rPr>
          <w:rFonts w:ascii="Times New Roman" w:eastAsia="Times New Roman" w:hAnsi="Times New Roman" w:cs="Times New Roman"/>
          <w:sz w:val="24"/>
          <w:szCs w:val="24"/>
        </w:rPr>
        <w:t>тно</w:t>
      </w:r>
      <w:r w:rsidR="00004614">
        <w:rPr>
          <w:rFonts w:ascii="Times New Roman" w:eastAsia="Times New Roman" w:hAnsi="Times New Roman" w:cs="Times New Roman"/>
          <w:sz w:val="24"/>
          <w:szCs w:val="24"/>
        </w:rPr>
        <w:t xml:space="preserve">шение </w:t>
      </w:r>
      <w:r w:rsidRPr="00BC576B">
        <w:rPr>
          <w:rFonts w:ascii="Times New Roman" w:eastAsia="Times New Roman" w:hAnsi="Times New Roman" w:cs="Times New Roman"/>
          <w:sz w:val="24"/>
          <w:szCs w:val="24"/>
        </w:rPr>
        <w:t>н</w:t>
      </w:r>
      <w:r w:rsidR="00004614">
        <w:rPr>
          <w:rFonts w:ascii="Times New Roman" w:eastAsia="Times New Roman" w:hAnsi="Times New Roman" w:cs="Times New Roman"/>
          <w:sz w:val="24"/>
          <w:szCs w:val="24"/>
        </w:rPr>
        <w:t>а</w:t>
      </w:r>
      <w:r w:rsidRPr="00BC576B">
        <w:rPr>
          <w:rFonts w:ascii="Times New Roman" w:eastAsia="Times New Roman" w:hAnsi="Times New Roman" w:cs="Times New Roman"/>
          <w:sz w:val="24"/>
          <w:szCs w:val="24"/>
        </w:rPr>
        <w:t xml:space="preserve"> нелоялните практики</w:t>
      </w:r>
      <w:r>
        <w:rPr>
          <w:rFonts w:ascii="Times New Roman" w:eastAsia="Times New Roman" w:hAnsi="Times New Roman" w:cs="Times New Roman"/>
          <w:sz w:val="24"/>
          <w:szCs w:val="24"/>
        </w:rPr>
        <w:t>,</w:t>
      </w:r>
      <w:r w:rsidRPr="00BC576B">
        <w:rPr>
          <w:rFonts w:ascii="Times New Roman" w:eastAsia="Times New Roman" w:hAnsi="Times New Roman" w:cs="Times New Roman"/>
          <w:sz w:val="24"/>
          <w:szCs w:val="24"/>
        </w:rPr>
        <w:t xml:space="preserve"> но </w:t>
      </w:r>
      <w:r w:rsidRPr="00BC576B">
        <w:rPr>
          <w:rFonts w:ascii="Times New Roman" w:eastAsia="Times New Roman" w:hAnsi="Times New Roman" w:cs="Times New Roman"/>
          <w:bCs/>
          <w:sz w:val="24"/>
          <w:szCs w:val="24"/>
        </w:rPr>
        <w:t xml:space="preserve">не </w:t>
      </w:r>
      <w:r w:rsidR="009D6110">
        <w:rPr>
          <w:rFonts w:ascii="Times New Roman" w:eastAsia="Times New Roman" w:hAnsi="Times New Roman" w:cs="Times New Roman"/>
          <w:bCs/>
          <w:sz w:val="24"/>
          <w:szCs w:val="24"/>
        </w:rPr>
        <w:t>гарантира защита</w:t>
      </w:r>
      <w:r w:rsidR="00004614">
        <w:rPr>
          <w:rFonts w:ascii="Times New Roman" w:eastAsia="Times New Roman" w:hAnsi="Times New Roman" w:cs="Times New Roman"/>
          <w:bCs/>
          <w:sz w:val="24"/>
          <w:szCs w:val="24"/>
        </w:rPr>
        <w:t>,</w:t>
      </w:r>
      <w:r w:rsidR="009D6110" w:rsidRPr="00BC576B">
        <w:rPr>
          <w:rFonts w:ascii="Times New Roman" w:eastAsia="Times New Roman" w:hAnsi="Times New Roman" w:cs="Times New Roman"/>
          <w:bCs/>
          <w:sz w:val="24"/>
          <w:szCs w:val="24"/>
        </w:rPr>
        <w:t xml:space="preserve"> </w:t>
      </w:r>
      <w:r w:rsidR="00004614">
        <w:rPr>
          <w:rFonts w:ascii="Times New Roman" w:eastAsia="Times New Roman" w:hAnsi="Times New Roman" w:cs="Times New Roman"/>
          <w:bCs/>
          <w:sz w:val="24"/>
          <w:szCs w:val="24"/>
        </w:rPr>
        <w:t>н</w:t>
      </w:r>
      <w:r w:rsidR="00004614" w:rsidRPr="00BC576B">
        <w:rPr>
          <w:rFonts w:ascii="Times New Roman" w:eastAsia="Times New Roman" w:hAnsi="Times New Roman" w:cs="Times New Roman"/>
          <w:bCs/>
          <w:sz w:val="24"/>
          <w:szCs w:val="24"/>
        </w:rPr>
        <w:t>апр</w:t>
      </w:r>
      <w:r w:rsidR="00004614">
        <w:rPr>
          <w:rFonts w:ascii="Times New Roman" w:eastAsia="Times New Roman" w:hAnsi="Times New Roman" w:cs="Times New Roman"/>
          <w:bCs/>
          <w:sz w:val="24"/>
          <w:szCs w:val="24"/>
        </w:rPr>
        <w:t>имер</w:t>
      </w:r>
      <w:r w:rsidR="00D953EE">
        <w:rPr>
          <w:rFonts w:ascii="Times New Roman" w:eastAsia="Times New Roman" w:hAnsi="Times New Roman" w:cs="Times New Roman"/>
          <w:bCs/>
          <w:sz w:val="24"/>
          <w:szCs w:val="24"/>
        </w:rPr>
        <w:t>,</w:t>
      </w:r>
      <w:r w:rsidR="009D6110">
        <w:rPr>
          <w:rFonts w:ascii="Times New Roman" w:eastAsia="Times New Roman" w:hAnsi="Times New Roman" w:cs="Times New Roman"/>
          <w:bCs/>
          <w:sz w:val="24"/>
          <w:szCs w:val="24"/>
        </w:rPr>
        <w:t xml:space="preserve"> на</w:t>
      </w:r>
      <w:r w:rsidR="009D6110" w:rsidRPr="00BC576B">
        <w:rPr>
          <w:rFonts w:ascii="Times New Roman" w:eastAsia="Times New Roman" w:hAnsi="Times New Roman" w:cs="Times New Roman"/>
          <w:bCs/>
          <w:sz w:val="24"/>
          <w:szCs w:val="24"/>
        </w:rPr>
        <w:t xml:space="preserve"> </w:t>
      </w:r>
      <w:r w:rsidRPr="00BC576B">
        <w:rPr>
          <w:rFonts w:ascii="Times New Roman" w:eastAsia="Times New Roman" w:hAnsi="Times New Roman" w:cs="Times New Roman"/>
          <w:bCs/>
          <w:sz w:val="24"/>
          <w:szCs w:val="24"/>
        </w:rPr>
        <w:t>маржовете на печалба и присъствието на български стоки в търговските обекти</w:t>
      </w:r>
      <w:r w:rsidRPr="00BC576B">
        <w:rPr>
          <w:rFonts w:ascii="Times New Roman" w:eastAsia="Times New Roman" w:hAnsi="Times New Roman" w:cs="Times New Roman"/>
          <w:sz w:val="24"/>
          <w:szCs w:val="24"/>
        </w:rPr>
        <w:t xml:space="preserve">. Все пак, той е </w:t>
      </w:r>
      <w:r w:rsidRPr="00BC576B">
        <w:rPr>
          <w:rFonts w:ascii="Times New Roman" w:eastAsia="Times New Roman" w:hAnsi="Times New Roman" w:cs="Times New Roman"/>
          <w:bCs/>
          <w:sz w:val="24"/>
          <w:szCs w:val="24"/>
        </w:rPr>
        <w:t>по-</w:t>
      </w:r>
      <w:r w:rsidR="0005723C">
        <w:rPr>
          <w:rFonts w:ascii="Times New Roman" w:eastAsia="Times New Roman" w:hAnsi="Times New Roman" w:cs="Times New Roman"/>
          <w:bCs/>
          <w:sz w:val="24"/>
          <w:szCs w:val="24"/>
        </w:rPr>
        <w:t>умерен</w:t>
      </w:r>
      <w:r w:rsidR="0005723C" w:rsidRPr="00BC576B">
        <w:rPr>
          <w:rFonts w:ascii="Times New Roman" w:eastAsia="Times New Roman" w:hAnsi="Times New Roman" w:cs="Times New Roman"/>
          <w:bCs/>
          <w:sz w:val="24"/>
          <w:szCs w:val="24"/>
        </w:rPr>
        <w:t xml:space="preserve"> </w:t>
      </w:r>
      <w:r w:rsidRPr="00BC576B">
        <w:rPr>
          <w:rFonts w:ascii="Times New Roman" w:eastAsia="Times New Roman" w:hAnsi="Times New Roman" w:cs="Times New Roman"/>
          <w:bCs/>
          <w:sz w:val="24"/>
          <w:szCs w:val="24"/>
        </w:rPr>
        <w:t>и реалистичен</w:t>
      </w:r>
      <w:r w:rsidR="0005723C">
        <w:rPr>
          <w:rFonts w:ascii="Times New Roman" w:eastAsia="Times New Roman" w:hAnsi="Times New Roman" w:cs="Times New Roman"/>
          <w:bCs/>
          <w:sz w:val="24"/>
          <w:szCs w:val="24"/>
        </w:rPr>
        <w:t>, в ограничени отношения</w:t>
      </w:r>
      <w:r w:rsidRPr="00BC576B">
        <w:rPr>
          <w:rFonts w:ascii="Times New Roman" w:eastAsia="Times New Roman" w:hAnsi="Times New Roman" w:cs="Times New Roman"/>
          <w:sz w:val="24"/>
          <w:szCs w:val="24"/>
        </w:rPr>
        <w:t xml:space="preserve">. Вероятно </w:t>
      </w:r>
      <w:r w:rsidRPr="00BC576B">
        <w:rPr>
          <w:rFonts w:ascii="Times New Roman" w:eastAsia="Times New Roman" w:hAnsi="Times New Roman" w:cs="Times New Roman"/>
          <w:bCs/>
          <w:sz w:val="24"/>
          <w:szCs w:val="24"/>
        </w:rPr>
        <w:t>социалните ефекти</w:t>
      </w:r>
      <w:r w:rsidRPr="00BC576B">
        <w:rPr>
          <w:rFonts w:ascii="Times New Roman" w:eastAsia="Times New Roman" w:hAnsi="Times New Roman" w:cs="Times New Roman"/>
          <w:sz w:val="24"/>
          <w:szCs w:val="24"/>
        </w:rPr>
        <w:t xml:space="preserve"> ще са положителни (сигурност на доходите), </w:t>
      </w:r>
      <w:r w:rsidRPr="00BC576B">
        <w:rPr>
          <w:rFonts w:ascii="Times New Roman" w:eastAsia="Times New Roman" w:hAnsi="Times New Roman" w:cs="Times New Roman"/>
          <w:bCs/>
          <w:sz w:val="24"/>
          <w:szCs w:val="24"/>
        </w:rPr>
        <w:t>икономическите – леко положителни</w:t>
      </w:r>
      <w:r w:rsidRPr="00BC576B">
        <w:rPr>
          <w:rFonts w:ascii="Times New Roman" w:eastAsia="Times New Roman" w:hAnsi="Times New Roman" w:cs="Times New Roman"/>
          <w:sz w:val="24"/>
          <w:szCs w:val="24"/>
        </w:rPr>
        <w:t xml:space="preserve"> (по-ефективен пазар, повече доверие за инвестиции), а </w:t>
      </w:r>
      <w:r w:rsidRPr="00BC576B">
        <w:rPr>
          <w:rFonts w:ascii="Times New Roman" w:eastAsia="Times New Roman" w:hAnsi="Times New Roman" w:cs="Times New Roman"/>
          <w:bCs/>
          <w:sz w:val="24"/>
          <w:szCs w:val="24"/>
        </w:rPr>
        <w:t>отрицателните последици</w:t>
      </w:r>
      <w:r w:rsidRPr="00BC576B">
        <w:rPr>
          <w:rFonts w:ascii="Times New Roman" w:eastAsia="Times New Roman" w:hAnsi="Times New Roman" w:cs="Times New Roman"/>
          <w:sz w:val="24"/>
          <w:szCs w:val="24"/>
        </w:rPr>
        <w:t xml:space="preserve"> за пазара и конкуренцията са минимални. </w:t>
      </w:r>
      <w:r w:rsidRPr="00BC576B">
        <w:rPr>
          <w:rFonts w:ascii="Times New Roman" w:eastAsia="Times New Roman" w:hAnsi="Times New Roman" w:cs="Times New Roman"/>
          <w:iCs/>
          <w:sz w:val="24"/>
          <w:szCs w:val="24"/>
        </w:rPr>
        <w:t>От гледна точка на МСП</w:t>
      </w:r>
      <w:r w:rsidRPr="00BC576B">
        <w:rPr>
          <w:rFonts w:ascii="Times New Roman" w:eastAsia="Times New Roman" w:hAnsi="Times New Roman" w:cs="Times New Roman"/>
          <w:sz w:val="24"/>
          <w:szCs w:val="24"/>
        </w:rPr>
        <w:t xml:space="preserve">, това изглежда </w:t>
      </w:r>
      <w:r w:rsidR="0005723C">
        <w:rPr>
          <w:rFonts w:ascii="Times New Roman" w:eastAsia="Times New Roman" w:hAnsi="Times New Roman" w:cs="Times New Roman"/>
          <w:bCs/>
          <w:sz w:val="24"/>
          <w:szCs w:val="24"/>
        </w:rPr>
        <w:t>компромисен</w:t>
      </w:r>
      <w:r w:rsidR="0005723C" w:rsidRPr="00BC576B">
        <w:rPr>
          <w:rFonts w:ascii="Times New Roman" w:eastAsia="Times New Roman" w:hAnsi="Times New Roman" w:cs="Times New Roman"/>
          <w:bCs/>
          <w:sz w:val="24"/>
          <w:szCs w:val="24"/>
        </w:rPr>
        <w:t xml:space="preserve"> </w:t>
      </w:r>
      <w:r w:rsidRPr="00BC576B">
        <w:rPr>
          <w:rFonts w:ascii="Times New Roman" w:eastAsia="Times New Roman" w:hAnsi="Times New Roman" w:cs="Times New Roman"/>
          <w:bCs/>
          <w:sz w:val="24"/>
          <w:szCs w:val="24"/>
        </w:rPr>
        <w:t>подход</w:t>
      </w:r>
      <w:r w:rsidRPr="00BC576B">
        <w:rPr>
          <w:rFonts w:ascii="Times New Roman" w:eastAsia="Times New Roman" w:hAnsi="Times New Roman" w:cs="Times New Roman"/>
          <w:sz w:val="24"/>
          <w:szCs w:val="24"/>
        </w:rPr>
        <w:t xml:space="preserve">: дава </w:t>
      </w:r>
      <w:r w:rsidRPr="00BC576B">
        <w:rPr>
          <w:rFonts w:ascii="Times New Roman" w:eastAsia="Times New Roman" w:hAnsi="Times New Roman" w:cs="Times New Roman"/>
          <w:bCs/>
          <w:sz w:val="24"/>
          <w:szCs w:val="24"/>
        </w:rPr>
        <w:t>основни защити без да натоварва</w:t>
      </w:r>
      <w:r w:rsidR="0005723C">
        <w:rPr>
          <w:rFonts w:ascii="Times New Roman" w:eastAsia="Times New Roman" w:hAnsi="Times New Roman" w:cs="Times New Roman"/>
          <w:sz w:val="24"/>
          <w:szCs w:val="24"/>
        </w:rPr>
        <w:t xml:space="preserve">, </w:t>
      </w:r>
      <w:r w:rsidR="0005723C" w:rsidRPr="0005723C">
        <w:rPr>
          <w:rFonts w:ascii="Times New Roman" w:eastAsia="Times New Roman" w:hAnsi="Times New Roman" w:cs="Times New Roman"/>
          <w:sz w:val="24"/>
          <w:szCs w:val="24"/>
        </w:rPr>
        <w:t xml:space="preserve">но и без да се ангажира с по-дълбока </w:t>
      </w:r>
      <w:r w:rsidR="00004614">
        <w:rPr>
          <w:rFonts w:ascii="Times New Roman" w:eastAsia="Times New Roman" w:hAnsi="Times New Roman" w:cs="Times New Roman"/>
          <w:sz w:val="24"/>
          <w:szCs w:val="24"/>
        </w:rPr>
        <w:t>интервенция за отстраняване</w:t>
      </w:r>
      <w:r w:rsidR="0005723C" w:rsidRPr="0005723C">
        <w:rPr>
          <w:rFonts w:ascii="Times New Roman" w:eastAsia="Times New Roman" w:hAnsi="Times New Roman" w:cs="Times New Roman"/>
          <w:sz w:val="24"/>
          <w:szCs w:val="24"/>
        </w:rPr>
        <w:t xml:space="preserve"> на</w:t>
      </w:r>
      <w:r w:rsidR="0005723C">
        <w:rPr>
          <w:rFonts w:ascii="Times New Roman" w:eastAsia="Times New Roman" w:hAnsi="Times New Roman" w:cs="Times New Roman"/>
          <w:sz w:val="24"/>
          <w:szCs w:val="24"/>
        </w:rPr>
        <w:t xml:space="preserve"> идентифицираните дефицити</w:t>
      </w:r>
      <w:r w:rsidR="0005723C" w:rsidRPr="0005723C">
        <w:rPr>
          <w:rFonts w:ascii="Times New Roman" w:eastAsia="Times New Roman" w:hAnsi="Times New Roman" w:cs="Times New Roman"/>
          <w:sz w:val="24"/>
          <w:szCs w:val="24"/>
        </w:rPr>
        <w:t>.</w:t>
      </w:r>
    </w:p>
    <w:p w14:paraId="354EA9E8" w14:textId="4D49E744" w:rsidR="00004614" w:rsidRDefault="00CB0A97" w:rsidP="00DD69D5">
      <w:pPr>
        <w:spacing w:after="0" w:line="240" w:lineRule="auto"/>
        <w:ind w:firstLine="567"/>
        <w:jc w:val="both"/>
        <w:rPr>
          <w:rFonts w:ascii="Times New Roman" w:eastAsia="Times New Roman" w:hAnsi="Times New Roman" w:cs="Times New Roman"/>
          <w:sz w:val="24"/>
          <w:szCs w:val="24"/>
        </w:rPr>
      </w:pPr>
      <w:r w:rsidRPr="009C23B7">
        <w:rPr>
          <w:rFonts w:ascii="Times New Roman" w:eastAsia="Times New Roman" w:hAnsi="Times New Roman" w:cs="Times New Roman"/>
          <w:b/>
          <w:bCs/>
          <w:i/>
          <w:sz w:val="24"/>
          <w:szCs w:val="24"/>
        </w:rPr>
        <w:t>Административна тежест:</w:t>
      </w:r>
      <w:r w:rsidRPr="00943C4D">
        <w:rPr>
          <w:rFonts w:ascii="Times New Roman" w:eastAsia="Times New Roman" w:hAnsi="Times New Roman" w:cs="Times New Roman"/>
          <w:sz w:val="24"/>
          <w:szCs w:val="24"/>
        </w:rPr>
        <w:t xml:space="preserve"> Вариант 2 въвежда </w:t>
      </w:r>
      <w:r w:rsidRPr="009C23B7">
        <w:rPr>
          <w:rFonts w:ascii="Times New Roman" w:eastAsia="Times New Roman" w:hAnsi="Times New Roman" w:cs="Times New Roman"/>
          <w:bCs/>
          <w:sz w:val="24"/>
          <w:szCs w:val="24"/>
        </w:rPr>
        <w:t>някои нови изисквания</w:t>
      </w:r>
      <w:r w:rsidRPr="009C23B7">
        <w:rPr>
          <w:rFonts w:ascii="Times New Roman" w:eastAsia="Times New Roman" w:hAnsi="Times New Roman" w:cs="Times New Roman"/>
          <w:sz w:val="24"/>
          <w:szCs w:val="24"/>
        </w:rPr>
        <w:t xml:space="preserve">, но </w:t>
      </w:r>
      <w:r w:rsidRPr="009C23B7">
        <w:rPr>
          <w:rFonts w:ascii="Times New Roman" w:eastAsia="Times New Roman" w:hAnsi="Times New Roman" w:cs="Times New Roman"/>
          <w:bCs/>
          <w:sz w:val="24"/>
          <w:szCs w:val="24"/>
        </w:rPr>
        <w:t>значително по-малки</w:t>
      </w:r>
      <w:r w:rsidRPr="009C23B7">
        <w:rPr>
          <w:rFonts w:ascii="Times New Roman" w:eastAsia="Times New Roman" w:hAnsi="Times New Roman" w:cs="Times New Roman"/>
          <w:sz w:val="24"/>
          <w:szCs w:val="24"/>
        </w:rPr>
        <w:t xml:space="preserve"> от тези при създаване на изцяло нов </w:t>
      </w:r>
      <w:r>
        <w:rPr>
          <w:rFonts w:ascii="Times New Roman" w:eastAsia="Times New Roman" w:hAnsi="Times New Roman" w:cs="Times New Roman"/>
          <w:sz w:val="24"/>
          <w:szCs w:val="24"/>
        </w:rPr>
        <w:t xml:space="preserve">правен </w:t>
      </w:r>
      <w:r w:rsidRPr="009C23B7">
        <w:rPr>
          <w:rFonts w:ascii="Times New Roman" w:eastAsia="Times New Roman" w:hAnsi="Times New Roman" w:cs="Times New Roman"/>
          <w:sz w:val="24"/>
          <w:szCs w:val="24"/>
        </w:rPr>
        <w:t xml:space="preserve">режим. Тъй като не се създава отделен регистър или нов контролен орган, </w:t>
      </w:r>
      <w:r w:rsidRPr="009C23B7">
        <w:rPr>
          <w:rFonts w:ascii="Times New Roman" w:eastAsia="Times New Roman" w:hAnsi="Times New Roman" w:cs="Times New Roman"/>
          <w:bCs/>
          <w:sz w:val="24"/>
          <w:szCs w:val="24"/>
        </w:rPr>
        <w:t>административната тежест за МСП е ниска</w:t>
      </w:r>
      <w:r w:rsidRPr="009C23B7">
        <w:rPr>
          <w:rFonts w:ascii="Times New Roman" w:eastAsia="Times New Roman" w:hAnsi="Times New Roman" w:cs="Times New Roman"/>
          <w:sz w:val="24"/>
          <w:szCs w:val="24"/>
        </w:rPr>
        <w:t xml:space="preserve">. Малките доставчици </w:t>
      </w:r>
      <w:r w:rsidRPr="009C23B7">
        <w:rPr>
          <w:rFonts w:ascii="Times New Roman" w:eastAsia="Times New Roman" w:hAnsi="Times New Roman" w:cs="Times New Roman"/>
          <w:bCs/>
          <w:sz w:val="24"/>
          <w:szCs w:val="24"/>
        </w:rPr>
        <w:t>нямат формални задължения</w:t>
      </w:r>
      <w:r w:rsidR="009D6110">
        <w:rPr>
          <w:rFonts w:ascii="Times New Roman" w:eastAsia="Times New Roman" w:hAnsi="Times New Roman" w:cs="Times New Roman"/>
          <w:sz w:val="24"/>
          <w:szCs w:val="24"/>
        </w:rPr>
        <w:t>, като</w:t>
      </w:r>
      <w:r w:rsidRPr="009C23B7">
        <w:rPr>
          <w:rFonts w:ascii="Times New Roman" w:eastAsia="Times New Roman" w:hAnsi="Times New Roman" w:cs="Times New Roman"/>
          <w:sz w:val="24"/>
          <w:szCs w:val="24"/>
        </w:rPr>
        <w:t xml:space="preserve"> например не се изисква от </w:t>
      </w:r>
      <w:r w:rsidR="00D953EE">
        <w:rPr>
          <w:rFonts w:ascii="Times New Roman" w:eastAsia="Times New Roman" w:hAnsi="Times New Roman" w:cs="Times New Roman"/>
          <w:sz w:val="24"/>
          <w:szCs w:val="24"/>
        </w:rPr>
        <w:t>производителите</w:t>
      </w:r>
      <w:r w:rsidR="00D953EE" w:rsidRPr="009C23B7">
        <w:rPr>
          <w:rFonts w:ascii="Times New Roman" w:eastAsia="Times New Roman" w:hAnsi="Times New Roman" w:cs="Times New Roman"/>
          <w:sz w:val="24"/>
          <w:szCs w:val="24"/>
        </w:rPr>
        <w:t xml:space="preserve"> </w:t>
      </w:r>
      <w:r w:rsidRPr="009C23B7">
        <w:rPr>
          <w:rFonts w:ascii="Times New Roman" w:eastAsia="Times New Roman" w:hAnsi="Times New Roman" w:cs="Times New Roman"/>
          <w:sz w:val="24"/>
          <w:szCs w:val="24"/>
        </w:rPr>
        <w:t xml:space="preserve">да правят нещо допълнително, освен евентуално да </w:t>
      </w:r>
      <w:r w:rsidRPr="009C23B7">
        <w:rPr>
          <w:rFonts w:ascii="Times New Roman" w:eastAsia="Times New Roman" w:hAnsi="Times New Roman" w:cs="Times New Roman"/>
          <w:bCs/>
          <w:sz w:val="24"/>
          <w:szCs w:val="24"/>
        </w:rPr>
        <w:t>подписват писмени договори</w:t>
      </w:r>
      <w:r w:rsidRPr="009C23B7">
        <w:rPr>
          <w:rFonts w:ascii="Times New Roman" w:eastAsia="Times New Roman" w:hAnsi="Times New Roman" w:cs="Times New Roman"/>
          <w:sz w:val="24"/>
          <w:szCs w:val="24"/>
        </w:rPr>
        <w:t xml:space="preserve"> (ако досега не са го правили). Едно възможно </w:t>
      </w:r>
      <w:r w:rsidR="00004614">
        <w:rPr>
          <w:rFonts w:ascii="Times New Roman" w:eastAsia="Times New Roman" w:hAnsi="Times New Roman" w:cs="Times New Roman"/>
          <w:sz w:val="24"/>
          <w:szCs w:val="24"/>
        </w:rPr>
        <w:t xml:space="preserve">ново </w:t>
      </w:r>
      <w:r w:rsidRPr="009C23B7">
        <w:rPr>
          <w:rFonts w:ascii="Times New Roman" w:eastAsia="Times New Roman" w:hAnsi="Times New Roman" w:cs="Times New Roman"/>
          <w:sz w:val="24"/>
          <w:szCs w:val="24"/>
        </w:rPr>
        <w:t xml:space="preserve">изискване е </w:t>
      </w:r>
      <w:r w:rsidRPr="009C23B7">
        <w:rPr>
          <w:rFonts w:ascii="Times New Roman" w:eastAsia="Times New Roman" w:hAnsi="Times New Roman" w:cs="Times New Roman"/>
          <w:bCs/>
          <w:sz w:val="24"/>
          <w:szCs w:val="24"/>
        </w:rPr>
        <w:t>всички договори за доставка на земеделски продукти да бъдат писмени</w:t>
      </w:r>
      <w:r w:rsidRPr="009C23B7">
        <w:rPr>
          <w:rFonts w:ascii="Times New Roman" w:eastAsia="Times New Roman" w:hAnsi="Times New Roman" w:cs="Times New Roman"/>
          <w:sz w:val="24"/>
          <w:szCs w:val="24"/>
        </w:rPr>
        <w:t xml:space="preserve"> (това е част от мерките срещу </w:t>
      </w:r>
      <w:r w:rsidR="009D6110">
        <w:rPr>
          <w:rFonts w:ascii="Times New Roman" w:eastAsia="Times New Roman" w:hAnsi="Times New Roman" w:cs="Times New Roman"/>
          <w:sz w:val="24"/>
          <w:szCs w:val="24"/>
        </w:rPr>
        <w:t>нелоялните търговски практики</w:t>
      </w:r>
      <w:r w:rsidRPr="009C23B7">
        <w:rPr>
          <w:rFonts w:ascii="Times New Roman" w:eastAsia="Times New Roman" w:hAnsi="Times New Roman" w:cs="Times New Roman"/>
          <w:sz w:val="24"/>
          <w:szCs w:val="24"/>
        </w:rPr>
        <w:t>). За някои микро-</w:t>
      </w:r>
      <w:r w:rsidR="00D953EE">
        <w:rPr>
          <w:rFonts w:ascii="Times New Roman" w:eastAsia="Times New Roman" w:hAnsi="Times New Roman" w:cs="Times New Roman"/>
          <w:sz w:val="24"/>
          <w:szCs w:val="24"/>
        </w:rPr>
        <w:t>стопанства</w:t>
      </w:r>
      <w:r w:rsidRPr="009C23B7">
        <w:rPr>
          <w:rFonts w:ascii="Times New Roman" w:eastAsia="Times New Roman" w:hAnsi="Times New Roman" w:cs="Times New Roman"/>
          <w:sz w:val="24"/>
          <w:szCs w:val="24"/>
        </w:rPr>
        <w:t xml:space="preserve">, които работят с устни </w:t>
      </w:r>
      <w:r w:rsidR="00004614">
        <w:rPr>
          <w:rFonts w:ascii="Times New Roman" w:eastAsia="Times New Roman" w:hAnsi="Times New Roman" w:cs="Times New Roman"/>
          <w:sz w:val="24"/>
          <w:szCs w:val="24"/>
        </w:rPr>
        <w:t>у</w:t>
      </w:r>
      <w:r w:rsidRPr="009C23B7">
        <w:rPr>
          <w:rFonts w:ascii="Times New Roman" w:eastAsia="Times New Roman" w:hAnsi="Times New Roman" w:cs="Times New Roman"/>
          <w:sz w:val="24"/>
          <w:szCs w:val="24"/>
        </w:rPr>
        <w:t xml:space="preserve">говорки, това би означавало </w:t>
      </w:r>
      <w:r w:rsidRPr="009C23B7">
        <w:rPr>
          <w:rFonts w:ascii="Times New Roman" w:eastAsia="Times New Roman" w:hAnsi="Times New Roman" w:cs="Times New Roman"/>
          <w:bCs/>
          <w:sz w:val="24"/>
          <w:szCs w:val="24"/>
        </w:rPr>
        <w:t>минимално административно усилие</w:t>
      </w:r>
      <w:r w:rsidR="009D6110">
        <w:rPr>
          <w:rFonts w:ascii="Times New Roman" w:eastAsia="Times New Roman" w:hAnsi="Times New Roman" w:cs="Times New Roman"/>
          <w:sz w:val="24"/>
          <w:szCs w:val="24"/>
        </w:rPr>
        <w:t>, за</w:t>
      </w:r>
      <w:r>
        <w:rPr>
          <w:rFonts w:ascii="Times New Roman" w:eastAsia="Times New Roman" w:hAnsi="Times New Roman" w:cs="Times New Roman"/>
          <w:sz w:val="24"/>
          <w:szCs w:val="24"/>
        </w:rPr>
        <w:t xml:space="preserve"> да съставят и подпишат договор, най-често по образец</w:t>
      </w:r>
      <w:r w:rsidRPr="00943C4D">
        <w:rPr>
          <w:rFonts w:ascii="Times New Roman" w:eastAsia="Times New Roman" w:hAnsi="Times New Roman" w:cs="Times New Roman"/>
          <w:sz w:val="24"/>
          <w:szCs w:val="24"/>
        </w:rPr>
        <w:t xml:space="preserve">. Това отнема време, но не е </w:t>
      </w:r>
      <w:r w:rsidRPr="00943C4D">
        <w:rPr>
          <w:rFonts w:ascii="Times New Roman" w:eastAsia="Times New Roman" w:hAnsi="Times New Roman" w:cs="Times New Roman"/>
          <w:sz w:val="24"/>
          <w:szCs w:val="24"/>
        </w:rPr>
        <w:lastRenderedPageBreak/>
        <w:t xml:space="preserve">непосилно: </w:t>
      </w:r>
      <w:r w:rsidRPr="009C23B7">
        <w:rPr>
          <w:rFonts w:ascii="Times New Roman" w:eastAsia="Times New Roman" w:hAnsi="Times New Roman" w:cs="Times New Roman"/>
          <w:sz w:val="24"/>
          <w:szCs w:val="24"/>
        </w:rPr>
        <w:t>може би</w:t>
      </w:r>
      <w:r w:rsidR="009D6110">
        <w:rPr>
          <w:rFonts w:ascii="Times New Roman" w:eastAsia="Times New Roman" w:hAnsi="Times New Roman" w:cs="Times New Roman"/>
          <w:sz w:val="24"/>
          <w:szCs w:val="24"/>
        </w:rPr>
        <w:t xml:space="preserve"> от порядъка на</w:t>
      </w:r>
      <w:r w:rsidRPr="009C23B7">
        <w:rPr>
          <w:rFonts w:ascii="Times New Roman" w:eastAsia="Times New Roman" w:hAnsi="Times New Roman" w:cs="Times New Roman"/>
          <w:sz w:val="24"/>
          <w:szCs w:val="24"/>
        </w:rPr>
        <w:t xml:space="preserve"> </w:t>
      </w:r>
      <w:r w:rsidRPr="009C23B7">
        <w:rPr>
          <w:rFonts w:ascii="Times New Roman" w:eastAsia="Times New Roman" w:hAnsi="Times New Roman" w:cs="Times New Roman"/>
          <w:bCs/>
          <w:sz w:val="24"/>
          <w:szCs w:val="24"/>
        </w:rPr>
        <w:t>няколко часа</w:t>
      </w:r>
      <w:r w:rsidR="009D6110">
        <w:rPr>
          <w:rFonts w:ascii="Times New Roman" w:eastAsia="Times New Roman" w:hAnsi="Times New Roman" w:cs="Times New Roman"/>
          <w:bCs/>
          <w:sz w:val="24"/>
          <w:szCs w:val="24"/>
        </w:rPr>
        <w:t>,</w:t>
      </w:r>
      <w:r w:rsidRPr="009C23B7">
        <w:rPr>
          <w:rFonts w:ascii="Times New Roman" w:eastAsia="Times New Roman" w:hAnsi="Times New Roman" w:cs="Times New Roman"/>
          <w:bCs/>
          <w:sz w:val="24"/>
          <w:szCs w:val="24"/>
        </w:rPr>
        <w:t xml:space="preserve"> еднократно</w:t>
      </w:r>
      <w:r w:rsidR="009D6110">
        <w:rPr>
          <w:rFonts w:ascii="Times New Roman" w:eastAsia="Times New Roman" w:hAnsi="Times New Roman" w:cs="Times New Roman"/>
          <w:bCs/>
          <w:sz w:val="24"/>
          <w:szCs w:val="24"/>
        </w:rPr>
        <w:t>,</w:t>
      </w:r>
      <w:r w:rsidRPr="009C23B7">
        <w:rPr>
          <w:rFonts w:ascii="Times New Roman" w:eastAsia="Times New Roman" w:hAnsi="Times New Roman" w:cs="Times New Roman"/>
          <w:sz w:val="24"/>
          <w:szCs w:val="24"/>
        </w:rPr>
        <w:t xml:space="preserve"> за съставяне на типова бланка. Други задължения за малките</w:t>
      </w:r>
      <w:r>
        <w:rPr>
          <w:rFonts w:ascii="Times New Roman" w:eastAsia="Times New Roman" w:hAnsi="Times New Roman" w:cs="Times New Roman"/>
          <w:sz w:val="24"/>
          <w:szCs w:val="24"/>
        </w:rPr>
        <w:t xml:space="preserve"> бизнеси</w:t>
      </w:r>
      <w:r w:rsidRPr="009C23B7">
        <w:rPr>
          <w:rFonts w:ascii="Times New Roman" w:eastAsia="Times New Roman" w:hAnsi="Times New Roman" w:cs="Times New Roman"/>
          <w:sz w:val="24"/>
          <w:szCs w:val="24"/>
        </w:rPr>
        <w:t xml:space="preserve"> няма</w:t>
      </w:r>
      <w:r w:rsidR="009D6110">
        <w:rPr>
          <w:rFonts w:ascii="Times New Roman" w:eastAsia="Times New Roman" w:hAnsi="Times New Roman" w:cs="Times New Roman"/>
          <w:sz w:val="24"/>
          <w:szCs w:val="24"/>
        </w:rPr>
        <w:t>.</w:t>
      </w:r>
      <w:r w:rsidRPr="009C23B7">
        <w:rPr>
          <w:rFonts w:ascii="Times New Roman" w:eastAsia="Times New Roman" w:hAnsi="Times New Roman" w:cs="Times New Roman"/>
          <w:sz w:val="24"/>
          <w:szCs w:val="24"/>
        </w:rPr>
        <w:t xml:space="preserve"> </w:t>
      </w:r>
      <w:r w:rsidR="009D6110">
        <w:rPr>
          <w:rFonts w:ascii="Times New Roman" w:eastAsia="Times New Roman" w:hAnsi="Times New Roman" w:cs="Times New Roman"/>
          <w:bCs/>
          <w:sz w:val="24"/>
          <w:szCs w:val="24"/>
        </w:rPr>
        <w:t>Н</w:t>
      </w:r>
      <w:r w:rsidR="009D6110" w:rsidRPr="009C23B7">
        <w:rPr>
          <w:rFonts w:ascii="Times New Roman" w:eastAsia="Times New Roman" w:hAnsi="Times New Roman" w:cs="Times New Roman"/>
          <w:bCs/>
          <w:sz w:val="24"/>
          <w:szCs w:val="24"/>
        </w:rPr>
        <w:t xml:space="preserve">е </w:t>
      </w:r>
      <w:r w:rsidRPr="009C23B7">
        <w:rPr>
          <w:rFonts w:ascii="Times New Roman" w:eastAsia="Times New Roman" w:hAnsi="Times New Roman" w:cs="Times New Roman"/>
          <w:bCs/>
          <w:sz w:val="24"/>
          <w:szCs w:val="24"/>
        </w:rPr>
        <w:t xml:space="preserve">се изисква </w:t>
      </w:r>
      <w:r w:rsidR="00004614">
        <w:rPr>
          <w:rFonts w:ascii="Times New Roman" w:eastAsia="Times New Roman" w:hAnsi="Times New Roman" w:cs="Times New Roman"/>
          <w:bCs/>
          <w:sz w:val="24"/>
          <w:szCs w:val="24"/>
        </w:rPr>
        <w:t xml:space="preserve">и </w:t>
      </w:r>
      <w:r w:rsidRPr="009C23B7">
        <w:rPr>
          <w:rFonts w:ascii="Times New Roman" w:eastAsia="Times New Roman" w:hAnsi="Times New Roman" w:cs="Times New Roman"/>
          <w:bCs/>
          <w:sz w:val="24"/>
          <w:szCs w:val="24"/>
        </w:rPr>
        <w:t>регулярна отчетност</w:t>
      </w:r>
      <w:r w:rsidRPr="009C23B7">
        <w:rPr>
          <w:rFonts w:ascii="Times New Roman" w:eastAsia="Times New Roman" w:hAnsi="Times New Roman" w:cs="Times New Roman"/>
          <w:sz w:val="24"/>
          <w:szCs w:val="24"/>
        </w:rPr>
        <w:t xml:space="preserve"> от </w:t>
      </w:r>
      <w:r w:rsidR="00D953EE">
        <w:rPr>
          <w:rFonts w:ascii="Times New Roman" w:eastAsia="Times New Roman" w:hAnsi="Times New Roman" w:cs="Times New Roman"/>
          <w:sz w:val="24"/>
          <w:szCs w:val="24"/>
        </w:rPr>
        <w:t>производителите</w:t>
      </w:r>
      <w:r w:rsidR="00D953EE" w:rsidRPr="009C23B7">
        <w:rPr>
          <w:rFonts w:ascii="Times New Roman" w:eastAsia="Times New Roman" w:hAnsi="Times New Roman" w:cs="Times New Roman"/>
          <w:sz w:val="24"/>
          <w:szCs w:val="24"/>
        </w:rPr>
        <w:t xml:space="preserve"> </w:t>
      </w:r>
      <w:r w:rsidRPr="009C23B7">
        <w:rPr>
          <w:rFonts w:ascii="Times New Roman" w:eastAsia="Times New Roman" w:hAnsi="Times New Roman" w:cs="Times New Roman"/>
          <w:sz w:val="24"/>
          <w:szCs w:val="24"/>
        </w:rPr>
        <w:t xml:space="preserve">или дребните търговци. </w:t>
      </w:r>
      <w:r w:rsidRPr="009C23B7">
        <w:rPr>
          <w:rFonts w:ascii="Times New Roman" w:eastAsia="Times New Roman" w:hAnsi="Times New Roman" w:cs="Times New Roman"/>
          <w:bCs/>
          <w:sz w:val="24"/>
          <w:szCs w:val="24"/>
        </w:rPr>
        <w:t>Основната административна тежест пада върху големите оператори</w:t>
      </w:r>
      <w:r>
        <w:rPr>
          <w:rFonts w:ascii="Times New Roman" w:eastAsia="Times New Roman" w:hAnsi="Times New Roman" w:cs="Times New Roman"/>
          <w:sz w:val="24"/>
          <w:szCs w:val="24"/>
        </w:rPr>
        <w:t>. Н</w:t>
      </w:r>
      <w:r w:rsidRPr="00943C4D">
        <w:rPr>
          <w:rFonts w:ascii="Times New Roman" w:eastAsia="Times New Roman" w:hAnsi="Times New Roman" w:cs="Times New Roman"/>
          <w:sz w:val="24"/>
          <w:szCs w:val="24"/>
        </w:rPr>
        <w:t xml:space="preserve">апример, голям супермаркет трябва да </w:t>
      </w:r>
      <w:r>
        <w:rPr>
          <w:rFonts w:ascii="Times New Roman" w:eastAsia="Times New Roman" w:hAnsi="Times New Roman" w:cs="Times New Roman"/>
          <w:sz w:val="24"/>
          <w:szCs w:val="24"/>
        </w:rPr>
        <w:t>промени процедурите за договаряне и ценообразуване</w:t>
      </w:r>
      <w:r w:rsidRPr="00943C4D">
        <w:rPr>
          <w:rFonts w:ascii="Times New Roman" w:eastAsia="Times New Roman" w:hAnsi="Times New Roman" w:cs="Times New Roman"/>
          <w:sz w:val="24"/>
          <w:szCs w:val="24"/>
        </w:rPr>
        <w:t xml:space="preserve">. Тази тежест обаче е </w:t>
      </w:r>
      <w:r w:rsidRPr="009C23B7">
        <w:rPr>
          <w:rFonts w:ascii="Times New Roman" w:eastAsia="Times New Roman" w:hAnsi="Times New Roman" w:cs="Times New Roman"/>
          <w:bCs/>
          <w:sz w:val="24"/>
          <w:szCs w:val="24"/>
        </w:rPr>
        <w:t>еднократна и незначителна</w:t>
      </w:r>
      <w:r w:rsidRPr="009C23B7">
        <w:rPr>
          <w:rFonts w:ascii="Times New Roman" w:eastAsia="Times New Roman" w:hAnsi="Times New Roman" w:cs="Times New Roman"/>
          <w:sz w:val="24"/>
          <w:szCs w:val="24"/>
        </w:rPr>
        <w:t xml:space="preserve"> спрямо</w:t>
      </w:r>
      <w:r w:rsidRPr="00943C4D">
        <w:rPr>
          <w:rFonts w:ascii="Times New Roman" w:eastAsia="Times New Roman" w:hAnsi="Times New Roman" w:cs="Times New Roman"/>
          <w:sz w:val="24"/>
          <w:szCs w:val="24"/>
        </w:rPr>
        <w:t xml:space="preserve"> мащаба им (големите </w:t>
      </w:r>
      <w:r w:rsidR="009D6110">
        <w:rPr>
          <w:rFonts w:ascii="Times New Roman" w:eastAsia="Times New Roman" w:hAnsi="Times New Roman" w:cs="Times New Roman"/>
          <w:sz w:val="24"/>
          <w:szCs w:val="24"/>
        </w:rPr>
        <w:t>дружества</w:t>
      </w:r>
      <w:r w:rsidR="009D6110" w:rsidRPr="00943C4D">
        <w:rPr>
          <w:rFonts w:ascii="Times New Roman" w:eastAsia="Times New Roman" w:hAnsi="Times New Roman" w:cs="Times New Roman"/>
          <w:sz w:val="24"/>
          <w:szCs w:val="24"/>
        </w:rPr>
        <w:t xml:space="preserve"> </w:t>
      </w:r>
      <w:r w:rsidRPr="00943C4D">
        <w:rPr>
          <w:rFonts w:ascii="Times New Roman" w:eastAsia="Times New Roman" w:hAnsi="Times New Roman" w:cs="Times New Roman"/>
          <w:sz w:val="24"/>
          <w:szCs w:val="24"/>
        </w:rPr>
        <w:t xml:space="preserve">разполагат с юридически отдели, </w:t>
      </w:r>
      <w:r w:rsidR="009D6110">
        <w:rPr>
          <w:rFonts w:ascii="Times New Roman" w:eastAsia="Times New Roman" w:hAnsi="Times New Roman" w:cs="Times New Roman"/>
          <w:sz w:val="24"/>
          <w:szCs w:val="24"/>
        </w:rPr>
        <w:t xml:space="preserve">като </w:t>
      </w:r>
      <w:r w:rsidRPr="00943C4D">
        <w:rPr>
          <w:rFonts w:ascii="Times New Roman" w:eastAsia="Times New Roman" w:hAnsi="Times New Roman" w:cs="Times New Roman"/>
          <w:sz w:val="24"/>
          <w:szCs w:val="24"/>
        </w:rPr>
        <w:t xml:space="preserve">за тях </w:t>
      </w:r>
      <w:r w:rsidR="00004614">
        <w:rPr>
          <w:rFonts w:ascii="Times New Roman" w:eastAsia="Times New Roman" w:hAnsi="Times New Roman" w:cs="Times New Roman"/>
          <w:sz w:val="24"/>
          <w:szCs w:val="24"/>
        </w:rPr>
        <w:t xml:space="preserve">поначало това </w:t>
      </w:r>
      <w:r w:rsidRPr="00943C4D">
        <w:rPr>
          <w:rFonts w:ascii="Times New Roman" w:eastAsia="Times New Roman" w:hAnsi="Times New Roman" w:cs="Times New Roman"/>
          <w:sz w:val="24"/>
          <w:szCs w:val="24"/>
        </w:rPr>
        <w:t xml:space="preserve">е </w:t>
      </w:r>
      <w:r w:rsidR="00004614">
        <w:rPr>
          <w:rFonts w:ascii="Times New Roman" w:eastAsia="Times New Roman" w:hAnsi="Times New Roman" w:cs="Times New Roman"/>
          <w:sz w:val="24"/>
          <w:szCs w:val="24"/>
        </w:rPr>
        <w:t xml:space="preserve">нещо </w:t>
      </w:r>
      <w:r w:rsidRPr="00943C4D">
        <w:rPr>
          <w:rFonts w:ascii="Times New Roman" w:eastAsia="Times New Roman" w:hAnsi="Times New Roman" w:cs="Times New Roman"/>
          <w:sz w:val="24"/>
          <w:szCs w:val="24"/>
        </w:rPr>
        <w:t xml:space="preserve">рутинно да актуализират условията). </w:t>
      </w:r>
      <w:r w:rsidRPr="009C23B7">
        <w:rPr>
          <w:rFonts w:ascii="Times New Roman" w:eastAsia="Times New Roman" w:hAnsi="Times New Roman" w:cs="Times New Roman"/>
          <w:sz w:val="24"/>
          <w:szCs w:val="24"/>
        </w:rPr>
        <w:t xml:space="preserve">Очаква се </w:t>
      </w:r>
      <w:r w:rsidRPr="009C23B7">
        <w:rPr>
          <w:rFonts w:ascii="Times New Roman" w:eastAsia="Times New Roman" w:hAnsi="Times New Roman" w:cs="Times New Roman"/>
          <w:bCs/>
          <w:sz w:val="24"/>
          <w:szCs w:val="24"/>
        </w:rPr>
        <w:t>малко или никакво увеличение на административните разходи за МСП</w:t>
      </w:r>
      <w:r w:rsidRPr="009C23B7">
        <w:rPr>
          <w:rFonts w:ascii="Times New Roman" w:eastAsia="Times New Roman" w:hAnsi="Times New Roman" w:cs="Times New Roman"/>
          <w:sz w:val="24"/>
          <w:szCs w:val="24"/>
        </w:rPr>
        <w:t>, кат</w:t>
      </w:r>
      <w:r w:rsidRPr="00943C4D">
        <w:rPr>
          <w:rFonts w:ascii="Times New Roman" w:eastAsia="Times New Roman" w:hAnsi="Times New Roman" w:cs="Times New Roman"/>
          <w:sz w:val="24"/>
          <w:szCs w:val="24"/>
        </w:rPr>
        <w:t xml:space="preserve">о някои процеси може да се </w:t>
      </w:r>
      <w:r w:rsidRPr="009C23B7">
        <w:rPr>
          <w:rFonts w:ascii="Times New Roman" w:eastAsia="Times New Roman" w:hAnsi="Times New Roman" w:cs="Times New Roman"/>
          <w:bCs/>
          <w:sz w:val="24"/>
          <w:szCs w:val="24"/>
        </w:rPr>
        <w:t>улеснят</w:t>
      </w:r>
      <w:r w:rsidRPr="00943C4D">
        <w:rPr>
          <w:rFonts w:ascii="Times New Roman" w:eastAsia="Times New Roman" w:hAnsi="Times New Roman" w:cs="Times New Roman"/>
          <w:sz w:val="24"/>
          <w:szCs w:val="24"/>
        </w:rPr>
        <w:t xml:space="preserve"> (напр</w:t>
      </w:r>
      <w:r w:rsidR="009D6110">
        <w:rPr>
          <w:rFonts w:ascii="Times New Roman" w:eastAsia="Times New Roman" w:hAnsi="Times New Roman" w:cs="Times New Roman"/>
          <w:sz w:val="24"/>
          <w:szCs w:val="24"/>
        </w:rPr>
        <w:t>имер,</w:t>
      </w:r>
      <w:r w:rsidR="009D6110" w:rsidRPr="00943C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чрез </w:t>
      </w:r>
      <w:r w:rsidRPr="00943C4D">
        <w:rPr>
          <w:rFonts w:ascii="Times New Roman" w:eastAsia="Times New Roman" w:hAnsi="Times New Roman" w:cs="Times New Roman"/>
          <w:sz w:val="24"/>
          <w:szCs w:val="24"/>
        </w:rPr>
        <w:t>стандартни договори вместо инд</w:t>
      </w:r>
      <w:r>
        <w:rPr>
          <w:rFonts w:ascii="Times New Roman" w:eastAsia="Times New Roman" w:hAnsi="Times New Roman" w:cs="Times New Roman"/>
          <w:sz w:val="24"/>
          <w:szCs w:val="24"/>
        </w:rPr>
        <w:t>ивидуално договаряне всеки път</w:t>
      </w:r>
      <w:r w:rsidR="009D61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7244EDB" w14:textId="273A073A" w:rsidR="00004614" w:rsidRDefault="00CB0A97" w:rsidP="00DD69D5">
      <w:pPr>
        <w:spacing w:after="0" w:line="240" w:lineRule="auto"/>
        <w:ind w:firstLine="567"/>
        <w:jc w:val="both"/>
        <w:rPr>
          <w:rFonts w:ascii="Times New Roman" w:eastAsia="Times New Roman" w:hAnsi="Times New Roman" w:cs="Times New Roman"/>
          <w:sz w:val="24"/>
          <w:szCs w:val="24"/>
        </w:rPr>
      </w:pPr>
      <w:r w:rsidRPr="00943C4D">
        <w:rPr>
          <w:rFonts w:ascii="Times New Roman" w:eastAsia="Times New Roman" w:hAnsi="Times New Roman" w:cs="Times New Roman"/>
          <w:sz w:val="24"/>
          <w:szCs w:val="24"/>
        </w:rPr>
        <w:t xml:space="preserve">Ако </w:t>
      </w:r>
      <w:r>
        <w:rPr>
          <w:rFonts w:ascii="Times New Roman" w:eastAsia="Times New Roman" w:hAnsi="Times New Roman" w:cs="Times New Roman"/>
          <w:sz w:val="24"/>
          <w:szCs w:val="24"/>
        </w:rPr>
        <w:t xml:space="preserve">бъде направена следната </w:t>
      </w:r>
      <w:r w:rsidRPr="00943C4D">
        <w:rPr>
          <w:rFonts w:ascii="Times New Roman" w:eastAsia="Times New Roman" w:hAnsi="Times New Roman" w:cs="Times New Roman"/>
          <w:sz w:val="24"/>
          <w:szCs w:val="24"/>
        </w:rPr>
        <w:t>квантифи</w:t>
      </w:r>
      <w:r>
        <w:rPr>
          <w:rFonts w:ascii="Times New Roman" w:eastAsia="Times New Roman" w:hAnsi="Times New Roman" w:cs="Times New Roman"/>
          <w:sz w:val="24"/>
          <w:szCs w:val="24"/>
        </w:rPr>
        <w:t>кация</w:t>
      </w:r>
      <w:r w:rsidRPr="00943C4D">
        <w:rPr>
          <w:rFonts w:ascii="Times New Roman" w:eastAsia="Times New Roman" w:hAnsi="Times New Roman" w:cs="Times New Roman"/>
          <w:sz w:val="24"/>
          <w:szCs w:val="24"/>
        </w:rPr>
        <w:t xml:space="preserve">: </w:t>
      </w:r>
      <w:r w:rsidR="00004614">
        <w:rPr>
          <w:rFonts w:ascii="Times New Roman" w:eastAsia="Times New Roman" w:hAnsi="Times New Roman" w:cs="Times New Roman"/>
          <w:sz w:val="24"/>
          <w:szCs w:val="24"/>
        </w:rPr>
        <w:t xml:space="preserve"> </w:t>
      </w:r>
      <w:r w:rsidR="00940D80" w:rsidRPr="00940D80">
        <w:rPr>
          <w:rFonts w:ascii="Times New Roman" w:eastAsia="Times New Roman" w:hAnsi="Times New Roman" w:cs="Times New Roman"/>
          <w:b/>
          <w:i/>
          <w:sz w:val="24"/>
          <w:szCs w:val="24"/>
        </w:rPr>
        <w:t>а</w:t>
      </w:r>
      <w:r w:rsidRPr="00940D80">
        <w:rPr>
          <w:rFonts w:ascii="Times New Roman" w:eastAsia="Times New Roman" w:hAnsi="Times New Roman" w:cs="Times New Roman"/>
          <w:b/>
          <w:bCs/>
          <w:i/>
          <w:sz w:val="24"/>
          <w:szCs w:val="24"/>
        </w:rPr>
        <w:t>д</w:t>
      </w:r>
      <w:r w:rsidRPr="00004614">
        <w:rPr>
          <w:rFonts w:ascii="Times New Roman" w:eastAsia="Times New Roman" w:hAnsi="Times New Roman" w:cs="Times New Roman"/>
          <w:b/>
          <w:bCs/>
          <w:i/>
          <w:sz w:val="24"/>
          <w:szCs w:val="24"/>
        </w:rPr>
        <w:t>министративна тежест = брой засегнати МСП × време × цена на час</w:t>
      </w:r>
      <w:r w:rsidRPr="00004614">
        <w:rPr>
          <w:rFonts w:ascii="Times New Roman" w:eastAsia="Times New Roman" w:hAnsi="Times New Roman" w:cs="Times New Roman"/>
          <w:b/>
          <w:sz w:val="24"/>
          <w:szCs w:val="24"/>
        </w:rPr>
        <w:t xml:space="preserve">. </w:t>
      </w:r>
      <w:r w:rsidRPr="00943C4D">
        <w:rPr>
          <w:rFonts w:ascii="Times New Roman" w:eastAsia="Times New Roman" w:hAnsi="Times New Roman" w:cs="Times New Roman"/>
          <w:sz w:val="24"/>
          <w:szCs w:val="24"/>
        </w:rPr>
        <w:t xml:space="preserve">В случая </w:t>
      </w:r>
      <w:r w:rsidRPr="00004614">
        <w:rPr>
          <w:rFonts w:ascii="Times New Roman" w:eastAsia="Times New Roman" w:hAnsi="Times New Roman" w:cs="Times New Roman"/>
          <w:b/>
          <w:i/>
          <w:iCs/>
          <w:sz w:val="24"/>
          <w:szCs w:val="24"/>
        </w:rPr>
        <w:t>брой засегнати МСП</w:t>
      </w:r>
      <w:r w:rsidRPr="00004614">
        <w:rPr>
          <w:rFonts w:ascii="Times New Roman" w:eastAsia="Times New Roman" w:hAnsi="Times New Roman" w:cs="Times New Roman"/>
          <w:b/>
          <w:sz w:val="24"/>
          <w:szCs w:val="24"/>
        </w:rPr>
        <w:t xml:space="preserve"> (с нови задължения) ≈ </w:t>
      </w:r>
      <w:r w:rsidRPr="00004614">
        <w:rPr>
          <w:rFonts w:ascii="Times New Roman" w:eastAsia="Times New Roman" w:hAnsi="Times New Roman" w:cs="Times New Roman"/>
          <w:b/>
          <w:bCs/>
          <w:i/>
          <w:sz w:val="24"/>
          <w:szCs w:val="24"/>
        </w:rPr>
        <w:t>ниско</w:t>
      </w:r>
      <w:r w:rsidRPr="00943C4D">
        <w:rPr>
          <w:rFonts w:ascii="Times New Roman" w:eastAsia="Times New Roman" w:hAnsi="Times New Roman" w:cs="Times New Roman"/>
          <w:sz w:val="24"/>
          <w:szCs w:val="24"/>
        </w:rPr>
        <w:t xml:space="preserve"> (</w:t>
      </w:r>
      <w:r w:rsidR="009D6110">
        <w:rPr>
          <w:rFonts w:ascii="Times New Roman" w:eastAsia="Times New Roman" w:hAnsi="Times New Roman" w:cs="Times New Roman"/>
          <w:sz w:val="24"/>
          <w:szCs w:val="24"/>
        </w:rPr>
        <w:t>например,</w:t>
      </w:r>
      <w:r w:rsidRPr="00943C4D">
        <w:rPr>
          <w:rFonts w:ascii="Times New Roman" w:eastAsia="Times New Roman" w:hAnsi="Times New Roman" w:cs="Times New Roman"/>
          <w:sz w:val="24"/>
          <w:szCs w:val="24"/>
        </w:rPr>
        <w:t xml:space="preserve"> </w:t>
      </w:r>
      <w:r w:rsidR="00D953EE">
        <w:rPr>
          <w:rFonts w:ascii="Times New Roman" w:eastAsia="Times New Roman" w:hAnsi="Times New Roman" w:cs="Times New Roman"/>
          <w:sz w:val="24"/>
          <w:szCs w:val="24"/>
        </w:rPr>
        <w:t>производители</w:t>
      </w:r>
      <w:r w:rsidRPr="00943C4D">
        <w:rPr>
          <w:rFonts w:ascii="Times New Roman" w:eastAsia="Times New Roman" w:hAnsi="Times New Roman" w:cs="Times New Roman"/>
          <w:sz w:val="24"/>
          <w:szCs w:val="24"/>
        </w:rPr>
        <w:t xml:space="preserve">, които досега нямат писмени договори </w:t>
      </w:r>
      <w:r w:rsidR="009D6110">
        <w:rPr>
          <w:rFonts w:ascii="Times New Roman" w:eastAsia="Times New Roman" w:hAnsi="Times New Roman" w:cs="Times New Roman"/>
          <w:sz w:val="24"/>
          <w:szCs w:val="24"/>
        </w:rPr>
        <w:t>,</w:t>
      </w:r>
      <w:r w:rsidR="009D6110" w:rsidRPr="00943C4D">
        <w:rPr>
          <w:rFonts w:ascii="Times New Roman" w:eastAsia="Times New Roman" w:hAnsi="Times New Roman" w:cs="Times New Roman"/>
          <w:sz w:val="24"/>
          <w:szCs w:val="24"/>
        </w:rPr>
        <w:t xml:space="preserve"> </w:t>
      </w:r>
      <w:r w:rsidRPr="00943C4D">
        <w:rPr>
          <w:rFonts w:ascii="Times New Roman" w:eastAsia="Times New Roman" w:hAnsi="Times New Roman" w:cs="Times New Roman"/>
          <w:sz w:val="24"/>
          <w:szCs w:val="24"/>
        </w:rPr>
        <w:t>може би</w:t>
      </w:r>
      <w:r w:rsidR="009D6110">
        <w:rPr>
          <w:rFonts w:ascii="Times New Roman" w:eastAsia="Times New Roman" w:hAnsi="Times New Roman" w:cs="Times New Roman"/>
          <w:sz w:val="24"/>
          <w:szCs w:val="24"/>
        </w:rPr>
        <w:t xml:space="preserve"> са</w:t>
      </w:r>
      <w:r w:rsidRPr="00943C4D">
        <w:rPr>
          <w:rFonts w:ascii="Times New Roman" w:eastAsia="Times New Roman" w:hAnsi="Times New Roman" w:cs="Times New Roman"/>
          <w:sz w:val="24"/>
          <w:szCs w:val="24"/>
        </w:rPr>
        <w:t xml:space="preserve"> няколко хиляди). </w:t>
      </w:r>
      <w:r w:rsidRPr="00004614">
        <w:rPr>
          <w:rFonts w:ascii="Times New Roman" w:eastAsia="Times New Roman" w:hAnsi="Times New Roman" w:cs="Times New Roman"/>
          <w:b/>
          <w:i/>
          <w:iCs/>
          <w:sz w:val="24"/>
          <w:szCs w:val="24"/>
        </w:rPr>
        <w:t>Време</w:t>
      </w:r>
      <w:r w:rsidRPr="00004614">
        <w:rPr>
          <w:rFonts w:ascii="Times New Roman" w:eastAsia="Times New Roman" w:hAnsi="Times New Roman" w:cs="Times New Roman"/>
          <w:b/>
          <w:sz w:val="24"/>
          <w:szCs w:val="24"/>
        </w:rPr>
        <w:t xml:space="preserve"> </w:t>
      </w:r>
      <w:r w:rsidRPr="00004614">
        <w:rPr>
          <w:rFonts w:ascii="Times New Roman" w:eastAsia="Times New Roman" w:hAnsi="Times New Roman" w:cs="Times New Roman"/>
          <w:b/>
          <w:i/>
          <w:sz w:val="24"/>
          <w:szCs w:val="24"/>
        </w:rPr>
        <w:t>за изпълнение:</w:t>
      </w:r>
      <w:r w:rsidRPr="00943C4D">
        <w:rPr>
          <w:rFonts w:ascii="Times New Roman" w:eastAsia="Times New Roman" w:hAnsi="Times New Roman" w:cs="Times New Roman"/>
          <w:sz w:val="24"/>
          <w:szCs w:val="24"/>
        </w:rPr>
        <w:t xml:space="preserve"> </w:t>
      </w:r>
      <w:r w:rsidRPr="009C23B7">
        <w:rPr>
          <w:rFonts w:ascii="Times New Roman" w:eastAsia="Times New Roman" w:hAnsi="Times New Roman" w:cs="Times New Roman"/>
          <w:bCs/>
          <w:sz w:val="24"/>
          <w:szCs w:val="24"/>
        </w:rPr>
        <w:t>5 часа годишно</w:t>
      </w:r>
      <w:r w:rsidRPr="00943C4D">
        <w:rPr>
          <w:rFonts w:ascii="Times New Roman" w:eastAsia="Times New Roman" w:hAnsi="Times New Roman" w:cs="Times New Roman"/>
          <w:sz w:val="24"/>
          <w:szCs w:val="24"/>
        </w:rPr>
        <w:t xml:space="preserve"> средно на предприятие (за преглед на новите клаузи, консултация с юрист и оформяне на договори). </w:t>
      </w:r>
      <w:r w:rsidRPr="00004614">
        <w:rPr>
          <w:rFonts w:ascii="Times New Roman" w:eastAsia="Times New Roman" w:hAnsi="Times New Roman" w:cs="Times New Roman"/>
          <w:b/>
          <w:i/>
          <w:iCs/>
          <w:sz w:val="24"/>
          <w:szCs w:val="24"/>
        </w:rPr>
        <w:t>Цена на час:</w:t>
      </w:r>
      <w:r w:rsidRPr="00943C4D">
        <w:rPr>
          <w:rFonts w:ascii="Times New Roman" w:eastAsia="Times New Roman" w:hAnsi="Times New Roman" w:cs="Times New Roman"/>
          <w:sz w:val="24"/>
          <w:szCs w:val="24"/>
        </w:rPr>
        <w:t xml:space="preserve"> </w:t>
      </w:r>
      <w:r w:rsidRPr="009C23B7">
        <w:rPr>
          <w:rFonts w:ascii="Times New Roman" w:eastAsia="Times New Roman" w:hAnsi="Times New Roman" w:cs="Times New Roman"/>
          <w:sz w:val="24"/>
          <w:szCs w:val="24"/>
        </w:rPr>
        <w:t xml:space="preserve">около </w:t>
      </w:r>
      <w:r w:rsidRPr="009C23B7">
        <w:rPr>
          <w:rFonts w:ascii="Times New Roman" w:eastAsia="Times New Roman" w:hAnsi="Times New Roman" w:cs="Times New Roman"/>
          <w:bCs/>
          <w:sz w:val="24"/>
          <w:szCs w:val="24"/>
        </w:rPr>
        <w:t>10 лв./час</w:t>
      </w:r>
      <w:r w:rsidRPr="009C23B7">
        <w:rPr>
          <w:rFonts w:ascii="Times New Roman" w:eastAsia="Times New Roman" w:hAnsi="Times New Roman" w:cs="Times New Roman"/>
          <w:sz w:val="24"/>
          <w:szCs w:val="24"/>
        </w:rPr>
        <w:t xml:space="preserve"> (средна разходна ставка за управител/административен труд в селско стопа</w:t>
      </w:r>
      <w:r w:rsidRPr="00943C4D">
        <w:rPr>
          <w:rFonts w:ascii="Times New Roman" w:eastAsia="Times New Roman" w:hAnsi="Times New Roman" w:cs="Times New Roman"/>
          <w:sz w:val="24"/>
          <w:szCs w:val="24"/>
        </w:rPr>
        <w:t xml:space="preserve">нство или дребен бизнес). Тогава </w:t>
      </w:r>
      <w:r>
        <w:rPr>
          <w:rFonts w:ascii="Times New Roman" w:eastAsia="Times New Roman" w:hAnsi="Times New Roman" w:cs="Times New Roman"/>
          <w:bCs/>
          <w:sz w:val="24"/>
          <w:szCs w:val="24"/>
        </w:rPr>
        <w:t>а</w:t>
      </w:r>
      <w:r w:rsidRPr="009C23B7">
        <w:rPr>
          <w:rFonts w:ascii="Times New Roman" w:eastAsia="Times New Roman" w:hAnsi="Times New Roman" w:cs="Times New Roman"/>
          <w:bCs/>
          <w:sz w:val="24"/>
          <w:szCs w:val="24"/>
        </w:rPr>
        <w:t>дминистративна</w:t>
      </w:r>
      <w:r>
        <w:rPr>
          <w:rFonts w:ascii="Times New Roman" w:eastAsia="Times New Roman" w:hAnsi="Times New Roman" w:cs="Times New Roman"/>
          <w:bCs/>
          <w:sz w:val="24"/>
          <w:szCs w:val="24"/>
        </w:rPr>
        <w:t>та</w:t>
      </w:r>
      <w:r w:rsidRPr="009C23B7">
        <w:rPr>
          <w:rFonts w:ascii="Times New Roman" w:eastAsia="Times New Roman" w:hAnsi="Times New Roman" w:cs="Times New Roman"/>
          <w:bCs/>
          <w:sz w:val="24"/>
          <w:szCs w:val="24"/>
        </w:rPr>
        <w:t xml:space="preserve"> тежест</w:t>
      </w:r>
      <w:r>
        <w:rPr>
          <w:rFonts w:ascii="Times New Roman" w:eastAsia="Times New Roman" w:hAnsi="Times New Roman" w:cs="Times New Roman"/>
          <w:bCs/>
          <w:sz w:val="24"/>
          <w:szCs w:val="24"/>
        </w:rPr>
        <w:t xml:space="preserve"> би изглеждала по следния начин:</w:t>
      </w:r>
      <w:r w:rsidRPr="009C23B7">
        <w:rPr>
          <w:rFonts w:ascii="Times New Roman" w:eastAsia="Times New Roman" w:hAnsi="Times New Roman" w:cs="Times New Roman"/>
          <w:bCs/>
          <w:sz w:val="24"/>
          <w:szCs w:val="24"/>
        </w:rPr>
        <w:t xml:space="preserve"> </w:t>
      </w:r>
      <w:r w:rsidRPr="00004614">
        <w:rPr>
          <w:rFonts w:ascii="Times New Roman" w:eastAsia="Times New Roman" w:hAnsi="Times New Roman" w:cs="Times New Roman"/>
          <w:b/>
          <w:bCs/>
          <w:i/>
          <w:sz w:val="24"/>
          <w:szCs w:val="24"/>
        </w:rPr>
        <w:t>≈ 5 часа × 10 лв. = 50 лв. годишно на предприятие</w:t>
      </w:r>
      <w:r w:rsidRPr="009C23B7">
        <w:rPr>
          <w:rFonts w:ascii="Times New Roman" w:eastAsia="Times New Roman" w:hAnsi="Times New Roman" w:cs="Times New Roman"/>
          <w:sz w:val="24"/>
          <w:szCs w:val="24"/>
        </w:rPr>
        <w:t xml:space="preserve"> (което е пренебрежимо малко).</w:t>
      </w:r>
      <w:r w:rsidRPr="00943C4D">
        <w:rPr>
          <w:rFonts w:ascii="Times New Roman" w:eastAsia="Times New Roman" w:hAnsi="Times New Roman" w:cs="Times New Roman"/>
          <w:sz w:val="24"/>
          <w:szCs w:val="24"/>
        </w:rPr>
        <w:t xml:space="preserve"> </w:t>
      </w:r>
      <w:r w:rsidRPr="009C23B7">
        <w:rPr>
          <w:rFonts w:ascii="Times New Roman" w:eastAsia="Times New Roman" w:hAnsi="Times New Roman" w:cs="Times New Roman"/>
          <w:sz w:val="24"/>
          <w:szCs w:val="24"/>
        </w:rPr>
        <w:t xml:space="preserve">Дори </w:t>
      </w:r>
      <w:r w:rsidRPr="00004614">
        <w:rPr>
          <w:rFonts w:ascii="Times New Roman" w:eastAsia="Times New Roman" w:hAnsi="Times New Roman" w:cs="Times New Roman"/>
          <w:b/>
          <w:i/>
          <w:sz w:val="24"/>
          <w:szCs w:val="24"/>
        </w:rPr>
        <w:t xml:space="preserve">умножено по 1000 предприятия, това е </w:t>
      </w:r>
      <w:r w:rsidRPr="00004614">
        <w:rPr>
          <w:rFonts w:ascii="Times New Roman" w:eastAsia="Times New Roman" w:hAnsi="Times New Roman" w:cs="Times New Roman"/>
          <w:b/>
          <w:bCs/>
          <w:i/>
          <w:sz w:val="24"/>
          <w:szCs w:val="24"/>
        </w:rPr>
        <w:t>50 хил. лв. общо</w:t>
      </w:r>
      <w:r w:rsidRPr="009C23B7">
        <w:rPr>
          <w:rFonts w:ascii="Times New Roman" w:eastAsia="Times New Roman" w:hAnsi="Times New Roman" w:cs="Times New Roman"/>
          <w:sz w:val="24"/>
          <w:szCs w:val="24"/>
        </w:rPr>
        <w:t xml:space="preserve"> – стойност, която е </w:t>
      </w:r>
      <w:r w:rsidRPr="009C23B7">
        <w:rPr>
          <w:rFonts w:ascii="Times New Roman" w:eastAsia="Times New Roman" w:hAnsi="Times New Roman" w:cs="Times New Roman"/>
          <w:bCs/>
          <w:sz w:val="24"/>
          <w:szCs w:val="24"/>
        </w:rPr>
        <w:t>нищожна на макрониво</w:t>
      </w:r>
      <w:r w:rsidRPr="009C23B7">
        <w:rPr>
          <w:rFonts w:ascii="Times New Roman" w:eastAsia="Times New Roman" w:hAnsi="Times New Roman" w:cs="Times New Roman"/>
          <w:sz w:val="24"/>
          <w:szCs w:val="24"/>
        </w:rPr>
        <w:t>.</w:t>
      </w:r>
      <w:r w:rsidRPr="00943C4D">
        <w:rPr>
          <w:rFonts w:ascii="Times New Roman" w:eastAsia="Times New Roman" w:hAnsi="Times New Roman" w:cs="Times New Roman"/>
          <w:sz w:val="24"/>
          <w:szCs w:val="24"/>
        </w:rPr>
        <w:t xml:space="preserve"> </w:t>
      </w:r>
    </w:p>
    <w:p w14:paraId="0341431D" w14:textId="44BF25A2" w:rsidR="00CB0A97" w:rsidRDefault="00CB0A97" w:rsidP="00DD69D5">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iCs/>
          <w:sz w:val="24"/>
          <w:szCs w:val="24"/>
        </w:rPr>
        <w:t>За държавата</w:t>
      </w:r>
      <w:r w:rsidRPr="00943C4D">
        <w:rPr>
          <w:rFonts w:ascii="Times New Roman" w:eastAsia="Times New Roman" w:hAnsi="Times New Roman" w:cs="Times New Roman"/>
          <w:sz w:val="24"/>
          <w:szCs w:val="24"/>
        </w:rPr>
        <w:t xml:space="preserve"> допълнителната тежест</w:t>
      </w:r>
      <w:r w:rsidR="009D6110">
        <w:rPr>
          <w:rFonts w:ascii="Times New Roman" w:eastAsia="Times New Roman" w:hAnsi="Times New Roman" w:cs="Times New Roman"/>
          <w:sz w:val="24"/>
          <w:szCs w:val="24"/>
        </w:rPr>
        <w:t xml:space="preserve"> също</w:t>
      </w:r>
      <w:r w:rsidRPr="00943C4D">
        <w:rPr>
          <w:rFonts w:ascii="Times New Roman" w:eastAsia="Times New Roman" w:hAnsi="Times New Roman" w:cs="Times New Roman"/>
          <w:sz w:val="24"/>
          <w:szCs w:val="24"/>
        </w:rPr>
        <w:t xml:space="preserve"> е ниска</w:t>
      </w:r>
      <w:r w:rsidR="009D6110">
        <w:rPr>
          <w:rFonts w:ascii="Times New Roman" w:eastAsia="Times New Roman" w:hAnsi="Times New Roman" w:cs="Times New Roman"/>
          <w:sz w:val="24"/>
          <w:szCs w:val="24"/>
        </w:rPr>
        <w:t>.</w:t>
      </w:r>
      <w:r w:rsidRPr="00943C4D">
        <w:rPr>
          <w:rFonts w:ascii="Times New Roman" w:eastAsia="Times New Roman" w:hAnsi="Times New Roman" w:cs="Times New Roman"/>
          <w:sz w:val="24"/>
          <w:szCs w:val="24"/>
        </w:rPr>
        <w:t xml:space="preserve"> </w:t>
      </w:r>
      <w:r w:rsidR="009D6110">
        <w:rPr>
          <w:rFonts w:ascii="Times New Roman" w:eastAsia="Times New Roman" w:hAnsi="Times New Roman" w:cs="Times New Roman"/>
          <w:sz w:val="24"/>
          <w:szCs w:val="24"/>
        </w:rPr>
        <w:t>К</w:t>
      </w:r>
      <w:r w:rsidR="009D6110" w:rsidRPr="00943C4D">
        <w:rPr>
          <w:rFonts w:ascii="Times New Roman" w:eastAsia="Times New Roman" w:hAnsi="Times New Roman" w:cs="Times New Roman"/>
          <w:sz w:val="24"/>
          <w:szCs w:val="24"/>
        </w:rPr>
        <w:t xml:space="preserve">онтролът </w:t>
      </w:r>
      <w:r w:rsidRPr="00943C4D">
        <w:rPr>
          <w:rFonts w:ascii="Times New Roman" w:eastAsia="Times New Roman" w:hAnsi="Times New Roman" w:cs="Times New Roman"/>
          <w:sz w:val="24"/>
          <w:szCs w:val="24"/>
        </w:rPr>
        <w:t xml:space="preserve">може да се осъществява от съществуващи органи с минимално увеличение на персонала. </w:t>
      </w:r>
      <w:r>
        <w:rPr>
          <w:rFonts w:ascii="Times New Roman" w:eastAsia="Times New Roman" w:hAnsi="Times New Roman" w:cs="Times New Roman"/>
          <w:sz w:val="24"/>
          <w:szCs w:val="24"/>
        </w:rPr>
        <w:t>Следователно</w:t>
      </w:r>
      <w:r w:rsidRPr="00943C4D">
        <w:rPr>
          <w:rFonts w:ascii="Times New Roman" w:eastAsia="Times New Roman" w:hAnsi="Times New Roman" w:cs="Times New Roman"/>
          <w:sz w:val="24"/>
          <w:szCs w:val="24"/>
        </w:rPr>
        <w:t xml:space="preserve">, </w:t>
      </w:r>
      <w:r w:rsidRPr="009C23B7">
        <w:rPr>
          <w:rFonts w:ascii="Times New Roman" w:eastAsia="Times New Roman" w:hAnsi="Times New Roman" w:cs="Times New Roman"/>
          <w:bCs/>
          <w:sz w:val="24"/>
          <w:szCs w:val="24"/>
        </w:rPr>
        <w:t>Вариант 2 не налага на МСП съществени нови административни разходи</w:t>
      </w:r>
      <w:r w:rsidRPr="009C23B7">
        <w:rPr>
          <w:rFonts w:ascii="Times New Roman" w:eastAsia="Times New Roman" w:hAnsi="Times New Roman" w:cs="Times New Roman"/>
          <w:sz w:val="24"/>
          <w:szCs w:val="24"/>
        </w:rPr>
        <w:t xml:space="preserve"> – той е </w:t>
      </w:r>
      <w:r w:rsidRPr="009C23B7">
        <w:rPr>
          <w:rFonts w:ascii="Times New Roman" w:eastAsia="Times New Roman" w:hAnsi="Times New Roman" w:cs="Times New Roman"/>
          <w:bCs/>
          <w:sz w:val="24"/>
          <w:szCs w:val="24"/>
        </w:rPr>
        <w:t>щадящ</w:t>
      </w:r>
      <w:r w:rsidRPr="009C23B7">
        <w:rPr>
          <w:rFonts w:ascii="Times New Roman" w:eastAsia="Times New Roman" w:hAnsi="Times New Roman" w:cs="Times New Roman"/>
          <w:sz w:val="24"/>
          <w:szCs w:val="24"/>
        </w:rPr>
        <w:t xml:space="preserve"> от бюрократична гледна точка, което е </w:t>
      </w:r>
      <w:r w:rsidR="00210B7B">
        <w:rPr>
          <w:rFonts w:ascii="Times New Roman" w:eastAsia="Times New Roman" w:hAnsi="Times New Roman" w:cs="Times New Roman"/>
          <w:sz w:val="24"/>
          <w:szCs w:val="24"/>
        </w:rPr>
        <w:t>негово</w:t>
      </w:r>
      <w:r w:rsidR="0005723C">
        <w:rPr>
          <w:rFonts w:ascii="Times New Roman" w:eastAsia="Times New Roman" w:hAnsi="Times New Roman" w:cs="Times New Roman"/>
          <w:sz w:val="24"/>
          <w:szCs w:val="24"/>
        </w:rPr>
        <w:t xml:space="preserve"> </w:t>
      </w:r>
      <w:r w:rsidRPr="009C23B7">
        <w:rPr>
          <w:rFonts w:ascii="Times New Roman" w:eastAsia="Times New Roman" w:hAnsi="Times New Roman" w:cs="Times New Roman"/>
          <w:sz w:val="24"/>
          <w:szCs w:val="24"/>
        </w:rPr>
        <w:t>предимство спрямо Вариант 3.</w:t>
      </w:r>
      <w:r w:rsidRPr="009C23B7">
        <w:rPr>
          <w:rFonts w:ascii="Times New Roman" w:eastAsia="Times New Roman" w:hAnsi="Times New Roman" w:cs="Times New Roman"/>
          <w:b/>
          <w:bCs/>
          <w:sz w:val="24"/>
          <w:szCs w:val="24"/>
        </w:rPr>
        <w:t xml:space="preserve"> </w:t>
      </w:r>
    </w:p>
    <w:p w14:paraId="79B8670E" w14:textId="77777777" w:rsidR="00CB0A97" w:rsidRDefault="00CB0A97" w:rsidP="00DD69D5">
      <w:pPr>
        <w:spacing w:after="0" w:line="240" w:lineRule="auto"/>
        <w:ind w:firstLine="567"/>
        <w:jc w:val="both"/>
        <w:rPr>
          <w:rFonts w:ascii="Times New Roman" w:eastAsia="Times New Roman" w:hAnsi="Times New Roman" w:cs="Times New Roman"/>
          <w:b/>
          <w:bCs/>
          <w:sz w:val="24"/>
          <w:szCs w:val="24"/>
        </w:rPr>
      </w:pPr>
    </w:p>
    <w:p w14:paraId="325674C8" w14:textId="77777777" w:rsidR="00CB0A97" w:rsidRDefault="00CB0A97" w:rsidP="00DD69D5">
      <w:pPr>
        <w:spacing w:after="0" w:line="240" w:lineRule="auto"/>
        <w:ind w:firstLine="567"/>
        <w:jc w:val="both"/>
        <w:rPr>
          <w:rFonts w:ascii="Times New Roman" w:eastAsia="Times New Roman" w:hAnsi="Times New Roman" w:cs="Times New Roman"/>
          <w:sz w:val="24"/>
          <w:szCs w:val="24"/>
        </w:rPr>
      </w:pPr>
      <w:r w:rsidRPr="00943C4D">
        <w:rPr>
          <w:rFonts w:ascii="Times New Roman" w:eastAsia="Times New Roman" w:hAnsi="Times New Roman" w:cs="Times New Roman"/>
          <w:b/>
          <w:bCs/>
          <w:sz w:val="24"/>
          <w:szCs w:val="24"/>
        </w:rPr>
        <w:t>Вариант</w:t>
      </w:r>
      <w:r w:rsidRPr="0091765E">
        <w:rPr>
          <w:rFonts w:ascii="Times New Roman" w:eastAsia="Times New Roman" w:hAnsi="Times New Roman" w:cs="Times New Roman"/>
          <w:b/>
          <w:bCs/>
          <w:sz w:val="24"/>
          <w:szCs w:val="24"/>
        </w:rPr>
        <w:t xml:space="preserve"> 3: </w:t>
      </w:r>
      <w:r>
        <w:rPr>
          <w:rFonts w:ascii="Times New Roman" w:eastAsia="Times New Roman" w:hAnsi="Times New Roman" w:cs="Times New Roman"/>
          <w:b/>
          <w:bCs/>
          <w:sz w:val="24"/>
          <w:szCs w:val="24"/>
        </w:rPr>
        <w:t>„</w:t>
      </w:r>
      <w:r w:rsidRPr="00FC367A">
        <w:rPr>
          <w:rFonts w:ascii="Times New Roman" w:eastAsia="Times New Roman" w:hAnsi="Times New Roman" w:cs="Times New Roman"/>
          <w:b/>
          <w:bCs/>
          <w:sz w:val="24"/>
          <w:szCs w:val="24"/>
        </w:rPr>
        <w:t>Регулаторен – изцяло нов специален закон</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p>
    <w:p w14:paraId="2302BD32" w14:textId="77777777" w:rsidR="00210B7B" w:rsidRDefault="00CB0A97" w:rsidP="00DD69D5">
      <w:pPr>
        <w:spacing w:after="0" w:line="240" w:lineRule="auto"/>
        <w:ind w:firstLine="567"/>
        <w:jc w:val="both"/>
        <w:rPr>
          <w:rFonts w:ascii="Times New Roman" w:eastAsia="Times New Roman" w:hAnsi="Times New Roman" w:cs="Times New Roman"/>
          <w:sz w:val="24"/>
          <w:szCs w:val="24"/>
        </w:rPr>
      </w:pPr>
      <w:r w:rsidRPr="009C23B7">
        <w:rPr>
          <w:rFonts w:ascii="Times New Roman" w:eastAsia="Times New Roman" w:hAnsi="Times New Roman" w:cs="Times New Roman"/>
          <w:sz w:val="24"/>
          <w:szCs w:val="24"/>
        </w:rPr>
        <w:t xml:space="preserve">Вариантът предвижда </w:t>
      </w:r>
      <w:r w:rsidRPr="009C23B7">
        <w:rPr>
          <w:rFonts w:ascii="Times New Roman" w:eastAsia="Times New Roman" w:hAnsi="Times New Roman" w:cs="Times New Roman"/>
          <w:bCs/>
          <w:sz w:val="24"/>
          <w:szCs w:val="24"/>
        </w:rPr>
        <w:t xml:space="preserve">всеобхватна специална </w:t>
      </w:r>
      <w:r w:rsidR="00210B7B">
        <w:rPr>
          <w:rFonts w:ascii="Times New Roman" w:eastAsia="Times New Roman" w:hAnsi="Times New Roman" w:cs="Times New Roman"/>
          <w:bCs/>
          <w:sz w:val="24"/>
          <w:szCs w:val="24"/>
        </w:rPr>
        <w:t xml:space="preserve">регулаторна намеса в отношенията по веригата на </w:t>
      </w:r>
      <w:r w:rsidR="00210B7B" w:rsidRPr="00210B7B">
        <w:rPr>
          <w:rFonts w:ascii="Times New Roman" w:eastAsia="Times New Roman" w:hAnsi="Times New Roman" w:cs="Times New Roman"/>
          <w:bCs/>
          <w:sz w:val="24"/>
          <w:szCs w:val="24"/>
        </w:rPr>
        <w:t>доставки на земеделски продукти и храни</w:t>
      </w:r>
      <w:r w:rsidRPr="009C23B7">
        <w:rPr>
          <w:rFonts w:ascii="Times New Roman" w:eastAsia="Times New Roman" w:hAnsi="Times New Roman" w:cs="Times New Roman"/>
          <w:sz w:val="24"/>
          <w:szCs w:val="24"/>
        </w:rPr>
        <w:t xml:space="preserve">. Вариант 3 включва </w:t>
      </w:r>
      <w:r>
        <w:rPr>
          <w:rFonts w:ascii="Times New Roman" w:eastAsia="Times New Roman" w:hAnsi="Times New Roman" w:cs="Times New Roman"/>
          <w:bCs/>
          <w:sz w:val="24"/>
          <w:szCs w:val="24"/>
        </w:rPr>
        <w:t>изцяло нови правила</w:t>
      </w:r>
      <w:r w:rsidR="009858CE">
        <w:rPr>
          <w:rFonts w:ascii="Times New Roman" w:eastAsia="Times New Roman" w:hAnsi="Times New Roman" w:cs="Times New Roman"/>
          <w:bCs/>
          <w:sz w:val="24"/>
          <w:szCs w:val="24"/>
        </w:rPr>
        <w:t>. На концептуално ниво, те могат да бъдат</w:t>
      </w:r>
      <w:r w:rsidRPr="009C23B7">
        <w:rPr>
          <w:rFonts w:ascii="Times New Roman" w:eastAsia="Times New Roman" w:hAnsi="Times New Roman" w:cs="Times New Roman"/>
          <w:sz w:val="24"/>
          <w:szCs w:val="24"/>
        </w:rPr>
        <w:t xml:space="preserve"> </w:t>
      </w:r>
      <w:r w:rsidR="00210B7B">
        <w:rPr>
          <w:rFonts w:ascii="Times New Roman" w:eastAsia="Times New Roman" w:hAnsi="Times New Roman" w:cs="Times New Roman"/>
          <w:sz w:val="24"/>
          <w:szCs w:val="24"/>
        </w:rPr>
        <w:t xml:space="preserve">обобщени така: </w:t>
      </w:r>
    </w:p>
    <w:p w14:paraId="6A01C4A4" w14:textId="77777777" w:rsidR="00210B7B" w:rsidRDefault="00210B7B" w:rsidP="00DD69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B0A97" w:rsidRPr="009C23B7">
        <w:rPr>
          <w:rFonts w:ascii="Times New Roman" w:eastAsia="Times New Roman" w:hAnsi="Times New Roman" w:cs="Times New Roman"/>
          <w:bCs/>
          <w:sz w:val="24"/>
          <w:szCs w:val="24"/>
        </w:rPr>
        <w:t>задължително писмено оформяне на договорите</w:t>
      </w:r>
      <w:r w:rsidR="00CB0A97" w:rsidRPr="009C23B7">
        <w:rPr>
          <w:rFonts w:ascii="Times New Roman" w:eastAsia="Times New Roman" w:hAnsi="Times New Roman" w:cs="Times New Roman"/>
          <w:sz w:val="24"/>
          <w:szCs w:val="24"/>
        </w:rPr>
        <w:t xml:space="preserve"> между първи изкупвачи и производители; </w:t>
      </w:r>
    </w:p>
    <w:p w14:paraId="02A5F2BD" w14:textId="77777777" w:rsidR="00210B7B" w:rsidRDefault="00210B7B" w:rsidP="00DD69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B0A97" w:rsidRPr="009C23B7">
        <w:rPr>
          <w:rFonts w:ascii="Times New Roman" w:eastAsia="Times New Roman" w:hAnsi="Times New Roman" w:cs="Times New Roman"/>
          <w:bCs/>
          <w:sz w:val="24"/>
          <w:szCs w:val="24"/>
        </w:rPr>
        <w:t>забрана на широк кръг нелоялни търговски практики</w:t>
      </w:r>
      <w:r w:rsidR="00CB0A97" w:rsidRPr="009C23B7">
        <w:rPr>
          <w:rFonts w:ascii="Times New Roman" w:eastAsia="Times New Roman" w:hAnsi="Times New Roman" w:cs="Times New Roman"/>
          <w:sz w:val="24"/>
          <w:szCs w:val="24"/>
        </w:rPr>
        <w:t xml:space="preserve">; </w:t>
      </w:r>
      <w:r w:rsidR="00CB0A97" w:rsidRPr="009C23B7">
        <w:rPr>
          <w:rFonts w:ascii="Times New Roman" w:eastAsia="Times New Roman" w:hAnsi="Times New Roman" w:cs="Times New Roman"/>
          <w:bCs/>
          <w:sz w:val="24"/>
          <w:szCs w:val="24"/>
        </w:rPr>
        <w:t>въвеждане на тавани на търговските надценки</w:t>
      </w:r>
      <w:r w:rsidR="00CB0A97" w:rsidRPr="00943C4D">
        <w:rPr>
          <w:rFonts w:ascii="Times New Roman" w:eastAsia="Times New Roman" w:hAnsi="Times New Roman" w:cs="Times New Roman"/>
          <w:sz w:val="24"/>
          <w:szCs w:val="24"/>
        </w:rPr>
        <w:t xml:space="preserve"> за определени основни храни (списък от </w:t>
      </w:r>
      <w:r w:rsidR="00CB0A97">
        <w:rPr>
          <w:rFonts w:ascii="Times New Roman" w:eastAsia="Times New Roman" w:hAnsi="Times New Roman" w:cs="Times New Roman"/>
          <w:sz w:val="24"/>
          <w:szCs w:val="24"/>
        </w:rPr>
        <w:t xml:space="preserve">около </w:t>
      </w:r>
      <w:r w:rsidR="00CB0A97" w:rsidRPr="00943C4D">
        <w:rPr>
          <w:rFonts w:ascii="Times New Roman" w:eastAsia="Times New Roman" w:hAnsi="Times New Roman" w:cs="Times New Roman"/>
          <w:sz w:val="24"/>
          <w:szCs w:val="24"/>
        </w:rPr>
        <w:t>22 продукта, с възможност Министерски съвет да го разширява</w:t>
      </w:r>
      <w:r w:rsidR="00CB0A97" w:rsidRPr="009C23B7">
        <w:rPr>
          <w:rFonts w:ascii="Times New Roman" w:eastAsia="Times New Roman" w:hAnsi="Times New Roman" w:cs="Times New Roman"/>
          <w:sz w:val="24"/>
          <w:szCs w:val="24"/>
        </w:rPr>
        <w:t xml:space="preserve">); </w:t>
      </w:r>
    </w:p>
    <w:p w14:paraId="6880CDA1" w14:textId="77777777" w:rsidR="00210B7B" w:rsidRDefault="00210B7B" w:rsidP="00DD69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B0A97" w:rsidRPr="009C23B7">
        <w:rPr>
          <w:rFonts w:ascii="Times New Roman" w:eastAsia="Times New Roman" w:hAnsi="Times New Roman" w:cs="Times New Roman"/>
          <w:bCs/>
          <w:sz w:val="24"/>
          <w:szCs w:val="24"/>
        </w:rPr>
        <w:t>изискване големите търговски вериги да предлагат определен процент българска продукция</w:t>
      </w:r>
      <w:r w:rsidR="00CB0A97" w:rsidRPr="009C23B7">
        <w:rPr>
          <w:rFonts w:ascii="Times New Roman" w:eastAsia="Times New Roman" w:hAnsi="Times New Roman" w:cs="Times New Roman"/>
          <w:sz w:val="24"/>
          <w:szCs w:val="24"/>
        </w:rPr>
        <w:t xml:space="preserve"> на рафтовете; </w:t>
      </w:r>
    </w:p>
    <w:p w14:paraId="57DD0405" w14:textId="783408A5" w:rsidR="00210B7B" w:rsidRDefault="00210B7B" w:rsidP="00DD69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B0A97" w:rsidRPr="009C23B7">
        <w:rPr>
          <w:rFonts w:ascii="Times New Roman" w:eastAsia="Times New Roman" w:hAnsi="Times New Roman" w:cs="Times New Roman"/>
          <w:bCs/>
          <w:sz w:val="24"/>
          <w:szCs w:val="24"/>
        </w:rPr>
        <w:t>ограничения върху промоционалните кампании</w:t>
      </w:r>
      <w:r w:rsidR="00CB0A97" w:rsidRPr="009C23B7">
        <w:rPr>
          <w:rFonts w:ascii="Times New Roman" w:eastAsia="Times New Roman" w:hAnsi="Times New Roman" w:cs="Times New Roman"/>
          <w:sz w:val="24"/>
          <w:szCs w:val="24"/>
        </w:rPr>
        <w:t xml:space="preserve"> (напр</w:t>
      </w:r>
      <w:r w:rsidR="00D953EE">
        <w:rPr>
          <w:rFonts w:ascii="Times New Roman" w:eastAsia="Times New Roman" w:hAnsi="Times New Roman" w:cs="Times New Roman"/>
          <w:sz w:val="24"/>
          <w:szCs w:val="24"/>
        </w:rPr>
        <w:t>имер,</w:t>
      </w:r>
      <w:r w:rsidR="00D953EE" w:rsidRPr="009C23B7">
        <w:rPr>
          <w:rFonts w:ascii="Times New Roman" w:eastAsia="Times New Roman" w:hAnsi="Times New Roman" w:cs="Times New Roman"/>
          <w:sz w:val="24"/>
          <w:szCs w:val="24"/>
        </w:rPr>
        <w:t xml:space="preserve"> </w:t>
      </w:r>
      <w:r w:rsidR="00CB0A97" w:rsidRPr="009C23B7">
        <w:rPr>
          <w:rFonts w:ascii="Times New Roman" w:eastAsia="Times New Roman" w:hAnsi="Times New Roman" w:cs="Times New Roman"/>
          <w:sz w:val="24"/>
          <w:szCs w:val="24"/>
        </w:rPr>
        <w:t>забрана за прекомерни отстъпки, за да се предотвратят ценови войни или обезценяване на продукцията)</w:t>
      </w:r>
      <w:r>
        <w:rPr>
          <w:rFonts w:ascii="Times New Roman" w:eastAsia="Times New Roman" w:hAnsi="Times New Roman" w:cs="Times New Roman"/>
          <w:sz w:val="24"/>
          <w:szCs w:val="24"/>
        </w:rPr>
        <w:t>;</w:t>
      </w:r>
    </w:p>
    <w:p w14:paraId="3C8A15E9" w14:textId="77777777" w:rsidR="00210B7B" w:rsidRDefault="00210B7B" w:rsidP="00DD69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B0A97" w:rsidRPr="00943C4D">
        <w:rPr>
          <w:rFonts w:ascii="Times New Roman" w:eastAsia="Times New Roman" w:hAnsi="Times New Roman" w:cs="Times New Roman"/>
          <w:sz w:val="24"/>
          <w:szCs w:val="24"/>
        </w:rPr>
        <w:t xml:space="preserve">въвеждане на регистър на първите изкупвачи, </w:t>
      </w:r>
    </w:p>
    <w:p w14:paraId="00E04684" w14:textId="77777777" w:rsidR="00FD51F2" w:rsidRDefault="00210B7B" w:rsidP="00DD69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B0A97">
        <w:rPr>
          <w:rFonts w:ascii="Times New Roman" w:eastAsia="Times New Roman" w:hAnsi="Times New Roman" w:cs="Times New Roman"/>
          <w:sz w:val="24"/>
          <w:szCs w:val="24"/>
        </w:rPr>
        <w:t>създаване на</w:t>
      </w:r>
      <w:r>
        <w:rPr>
          <w:rFonts w:ascii="Times New Roman" w:eastAsia="Times New Roman" w:hAnsi="Times New Roman" w:cs="Times New Roman"/>
          <w:sz w:val="24"/>
          <w:szCs w:val="24"/>
        </w:rPr>
        <w:t xml:space="preserve"> електронна</w:t>
      </w:r>
      <w:r w:rsidR="00CB0A97">
        <w:rPr>
          <w:rFonts w:ascii="Times New Roman" w:eastAsia="Times New Roman" w:hAnsi="Times New Roman" w:cs="Times New Roman"/>
          <w:sz w:val="24"/>
          <w:szCs w:val="24"/>
        </w:rPr>
        <w:t xml:space="preserve"> система за проследяване </w:t>
      </w:r>
      <w:r w:rsidR="00CB0A97" w:rsidRPr="00943C4D">
        <w:rPr>
          <w:rFonts w:ascii="Times New Roman" w:eastAsia="Times New Roman" w:hAnsi="Times New Roman" w:cs="Times New Roman"/>
          <w:sz w:val="24"/>
          <w:szCs w:val="24"/>
        </w:rPr>
        <w:t xml:space="preserve">на сключените договори и др. </w:t>
      </w:r>
    </w:p>
    <w:p w14:paraId="39CAEE67" w14:textId="7F3C9434" w:rsidR="00CB0A97" w:rsidRPr="009C23B7" w:rsidRDefault="00CB0A97" w:rsidP="00DD69D5">
      <w:pPr>
        <w:spacing w:after="0" w:line="240" w:lineRule="auto"/>
        <w:ind w:firstLine="567"/>
        <w:jc w:val="both"/>
        <w:rPr>
          <w:rFonts w:ascii="Times New Roman" w:eastAsia="Times New Roman" w:hAnsi="Times New Roman" w:cs="Times New Roman"/>
          <w:sz w:val="24"/>
          <w:szCs w:val="24"/>
        </w:rPr>
      </w:pPr>
      <w:r w:rsidRPr="00943C4D">
        <w:rPr>
          <w:rFonts w:ascii="Times New Roman" w:eastAsia="Times New Roman" w:hAnsi="Times New Roman" w:cs="Times New Roman"/>
          <w:sz w:val="24"/>
          <w:szCs w:val="24"/>
        </w:rPr>
        <w:t xml:space="preserve">Този вариант цели да регулира комплексно пазара „от фермата до трапезата“ и да постигне широк спектър от цели: справедливи доходи за </w:t>
      </w:r>
      <w:r>
        <w:rPr>
          <w:rFonts w:ascii="Times New Roman" w:eastAsia="Times New Roman" w:hAnsi="Times New Roman" w:cs="Times New Roman"/>
          <w:sz w:val="24"/>
          <w:szCs w:val="24"/>
        </w:rPr>
        <w:t>производителите</w:t>
      </w:r>
      <w:r w:rsidRPr="00943C4D">
        <w:rPr>
          <w:rFonts w:ascii="Times New Roman" w:eastAsia="Times New Roman" w:hAnsi="Times New Roman" w:cs="Times New Roman"/>
          <w:sz w:val="24"/>
          <w:szCs w:val="24"/>
        </w:rPr>
        <w:t xml:space="preserve"> (напр</w:t>
      </w:r>
      <w:r w:rsidR="00FD51F2">
        <w:rPr>
          <w:rFonts w:ascii="Times New Roman" w:eastAsia="Times New Roman" w:hAnsi="Times New Roman" w:cs="Times New Roman"/>
          <w:sz w:val="24"/>
          <w:szCs w:val="24"/>
        </w:rPr>
        <w:t>имер,</w:t>
      </w:r>
      <w:r w:rsidR="00FD51F2" w:rsidRPr="00943C4D">
        <w:rPr>
          <w:rFonts w:ascii="Times New Roman" w:eastAsia="Times New Roman" w:hAnsi="Times New Roman" w:cs="Times New Roman"/>
          <w:sz w:val="24"/>
          <w:szCs w:val="24"/>
        </w:rPr>
        <w:t xml:space="preserve"> </w:t>
      </w:r>
      <w:r w:rsidRPr="00943C4D">
        <w:rPr>
          <w:rFonts w:ascii="Times New Roman" w:eastAsia="Times New Roman" w:hAnsi="Times New Roman" w:cs="Times New Roman"/>
          <w:sz w:val="24"/>
          <w:szCs w:val="24"/>
        </w:rPr>
        <w:lastRenderedPageBreak/>
        <w:t>гарантиран минимум 10% печалба), овладяване на прекомерните надценки по веригата, стимулиране на местното производство, предпазване на потребителите от прекомерни цени</w:t>
      </w:r>
      <w:r>
        <w:rPr>
          <w:rFonts w:ascii="Times New Roman" w:eastAsia="Times New Roman" w:hAnsi="Times New Roman" w:cs="Times New Roman"/>
          <w:sz w:val="24"/>
          <w:szCs w:val="24"/>
        </w:rPr>
        <w:t xml:space="preserve"> </w:t>
      </w:r>
      <w:r w:rsidRPr="00943C4D">
        <w:rPr>
          <w:rFonts w:ascii="Times New Roman" w:eastAsia="Times New Roman" w:hAnsi="Times New Roman" w:cs="Times New Roman"/>
          <w:sz w:val="24"/>
          <w:szCs w:val="24"/>
        </w:rPr>
        <w:t>и повишаване на прозрачността.</w:t>
      </w:r>
    </w:p>
    <w:p w14:paraId="3928C5C7" w14:textId="77E9EE71" w:rsidR="00CB0A97" w:rsidRDefault="00CB0A97" w:rsidP="00DD69D5">
      <w:pPr>
        <w:spacing w:after="0" w:line="240" w:lineRule="auto"/>
        <w:ind w:firstLine="567"/>
        <w:jc w:val="both"/>
        <w:rPr>
          <w:rFonts w:ascii="Times New Roman" w:eastAsia="Times New Roman" w:hAnsi="Times New Roman" w:cs="Times New Roman"/>
          <w:sz w:val="24"/>
          <w:szCs w:val="24"/>
        </w:rPr>
      </w:pPr>
      <w:r w:rsidRPr="00030874">
        <w:rPr>
          <w:rFonts w:ascii="Times New Roman" w:eastAsia="Times New Roman" w:hAnsi="Times New Roman" w:cs="Times New Roman"/>
          <w:b/>
          <w:bCs/>
          <w:i/>
          <w:sz w:val="24"/>
          <w:szCs w:val="24"/>
        </w:rPr>
        <w:t>Обхват на засегнатите МСП</w:t>
      </w:r>
      <w:r w:rsidRPr="00943C4D">
        <w:rPr>
          <w:rFonts w:ascii="Times New Roman" w:eastAsia="Times New Roman" w:hAnsi="Times New Roman" w:cs="Times New Roman"/>
          <w:b/>
          <w:bCs/>
          <w:sz w:val="24"/>
          <w:szCs w:val="24"/>
        </w:rPr>
        <w:t>:</w:t>
      </w:r>
      <w:r w:rsidRPr="00943C4D">
        <w:rPr>
          <w:rFonts w:ascii="Times New Roman" w:eastAsia="Times New Roman" w:hAnsi="Times New Roman" w:cs="Times New Roman"/>
          <w:sz w:val="24"/>
          <w:szCs w:val="24"/>
        </w:rPr>
        <w:t xml:space="preserve"> </w:t>
      </w:r>
      <w:r w:rsidR="00940D80">
        <w:rPr>
          <w:rFonts w:ascii="Times New Roman" w:eastAsia="Times New Roman" w:hAnsi="Times New Roman" w:cs="Times New Roman"/>
          <w:sz w:val="24"/>
          <w:szCs w:val="24"/>
        </w:rPr>
        <w:t>м</w:t>
      </w:r>
      <w:r w:rsidRPr="00030874">
        <w:rPr>
          <w:rFonts w:ascii="Times New Roman" w:eastAsia="Times New Roman" w:hAnsi="Times New Roman" w:cs="Times New Roman"/>
          <w:bCs/>
          <w:sz w:val="24"/>
          <w:szCs w:val="24"/>
        </w:rPr>
        <w:t>ерки</w:t>
      </w:r>
      <w:r>
        <w:rPr>
          <w:rFonts w:ascii="Times New Roman" w:eastAsia="Times New Roman" w:hAnsi="Times New Roman" w:cs="Times New Roman"/>
          <w:bCs/>
          <w:sz w:val="24"/>
          <w:szCs w:val="24"/>
        </w:rPr>
        <w:t>те при Вариант 3 са изначално с лимитиран обективен обхват. Ц</w:t>
      </w:r>
      <w:r w:rsidRPr="00030874">
        <w:rPr>
          <w:rFonts w:ascii="Times New Roman" w:eastAsia="Times New Roman" w:hAnsi="Times New Roman" w:cs="Times New Roman"/>
          <w:bCs/>
          <w:sz w:val="24"/>
          <w:szCs w:val="24"/>
        </w:rPr>
        <w:t>еновите ограничения засягат само определен списък от стоки от първа необходимост, изискването за процент български продукти се прилага</w:t>
      </w:r>
      <w:r>
        <w:rPr>
          <w:rFonts w:ascii="Times New Roman" w:eastAsia="Times New Roman" w:hAnsi="Times New Roman" w:cs="Times New Roman"/>
          <w:bCs/>
          <w:sz w:val="24"/>
          <w:szCs w:val="24"/>
        </w:rPr>
        <w:t xml:space="preserve"> основно към големите търговци</w:t>
      </w:r>
      <w:r w:rsidRPr="00030874">
        <w:rPr>
          <w:rFonts w:ascii="Times New Roman" w:eastAsia="Times New Roman" w:hAnsi="Times New Roman" w:cs="Times New Roman"/>
          <w:bCs/>
          <w:sz w:val="24"/>
          <w:szCs w:val="24"/>
        </w:rPr>
        <w:t>, а новите системи за наблюдение ще се изграждат от държавата в рамките на наличния административен капацитет.</w:t>
      </w:r>
      <w:r w:rsidRPr="00030874">
        <w:rPr>
          <w:rFonts w:ascii="Times New Roman" w:eastAsia="Times New Roman" w:hAnsi="Times New Roman" w:cs="Times New Roman"/>
          <w:sz w:val="24"/>
          <w:szCs w:val="24"/>
        </w:rPr>
        <w:t xml:space="preserve"> Следователно, за засегнатите МСП основните нови ангажименти се свеждат до писмено оформяне на договорите и стандартно периодично предоставяне на данни, което ограничава</w:t>
      </w:r>
      <w:r w:rsidR="00940D80">
        <w:rPr>
          <w:rFonts w:ascii="Times New Roman" w:eastAsia="Times New Roman" w:hAnsi="Times New Roman" w:cs="Times New Roman"/>
          <w:sz w:val="24"/>
          <w:szCs w:val="24"/>
        </w:rPr>
        <w:t xml:space="preserve"> до минимум</w:t>
      </w:r>
      <w:r w:rsidRPr="00030874">
        <w:rPr>
          <w:rFonts w:ascii="Times New Roman" w:eastAsia="Times New Roman" w:hAnsi="Times New Roman" w:cs="Times New Roman"/>
          <w:sz w:val="24"/>
          <w:szCs w:val="24"/>
        </w:rPr>
        <w:t xml:space="preserve"> нетната тежест.</w:t>
      </w:r>
      <w:r>
        <w:rPr>
          <w:rFonts w:ascii="Times New Roman" w:eastAsia="Times New Roman" w:hAnsi="Times New Roman" w:cs="Times New Roman"/>
          <w:sz w:val="24"/>
          <w:szCs w:val="24"/>
        </w:rPr>
        <w:t xml:space="preserve"> </w:t>
      </w:r>
    </w:p>
    <w:p w14:paraId="6C382D65" w14:textId="520E8F3E" w:rsidR="00CB0A97" w:rsidRDefault="00CB0A97" w:rsidP="00DD69D5">
      <w:pPr>
        <w:spacing w:after="0" w:line="240" w:lineRule="auto"/>
        <w:ind w:firstLine="567"/>
        <w:jc w:val="both"/>
        <w:rPr>
          <w:rFonts w:ascii="Times New Roman" w:eastAsia="Times New Roman" w:hAnsi="Times New Roman" w:cs="Times New Roman"/>
          <w:sz w:val="24"/>
          <w:szCs w:val="24"/>
        </w:rPr>
      </w:pPr>
      <w:r w:rsidRPr="00030874">
        <w:rPr>
          <w:rFonts w:ascii="Times New Roman" w:eastAsia="Times New Roman" w:hAnsi="Times New Roman" w:cs="Times New Roman"/>
          <w:bCs/>
          <w:sz w:val="24"/>
          <w:szCs w:val="24"/>
        </w:rPr>
        <w:t xml:space="preserve">Практически всички участници по веригата за доставка на земеделски продукти и храни ще </w:t>
      </w:r>
      <w:r>
        <w:rPr>
          <w:rFonts w:ascii="Times New Roman" w:eastAsia="Times New Roman" w:hAnsi="Times New Roman" w:cs="Times New Roman"/>
          <w:bCs/>
          <w:sz w:val="24"/>
          <w:szCs w:val="24"/>
        </w:rPr>
        <w:t>реализират ползи</w:t>
      </w:r>
      <w:r w:rsidRPr="00030874">
        <w:rPr>
          <w:rFonts w:ascii="Times New Roman" w:eastAsia="Times New Roman" w:hAnsi="Times New Roman" w:cs="Times New Roman"/>
          <w:bCs/>
          <w:sz w:val="24"/>
          <w:szCs w:val="24"/>
        </w:rPr>
        <w:t xml:space="preserve"> от новия закон.</w:t>
      </w:r>
      <w:r w:rsidRPr="000308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Pr="00030874">
        <w:rPr>
          <w:rFonts w:ascii="Times New Roman" w:eastAsia="Times New Roman" w:hAnsi="Times New Roman" w:cs="Times New Roman"/>
          <w:sz w:val="24"/>
          <w:szCs w:val="24"/>
        </w:rPr>
        <w:t xml:space="preserve">егулацията покрива както </w:t>
      </w:r>
      <w:r w:rsidRPr="00030874">
        <w:rPr>
          <w:rFonts w:ascii="Times New Roman" w:eastAsia="Times New Roman" w:hAnsi="Times New Roman" w:cs="Times New Roman"/>
          <w:bCs/>
          <w:sz w:val="24"/>
          <w:szCs w:val="24"/>
        </w:rPr>
        <w:t>първично производство (земеделски стопанства)</w:t>
      </w:r>
      <w:r w:rsidRPr="00030874">
        <w:rPr>
          <w:rFonts w:ascii="Times New Roman" w:eastAsia="Times New Roman" w:hAnsi="Times New Roman" w:cs="Times New Roman"/>
          <w:sz w:val="24"/>
          <w:szCs w:val="24"/>
        </w:rPr>
        <w:t xml:space="preserve">, така и </w:t>
      </w:r>
      <w:r w:rsidRPr="00030874">
        <w:rPr>
          <w:rFonts w:ascii="Times New Roman" w:eastAsia="Times New Roman" w:hAnsi="Times New Roman" w:cs="Times New Roman"/>
          <w:bCs/>
          <w:sz w:val="24"/>
          <w:szCs w:val="24"/>
        </w:rPr>
        <w:t>преработка, търговия на едро и дребно</w:t>
      </w:r>
      <w:r w:rsidRPr="00030874">
        <w:rPr>
          <w:rFonts w:ascii="Times New Roman" w:eastAsia="Times New Roman" w:hAnsi="Times New Roman" w:cs="Times New Roman"/>
          <w:sz w:val="24"/>
          <w:szCs w:val="24"/>
        </w:rPr>
        <w:t xml:space="preserve"> на основни храни. По официални данни, както беше посочено, това са </w:t>
      </w:r>
      <w:r w:rsidRPr="00030874">
        <w:rPr>
          <w:rFonts w:ascii="Times New Roman" w:eastAsia="Times New Roman" w:hAnsi="Times New Roman" w:cs="Times New Roman"/>
          <w:bCs/>
          <w:sz w:val="24"/>
          <w:szCs w:val="24"/>
        </w:rPr>
        <w:t>над 90 хил. предприятия</w:t>
      </w:r>
      <w:r w:rsidRPr="00030874">
        <w:rPr>
          <w:rFonts w:ascii="Times New Roman" w:eastAsia="Times New Roman" w:hAnsi="Times New Roman" w:cs="Times New Roman"/>
          <w:sz w:val="24"/>
          <w:szCs w:val="24"/>
        </w:rPr>
        <w:t xml:space="preserve"> – от малки семейни </w:t>
      </w:r>
      <w:r w:rsidR="00D51DF1">
        <w:rPr>
          <w:rFonts w:ascii="Times New Roman" w:eastAsia="Times New Roman" w:hAnsi="Times New Roman" w:cs="Times New Roman"/>
          <w:sz w:val="24"/>
          <w:szCs w:val="24"/>
        </w:rPr>
        <w:t>земеделски стопанства</w:t>
      </w:r>
      <w:r w:rsidR="00D51DF1" w:rsidRPr="00030874">
        <w:rPr>
          <w:rFonts w:ascii="Times New Roman" w:eastAsia="Times New Roman" w:hAnsi="Times New Roman" w:cs="Times New Roman"/>
          <w:sz w:val="24"/>
          <w:szCs w:val="24"/>
        </w:rPr>
        <w:t xml:space="preserve"> </w:t>
      </w:r>
      <w:r w:rsidRPr="00030874">
        <w:rPr>
          <w:rFonts w:ascii="Times New Roman" w:eastAsia="Times New Roman" w:hAnsi="Times New Roman" w:cs="Times New Roman"/>
          <w:sz w:val="24"/>
          <w:szCs w:val="24"/>
        </w:rPr>
        <w:t>до малки магазини и ресторанти</w:t>
      </w:r>
      <w:r w:rsidRPr="00030874">
        <w:rPr>
          <w:rStyle w:val="FootnoteReference"/>
          <w:rFonts w:ascii="Times New Roman" w:eastAsia="Times New Roman" w:hAnsi="Times New Roman" w:cs="Times New Roman"/>
          <w:sz w:val="24"/>
          <w:szCs w:val="24"/>
        </w:rPr>
        <w:footnoteReference w:id="55"/>
      </w:r>
      <w:r w:rsidRPr="00030874">
        <w:rPr>
          <w:rFonts w:ascii="Times New Roman" w:eastAsia="Times New Roman" w:hAnsi="Times New Roman" w:cs="Times New Roman"/>
          <w:sz w:val="24"/>
          <w:szCs w:val="24"/>
          <w:vertAlign w:val="superscript"/>
        </w:rPr>
        <w:t>,</w:t>
      </w:r>
      <w:r w:rsidRPr="00030874">
        <w:rPr>
          <w:rStyle w:val="FootnoteReference"/>
          <w:rFonts w:ascii="Times New Roman" w:eastAsia="Times New Roman" w:hAnsi="Times New Roman" w:cs="Times New Roman"/>
          <w:sz w:val="24"/>
          <w:szCs w:val="24"/>
        </w:rPr>
        <w:footnoteReference w:id="56"/>
      </w:r>
      <w:r w:rsidRPr="00030874">
        <w:rPr>
          <w:rFonts w:ascii="Times New Roman" w:eastAsia="Times New Roman" w:hAnsi="Times New Roman" w:cs="Times New Roman"/>
          <w:sz w:val="24"/>
          <w:szCs w:val="24"/>
        </w:rPr>
        <w:t xml:space="preserve">. Разбира се, </w:t>
      </w:r>
      <w:r w:rsidRPr="00030874">
        <w:rPr>
          <w:rFonts w:ascii="Times New Roman" w:eastAsia="Times New Roman" w:hAnsi="Times New Roman" w:cs="Times New Roman"/>
          <w:bCs/>
          <w:sz w:val="24"/>
          <w:szCs w:val="24"/>
        </w:rPr>
        <w:t>степента и видът на засягане варират</w:t>
      </w:r>
      <w:r>
        <w:rPr>
          <w:rFonts w:ascii="Times New Roman" w:eastAsia="Times New Roman" w:hAnsi="Times New Roman" w:cs="Times New Roman"/>
          <w:sz w:val="24"/>
          <w:szCs w:val="24"/>
        </w:rPr>
        <w:t>:</w:t>
      </w:r>
    </w:p>
    <w:p w14:paraId="42326E2F" w14:textId="6C3D796E" w:rsidR="00CB0A97" w:rsidRDefault="00CB0A97" w:rsidP="00DD69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30874">
        <w:rPr>
          <w:rFonts w:ascii="Times New Roman" w:eastAsia="Times New Roman" w:hAnsi="Times New Roman" w:cs="Times New Roman"/>
          <w:bCs/>
          <w:i/>
          <w:sz w:val="24"/>
          <w:szCs w:val="24"/>
        </w:rPr>
        <w:t>малки земеделски стопанства (фермери)</w:t>
      </w:r>
      <w:r w:rsidRPr="00030874">
        <w:rPr>
          <w:rFonts w:ascii="Times New Roman" w:eastAsia="Times New Roman" w:hAnsi="Times New Roman" w:cs="Times New Roman"/>
          <w:bCs/>
          <w:sz w:val="24"/>
          <w:szCs w:val="24"/>
        </w:rPr>
        <w:t>:</w:t>
      </w:r>
      <w:r w:rsidRPr="00030874">
        <w:rPr>
          <w:rFonts w:ascii="Times New Roman" w:eastAsia="Times New Roman" w:hAnsi="Times New Roman" w:cs="Times New Roman"/>
          <w:sz w:val="24"/>
          <w:szCs w:val="24"/>
        </w:rPr>
        <w:t xml:space="preserve"> </w:t>
      </w:r>
      <w:r w:rsidR="00940D80">
        <w:rPr>
          <w:rFonts w:ascii="Times New Roman" w:eastAsia="Times New Roman" w:hAnsi="Times New Roman" w:cs="Times New Roman"/>
          <w:sz w:val="24"/>
          <w:szCs w:val="24"/>
        </w:rPr>
        <w:t>п</w:t>
      </w:r>
      <w:r w:rsidRPr="00030874">
        <w:rPr>
          <w:rFonts w:ascii="Times New Roman" w:eastAsia="Times New Roman" w:hAnsi="Times New Roman" w:cs="Times New Roman"/>
          <w:sz w:val="24"/>
          <w:szCs w:val="24"/>
        </w:rPr>
        <w:t xml:space="preserve">овечето </w:t>
      </w:r>
      <w:r w:rsidR="00D51DF1">
        <w:rPr>
          <w:rFonts w:ascii="Times New Roman" w:eastAsia="Times New Roman" w:hAnsi="Times New Roman" w:cs="Times New Roman"/>
          <w:sz w:val="24"/>
          <w:szCs w:val="24"/>
        </w:rPr>
        <w:t>такива</w:t>
      </w:r>
      <w:r w:rsidR="00D51DF1" w:rsidRPr="00030874">
        <w:rPr>
          <w:rFonts w:ascii="Times New Roman" w:eastAsia="Times New Roman" w:hAnsi="Times New Roman" w:cs="Times New Roman"/>
          <w:sz w:val="24"/>
          <w:szCs w:val="24"/>
        </w:rPr>
        <w:t xml:space="preserve"> </w:t>
      </w:r>
      <w:r w:rsidRPr="00030874">
        <w:rPr>
          <w:rFonts w:ascii="Times New Roman" w:eastAsia="Times New Roman" w:hAnsi="Times New Roman" w:cs="Times New Roman"/>
          <w:sz w:val="24"/>
          <w:szCs w:val="24"/>
        </w:rPr>
        <w:t xml:space="preserve">в </w:t>
      </w:r>
      <w:r w:rsidR="008A1DD6" w:rsidRPr="00AA510E">
        <w:rPr>
          <w:rFonts w:ascii="Times New Roman" w:eastAsia="Times New Roman" w:hAnsi="Times New Roman" w:cs="Times New Roman"/>
          <w:sz w:val="24"/>
          <w:szCs w:val="24"/>
        </w:rPr>
        <w:t>Република</w:t>
      </w:r>
      <w:r w:rsidR="008A1DD6">
        <w:rPr>
          <w:rFonts w:ascii="Times New Roman" w:eastAsia="Times New Roman" w:hAnsi="Times New Roman" w:cs="Times New Roman"/>
          <w:sz w:val="24"/>
          <w:szCs w:val="24"/>
        </w:rPr>
        <w:t xml:space="preserve"> </w:t>
      </w:r>
      <w:r w:rsidRPr="00030874">
        <w:rPr>
          <w:rFonts w:ascii="Times New Roman" w:eastAsia="Times New Roman" w:hAnsi="Times New Roman" w:cs="Times New Roman"/>
          <w:sz w:val="24"/>
          <w:szCs w:val="24"/>
        </w:rPr>
        <w:t>България са малки</w:t>
      </w:r>
      <w:r w:rsidR="009858CE">
        <w:rPr>
          <w:rFonts w:ascii="Times New Roman" w:eastAsia="Times New Roman" w:hAnsi="Times New Roman" w:cs="Times New Roman"/>
          <w:sz w:val="24"/>
          <w:szCs w:val="24"/>
        </w:rPr>
        <w:t>:</w:t>
      </w:r>
      <w:r w:rsidRPr="00030874">
        <w:rPr>
          <w:rFonts w:ascii="Times New Roman" w:eastAsia="Times New Roman" w:hAnsi="Times New Roman" w:cs="Times New Roman"/>
          <w:sz w:val="24"/>
          <w:szCs w:val="24"/>
        </w:rPr>
        <w:t xml:space="preserve"> 77% с под 20 ха земя и преобладаващо семейни. Те ще бъдат </w:t>
      </w:r>
      <w:r w:rsidRPr="00030874">
        <w:rPr>
          <w:rFonts w:ascii="Times New Roman" w:eastAsia="Times New Roman" w:hAnsi="Times New Roman" w:cs="Times New Roman"/>
          <w:bCs/>
          <w:sz w:val="24"/>
          <w:szCs w:val="24"/>
        </w:rPr>
        <w:t>облагодетелствани</w:t>
      </w:r>
      <w:r w:rsidRPr="00030874">
        <w:rPr>
          <w:rFonts w:ascii="Times New Roman" w:eastAsia="Times New Roman" w:hAnsi="Times New Roman" w:cs="Times New Roman"/>
          <w:sz w:val="24"/>
          <w:szCs w:val="24"/>
        </w:rPr>
        <w:t xml:space="preserve"> от защита срещу нелоялни практики</w:t>
      </w:r>
      <w:r w:rsidR="009858CE">
        <w:rPr>
          <w:rFonts w:ascii="Times New Roman" w:eastAsia="Times New Roman" w:hAnsi="Times New Roman" w:cs="Times New Roman"/>
          <w:sz w:val="24"/>
          <w:szCs w:val="24"/>
        </w:rPr>
        <w:t>, като</w:t>
      </w:r>
      <w:r w:rsidRPr="00030874">
        <w:rPr>
          <w:rFonts w:ascii="Times New Roman" w:eastAsia="Times New Roman" w:hAnsi="Times New Roman" w:cs="Times New Roman"/>
          <w:sz w:val="24"/>
          <w:szCs w:val="24"/>
        </w:rPr>
        <w:t xml:space="preserve"> напр</w:t>
      </w:r>
      <w:r w:rsidR="009858CE">
        <w:rPr>
          <w:rFonts w:ascii="Times New Roman" w:eastAsia="Times New Roman" w:hAnsi="Times New Roman" w:cs="Times New Roman"/>
          <w:sz w:val="24"/>
          <w:szCs w:val="24"/>
        </w:rPr>
        <w:t>имер,</w:t>
      </w:r>
      <w:r w:rsidRPr="00030874">
        <w:rPr>
          <w:rFonts w:ascii="Times New Roman" w:eastAsia="Times New Roman" w:hAnsi="Times New Roman" w:cs="Times New Roman"/>
          <w:sz w:val="24"/>
          <w:szCs w:val="24"/>
        </w:rPr>
        <w:t xml:space="preserve"> няма да им се налага да приемат плащане след 60 дни или да им връщат стоката без </w:t>
      </w:r>
      <w:r w:rsidRPr="00940D80">
        <w:rPr>
          <w:rFonts w:ascii="Times New Roman" w:eastAsia="Times New Roman" w:hAnsi="Times New Roman" w:cs="Times New Roman"/>
          <w:sz w:val="24"/>
          <w:szCs w:val="24"/>
        </w:rPr>
        <w:t xml:space="preserve">заплащане. </w:t>
      </w:r>
      <w:r w:rsidRPr="00940D80">
        <w:rPr>
          <w:rFonts w:ascii="Times New Roman" w:eastAsia="Times New Roman" w:hAnsi="Times New Roman" w:cs="Times New Roman"/>
          <w:iCs/>
          <w:sz w:val="24"/>
          <w:szCs w:val="24"/>
        </w:rPr>
        <w:t>Но</w:t>
      </w:r>
      <w:r w:rsidRPr="00940D80">
        <w:rPr>
          <w:rFonts w:ascii="Times New Roman" w:eastAsia="Times New Roman" w:hAnsi="Times New Roman" w:cs="Times New Roman"/>
          <w:sz w:val="24"/>
          <w:szCs w:val="24"/>
        </w:rPr>
        <w:t xml:space="preserve"> фермерите</w:t>
      </w:r>
      <w:r w:rsidRPr="00030874">
        <w:rPr>
          <w:rFonts w:ascii="Times New Roman" w:eastAsia="Times New Roman" w:hAnsi="Times New Roman" w:cs="Times New Roman"/>
          <w:sz w:val="24"/>
          <w:szCs w:val="24"/>
        </w:rPr>
        <w:t xml:space="preserve"> също ще имат </w:t>
      </w:r>
      <w:r w:rsidRPr="00030874">
        <w:rPr>
          <w:rFonts w:ascii="Times New Roman" w:eastAsia="Times New Roman" w:hAnsi="Times New Roman" w:cs="Times New Roman"/>
          <w:bCs/>
          <w:sz w:val="24"/>
          <w:szCs w:val="24"/>
        </w:rPr>
        <w:t>нови задължения</w:t>
      </w:r>
      <w:r w:rsidRPr="00030874">
        <w:rPr>
          <w:rFonts w:ascii="Times New Roman" w:eastAsia="Times New Roman" w:hAnsi="Times New Roman" w:cs="Times New Roman"/>
          <w:sz w:val="24"/>
          <w:szCs w:val="24"/>
        </w:rPr>
        <w:t>: да сключват писмени договори с първите изкупвачи (прекратяване на устните договорки), да спазват определени изисквания за тези договори (например да включват клаузи за 10% печалба), вероятно да предоставят информация за себестойността си при договаряне (ако се прилага г</w:t>
      </w:r>
      <w:r>
        <w:rPr>
          <w:rFonts w:ascii="Times New Roman" w:eastAsia="Times New Roman" w:hAnsi="Times New Roman" w:cs="Times New Roman"/>
          <w:sz w:val="24"/>
          <w:szCs w:val="24"/>
        </w:rPr>
        <w:t>арантиране на процент печалба);</w:t>
      </w:r>
    </w:p>
    <w:p w14:paraId="23B9C988" w14:textId="33BC9E51" w:rsidR="00CB0A97" w:rsidRPr="00940D80" w:rsidRDefault="00CB0A97" w:rsidP="00940D8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30874">
        <w:rPr>
          <w:rFonts w:ascii="Times New Roman" w:eastAsia="Times New Roman" w:hAnsi="Times New Roman" w:cs="Times New Roman"/>
          <w:bCs/>
          <w:i/>
          <w:sz w:val="24"/>
          <w:szCs w:val="24"/>
        </w:rPr>
        <w:t>първи изкупвачи и преработватели</w:t>
      </w:r>
      <w:r w:rsidRPr="00030874">
        <w:rPr>
          <w:rFonts w:ascii="Times New Roman" w:eastAsia="Times New Roman" w:hAnsi="Times New Roman" w:cs="Times New Roman"/>
          <w:bCs/>
          <w:sz w:val="24"/>
          <w:szCs w:val="24"/>
        </w:rPr>
        <w:t>:</w:t>
      </w:r>
      <w:r w:rsidRPr="00030874">
        <w:rPr>
          <w:rFonts w:ascii="Times New Roman" w:eastAsia="Times New Roman" w:hAnsi="Times New Roman" w:cs="Times New Roman"/>
          <w:sz w:val="24"/>
          <w:szCs w:val="24"/>
        </w:rPr>
        <w:t xml:space="preserve"> </w:t>
      </w:r>
      <w:r w:rsidRPr="00940D80">
        <w:rPr>
          <w:rFonts w:ascii="Times New Roman" w:eastAsia="Times New Roman" w:hAnsi="Times New Roman" w:cs="Times New Roman"/>
          <w:sz w:val="24"/>
          <w:szCs w:val="24"/>
        </w:rPr>
        <w:t xml:space="preserve">Това са фирми, които събират суровини от много фермери – мандри, месопреработватели, плодово-зеленчукови консервни предприятия, зърнопреработватели и т.н. Мнозинството от тях са също МСП (макар и </w:t>
      </w:r>
      <w:r w:rsidR="00F47EE1">
        <w:rPr>
          <w:rFonts w:ascii="Times New Roman" w:eastAsia="Times New Roman" w:hAnsi="Times New Roman" w:cs="Times New Roman"/>
          <w:sz w:val="24"/>
          <w:szCs w:val="24"/>
        </w:rPr>
        <w:t>сред</w:t>
      </w:r>
      <w:r w:rsidR="00940D80">
        <w:rPr>
          <w:rFonts w:ascii="Times New Roman" w:eastAsia="Times New Roman" w:hAnsi="Times New Roman" w:cs="Times New Roman"/>
          <w:sz w:val="24"/>
          <w:szCs w:val="24"/>
        </w:rPr>
        <w:t xml:space="preserve"> тях да има и някои</w:t>
      </w:r>
      <w:r w:rsidRPr="00940D80">
        <w:rPr>
          <w:rFonts w:ascii="Times New Roman" w:eastAsia="Times New Roman" w:hAnsi="Times New Roman" w:cs="Times New Roman"/>
          <w:sz w:val="24"/>
          <w:szCs w:val="24"/>
        </w:rPr>
        <w:t xml:space="preserve"> големи). Те ще бъдат </w:t>
      </w:r>
      <w:r w:rsidRPr="00940D80">
        <w:rPr>
          <w:rFonts w:ascii="Times New Roman" w:eastAsia="Times New Roman" w:hAnsi="Times New Roman" w:cs="Times New Roman"/>
          <w:bCs/>
          <w:sz w:val="24"/>
          <w:szCs w:val="24"/>
        </w:rPr>
        <w:t>пряко облагодетелствани</w:t>
      </w:r>
      <w:r w:rsidRPr="00940D80">
        <w:rPr>
          <w:rFonts w:ascii="Times New Roman" w:eastAsia="Times New Roman" w:hAnsi="Times New Roman" w:cs="Times New Roman"/>
          <w:sz w:val="24"/>
          <w:szCs w:val="24"/>
        </w:rPr>
        <w:t xml:space="preserve">: </w:t>
      </w:r>
      <w:r w:rsidR="00940D80" w:rsidRPr="00940D80">
        <w:rPr>
          <w:rFonts w:ascii="Times New Roman" w:eastAsia="Times New Roman" w:hAnsi="Times New Roman" w:cs="Times New Roman"/>
          <w:sz w:val="24"/>
          <w:szCs w:val="24"/>
        </w:rPr>
        <w:t xml:space="preserve">на </w:t>
      </w:r>
      <w:r w:rsidR="009671DD">
        <w:rPr>
          <w:rFonts w:ascii="Times New Roman" w:eastAsia="Times New Roman" w:hAnsi="Times New Roman" w:cs="Times New Roman"/>
          <w:sz w:val="24"/>
          <w:szCs w:val="24"/>
        </w:rPr>
        <w:t>тях</w:t>
      </w:r>
      <w:r w:rsidR="00940D80" w:rsidRPr="00940D80">
        <w:rPr>
          <w:rFonts w:ascii="Times New Roman" w:eastAsia="Times New Roman" w:hAnsi="Times New Roman" w:cs="Times New Roman"/>
          <w:sz w:val="24"/>
          <w:szCs w:val="24"/>
        </w:rPr>
        <w:t xml:space="preserve"> </w:t>
      </w:r>
      <w:r w:rsidR="009671DD">
        <w:rPr>
          <w:rFonts w:ascii="Times New Roman" w:eastAsia="Times New Roman" w:hAnsi="Times New Roman" w:cs="Times New Roman"/>
          <w:sz w:val="24"/>
          <w:szCs w:val="24"/>
        </w:rPr>
        <w:t xml:space="preserve">също </w:t>
      </w:r>
      <w:r w:rsidRPr="00940D80">
        <w:rPr>
          <w:rFonts w:ascii="Times New Roman" w:eastAsia="Times New Roman" w:hAnsi="Times New Roman" w:cs="Times New Roman"/>
          <w:sz w:val="24"/>
          <w:szCs w:val="24"/>
        </w:rPr>
        <w:t>няма</w:t>
      </w:r>
      <w:r w:rsidR="009671DD">
        <w:rPr>
          <w:rFonts w:ascii="Times New Roman" w:eastAsia="Times New Roman" w:hAnsi="Times New Roman" w:cs="Times New Roman"/>
          <w:sz w:val="24"/>
          <w:szCs w:val="24"/>
        </w:rPr>
        <w:t xml:space="preserve"> им бъдат</w:t>
      </w:r>
      <w:r w:rsidRPr="00940D80">
        <w:rPr>
          <w:rFonts w:ascii="Times New Roman" w:eastAsia="Times New Roman" w:hAnsi="Times New Roman" w:cs="Times New Roman"/>
          <w:sz w:val="24"/>
          <w:szCs w:val="24"/>
        </w:rPr>
        <w:t xml:space="preserve"> налага</w:t>
      </w:r>
      <w:r w:rsidR="009671DD">
        <w:rPr>
          <w:rFonts w:ascii="Times New Roman" w:eastAsia="Times New Roman" w:hAnsi="Times New Roman" w:cs="Times New Roman"/>
          <w:sz w:val="24"/>
          <w:szCs w:val="24"/>
        </w:rPr>
        <w:t>ни</w:t>
      </w:r>
      <w:r w:rsidRPr="00940D80">
        <w:rPr>
          <w:rFonts w:ascii="Times New Roman" w:eastAsia="Times New Roman" w:hAnsi="Times New Roman" w:cs="Times New Roman"/>
          <w:sz w:val="24"/>
          <w:szCs w:val="24"/>
        </w:rPr>
        <w:t xml:space="preserve"> </w:t>
      </w:r>
      <w:r w:rsidR="009671DD">
        <w:rPr>
          <w:rFonts w:ascii="Times New Roman" w:eastAsia="Times New Roman" w:hAnsi="Times New Roman" w:cs="Times New Roman"/>
          <w:sz w:val="24"/>
          <w:szCs w:val="24"/>
        </w:rPr>
        <w:t>нелоялни търговски практики</w:t>
      </w:r>
      <w:r w:rsidRPr="00940D80">
        <w:rPr>
          <w:rFonts w:ascii="Times New Roman" w:eastAsia="Times New Roman" w:hAnsi="Times New Roman" w:cs="Times New Roman"/>
          <w:sz w:val="24"/>
          <w:szCs w:val="24"/>
        </w:rPr>
        <w:t xml:space="preserve">. </w:t>
      </w:r>
      <w:r w:rsidR="009671DD">
        <w:rPr>
          <w:rFonts w:ascii="Times New Roman" w:eastAsia="Times New Roman" w:hAnsi="Times New Roman" w:cs="Times New Roman"/>
          <w:sz w:val="24"/>
          <w:szCs w:val="24"/>
        </w:rPr>
        <w:t>Въпреки това</w:t>
      </w:r>
      <w:r w:rsidRPr="00940D80">
        <w:rPr>
          <w:rFonts w:ascii="Times New Roman" w:eastAsia="Times New Roman" w:hAnsi="Times New Roman" w:cs="Times New Roman"/>
          <w:sz w:val="24"/>
          <w:szCs w:val="24"/>
        </w:rPr>
        <w:t xml:space="preserve">, ако са </w:t>
      </w:r>
      <w:r w:rsidRPr="00940D80">
        <w:rPr>
          <w:rFonts w:ascii="Times New Roman" w:eastAsia="Times New Roman" w:hAnsi="Times New Roman" w:cs="Times New Roman"/>
          <w:bCs/>
          <w:sz w:val="24"/>
          <w:szCs w:val="24"/>
        </w:rPr>
        <w:t>първи изкупвачи</w:t>
      </w:r>
      <w:r w:rsidRPr="00940D80">
        <w:rPr>
          <w:rFonts w:ascii="Times New Roman" w:eastAsia="Times New Roman" w:hAnsi="Times New Roman" w:cs="Times New Roman"/>
          <w:sz w:val="24"/>
          <w:szCs w:val="24"/>
        </w:rPr>
        <w:t xml:space="preserve">, законът ще изисква да се </w:t>
      </w:r>
      <w:r w:rsidRPr="00940D80">
        <w:rPr>
          <w:rFonts w:ascii="Times New Roman" w:eastAsia="Times New Roman" w:hAnsi="Times New Roman" w:cs="Times New Roman"/>
          <w:bCs/>
          <w:sz w:val="24"/>
          <w:szCs w:val="24"/>
        </w:rPr>
        <w:t>регистрират в специален регистър</w:t>
      </w:r>
      <w:r w:rsidR="009858CE" w:rsidRPr="00940D80">
        <w:rPr>
          <w:rFonts w:ascii="Times New Roman" w:eastAsia="Times New Roman" w:hAnsi="Times New Roman" w:cs="Times New Roman"/>
          <w:sz w:val="24"/>
          <w:szCs w:val="24"/>
        </w:rPr>
        <w:t>.</w:t>
      </w:r>
      <w:r w:rsidRPr="00940D80">
        <w:rPr>
          <w:rFonts w:ascii="Times New Roman" w:eastAsia="Times New Roman" w:hAnsi="Times New Roman" w:cs="Times New Roman"/>
          <w:sz w:val="24"/>
          <w:szCs w:val="24"/>
        </w:rPr>
        <w:t xml:space="preserve"> Това </w:t>
      </w:r>
      <w:r w:rsidR="009858CE" w:rsidRPr="00940D80">
        <w:rPr>
          <w:rFonts w:ascii="Times New Roman" w:eastAsia="Times New Roman" w:hAnsi="Times New Roman" w:cs="Times New Roman"/>
          <w:sz w:val="24"/>
          <w:szCs w:val="24"/>
        </w:rPr>
        <w:t>означава, че</w:t>
      </w:r>
      <w:r w:rsidRPr="00940D80">
        <w:rPr>
          <w:rFonts w:ascii="Times New Roman" w:eastAsia="Times New Roman" w:hAnsi="Times New Roman" w:cs="Times New Roman"/>
          <w:sz w:val="24"/>
          <w:szCs w:val="24"/>
        </w:rPr>
        <w:t xml:space="preserve"> </w:t>
      </w:r>
      <w:r w:rsidR="009671DD">
        <w:rPr>
          <w:rFonts w:ascii="Times New Roman" w:eastAsia="Times New Roman" w:hAnsi="Times New Roman" w:cs="Times New Roman"/>
          <w:iCs/>
          <w:sz w:val="24"/>
          <w:szCs w:val="24"/>
        </w:rPr>
        <w:t>те</w:t>
      </w:r>
      <w:r w:rsidRPr="00940D80">
        <w:rPr>
          <w:rFonts w:ascii="Times New Roman" w:eastAsia="Times New Roman" w:hAnsi="Times New Roman" w:cs="Times New Roman"/>
          <w:sz w:val="24"/>
          <w:szCs w:val="24"/>
        </w:rPr>
        <w:t xml:space="preserve"> ще трябва да подадат заявление за вписване и да се отчитат периодично;</w:t>
      </w:r>
    </w:p>
    <w:p w14:paraId="297532AF" w14:textId="008D1A57" w:rsidR="00CB0A97" w:rsidRDefault="00CB0A97" w:rsidP="00DD69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30874">
        <w:rPr>
          <w:rFonts w:ascii="Times New Roman" w:eastAsia="Times New Roman" w:hAnsi="Times New Roman" w:cs="Times New Roman"/>
          <w:bCs/>
          <w:i/>
          <w:sz w:val="24"/>
          <w:szCs w:val="24"/>
        </w:rPr>
        <w:t>търговци на едро</w:t>
      </w:r>
      <w:r w:rsidRPr="00030874">
        <w:rPr>
          <w:rFonts w:ascii="Times New Roman" w:eastAsia="Times New Roman" w:hAnsi="Times New Roman" w:cs="Times New Roman"/>
          <w:bCs/>
          <w:sz w:val="24"/>
          <w:szCs w:val="24"/>
        </w:rPr>
        <w:t>:</w:t>
      </w:r>
      <w:r w:rsidRPr="00030874">
        <w:rPr>
          <w:rFonts w:ascii="Times New Roman" w:eastAsia="Times New Roman" w:hAnsi="Times New Roman" w:cs="Times New Roman"/>
          <w:sz w:val="24"/>
          <w:szCs w:val="24"/>
        </w:rPr>
        <w:t xml:space="preserve"> </w:t>
      </w:r>
      <w:r w:rsidR="009671DD">
        <w:rPr>
          <w:rFonts w:ascii="Times New Roman" w:eastAsia="Times New Roman" w:hAnsi="Times New Roman" w:cs="Times New Roman"/>
          <w:sz w:val="24"/>
          <w:szCs w:val="24"/>
        </w:rPr>
        <w:t xml:space="preserve">дружествата </w:t>
      </w:r>
      <w:r w:rsidRPr="00030874">
        <w:rPr>
          <w:rFonts w:ascii="Times New Roman" w:eastAsia="Times New Roman" w:hAnsi="Times New Roman" w:cs="Times New Roman"/>
          <w:sz w:val="24"/>
          <w:szCs w:val="24"/>
        </w:rPr>
        <w:t xml:space="preserve">дистрибутори, борси за храни, складове на едро също ще трябва да се регистрират и да спазват </w:t>
      </w:r>
      <w:r w:rsidR="009671DD">
        <w:rPr>
          <w:rFonts w:ascii="Times New Roman" w:eastAsia="Times New Roman" w:hAnsi="Times New Roman" w:cs="Times New Roman"/>
          <w:sz w:val="24"/>
          <w:szCs w:val="24"/>
        </w:rPr>
        <w:t xml:space="preserve">новите </w:t>
      </w:r>
      <w:r w:rsidRPr="00030874">
        <w:rPr>
          <w:rFonts w:ascii="Times New Roman" w:eastAsia="Times New Roman" w:hAnsi="Times New Roman" w:cs="Times New Roman"/>
          <w:sz w:val="24"/>
          <w:szCs w:val="24"/>
        </w:rPr>
        <w:t>условия. Ако работят като посредници между фермери и магазини, те попадат под регулация</w:t>
      </w:r>
      <w:r>
        <w:rPr>
          <w:rFonts w:ascii="Times New Roman" w:eastAsia="Times New Roman" w:hAnsi="Times New Roman" w:cs="Times New Roman"/>
          <w:sz w:val="24"/>
          <w:szCs w:val="24"/>
        </w:rPr>
        <w:t xml:space="preserve"> на договорите и </w:t>
      </w:r>
      <w:r w:rsidR="009858CE">
        <w:rPr>
          <w:rFonts w:ascii="Times New Roman" w:eastAsia="Times New Roman" w:hAnsi="Times New Roman" w:cs="Times New Roman"/>
          <w:sz w:val="24"/>
          <w:szCs w:val="24"/>
        </w:rPr>
        <w:t>нелоялните търговски практики</w:t>
      </w:r>
      <w:r>
        <w:rPr>
          <w:rFonts w:ascii="Times New Roman" w:eastAsia="Times New Roman" w:hAnsi="Times New Roman" w:cs="Times New Roman"/>
          <w:sz w:val="24"/>
          <w:szCs w:val="24"/>
        </w:rPr>
        <w:t>;</w:t>
      </w:r>
    </w:p>
    <w:p w14:paraId="102639F8" w14:textId="33448517" w:rsidR="00CB0A97" w:rsidRDefault="00CB0A97" w:rsidP="00DD69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 т</w:t>
      </w:r>
      <w:r w:rsidRPr="00030874">
        <w:rPr>
          <w:rFonts w:ascii="Times New Roman" w:eastAsia="Times New Roman" w:hAnsi="Times New Roman" w:cs="Times New Roman"/>
          <w:bCs/>
          <w:i/>
          <w:sz w:val="24"/>
          <w:szCs w:val="24"/>
        </w:rPr>
        <w:t>ърговци на дребно (магазини, супермаркети)</w:t>
      </w:r>
      <w:r w:rsidRPr="00030874">
        <w:rPr>
          <w:rFonts w:ascii="Times New Roman" w:eastAsia="Times New Roman" w:hAnsi="Times New Roman" w:cs="Times New Roman"/>
          <w:bCs/>
          <w:sz w:val="24"/>
          <w:szCs w:val="24"/>
        </w:rPr>
        <w:t>:</w:t>
      </w:r>
      <w:r w:rsidRPr="00030874">
        <w:rPr>
          <w:rFonts w:ascii="Times New Roman" w:eastAsia="Times New Roman" w:hAnsi="Times New Roman" w:cs="Times New Roman"/>
          <w:sz w:val="24"/>
          <w:szCs w:val="24"/>
        </w:rPr>
        <w:t xml:space="preserve"> </w:t>
      </w:r>
      <w:r w:rsidR="009671DD">
        <w:rPr>
          <w:rFonts w:ascii="Times New Roman" w:eastAsia="Times New Roman" w:hAnsi="Times New Roman" w:cs="Times New Roman"/>
          <w:sz w:val="24"/>
          <w:szCs w:val="24"/>
        </w:rPr>
        <w:t>т</w:t>
      </w:r>
      <w:r w:rsidRPr="00030874">
        <w:rPr>
          <w:rFonts w:ascii="Times New Roman" w:eastAsia="Times New Roman" w:hAnsi="Times New Roman" w:cs="Times New Roman"/>
          <w:sz w:val="24"/>
          <w:szCs w:val="24"/>
        </w:rPr>
        <w:t>ук попада</w:t>
      </w:r>
      <w:r>
        <w:rPr>
          <w:rFonts w:ascii="Times New Roman" w:eastAsia="Times New Roman" w:hAnsi="Times New Roman" w:cs="Times New Roman"/>
          <w:sz w:val="24"/>
          <w:szCs w:val="24"/>
        </w:rPr>
        <w:t>т основно г</w:t>
      </w:r>
      <w:r w:rsidRPr="00030874">
        <w:rPr>
          <w:rFonts w:ascii="Times New Roman" w:eastAsia="Times New Roman" w:hAnsi="Times New Roman" w:cs="Times New Roman"/>
          <w:bCs/>
          <w:sz w:val="24"/>
          <w:szCs w:val="24"/>
        </w:rPr>
        <w:t xml:space="preserve">олемите </w:t>
      </w:r>
      <w:r>
        <w:rPr>
          <w:rFonts w:ascii="Times New Roman" w:eastAsia="Times New Roman" w:hAnsi="Times New Roman" w:cs="Times New Roman"/>
          <w:bCs/>
          <w:sz w:val="24"/>
          <w:szCs w:val="24"/>
        </w:rPr>
        <w:t xml:space="preserve">търговски </w:t>
      </w:r>
      <w:r w:rsidRPr="00030874">
        <w:rPr>
          <w:rFonts w:ascii="Times New Roman" w:eastAsia="Times New Roman" w:hAnsi="Times New Roman" w:cs="Times New Roman"/>
          <w:bCs/>
          <w:sz w:val="24"/>
          <w:szCs w:val="24"/>
        </w:rPr>
        <w:t>вериги</w:t>
      </w:r>
      <w:r w:rsidRPr="00030874">
        <w:rPr>
          <w:rFonts w:ascii="Times New Roman" w:eastAsia="Times New Roman" w:hAnsi="Times New Roman" w:cs="Times New Roman"/>
          <w:sz w:val="24"/>
          <w:szCs w:val="24"/>
        </w:rPr>
        <w:t xml:space="preserve"> (които са около 10-15 компании</w:t>
      </w:r>
      <w:r w:rsidR="009858CE">
        <w:rPr>
          <w:rFonts w:ascii="Times New Roman" w:eastAsia="Times New Roman" w:hAnsi="Times New Roman" w:cs="Times New Roman"/>
          <w:sz w:val="24"/>
          <w:szCs w:val="24"/>
        </w:rPr>
        <w:t>,</w:t>
      </w:r>
      <w:r w:rsidR="009671DD">
        <w:rPr>
          <w:rFonts w:ascii="Times New Roman" w:eastAsia="Times New Roman" w:hAnsi="Times New Roman" w:cs="Times New Roman"/>
          <w:sz w:val="24"/>
          <w:szCs w:val="24"/>
        </w:rPr>
        <w:t xml:space="preserve"> опериращи стотици обекти). З</w:t>
      </w:r>
      <w:r w:rsidRPr="00030874">
        <w:rPr>
          <w:rFonts w:ascii="Times New Roman" w:eastAsia="Times New Roman" w:hAnsi="Times New Roman" w:cs="Times New Roman"/>
          <w:sz w:val="24"/>
          <w:szCs w:val="24"/>
        </w:rPr>
        <w:t xml:space="preserve">а тях се въвеждат ограничения на надценката (да не надвишава определен процент за списъка от стоки) и изискване определен дял от продаваните основни храни да са </w:t>
      </w:r>
      <w:r w:rsidRPr="00030874">
        <w:rPr>
          <w:rFonts w:ascii="Times New Roman" w:eastAsia="Times New Roman" w:hAnsi="Times New Roman" w:cs="Times New Roman"/>
          <w:sz w:val="24"/>
          <w:szCs w:val="24"/>
        </w:rPr>
        <w:lastRenderedPageBreak/>
        <w:t xml:space="preserve">българско производство. </w:t>
      </w:r>
      <w:r>
        <w:rPr>
          <w:rFonts w:ascii="Times New Roman" w:eastAsia="Times New Roman" w:hAnsi="Times New Roman" w:cs="Times New Roman"/>
          <w:sz w:val="24"/>
          <w:szCs w:val="24"/>
        </w:rPr>
        <w:t>Последното м</w:t>
      </w:r>
      <w:r w:rsidRPr="00030874">
        <w:rPr>
          <w:rFonts w:ascii="Times New Roman" w:eastAsia="Times New Roman" w:hAnsi="Times New Roman" w:cs="Times New Roman"/>
          <w:sz w:val="24"/>
          <w:szCs w:val="24"/>
        </w:rPr>
        <w:t xml:space="preserve">оже да </w:t>
      </w:r>
      <w:r>
        <w:rPr>
          <w:rFonts w:ascii="Times New Roman" w:eastAsia="Times New Roman" w:hAnsi="Times New Roman" w:cs="Times New Roman"/>
          <w:sz w:val="24"/>
          <w:szCs w:val="24"/>
        </w:rPr>
        <w:t>с</w:t>
      </w:r>
      <w:r w:rsidRPr="00030874">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окаже</w:t>
      </w:r>
      <w:r w:rsidRPr="00030874">
        <w:rPr>
          <w:rFonts w:ascii="Times New Roman" w:eastAsia="Times New Roman" w:hAnsi="Times New Roman" w:cs="Times New Roman"/>
          <w:sz w:val="24"/>
          <w:szCs w:val="24"/>
        </w:rPr>
        <w:t xml:space="preserve"> трудно </w:t>
      </w:r>
      <w:r>
        <w:rPr>
          <w:rFonts w:ascii="Times New Roman" w:eastAsia="Times New Roman" w:hAnsi="Times New Roman" w:cs="Times New Roman"/>
          <w:sz w:val="24"/>
          <w:szCs w:val="24"/>
        </w:rPr>
        <w:t xml:space="preserve">изпълнимо </w:t>
      </w:r>
      <w:r w:rsidRPr="00030874">
        <w:rPr>
          <w:rFonts w:ascii="Times New Roman" w:eastAsia="Times New Roman" w:hAnsi="Times New Roman" w:cs="Times New Roman"/>
          <w:sz w:val="24"/>
          <w:szCs w:val="24"/>
        </w:rPr>
        <w:t>за обекти с ограничени доставчици</w:t>
      </w:r>
      <w:r w:rsidR="009858CE">
        <w:rPr>
          <w:rFonts w:ascii="Times New Roman" w:eastAsia="Times New Roman" w:hAnsi="Times New Roman" w:cs="Times New Roman"/>
          <w:sz w:val="24"/>
          <w:szCs w:val="24"/>
        </w:rPr>
        <w:t>. Т</w:t>
      </w:r>
      <w:r w:rsidRPr="00030874">
        <w:rPr>
          <w:rFonts w:ascii="Times New Roman" w:eastAsia="Times New Roman" w:hAnsi="Times New Roman" w:cs="Times New Roman"/>
          <w:sz w:val="24"/>
          <w:szCs w:val="24"/>
        </w:rPr>
        <w:t xml:space="preserve">е ще трябва да търсят български източници, да документират произхода. Всичко това </w:t>
      </w:r>
      <w:r>
        <w:rPr>
          <w:rFonts w:ascii="Times New Roman" w:eastAsia="Times New Roman" w:hAnsi="Times New Roman" w:cs="Times New Roman"/>
          <w:sz w:val="24"/>
          <w:szCs w:val="24"/>
        </w:rPr>
        <w:t xml:space="preserve">води до </w:t>
      </w:r>
      <w:r w:rsidR="009671DD">
        <w:rPr>
          <w:rFonts w:ascii="Times New Roman" w:eastAsia="Times New Roman" w:hAnsi="Times New Roman" w:cs="Times New Roman"/>
          <w:iCs/>
          <w:sz w:val="24"/>
          <w:szCs w:val="24"/>
        </w:rPr>
        <w:t>увеличаване</w:t>
      </w:r>
      <w:r w:rsidRPr="00030874">
        <w:rPr>
          <w:rFonts w:ascii="Times New Roman" w:eastAsia="Times New Roman" w:hAnsi="Times New Roman" w:cs="Times New Roman"/>
          <w:iCs/>
          <w:sz w:val="24"/>
          <w:szCs w:val="24"/>
        </w:rPr>
        <w:t xml:space="preserve"> на административната работа</w:t>
      </w:r>
      <w:r w:rsidR="009858CE">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като изисква </w:t>
      </w:r>
      <w:r w:rsidRPr="00030874">
        <w:rPr>
          <w:rFonts w:ascii="Times New Roman" w:eastAsia="Times New Roman" w:hAnsi="Times New Roman" w:cs="Times New Roman"/>
          <w:sz w:val="24"/>
          <w:szCs w:val="24"/>
        </w:rPr>
        <w:t>водене на документация кой продукт какъв произход има, евенту</w:t>
      </w:r>
      <w:r>
        <w:rPr>
          <w:rFonts w:ascii="Times New Roman" w:eastAsia="Times New Roman" w:hAnsi="Times New Roman" w:cs="Times New Roman"/>
          <w:sz w:val="24"/>
          <w:szCs w:val="24"/>
        </w:rPr>
        <w:t>ално</w:t>
      </w:r>
      <w:r w:rsidR="009858CE">
        <w:rPr>
          <w:rFonts w:ascii="Times New Roman" w:eastAsia="Times New Roman" w:hAnsi="Times New Roman" w:cs="Times New Roman"/>
          <w:sz w:val="24"/>
          <w:szCs w:val="24"/>
        </w:rPr>
        <w:t>, предоставяне</w:t>
      </w:r>
      <w:r>
        <w:rPr>
          <w:rFonts w:ascii="Times New Roman" w:eastAsia="Times New Roman" w:hAnsi="Times New Roman" w:cs="Times New Roman"/>
          <w:sz w:val="24"/>
          <w:szCs w:val="24"/>
        </w:rPr>
        <w:t xml:space="preserve"> доказателства при проверка</w:t>
      </w:r>
      <w:r w:rsidRPr="00030874">
        <w:rPr>
          <w:rFonts w:ascii="Times New Roman" w:eastAsia="Times New Roman" w:hAnsi="Times New Roman" w:cs="Times New Roman"/>
          <w:sz w:val="24"/>
          <w:szCs w:val="24"/>
        </w:rPr>
        <w:t>.</w:t>
      </w:r>
    </w:p>
    <w:p w14:paraId="258AA321" w14:textId="77777777" w:rsidR="00CB0A97" w:rsidRPr="00943C4D" w:rsidRDefault="00CB0A97" w:rsidP="00DD69D5">
      <w:pPr>
        <w:spacing w:after="0" w:line="240" w:lineRule="auto"/>
        <w:ind w:firstLine="567"/>
        <w:jc w:val="both"/>
        <w:rPr>
          <w:rFonts w:ascii="Times New Roman" w:eastAsia="Times New Roman" w:hAnsi="Times New Roman" w:cs="Times New Roman"/>
          <w:sz w:val="24"/>
          <w:szCs w:val="24"/>
        </w:rPr>
      </w:pPr>
      <w:r w:rsidRPr="00943C4D">
        <w:rPr>
          <w:rFonts w:ascii="Times New Roman" w:eastAsia="Times New Roman" w:hAnsi="Times New Roman" w:cs="Times New Roman"/>
          <w:sz w:val="24"/>
          <w:szCs w:val="24"/>
        </w:rPr>
        <w:t>Общото</w:t>
      </w:r>
      <w:r>
        <w:rPr>
          <w:rFonts w:ascii="Times New Roman" w:eastAsia="Times New Roman" w:hAnsi="Times New Roman" w:cs="Times New Roman"/>
          <w:sz w:val="24"/>
          <w:szCs w:val="24"/>
        </w:rPr>
        <w:t xml:space="preserve"> за всички участници по веригата на доставки</w:t>
      </w:r>
      <w:r w:rsidRPr="00943C4D">
        <w:rPr>
          <w:rFonts w:ascii="Times New Roman" w:eastAsia="Times New Roman" w:hAnsi="Times New Roman" w:cs="Times New Roman"/>
          <w:sz w:val="24"/>
          <w:szCs w:val="24"/>
        </w:rPr>
        <w:t xml:space="preserve"> е, че </w:t>
      </w:r>
      <w:r w:rsidRPr="00A9476D">
        <w:rPr>
          <w:rFonts w:ascii="Times New Roman" w:eastAsia="Times New Roman" w:hAnsi="Times New Roman" w:cs="Times New Roman"/>
          <w:bCs/>
          <w:sz w:val="24"/>
          <w:szCs w:val="24"/>
        </w:rPr>
        <w:t>Вариант 3 практически не оставя никой незасегнат в сектора</w:t>
      </w:r>
      <w:r w:rsidRPr="00A9476D">
        <w:rPr>
          <w:rFonts w:ascii="Times New Roman" w:eastAsia="Times New Roman" w:hAnsi="Times New Roman" w:cs="Times New Roman"/>
          <w:sz w:val="24"/>
          <w:szCs w:val="24"/>
        </w:rPr>
        <w:t xml:space="preserve"> – </w:t>
      </w:r>
      <w:r w:rsidRPr="00A9476D">
        <w:rPr>
          <w:rFonts w:ascii="Times New Roman" w:eastAsia="Times New Roman" w:hAnsi="Times New Roman" w:cs="Times New Roman"/>
          <w:bCs/>
          <w:sz w:val="24"/>
          <w:szCs w:val="24"/>
        </w:rPr>
        <w:t>почти всички МСП по веригата имат или ново задължение, или нова защита (а често и двете)</w:t>
      </w:r>
      <w:r w:rsidRPr="00943C4D">
        <w:rPr>
          <w:rFonts w:ascii="Times New Roman" w:eastAsia="Times New Roman" w:hAnsi="Times New Roman" w:cs="Times New Roman"/>
          <w:sz w:val="24"/>
          <w:szCs w:val="24"/>
        </w:rPr>
        <w:t>. Обхватът е национален и по цялата дължина на веригата.</w:t>
      </w:r>
    </w:p>
    <w:p w14:paraId="52A10021" w14:textId="02A84AAF" w:rsidR="00CB0A97" w:rsidRDefault="00CB0A97" w:rsidP="00DD69D5">
      <w:pPr>
        <w:spacing w:after="0" w:line="240" w:lineRule="auto"/>
        <w:ind w:firstLine="567"/>
        <w:jc w:val="both"/>
        <w:rPr>
          <w:rFonts w:ascii="Times New Roman" w:eastAsia="Times New Roman" w:hAnsi="Times New Roman" w:cs="Times New Roman"/>
          <w:sz w:val="24"/>
          <w:szCs w:val="24"/>
        </w:rPr>
      </w:pPr>
      <w:r w:rsidRPr="00A9476D">
        <w:rPr>
          <w:rFonts w:ascii="Times New Roman" w:eastAsia="Times New Roman" w:hAnsi="Times New Roman" w:cs="Times New Roman"/>
          <w:b/>
          <w:bCs/>
          <w:i/>
          <w:sz w:val="24"/>
          <w:szCs w:val="24"/>
        </w:rPr>
        <w:t>Ефекти върху МСП (качествено):</w:t>
      </w:r>
      <w:r w:rsidRPr="00A9476D">
        <w:rPr>
          <w:rFonts w:ascii="Times New Roman" w:eastAsia="Times New Roman" w:hAnsi="Times New Roman" w:cs="Times New Roman"/>
          <w:i/>
          <w:sz w:val="24"/>
          <w:szCs w:val="24"/>
        </w:rPr>
        <w:t xml:space="preserve"> </w:t>
      </w:r>
      <w:r w:rsidRPr="00A9476D">
        <w:rPr>
          <w:rFonts w:ascii="Times New Roman" w:eastAsia="Times New Roman" w:hAnsi="Times New Roman" w:cs="Times New Roman"/>
          <w:sz w:val="24"/>
          <w:szCs w:val="24"/>
        </w:rPr>
        <w:t>п</w:t>
      </w:r>
      <w:r w:rsidRPr="00A9476D">
        <w:rPr>
          <w:rFonts w:ascii="Times New Roman" w:eastAsia="Times New Roman" w:hAnsi="Times New Roman" w:cs="Times New Roman"/>
          <w:iCs/>
          <w:sz w:val="24"/>
          <w:szCs w:val="24"/>
        </w:rPr>
        <w:t>отенциални ползи</w:t>
      </w:r>
      <w:r>
        <w:rPr>
          <w:rFonts w:ascii="Times New Roman" w:eastAsia="Times New Roman" w:hAnsi="Times New Roman" w:cs="Times New Roman"/>
          <w:iCs/>
          <w:sz w:val="24"/>
          <w:szCs w:val="24"/>
        </w:rPr>
        <w:t xml:space="preserve"> при</w:t>
      </w:r>
      <w:r w:rsidRPr="00943C4D">
        <w:rPr>
          <w:rFonts w:ascii="Times New Roman" w:eastAsia="Times New Roman" w:hAnsi="Times New Roman" w:cs="Times New Roman"/>
          <w:sz w:val="24"/>
          <w:szCs w:val="24"/>
        </w:rPr>
        <w:t xml:space="preserve"> Вариант 3 </w:t>
      </w:r>
      <w:r>
        <w:rPr>
          <w:rFonts w:ascii="Times New Roman" w:eastAsia="Times New Roman" w:hAnsi="Times New Roman" w:cs="Times New Roman"/>
          <w:sz w:val="24"/>
          <w:szCs w:val="24"/>
        </w:rPr>
        <w:t xml:space="preserve">са, че при постигане на неговите </w:t>
      </w:r>
      <w:r w:rsidRPr="00A9476D">
        <w:rPr>
          <w:rFonts w:ascii="Times New Roman" w:eastAsia="Times New Roman" w:hAnsi="Times New Roman" w:cs="Times New Roman"/>
          <w:sz w:val="24"/>
          <w:szCs w:val="24"/>
        </w:rPr>
        <w:t xml:space="preserve"> </w:t>
      </w:r>
      <w:r w:rsidRPr="00A9476D">
        <w:rPr>
          <w:rFonts w:ascii="Times New Roman" w:eastAsia="Times New Roman" w:hAnsi="Times New Roman" w:cs="Times New Roman"/>
          <w:bCs/>
          <w:sz w:val="24"/>
          <w:szCs w:val="24"/>
        </w:rPr>
        <w:t>амбициозни цели</w:t>
      </w:r>
      <w:r w:rsidRPr="00A947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биха били облагодетелствани </w:t>
      </w:r>
      <w:r w:rsidRPr="00A9476D">
        <w:rPr>
          <w:rFonts w:ascii="Times New Roman" w:eastAsia="Times New Roman" w:hAnsi="Times New Roman" w:cs="Times New Roman"/>
          <w:sz w:val="24"/>
          <w:szCs w:val="24"/>
        </w:rPr>
        <w:t>по-малките участници</w:t>
      </w:r>
      <w:r w:rsidRPr="00943C4D">
        <w:rPr>
          <w:rFonts w:ascii="Times New Roman" w:eastAsia="Times New Roman" w:hAnsi="Times New Roman" w:cs="Times New Roman"/>
          <w:sz w:val="24"/>
          <w:szCs w:val="24"/>
        </w:rPr>
        <w:t xml:space="preserve">. Ако се реализира ефективно, малките земеделски производители ще получат </w:t>
      </w:r>
      <w:r w:rsidRPr="00A9476D">
        <w:rPr>
          <w:rFonts w:ascii="Times New Roman" w:eastAsia="Times New Roman" w:hAnsi="Times New Roman" w:cs="Times New Roman"/>
          <w:bCs/>
          <w:sz w:val="24"/>
          <w:szCs w:val="24"/>
        </w:rPr>
        <w:t>гарантиран минимален доход</w:t>
      </w:r>
      <w:r w:rsidRPr="00A9476D">
        <w:rPr>
          <w:rFonts w:ascii="Times New Roman" w:eastAsia="Times New Roman" w:hAnsi="Times New Roman" w:cs="Times New Roman"/>
          <w:sz w:val="24"/>
          <w:szCs w:val="24"/>
        </w:rPr>
        <w:t xml:space="preserve"> (чрез клаузата за 10% печалба</w:t>
      </w:r>
      <w:r w:rsidR="009671DD">
        <w:rPr>
          <w:rFonts w:ascii="Times New Roman" w:eastAsia="Times New Roman" w:hAnsi="Times New Roman" w:cs="Times New Roman"/>
          <w:sz w:val="24"/>
          <w:szCs w:val="24"/>
        </w:rPr>
        <w:t>), а</w:t>
      </w:r>
      <w:r w:rsidRPr="00943C4D">
        <w:rPr>
          <w:rFonts w:ascii="Times New Roman" w:eastAsia="Times New Roman" w:hAnsi="Times New Roman" w:cs="Times New Roman"/>
          <w:sz w:val="24"/>
          <w:szCs w:val="24"/>
        </w:rPr>
        <w:t xml:space="preserve"> това би могло да повиши тяхната рентабилност и да осигури устойчива мотивация да продължат дейността си. В дългосрочен план, това може да задържи повече хора в селските райони и да подобри жизнеспособността на малкия бизнес там</w:t>
      </w:r>
      <w:r>
        <w:rPr>
          <w:rFonts w:ascii="Times New Roman" w:eastAsia="Times New Roman" w:hAnsi="Times New Roman" w:cs="Times New Roman"/>
          <w:sz w:val="24"/>
          <w:szCs w:val="24"/>
        </w:rPr>
        <w:t>.</w:t>
      </w:r>
      <w:r w:rsidRPr="00943C4D">
        <w:rPr>
          <w:rFonts w:ascii="Times New Roman" w:eastAsia="Times New Roman" w:hAnsi="Times New Roman" w:cs="Times New Roman"/>
          <w:sz w:val="24"/>
          <w:szCs w:val="24"/>
        </w:rPr>
        <w:t xml:space="preserve"> </w:t>
      </w:r>
      <w:r w:rsidRPr="00A9476D">
        <w:rPr>
          <w:rFonts w:ascii="Times New Roman" w:eastAsia="Times New Roman" w:hAnsi="Times New Roman" w:cs="Times New Roman"/>
          <w:sz w:val="24"/>
          <w:szCs w:val="24"/>
        </w:rPr>
        <w:t xml:space="preserve">Също, </w:t>
      </w:r>
      <w:r w:rsidRPr="00A9476D">
        <w:rPr>
          <w:rFonts w:ascii="Times New Roman" w:eastAsia="Times New Roman" w:hAnsi="Times New Roman" w:cs="Times New Roman"/>
          <w:bCs/>
          <w:sz w:val="24"/>
          <w:szCs w:val="24"/>
        </w:rPr>
        <w:t>навременните плащания и ясните писмени договори</w:t>
      </w:r>
      <w:r w:rsidRPr="00A9476D">
        <w:rPr>
          <w:rFonts w:ascii="Times New Roman" w:eastAsia="Times New Roman" w:hAnsi="Times New Roman" w:cs="Times New Roman"/>
          <w:sz w:val="24"/>
          <w:szCs w:val="24"/>
        </w:rPr>
        <w:t xml:space="preserve"> предпазват фермерите от финансови шокове. </w:t>
      </w:r>
    </w:p>
    <w:p w14:paraId="058ED559" w14:textId="4AE3F724" w:rsidR="00CB0A97" w:rsidRPr="00A9476D" w:rsidRDefault="00CB0A97" w:rsidP="00DD69D5">
      <w:pPr>
        <w:spacing w:after="0" w:line="240" w:lineRule="auto"/>
        <w:ind w:firstLine="567"/>
        <w:jc w:val="both"/>
        <w:rPr>
          <w:rFonts w:ascii="Times New Roman" w:eastAsia="Times New Roman" w:hAnsi="Times New Roman" w:cs="Times New Roman"/>
          <w:sz w:val="24"/>
          <w:szCs w:val="24"/>
        </w:rPr>
      </w:pPr>
      <w:r w:rsidRPr="00A9476D">
        <w:rPr>
          <w:rFonts w:ascii="Times New Roman" w:eastAsia="Times New Roman" w:hAnsi="Times New Roman" w:cs="Times New Roman"/>
          <w:sz w:val="24"/>
          <w:szCs w:val="24"/>
        </w:rPr>
        <w:t xml:space="preserve">Ограничението на надценките може да </w:t>
      </w:r>
      <w:r w:rsidRPr="00A9476D">
        <w:rPr>
          <w:rFonts w:ascii="Times New Roman" w:eastAsia="Times New Roman" w:hAnsi="Times New Roman" w:cs="Times New Roman"/>
          <w:bCs/>
          <w:sz w:val="24"/>
          <w:szCs w:val="24"/>
        </w:rPr>
        <w:t>доведе до по-достъпни цени за храните</w:t>
      </w:r>
      <w:r w:rsidRPr="00A9476D">
        <w:rPr>
          <w:rFonts w:ascii="Times New Roman" w:eastAsia="Times New Roman" w:hAnsi="Times New Roman" w:cs="Times New Roman"/>
          <w:sz w:val="24"/>
          <w:szCs w:val="24"/>
        </w:rPr>
        <w:t xml:space="preserve"> за крайните клиенти, което индиректно би поддържало потреблението на продукти от МСП (ако храните са по-достъпни, хората купуват повече, включително местна продукция). Изискването за определен дял български стоки по рафтовете </w:t>
      </w:r>
      <w:r w:rsidRPr="00A9476D">
        <w:rPr>
          <w:rFonts w:ascii="Times New Roman" w:eastAsia="Times New Roman" w:hAnsi="Times New Roman" w:cs="Times New Roman"/>
          <w:bCs/>
          <w:sz w:val="24"/>
          <w:szCs w:val="24"/>
        </w:rPr>
        <w:t>създава пазар за дребните български производители</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като им </w:t>
      </w:r>
      <w:r w:rsidRPr="00A9476D">
        <w:rPr>
          <w:rFonts w:ascii="Times New Roman" w:eastAsia="Times New Roman" w:hAnsi="Times New Roman" w:cs="Times New Roman"/>
          <w:sz w:val="24"/>
          <w:szCs w:val="24"/>
        </w:rPr>
        <w:t xml:space="preserve">гарантира пространство в търговската мрежа, което иначе биха загубили пред по-евтин </w:t>
      </w:r>
      <w:r w:rsidR="00785242">
        <w:rPr>
          <w:rFonts w:ascii="Times New Roman" w:eastAsia="Times New Roman" w:hAnsi="Times New Roman" w:cs="Times New Roman"/>
          <w:sz w:val="24"/>
          <w:szCs w:val="24"/>
        </w:rPr>
        <w:t>внос</w:t>
      </w:r>
      <w:r w:rsidRPr="00A9476D">
        <w:rPr>
          <w:rFonts w:ascii="Times New Roman" w:eastAsia="Times New Roman" w:hAnsi="Times New Roman" w:cs="Times New Roman"/>
          <w:sz w:val="24"/>
          <w:szCs w:val="24"/>
        </w:rPr>
        <w:t xml:space="preserve">. Всички тези мерки на пръв поглед </w:t>
      </w:r>
      <w:r w:rsidRPr="00A9476D">
        <w:rPr>
          <w:rFonts w:ascii="Times New Roman" w:eastAsia="Times New Roman" w:hAnsi="Times New Roman" w:cs="Times New Roman"/>
          <w:bCs/>
          <w:sz w:val="24"/>
          <w:szCs w:val="24"/>
        </w:rPr>
        <w:t>целят да наклонят везните в полза на малкия местен бизнес</w:t>
      </w:r>
      <w:r w:rsidRPr="00A9476D">
        <w:rPr>
          <w:rFonts w:ascii="Times New Roman" w:eastAsia="Times New Roman" w:hAnsi="Times New Roman" w:cs="Times New Roman"/>
          <w:sz w:val="24"/>
          <w:szCs w:val="24"/>
        </w:rPr>
        <w:t xml:space="preserve">. Ако законът функционира ефективно, </w:t>
      </w:r>
      <w:r w:rsidRPr="00A9476D">
        <w:rPr>
          <w:rFonts w:ascii="Times New Roman" w:eastAsia="Times New Roman" w:hAnsi="Times New Roman" w:cs="Times New Roman"/>
          <w:bCs/>
          <w:sz w:val="24"/>
          <w:szCs w:val="24"/>
        </w:rPr>
        <w:t>МСП биха имали повече приходи, по-предвидими отношения, и по-голям дял от печалбата по веригата</w:t>
      </w:r>
      <w:r w:rsidRPr="00A9476D">
        <w:rPr>
          <w:rFonts w:ascii="Times New Roman" w:eastAsia="Times New Roman" w:hAnsi="Times New Roman" w:cs="Times New Roman"/>
          <w:sz w:val="24"/>
          <w:szCs w:val="24"/>
        </w:rPr>
        <w:t xml:space="preserve">. </w:t>
      </w:r>
    </w:p>
    <w:p w14:paraId="539B6543" w14:textId="575C519B" w:rsidR="00CB0A97" w:rsidRDefault="00CB0A97" w:rsidP="00DD69D5">
      <w:pPr>
        <w:spacing w:after="0" w:line="240" w:lineRule="auto"/>
        <w:ind w:firstLine="567"/>
        <w:jc w:val="both"/>
        <w:rPr>
          <w:rFonts w:ascii="Times New Roman" w:eastAsia="Times New Roman" w:hAnsi="Times New Roman" w:cs="Times New Roman"/>
          <w:sz w:val="24"/>
          <w:szCs w:val="24"/>
        </w:rPr>
      </w:pPr>
      <w:r w:rsidRPr="0044263D">
        <w:rPr>
          <w:rFonts w:ascii="Times New Roman" w:eastAsia="Times New Roman" w:hAnsi="Times New Roman" w:cs="Times New Roman"/>
          <w:iCs/>
          <w:sz w:val="24"/>
          <w:szCs w:val="24"/>
        </w:rPr>
        <w:t>Отрицателни</w:t>
      </w:r>
      <w:r>
        <w:rPr>
          <w:rFonts w:ascii="Times New Roman" w:eastAsia="Times New Roman" w:hAnsi="Times New Roman" w:cs="Times New Roman"/>
          <w:iCs/>
          <w:sz w:val="24"/>
          <w:szCs w:val="24"/>
        </w:rPr>
        <w:t>те</w:t>
      </w:r>
      <w:r w:rsidRPr="0044263D">
        <w:rPr>
          <w:rFonts w:ascii="Times New Roman" w:eastAsia="Times New Roman" w:hAnsi="Times New Roman" w:cs="Times New Roman"/>
          <w:iCs/>
          <w:sz w:val="24"/>
          <w:szCs w:val="24"/>
        </w:rPr>
        <w:t xml:space="preserve"> ефекти </w:t>
      </w:r>
      <w:r>
        <w:rPr>
          <w:rFonts w:ascii="Times New Roman" w:eastAsia="Times New Roman" w:hAnsi="Times New Roman" w:cs="Times New Roman"/>
          <w:iCs/>
          <w:sz w:val="24"/>
          <w:szCs w:val="24"/>
        </w:rPr>
        <w:t>при Вариант 3</w:t>
      </w:r>
      <w:r w:rsidRPr="00430241">
        <w:rPr>
          <w:rFonts w:ascii="Times New Roman" w:eastAsia="Times New Roman" w:hAnsi="Times New Roman" w:cs="Times New Roman"/>
          <w:iCs/>
          <w:sz w:val="24"/>
          <w:szCs w:val="24"/>
        </w:rPr>
        <w:t xml:space="preserve"> са свързани с това, че</w:t>
      </w:r>
      <w:r>
        <w:rPr>
          <w:rFonts w:ascii="Times New Roman" w:eastAsia="Times New Roman" w:hAnsi="Times New Roman" w:cs="Times New Roman"/>
          <w:iCs/>
          <w:sz w:val="24"/>
          <w:szCs w:val="24"/>
        </w:rPr>
        <w:t xml:space="preserve"> се </w:t>
      </w:r>
      <w:r w:rsidRPr="0044263D">
        <w:rPr>
          <w:rFonts w:ascii="Times New Roman" w:eastAsia="Times New Roman" w:hAnsi="Times New Roman" w:cs="Times New Roman"/>
          <w:bCs/>
          <w:sz w:val="24"/>
          <w:szCs w:val="24"/>
        </w:rPr>
        <w:t>въвежда</w:t>
      </w:r>
      <w:r>
        <w:rPr>
          <w:rFonts w:ascii="Times New Roman" w:eastAsia="Times New Roman" w:hAnsi="Times New Roman" w:cs="Times New Roman"/>
          <w:bCs/>
          <w:sz w:val="24"/>
          <w:szCs w:val="24"/>
        </w:rPr>
        <w:t>т</w:t>
      </w:r>
      <w:r w:rsidRPr="0044263D">
        <w:rPr>
          <w:rFonts w:ascii="Times New Roman" w:eastAsia="Times New Roman" w:hAnsi="Times New Roman" w:cs="Times New Roman"/>
          <w:bCs/>
          <w:sz w:val="24"/>
          <w:szCs w:val="24"/>
        </w:rPr>
        <w:t xml:space="preserve"> няколко нови изисквания към МСП</w:t>
      </w:r>
      <w:r w:rsidR="009858CE">
        <w:rPr>
          <w:rFonts w:ascii="Times New Roman" w:eastAsia="Times New Roman" w:hAnsi="Times New Roman" w:cs="Times New Roman"/>
          <w:bCs/>
          <w:sz w:val="24"/>
          <w:szCs w:val="24"/>
        </w:rPr>
        <w:t>.</w:t>
      </w:r>
      <w:r w:rsidRPr="0044263D">
        <w:rPr>
          <w:rFonts w:ascii="Times New Roman" w:eastAsia="Times New Roman" w:hAnsi="Times New Roman" w:cs="Times New Roman"/>
          <w:bCs/>
          <w:sz w:val="24"/>
          <w:szCs w:val="24"/>
        </w:rPr>
        <w:t xml:space="preserve"> </w:t>
      </w:r>
      <w:r w:rsidR="009858CE">
        <w:rPr>
          <w:rFonts w:ascii="Times New Roman" w:eastAsia="Times New Roman" w:hAnsi="Times New Roman" w:cs="Times New Roman"/>
          <w:bCs/>
          <w:sz w:val="24"/>
          <w:szCs w:val="24"/>
        </w:rPr>
        <w:t>О</w:t>
      </w:r>
      <w:r w:rsidRPr="0044263D">
        <w:rPr>
          <w:rFonts w:ascii="Times New Roman" w:eastAsia="Times New Roman" w:hAnsi="Times New Roman" w:cs="Times New Roman"/>
          <w:bCs/>
          <w:sz w:val="24"/>
          <w:szCs w:val="24"/>
        </w:rPr>
        <w:t>сновно</w:t>
      </w:r>
      <w:r w:rsidR="009858CE">
        <w:rPr>
          <w:rFonts w:ascii="Times New Roman" w:eastAsia="Times New Roman" w:hAnsi="Times New Roman" w:cs="Times New Roman"/>
          <w:bCs/>
          <w:sz w:val="24"/>
          <w:szCs w:val="24"/>
        </w:rPr>
        <w:t xml:space="preserve"> е</w:t>
      </w:r>
      <w:r w:rsidRPr="0044263D">
        <w:rPr>
          <w:rFonts w:ascii="Times New Roman" w:eastAsia="Times New Roman" w:hAnsi="Times New Roman" w:cs="Times New Roman"/>
          <w:bCs/>
          <w:sz w:val="24"/>
          <w:szCs w:val="24"/>
        </w:rPr>
        <w:t xml:space="preserve"> задължително</w:t>
      </w:r>
      <w:r w:rsidR="009858CE">
        <w:rPr>
          <w:rFonts w:ascii="Times New Roman" w:eastAsia="Times New Roman" w:hAnsi="Times New Roman" w:cs="Times New Roman"/>
          <w:bCs/>
          <w:sz w:val="24"/>
          <w:szCs w:val="24"/>
        </w:rPr>
        <w:t>то</w:t>
      </w:r>
      <w:r w:rsidRPr="0044263D">
        <w:rPr>
          <w:rFonts w:ascii="Times New Roman" w:eastAsia="Times New Roman" w:hAnsi="Times New Roman" w:cs="Times New Roman"/>
          <w:bCs/>
          <w:sz w:val="24"/>
          <w:szCs w:val="24"/>
        </w:rPr>
        <w:t xml:space="preserve"> писмено оформяне на сделките и изграждане</w:t>
      </w:r>
      <w:r w:rsidR="00243E61">
        <w:rPr>
          <w:rFonts w:ascii="Times New Roman" w:eastAsia="Times New Roman" w:hAnsi="Times New Roman" w:cs="Times New Roman"/>
          <w:bCs/>
          <w:sz w:val="24"/>
          <w:szCs w:val="24"/>
        </w:rPr>
        <w:t>то</w:t>
      </w:r>
      <w:r w:rsidRPr="0044263D">
        <w:rPr>
          <w:rFonts w:ascii="Times New Roman" w:eastAsia="Times New Roman" w:hAnsi="Times New Roman" w:cs="Times New Roman"/>
          <w:bCs/>
          <w:sz w:val="24"/>
          <w:szCs w:val="24"/>
        </w:rPr>
        <w:t xml:space="preserve"> на систем</w:t>
      </w:r>
      <w:r>
        <w:rPr>
          <w:rFonts w:ascii="Times New Roman" w:eastAsia="Times New Roman" w:hAnsi="Times New Roman" w:cs="Times New Roman"/>
          <w:bCs/>
          <w:sz w:val="24"/>
          <w:szCs w:val="24"/>
        </w:rPr>
        <w:t>а за проследяемост на веригата,</w:t>
      </w:r>
      <w:r w:rsidRPr="0044263D">
        <w:rPr>
          <w:rFonts w:ascii="Times New Roman" w:eastAsia="Times New Roman" w:hAnsi="Times New Roman" w:cs="Times New Roman"/>
          <w:bCs/>
          <w:sz w:val="24"/>
          <w:szCs w:val="24"/>
        </w:rPr>
        <w:t xml:space="preserve"> които представляват отдавна отлагани промени за изсветляване и изравняване на правилата</w:t>
      </w:r>
      <w:r>
        <w:rPr>
          <w:rFonts w:ascii="Times New Roman" w:eastAsia="Times New Roman" w:hAnsi="Times New Roman" w:cs="Times New Roman"/>
          <w:bCs/>
          <w:sz w:val="24"/>
          <w:szCs w:val="24"/>
        </w:rPr>
        <w:t xml:space="preserve">, </w:t>
      </w:r>
      <w:r w:rsidR="009858CE">
        <w:rPr>
          <w:rFonts w:ascii="Times New Roman" w:eastAsia="Times New Roman" w:hAnsi="Times New Roman" w:cs="Times New Roman"/>
          <w:bCs/>
          <w:sz w:val="24"/>
          <w:szCs w:val="24"/>
        </w:rPr>
        <w:t>но</w:t>
      </w:r>
      <w:r>
        <w:rPr>
          <w:rFonts w:ascii="Times New Roman" w:eastAsia="Times New Roman" w:hAnsi="Times New Roman" w:cs="Times New Roman"/>
          <w:bCs/>
          <w:sz w:val="24"/>
          <w:szCs w:val="24"/>
        </w:rPr>
        <w:t xml:space="preserve"> </w:t>
      </w:r>
      <w:r w:rsidRPr="00943C4D">
        <w:rPr>
          <w:rFonts w:ascii="Times New Roman" w:eastAsia="Times New Roman" w:hAnsi="Times New Roman" w:cs="Times New Roman"/>
          <w:sz w:val="24"/>
          <w:szCs w:val="24"/>
        </w:rPr>
        <w:t xml:space="preserve">могат да доведат и до </w:t>
      </w:r>
      <w:r w:rsidRPr="0044263D">
        <w:rPr>
          <w:rFonts w:ascii="Times New Roman" w:eastAsia="Times New Roman" w:hAnsi="Times New Roman" w:cs="Times New Roman"/>
          <w:bCs/>
          <w:sz w:val="24"/>
          <w:szCs w:val="24"/>
        </w:rPr>
        <w:t>нежелани последици</w:t>
      </w:r>
      <w:r w:rsidRPr="0044263D">
        <w:rPr>
          <w:rFonts w:ascii="Times New Roman" w:eastAsia="Times New Roman" w:hAnsi="Times New Roman" w:cs="Times New Roman"/>
          <w:sz w:val="24"/>
          <w:szCs w:val="24"/>
        </w:rPr>
        <w:t xml:space="preserve"> за МСП като</w:t>
      </w:r>
      <w:r>
        <w:rPr>
          <w:rFonts w:ascii="Times New Roman" w:eastAsia="Times New Roman" w:hAnsi="Times New Roman" w:cs="Times New Roman"/>
          <w:sz w:val="24"/>
          <w:szCs w:val="24"/>
        </w:rPr>
        <w:t>:</w:t>
      </w:r>
    </w:p>
    <w:p w14:paraId="0B88A272" w14:textId="37B8BAF2" w:rsidR="00CB0A97" w:rsidRDefault="00CB0A97" w:rsidP="00DD69D5">
      <w:pPr>
        <w:spacing w:after="0" w:line="240" w:lineRule="auto"/>
        <w:ind w:firstLine="567"/>
        <w:jc w:val="both"/>
        <w:rPr>
          <w:rFonts w:ascii="Times New Roman" w:eastAsia="Times New Roman" w:hAnsi="Times New Roman" w:cs="Times New Roman"/>
          <w:sz w:val="24"/>
          <w:szCs w:val="24"/>
        </w:rPr>
      </w:pPr>
      <w:r w:rsidRPr="0044263D">
        <w:rPr>
          <w:rFonts w:ascii="Times New Roman" w:eastAsia="Times New Roman" w:hAnsi="Times New Roman" w:cs="Times New Roman"/>
          <w:i/>
          <w:sz w:val="24"/>
          <w:szCs w:val="24"/>
        </w:rPr>
        <w:t>- п</w:t>
      </w:r>
      <w:r w:rsidRPr="0044263D">
        <w:rPr>
          <w:rFonts w:ascii="Times New Roman" w:eastAsia="Times New Roman" w:hAnsi="Times New Roman" w:cs="Times New Roman"/>
          <w:bCs/>
          <w:i/>
          <w:sz w:val="24"/>
          <w:szCs w:val="24"/>
        </w:rPr>
        <w:t>овишена административна и финансова тежест</w:t>
      </w:r>
      <w:r w:rsidRPr="00943C4D">
        <w:rPr>
          <w:rFonts w:ascii="Times New Roman" w:eastAsia="Times New Roman" w:hAnsi="Times New Roman" w:cs="Times New Roman"/>
          <w:b/>
          <w:bCs/>
          <w:sz w:val="24"/>
          <w:szCs w:val="24"/>
        </w:rPr>
        <w:t>:</w:t>
      </w:r>
      <w:r w:rsidRPr="00943C4D">
        <w:rPr>
          <w:rFonts w:ascii="Times New Roman" w:eastAsia="Times New Roman" w:hAnsi="Times New Roman" w:cs="Times New Roman"/>
          <w:sz w:val="24"/>
          <w:szCs w:val="24"/>
        </w:rPr>
        <w:t xml:space="preserve"> малките </w:t>
      </w:r>
      <w:r w:rsidR="009858CE">
        <w:rPr>
          <w:rFonts w:ascii="Times New Roman" w:eastAsia="Times New Roman" w:hAnsi="Times New Roman" w:cs="Times New Roman"/>
          <w:sz w:val="24"/>
          <w:szCs w:val="24"/>
        </w:rPr>
        <w:t>предприятия</w:t>
      </w:r>
      <w:r w:rsidR="009858CE" w:rsidRPr="00943C4D">
        <w:rPr>
          <w:rFonts w:ascii="Times New Roman" w:eastAsia="Times New Roman" w:hAnsi="Times New Roman" w:cs="Times New Roman"/>
          <w:sz w:val="24"/>
          <w:szCs w:val="24"/>
        </w:rPr>
        <w:t xml:space="preserve"> </w:t>
      </w:r>
      <w:r w:rsidRPr="00943C4D">
        <w:rPr>
          <w:rFonts w:ascii="Times New Roman" w:eastAsia="Times New Roman" w:hAnsi="Times New Roman" w:cs="Times New Roman"/>
          <w:sz w:val="24"/>
          <w:szCs w:val="24"/>
        </w:rPr>
        <w:t>често нямат специализиран персонал (юристи, икономисти)</w:t>
      </w:r>
      <w:r>
        <w:rPr>
          <w:rFonts w:ascii="Times New Roman" w:eastAsia="Times New Roman" w:hAnsi="Times New Roman" w:cs="Times New Roman"/>
          <w:sz w:val="24"/>
          <w:szCs w:val="24"/>
        </w:rPr>
        <w:t>, който</w:t>
      </w:r>
      <w:r w:rsidRPr="00943C4D">
        <w:rPr>
          <w:rFonts w:ascii="Times New Roman" w:eastAsia="Times New Roman" w:hAnsi="Times New Roman" w:cs="Times New Roman"/>
          <w:sz w:val="24"/>
          <w:szCs w:val="24"/>
        </w:rPr>
        <w:t xml:space="preserve"> да </w:t>
      </w:r>
      <w:r>
        <w:rPr>
          <w:rFonts w:ascii="Times New Roman" w:eastAsia="Times New Roman" w:hAnsi="Times New Roman" w:cs="Times New Roman"/>
          <w:sz w:val="24"/>
          <w:szCs w:val="24"/>
        </w:rPr>
        <w:t xml:space="preserve">им помогне да </w:t>
      </w:r>
      <w:r w:rsidRPr="00943C4D">
        <w:rPr>
          <w:rFonts w:ascii="Times New Roman" w:eastAsia="Times New Roman" w:hAnsi="Times New Roman" w:cs="Times New Roman"/>
          <w:sz w:val="24"/>
          <w:szCs w:val="24"/>
        </w:rPr>
        <w:t>се справ</w:t>
      </w:r>
      <w:r>
        <w:rPr>
          <w:rFonts w:ascii="Times New Roman" w:eastAsia="Times New Roman" w:hAnsi="Times New Roman" w:cs="Times New Roman"/>
          <w:sz w:val="24"/>
          <w:szCs w:val="24"/>
        </w:rPr>
        <w:t>и</w:t>
      </w:r>
      <w:r w:rsidRPr="00943C4D">
        <w:rPr>
          <w:rFonts w:ascii="Times New Roman" w:eastAsia="Times New Roman" w:hAnsi="Times New Roman" w:cs="Times New Roman"/>
          <w:sz w:val="24"/>
          <w:szCs w:val="24"/>
        </w:rPr>
        <w:t xml:space="preserve"> с новите регулации.</w:t>
      </w:r>
      <w:r>
        <w:rPr>
          <w:rFonts w:ascii="Times New Roman" w:eastAsia="Times New Roman" w:hAnsi="Times New Roman" w:cs="Times New Roman"/>
          <w:sz w:val="24"/>
          <w:szCs w:val="24"/>
        </w:rPr>
        <w:t xml:space="preserve"> </w:t>
      </w:r>
      <w:r w:rsidR="009858CE">
        <w:rPr>
          <w:rFonts w:ascii="Times New Roman" w:eastAsia="Times New Roman" w:hAnsi="Times New Roman" w:cs="Times New Roman"/>
          <w:sz w:val="24"/>
          <w:szCs w:val="24"/>
        </w:rPr>
        <w:t xml:space="preserve">Все пак, </w:t>
      </w:r>
      <w:r>
        <w:rPr>
          <w:rFonts w:ascii="Times New Roman" w:eastAsia="Times New Roman" w:hAnsi="Times New Roman" w:cs="Times New Roman"/>
          <w:sz w:val="24"/>
          <w:szCs w:val="24"/>
        </w:rPr>
        <w:t>самото п</w:t>
      </w:r>
      <w:r w:rsidRPr="00620757">
        <w:rPr>
          <w:rFonts w:ascii="Times New Roman" w:eastAsia="Times New Roman" w:hAnsi="Times New Roman" w:cs="Times New Roman"/>
          <w:sz w:val="24"/>
          <w:szCs w:val="24"/>
        </w:rPr>
        <w:t xml:space="preserve">роследяване на обемите </w:t>
      </w:r>
      <w:r>
        <w:rPr>
          <w:rFonts w:ascii="Times New Roman" w:eastAsia="Times New Roman" w:hAnsi="Times New Roman" w:cs="Times New Roman"/>
          <w:sz w:val="24"/>
          <w:szCs w:val="24"/>
        </w:rPr>
        <w:t xml:space="preserve">на продажби </w:t>
      </w:r>
      <w:r w:rsidRPr="00620757">
        <w:rPr>
          <w:rFonts w:ascii="Times New Roman" w:eastAsia="Times New Roman" w:hAnsi="Times New Roman" w:cs="Times New Roman"/>
          <w:sz w:val="24"/>
          <w:szCs w:val="24"/>
        </w:rPr>
        <w:t xml:space="preserve">и цените по веригата ще се осъществява основно от държавата, което означава, че няма да се изисква от отделните </w:t>
      </w:r>
      <w:r w:rsidR="009858CE">
        <w:rPr>
          <w:rFonts w:ascii="Times New Roman" w:eastAsia="Times New Roman" w:hAnsi="Times New Roman" w:cs="Times New Roman"/>
          <w:sz w:val="24"/>
          <w:szCs w:val="24"/>
        </w:rPr>
        <w:t>дружества</w:t>
      </w:r>
      <w:r w:rsidR="009858CE" w:rsidRPr="00620757">
        <w:rPr>
          <w:rFonts w:ascii="Times New Roman" w:eastAsia="Times New Roman" w:hAnsi="Times New Roman" w:cs="Times New Roman"/>
          <w:sz w:val="24"/>
          <w:szCs w:val="24"/>
        </w:rPr>
        <w:t xml:space="preserve"> </w:t>
      </w:r>
      <w:r w:rsidRPr="00620757">
        <w:rPr>
          <w:rFonts w:ascii="Times New Roman" w:eastAsia="Times New Roman" w:hAnsi="Times New Roman" w:cs="Times New Roman"/>
          <w:sz w:val="24"/>
          <w:szCs w:val="24"/>
        </w:rPr>
        <w:t>да подават редовни специализирани отчети за тези данни.</w:t>
      </w:r>
      <w:r w:rsidRPr="00943C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 гледна точка на р</w:t>
      </w:r>
      <w:r>
        <w:rPr>
          <w:rFonts w:ascii="Times New Roman" w:eastAsia="Times New Roman" w:hAnsi="Times New Roman" w:cs="Times New Roman"/>
          <w:bCs/>
          <w:sz w:val="24"/>
          <w:szCs w:val="24"/>
        </w:rPr>
        <w:t>егистрирането и отчитането,</w:t>
      </w:r>
      <w:r w:rsidRPr="0044263D">
        <w:rPr>
          <w:rFonts w:ascii="Times New Roman" w:eastAsia="Times New Roman" w:hAnsi="Times New Roman" w:cs="Times New Roman"/>
          <w:sz w:val="24"/>
          <w:szCs w:val="24"/>
        </w:rPr>
        <w:t xml:space="preserve"> всяка нова бюрократична процедура е относително по-скъпа за микро-фирмата, отколкото за голямата</w:t>
      </w:r>
      <w:r>
        <w:rPr>
          <w:rFonts w:ascii="Times New Roman" w:eastAsia="Times New Roman" w:hAnsi="Times New Roman" w:cs="Times New Roman"/>
          <w:sz w:val="24"/>
          <w:szCs w:val="24"/>
        </w:rPr>
        <w:t>.</w:t>
      </w:r>
      <w:r w:rsidRPr="004426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44263D">
        <w:rPr>
          <w:rFonts w:ascii="Times New Roman" w:eastAsia="Times New Roman" w:hAnsi="Times New Roman" w:cs="Times New Roman"/>
          <w:sz w:val="24"/>
          <w:szCs w:val="24"/>
        </w:rPr>
        <w:t>ъпреки че</w:t>
      </w:r>
      <w:r>
        <w:rPr>
          <w:rFonts w:ascii="Times New Roman" w:eastAsia="Times New Roman" w:hAnsi="Times New Roman" w:cs="Times New Roman"/>
          <w:sz w:val="24"/>
          <w:szCs w:val="24"/>
        </w:rPr>
        <w:t xml:space="preserve"> новите изисквания</w:t>
      </w:r>
      <w:r w:rsidRPr="0044263D">
        <w:rPr>
          <w:rFonts w:ascii="Times New Roman" w:eastAsia="Times New Roman" w:hAnsi="Times New Roman" w:cs="Times New Roman"/>
          <w:sz w:val="24"/>
          <w:szCs w:val="24"/>
        </w:rPr>
        <w:t xml:space="preserve"> могат да засегнат негативно част от МСП, също така е възм</w:t>
      </w:r>
      <w:r w:rsidR="00243E61">
        <w:rPr>
          <w:rFonts w:ascii="Times New Roman" w:eastAsia="Times New Roman" w:hAnsi="Times New Roman" w:cs="Times New Roman"/>
          <w:sz w:val="24"/>
          <w:szCs w:val="24"/>
        </w:rPr>
        <w:t>ожно да се наблюдава и обратния</w:t>
      </w:r>
      <w:r w:rsidRPr="0044263D">
        <w:rPr>
          <w:rFonts w:ascii="Times New Roman" w:eastAsia="Times New Roman" w:hAnsi="Times New Roman" w:cs="Times New Roman"/>
          <w:sz w:val="24"/>
          <w:szCs w:val="24"/>
        </w:rPr>
        <w:t xml:space="preserve"> ефект – по-справедливите условия да задържат на пазара онези малки стопан</w:t>
      </w:r>
      <w:r>
        <w:rPr>
          <w:rFonts w:ascii="Times New Roman" w:eastAsia="Times New Roman" w:hAnsi="Times New Roman" w:cs="Times New Roman"/>
          <w:sz w:val="24"/>
          <w:szCs w:val="24"/>
        </w:rPr>
        <w:t>ства, които иначе биха отпаднали;</w:t>
      </w:r>
    </w:p>
    <w:p w14:paraId="13CCA07F" w14:textId="4D795526" w:rsidR="00CB0A97" w:rsidRPr="0044263D" w:rsidRDefault="00CB0A97" w:rsidP="00DD69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4263D">
        <w:rPr>
          <w:rFonts w:ascii="Times New Roman" w:eastAsia="Times New Roman" w:hAnsi="Times New Roman" w:cs="Times New Roman"/>
          <w:bCs/>
          <w:i/>
          <w:sz w:val="24"/>
          <w:szCs w:val="24"/>
        </w:rPr>
        <w:t>правна несигурност и динамика на пазара:</w:t>
      </w:r>
      <w:r w:rsidRPr="00943C4D">
        <w:rPr>
          <w:rFonts w:ascii="Times New Roman" w:eastAsia="Times New Roman" w:hAnsi="Times New Roman" w:cs="Times New Roman"/>
          <w:sz w:val="24"/>
          <w:szCs w:val="24"/>
        </w:rPr>
        <w:t xml:space="preserve"> малките производители може да се радват на защита, но и те се нуждаят </w:t>
      </w:r>
      <w:r w:rsidRPr="0044263D">
        <w:rPr>
          <w:rFonts w:ascii="Times New Roman" w:eastAsia="Times New Roman" w:hAnsi="Times New Roman" w:cs="Times New Roman"/>
          <w:sz w:val="24"/>
          <w:szCs w:val="24"/>
        </w:rPr>
        <w:t xml:space="preserve">от </w:t>
      </w:r>
      <w:r w:rsidRPr="0044263D">
        <w:rPr>
          <w:rFonts w:ascii="Times New Roman" w:eastAsia="Times New Roman" w:hAnsi="Times New Roman" w:cs="Times New Roman"/>
          <w:bCs/>
          <w:sz w:val="24"/>
          <w:szCs w:val="24"/>
        </w:rPr>
        <w:t>стабилна пазарна среда</w:t>
      </w:r>
      <w:r w:rsidRPr="0044263D">
        <w:rPr>
          <w:rFonts w:ascii="Times New Roman" w:eastAsia="Times New Roman" w:hAnsi="Times New Roman" w:cs="Times New Roman"/>
          <w:sz w:val="24"/>
          <w:szCs w:val="24"/>
        </w:rPr>
        <w:t>. Ако големите вериги реагират негативно</w:t>
      </w:r>
      <w:r w:rsidR="00243E61">
        <w:rPr>
          <w:rFonts w:ascii="Times New Roman" w:eastAsia="Times New Roman" w:hAnsi="Times New Roman" w:cs="Times New Roman"/>
          <w:sz w:val="24"/>
          <w:szCs w:val="24"/>
        </w:rPr>
        <w:t>,</w:t>
      </w:r>
      <w:r w:rsidR="009858CE">
        <w:rPr>
          <w:rFonts w:ascii="Times New Roman" w:eastAsia="Times New Roman" w:hAnsi="Times New Roman" w:cs="Times New Roman"/>
          <w:sz w:val="24"/>
          <w:szCs w:val="24"/>
        </w:rPr>
        <w:t xml:space="preserve"> </w:t>
      </w:r>
      <w:r w:rsidR="00243E61">
        <w:rPr>
          <w:rFonts w:ascii="Times New Roman" w:eastAsia="Times New Roman" w:hAnsi="Times New Roman" w:cs="Times New Roman"/>
          <w:sz w:val="24"/>
          <w:szCs w:val="24"/>
        </w:rPr>
        <w:t>например</w:t>
      </w:r>
      <w:r w:rsidR="00D51DF1">
        <w:rPr>
          <w:rFonts w:ascii="Times New Roman" w:eastAsia="Times New Roman" w:hAnsi="Times New Roman" w:cs="Times New Roman"/>
          <w:sz w:val="24"/>
          <w:szCs w:val="24"/>
        </w:rPr>
        <w:t>,</w:t>
      </w:r>
      <w:r w:rsidRPr="0044263D">
        <w:rPr>
          <w:rFonts w:ascii="Times New Roman" w:eastAsia="Times New Roman" w:hAnsi="Times New Roman" w:cs="Times New Roman"/>
          <w:sz w:val="24"/>
          <w:szCs w:val="24"/>
        </w:rPr>
        <w:t xml:space="preserve"> </w:t>
      </w:r>
      <w:r w:rsidR="009858CE">
        <w:rPr>
          <w:rFonts w:ascii="Times New Roman" w:eastAsia="Times New Roman" w:hAnsi="Times New Roman" w:cs="Times New Roman"/>
          <w:sz w:val="24"/>
          <w:szCs w:val="24"/>
        </w:rPr>
        <w:t xml:space="preserve">ако </w:t>
      </w:r>
      <w:r w:rsidRPr="0044263D">
        <w:rPr>
          <w:rFonts w:ascii="Times New Roman" w:eastAsia="Times New Roman" w:hAnsi="Times New Roman" w:cs="Times New Roman"/>
          <w:sz w:val="24"/>
          <w:szCs w:val="24"/>
        </w:rPr>
        <w:t xml:space="preserve">решат да намалят асортимента на регулираните </w:t>
      </w:r>
      <w:r w:rsidRPr="0044263D">
        <w:rPr>
          <w:rFonts w:ascii="Times New Roman" w:eastAsia="Times New Roman" w:hAnsi="Times New Roman" w:cs="Times New Roman"/>
          <w:sz w:val="24"/>
          <w:szCs w:val="24"/>
        </w:rPr>
        <w:lastRenderedPageBreak/>
        <w:t>продукти или да купуват по-малко българска продукция, за да избегнат ограничения</w:t>
      </w:r>
      <w:r w:rsidR="009858CE">
        <w:rPr>
          <w:rFonts w:ascii="Times New Roman" w:eastAsia="Times New Roman" w:hAnsi="Times New Roman" w:cs="Times New Roman"/>
          <w:sz w:val="24"/>
          <w:szCs w:val="24"/>
        </w:rPr>
        <w:t>,</w:t>
      </w:r>
      <w:r w:rsidRPr="0044263D">
        <w:rPr>
          <w:rFonts w:ascii="Times New Roman" w:eastAsia="Times New Roman" w:hAnsi="Times New Roman" w:cs="Times New Roman"/>
          <w:sz w:val="24"/>
          <w:szCs w:val="24"/>
        </w:rPr>
        <w:t xml:space="preserve"> това може да </w:t>
      </w:r>
      <w:r w:rsidRPr="0044263D">
        <w:rPr>
          <w:rFonts w:ascii="Times New Roman" w:eastAsia="Times New Roman" w:hAnsi="Times New Roman" w:cs="Times New Roman"/>
          <w:bCs/>
          <w:sz w:val="24"/>
          <w:szCs w:val="24"/>
        </w:rPr>
        <w:t>навреди на МСП</w:t>
      </w:r>
      <w:r w:rsidRPr="0044263D">
        <w:rPr>
          <w:rFonts w:ascii="Times New Roman" w:eastAsia="Times New Roman" w:hAnsi="Times New Roman" w:cs="Times New Roman"/>
          <w:sz w:val="24"/>
          <w:szCs w:val="24"/>
        </w:rPr>
        <w:t xml:space="preserve">. Съществува опасение, че </w:t>
      </w:r>
      <w:r w:rsidRPr="0044263D">
        <w:rPr>
          <w:rFonts w:ascii="Times New Roman" w:eastAsia="Times New Roman" w:hAnsi="Times New Roman" w:cs="Times New Roman"/>
          <w:iCs/>
          <w:sz w:val="24"/>
          <w:szCs w:val="24"/>
        </w:rPr>
        <w:t>прекомерната намеса</w:t>
      </w:r>
      <w:r w:rsidRPr="0044263D">
        <w:rPr>
          <w:rFonts w:ascii="Times New Roman" w:eastAsia="Times New Roman" w:hAnsi="Times New Roman" w:cs="Times New Roman"/>
          <w:sz w:val="24"/>
          <w:szCs w:val="24"/>
        </w:rPr>
        <w:t xml:space="preserve"> ще доведе до </w:t>
      </w:r>
      <w:r w:rsidRPr="0044263D">
        <w:rPr>
          <w:rFonts w:ascii="Times New Roman" w:eastAsia="Times New Roman" w:hAnsi="Times New Roman" w:cs="Times New Roman"/>
          <w:bCs/>
          <w:sz w:val="24"/>
          <w:szCs w:val="24"/>
        </w:rPr>
        <w:t>дефицити и изкривявания на пазара</w:t>
      </w:r>
      <w:r w:rsidRPr="0044263D">
        <w:rPr>
          <w:rFonts w:ascii="Times New Roman" w:eastAsia="Times New Roman" w:hAnsi="Times New Roman" w:cs="Times New Roman"/>
          <w:sz w:val="24"/>
          <w:szCs w:val="24"/>
        </w:rPr>
        <w:t xml:space="preserve">, които в крайна сметка вредят и на малките. </w:t>
      </w:r>
      <w:r w:rsidR="00243E61">
        <w:rPr>
          <w:rFonts w:ascii="Times New Roman" w:eastAsia="Times New Roman" w:hAnsi="Times New Roman" w:cs="Times New Roman"/>
          <w:sz w:val="24"/>
          <w:szCs w:val="24"/>
        </w:rPr>
        <w:t>Например, а</w:t>
      </w:r>
      <w:r w:rsidRPr="0044263D">
        <w:rPr>
          <w:rFonts w:ascii="Times New Roman" w:eastAsia="Times New Roman" w:hAnsi="Times New Roman" w:cs="Times New Roman"/>
          <w:sz w:val="24"/>
          <w:szCs w:val="24"/>
        </w:rPr>
        <w:t xml:space="preserve">ко се сложи таван на надценката на олиото, а цената на суровината скочи, някои търговци може изобщо да спрат да предлагат определени марки/продукти, което </w:t>
      </w:r>
      <w:r w:rsidRPr="0044263D">
        <w:rPr>
          <w:rFonts w:ascii="Times New Roman" w:eastAsia="Times New Roman" w:hAnsi="Times New Roman" w:cs="Times New Roman"/>
          <w:bCs/>
          <w:sz w:val="24"/>
          <w:szCs w:val="24"/>
        </w:rPr>
        <w:t>намалява пазара за съответните производители</w:t>
      </w:r>
      <w:r>
        <w:rPr>
          <w:rFonts w:ascii="Times New Roman" w:eastAsia="Times New Roman" w:hAnsi="Times New Roman" w:cs="Times New Roman"/>
          <w:sz w:val="24"/>
          <w:szCs w:val="24"/>
        </w:rPr>
        <w:t>.</w:t>
      </w:r>
    </w:p>
    <w:p w14:paraId="2C35DAA4" w14:textId="5D00CAD1" w:rsidR="00CB0A97" w:rsidRPr="00943C4D" w:rsidRDefault="00CB0A97" w:rsidP="00DD69D5">
      <w:pPr>
        <w:spacing w:after="0" w:line="240" w:lineRule="auto"/>
        <w:ind w:firstLine="567"/>
        <w:jc w:val="both"/>
        <w:rPr>
          <w:rFonts w:ascii="Times New Roman" w:eastAsia="Times New Roman" w:hAnsi="Times New Roman" w:cs="Times New Roman"/>
          <w:sz w:val="24"/>
          <w:szCs w:val="24"/>
        </w:rPr>
      </w:pPr>
      <w:r w:rsidRPr="00943C4D">
        <w:rPr>
          <w:rFonts w:ascii="Times New Roman" w:eastAsia="Times New Roman" w:hAnsi="Times New Roman" w:cs="Times New Roman"/>
          <w:sz w:val="24"/>
          <w:szCs w:val="24"/>
        </w:rPr>
        <w:t xml:space="preserve">В обобщение, </w:t>
      </w:r>
      <w:r w:rsidRPr="0044263D">
        <w:rPr>
          <w:rFonts w:ascii="Times New Roman" w:eastAsia="Times New Roman" w:hAnsi="Times New Roman" w:cs="Times New Roman"/>
          <w:bCs/>
          <w:sz w:val="24"/>
          <w:szCs w:val="24"/>
        </w:rPr>
        <w:t>ефектите от Вариант 3 за МСП са двояки</w:t>
      </w:r>
      <w:r w:rsidRPr="0044263D">
        <w:rPr>
          <w:rFonts w:ascii="Times New Roman" w:eastAsia="Times New Roman" w:hAnsi="Times New Roman" w:cs="Times New Roman"/>
          <w:sz w:val="24"/>
          <w:szCs w:val="24"/>
        </w:rPr>
        <w:t>.</w:t>
      </w:r>
      <w:r w:rsidRPr="00943C4D">
        <w:rPr>
          <w:rFonts w:ascii="Times New Roman" w:eastAsia="Times New Roman" w:hAnsi="Times New Roman" w:cs="Times New Roman"/>
          <w:sz w:val="24"/>
          <w:szCs w:val="24"/>
        </w:rPr>
        <w:t xml:space="preserve"> </w:t>
      </w:r>
      <w:r w:rsidRPr="0044263D">
        <w:rPr>
          <w:rFonts w:ascii="Times New Roman" w:eastAsia="Times New Roman" w:hAnsi="Times New Roman" w:cs="Times New Roman"/>
          <w:iCs/>
          <w:sz w:val="24"/>
          <w:szCs w:val="24"/>
        </w:rPr>
        <w:t>От една страна</w:t>
      </w:r>
      <w:r w:rsidRPr="0044263D">
        <w:rPr>
          <w:rFonts w:ascii="Times New Roman" w:eastAsia="Times New Roman" w:hAnsi="Times New Roman" w:cs="Times New Roman"/>
          <w:sz w:val="24"/>
          <w:szCs w:val="24"/>
        </w:rPr>
        <w:t>, з</w:t>
      </w:r>
      <w:r>
        <w:rPr>
          <w:rFonts w:ascii="Times New Roman" w:eastAsia="Times New Roman" w:hAnsi="Times New Roman" w:cs="Times New Roman"/>
          <w:sz w:val="24"/>
          <w:szCs w:val="24"/>
        </w:rPr>
        <w:t>аконът предоставя безпрецедентна</w:t>
      </w:r>
      <w:r w:rsidRPr="0044263D">
        <w:rPr>
          <w:rFonts w:ascii="Times New Roman" w:eastAsia="Times New Roman" w:hAnsi="Times New Roman" w:cs="Times New Roman"/>
          <w:sz w:val="24"/>
          <w:szCs w:val="24"/>
        </w:rPr>
        <w:t xml:space="preserve"> защит</w:t>
      </w:r>
      <w:r>
        <w:rPr>
          <w:rFonts w:ascii="Times New Roman" w:eastAsia="Times New Roman" w:hAnsi="Times New Roman" w:cs="Times New Roman"/>
          <w:sz w:val="24"/>
          <w:szCs w:val="24"/>
        </w:rPr>
        <w:t>а</w:t>
      </w:r>
      <w:r w:rsidRPr="0044263D">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 xml:space="preserve">залага </w:t>
      </w:r>
      <w:r w:rsidRPr="0044263D">
        <w:rPr>
          <w:rFonts w:ascii="Times New Roman" w:eastAsia="Times New Roman" w:hAnsi="Times New Roman" w:cs="Times New Roman"/>
          <w:sz w:val="24"/>
          <w:szCs w:val="24"/>
        </w:rPr>
        <w:t xml:space="preserve">потенциални ползи </w:t>
      </w:r>
      <w:r>
        <w:rPr>
          <w:rFonts w:ascii="Times New Roman" w:eastAsia="Times New Roman" w:hAnsi="Times New Roman" w:cs="Times New Roman"/>
          <w:sz w:val="24"/>
          <w:szCs w:val="24"/>
        </w:rPr>
        <w:t xml:space="preserve">за участниците по веригата на доставки, като </w:t>
      </w:r>
      <w:r w:rsidRPr="0044263D">
        <w:rPr>
          <w:rFonts w:ascii="Times New Roman" w:eastAsia="Times New Roman" w:hAnsi="Times New Roman" w:cs="Times New Roman"/>
          <w:sz w:val="24"/>
          <w:szCs w:val="24"/>
        </w:rPr>
        <w:t>по-балансиран пазар, гарантирани минимални доходи, достъп до търговска</w:t>
      </w:r>
      <w:r w:rsidR="009858CE">
        <w:rPr>
          <w:rFonts w:ascii="Times New Roman" w:eastAsia="Times New Roman" w:hAnsi="Times New Roman" w:cs="Times New Roman"/>
          <w:sz w:val="24"/>
          <w:szCs w:val="24"/>
        </w:rPr>
        <w:t>та</w:t>
      </w:r>
      <w:r w:rsidRPr="0044263D">
        <w:rPr>
          <w:rFonts w:ascii="Times New Roman" w:eastAsia="Times New Roman" w:hAnsi="Times New Roman" w:cs="Times New Roman"/>
          <w:sz w:val="24"/>
          <w:szCs w:val="24"/>
        </w:rPr>
        <w:t xml:space="preserve"> мрежа. </w:t>
      </w:r>
      <w:r w:rsidRPr="00F25BD9">
        <w:rPr>
          <w:rFonts w:ascii="Times New Roman" w:eastAsia="Times New Roman" w:hAnsi="Times New Roman" w:cs="Times New Roman"/>
          <w:iCs/>
          <w:sz w:val="24"/>
          <w:szCs w:val="24"/>
        </w:rPr>
        <w:t>От друга страна</w:t>
      </w:r>
      <w:r w:rsidRPr="00F25BD9">
        <w:rPr>
          <w:rFonts w:ascii="Times New Roman" w:eastAsia="Times New Roman" w:hAnsi="Times New Roman" w:cs="Times New Roman"/>
          <w:sz w:val="24"/>
          <w:szCs w:val="24"/>
        </w:rPr>
        <w:t xml:space="preserve">, </w:t>
      </w:r>
      <w:r w:rsidRPr="00F25BD9">
        <w:rPr>
          <w:rFonts w:ascii="Times New Roman" w:eastAsia="Times New Roman" w:hAnsi="Times New Roman" w:cs="Times New Roman"/>
          <w:bCs/>
          <w:sz w:val="24"/>
          <w:szCs w:val="24"/>
        </w:rPr>
        <w:t>комплексността и новите изискванията могат</w:t>
      </w:r>
      <w:r w:rsidRPr="00F25BD9">
        <w:rPr>
          <w:rFonts w:ascii="Times New Roman" w:eastAsia="Times New Roman" w:hAnsi="Times New Roman" w:cs="Times New Roman"/>
          <w:sz w:val="24"/>
          <w:szCs w:val="24"/>
        </w:rPr>
        <w:t xml:space="preserve"> да доведат </w:t>
      </w:r>
      <w:r w:rsidRPr="00F25BD9">
        <w:rPr>
          <w:rFonts w:ascii="Times New Roman" w:eastAsia="Times New Roman" w:hAnsi="Times New Roman" w:cs="Times New Roman"/>
          <w:bCs/>
          <w:sz w:val="24"/>
          <w:szCs w:val="24"/>
        </w:rPr>
        <w:t>затруднения</w:t>
      </w:r>
      <w:r>
        <w:rPr>
          <w:rFonts w:ascii="Times New Roman" w:eastAsia="Times New Roman" w:hAnsi="Times New Roman" w:cs="Times New Roman"/>
          <w:bCs/>
          <w:sz w:val="24"/>
          <w:szCs w:val="24"/>
        </w:rPr>
        <w:t xml:space="preserve"> за най-малките и слаби предприятия, като нежелан страничен ефект. Иначе</w:t>
      </w:r>
      <w:r w:rsidR="009858C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44263D">
        <w:rPr>
          <w:rFonts w:ascii="Times New Roman" w:eastAsia="Times New Roman" w:hAnsi="Times New Roman" w:cs="Times New Roman"/>
          <w:bCs/>
          <w:sz w:val="24"/>
          <w:szCs w:val="24"/>
        </w:rPr>
        <w:t>една от основните цели на предложения Вариант 3 е именно да спре тенденцията на отлив на малки стопанства, характерна при запазване на стату</w:t>
      </w:r>
      <w:r>
        <w:rPr>
          <w:rFonts w:ascii="Times New Roman" w:eastAsia="Times New Roman" w:hAnsi="Times New Roman" w:cs="Times New Roman"/>
          <w:bCs/>
          <w:sz w:val="24"/>
          <w:szCs w:val="24"/>
        </w:rPr>
        <w:t>квото</w:t>
      </w:r>
      <w:r w:rsidRPr="0044263D">
        <w:rPr>
          <w:rFonts w:ascii="Times New Roman" w:eastAsia="Times New Roman" w:hAnsi="Times New Roman" w:cs="Times New Roman"/>
          <w:bCs/>
          <w:sz w:val="24"/>
          <w:szCs w:val="24"/>
        </w:rPr>
        <w:t xml:space="preserve"> и да задържи максимално тези уязвими производители на пазара чрез по-справедливи условия. </w:t>
      </w:r>
      <w:r w:rsidR="009858CE">
        <w:rPr>
          <w:rFonts w:ascii="Times New Roman" w:eastAsia="Times New Roman" w:hAnsi="Times New Roman" w:cs="Times New Roman"/>
          <w:bCs/>
          <w:sz w:val="24"/>
          <w:szCs w:val="24"/>
        </w:rPr>
        <w:t xml:space="preserve">Това означава, че </w:t>
      </w:r>
      <w:r w:rsidR="009858CE">
        <w:rPr>
          <w:rFonts w:ascii="Times New Roman" w:eastAsia="Times New Roman" w:hAnsi="Times New Roman" w:cs="Times New Roman"/>
          <w:sz w:val="24"/>
          <w:szCs w:val="24"/>
        </w:rPr>
        <w:t>в</w:t>
      </w:r>
      <w:r>
        <w:rPr>
          <w:rFonts w:ascii="Times New Roman" w:eastAsia="Times New Roman" w:hAnsi="Times New Roman" w:cs="Times New Roman"/>
          <w:sz w:val="24"/>
          <w:szCs w:val="24"/>
        </w:rPr>
        <w:t>сичко</w:t>
      </w:r>
      <w:r w:rsidRPr="00943C4D">
        <w:rPr>
          <w:rFonts w:ascii="Times New Roman" w:eastAsia="Times New Roman" w:hAnsi="Times New Roman" w:cs="Times New Roman"/>
          <w:sz w:val="24"/>
          <w:szCs w:val="24"/>
        </w:rPr>
        <w:t xml:space="preserve"> зависи от</w:t>
      </w:r>
      <w:r>
        <w:rPr>
          <w:rFonts w:ascii="Times New Roman" w:eastAsia="Times New Roman" w:hAnsi="Times New Roman" w:cs="Times New Roman"/>
          <w:sz w:val="24"/>
          <w:szCs w:val="24"/>
        </w:rPr>
        <w:t xml:space="preserve"> </w:t>
      </w:r>
      <w:r w:rsidR="009858CE">
        <w:rPr>
          <w:rFonts w:ascii="Times New Roman" w:eastAsia="Times New Roman" w:hAnsi="Times New Roman" w:cs="Times New Roman"/>
          <w:sz w:val="24"/>
          <w:szCs w:val="24"/>
        </w:rPr>
        <w:t xml:space="preserve">начина </w:t>
      </w:r>
      <w:r>
        <w:rPr>
          <w:rFonts w:ascii="Times New Roman" w:eastAsia="Times New Roman" w:hAnsi="Times New Roman" w:cs="Times New Roman"/>
          <w:sz w:val="24"/>
          <w:szCs w:val="24"/>
        </w:rPr>
        <w:t>по който</w:t>
      </w:r>
      <w:r w:rsidR="009858CE">
        <w:rPr>
          <w:rFonts w:ascii="Times New Roman" w:eastAsia="Times New Roman" w:hAnsi="Times New Roman" w:cs="Times New Roman"/>
          <w:sz w:val="24"/>
          <w:szCs w:val="24"/>
        </w:rPr>
        <w:t xml:space="preserve"> ще</w:t>
      </w:r>
      <w:r>
        <w:rPr>
          <w:rFonts w:ascii="Times New Roman" w:eastAsia="Times New Roman" w:hAnsi="Times New Roman" w:cs="Times New Roman"/>
          <w:sz w:val="24"/>
          <w:szCs w:val="24"/>
        </w:rPr>
        <w:t xml:space="preserve"> бъде въведен и прилаган Вариант 3</w:t>
      </w:r>
      <w:r w:rsidR="00243E61">
        <w:rPr>
          <w:rFonts w:ascii="Times New Roman" w:eastAsia="Times New Roman" w:hAnsi="Times New Roman" w:cs="Times New Roman"/>
          <w:sz w:val="24"/>
          <w:szCs w:val="24"/>
        </w:rPr>
        <w:t>.</w:t>
      </w:r>
      <w:r w:rsidRPr="00943C4D">
        <w:rPr>
          <w:rFonts w:ascii="Times New Roman" w:eastAsia="Times New Roman" w:hAnsi="Times New Roman" w:cs="Times New Roman"/>
          <w:sz w:val="24"/>
          <w:szCs w:val="24"/>
        </w:rPr>
        <w:t xml:space="preserve"> </w:t>
      </w:r>
      <w:r w:rsidR="00243E61">
        <w:rPr>
          <w:rFonts w:ascii="Times New Roman" w:eastAsia="Times New Roman" w:hAnsi="Times New Roman" w:cs="Times New Roman"/>
          <w:sz w:val="24"/>
          <w:szCs w:val="24"/>
        </w:rPr>
        <w:t>А</w:t>
      </w:r>
      <w:r w:rsidRPr="00943C4D">
        <w:rPr>
          <w:rFonts w:ascii="Times New Roman" w:eastAsia="Times New Roman" w:hAnsi="Times New Roman" w:cs="Times New Roman"/>
          <w:sz w:val="24"/>
          <w:szCs w:val="24"/>
        </w:rPr>
        <w:t>ко</w:t>
      </w:r>
      <w:r>
        <w:rPr>
          <w:rFonts w:ascii="Times New Roman" w:eastAsia="Times New Roman" w:hAnsi="Times New Roman" w:cs="Times New Roman"/>
          <w:sz w:val="24"/>
          <w:szCs w:val="24"/>
        </w:rPr>
        <w:t xml:space="preserve"> мерките</w:t>
      </w:r>
      <w:r w:rsidR="00D51D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включени в него</w:t>
      </w:r>
      <w:r w:rsidR="00D51DF1">
        <w:rPr>
          <w:rFonts w:ascii="Times New Roman" w:eastAsia="Times New Roman" w:hAnsi="Times New Roman" w:cs="Times New Roman"/>
          <w:sz w:val="24"/>
          <w:szCs w:val="24"/>
        </w:rPr>
        <w:t>,</w:t>
      </w:r>
      <w:r w:rsidRPr="00943C4D">
        <w:rPr>
          <w:rFonts w:ascii="Times New Roman" w:eastAsia="Times New Roman" w:hAnsi="Times New Roman" w:cs="Times New Roman"/>
          <w:sz w:val="24"/>
          <w:szCs w:val="24"/>
        </w:rPr>
        <w:t xml:space="preserve"> се приложат </w:t>
      </w:r>
      <w:r w:rsidR="00243E61">
        <w:rPr>
          <w:rFonts w:ascii="Times New Roman" w:eastAsia="Times New Roman" w:hAnsi="Times New Roman" w:cs="Times New Roman"/>
          <w:sz w:val="24"/>
          <w:szCs w:val="24"/>
        </w:rPr>
        <w:t>ефективно и балансирано</w:t>
      </w:r>
      <w:r w:rsidRPr="00943C4D">
        <w:rPr>
          <w:rFonts w:ascii="Times New Roman" w:eastAsia="Times New Roman" w:hAnsi="Times New Roman" w:cs="Times New Roman"/>
          <w:sz w:val="24"/>
          <w:szCs w:val="24"/>
        </w:rPr>
        <w:t>, пол</w:t>
      </w:r>
      <w:r>
        <w:rPr>
          <w:rFonts w:ascii="Times New Roman" w:eastAsia="Times New Roman" w:hAnsi="Times New Roman" w:cs="Times New Roman"/>
          <w:sz w:val="24"/>
          <w:szCs w:val="24"/>
        </w:rPr>
        <w:t>зите може да надделеят, ако не</w:t>
      </w:r>
      <w:r w:rsidR="007E6B27">
        <w:rPr>
          <w:rFonts w:ascii="Times New Roman" w:eastAsia="Times New Roman" w:hAnsi="Times New Roman" w:cs="Times New Roman"/>
          <w:sz w:val="24"/>
          <w:szCs w:val="24"/>
        </w:rPr>
        <w:t>,</w:t>
      </w:r>
      <w:r w:rsidRPr="00943C4D">
        <w:rPr>
          <w:rFonts w:ascii="Times New Roman" w:eastAsia="Times New Roman" w:hAnsi="Times New Roman" w:cs="Times New Roman"/>
          <w:sz w:val="24"/>
          <w:szCs w:val="24"/>
        </w:rPr>
        <w:t xml:space="preserve"> тежестите могат да </w:t>
      </w:r>
      <w:r>
        <w:rPr>
          <w:rFonts w:ascii="Times New Roman" w:eastAsia="Times New Roman" w:hAnsi="Times New Roman" w:cs="Times New Roman"/>
          <w:sz w:val="24"/>
          <w:szCs w:val="24"/>
        </w:rPr>
        <w:t>засегнат негативно</w:t>
      </w:r>
      <w:r w:rsidRPr="00943C4D">
        <w:rPr>
          <w:rFonts w:ascii="Times New Roman" w:eastAsia="Times New Roman" w:hAnsi="Times New Roman" w:cs="Times New Roman"/>
          <w:sz w:val="24"/>
          <w:szCs w:val="24"/>
        </w:rPr>
        <w:t xml:space="preserve"> част от МСП.</w:t>
      </w:r>
    </w:p>
    <w:p w14:paraId="29118964" w14:textId="77777777" w:rsidR="00CB0A97" w:rsidRDefault="00CB0A97" w:rsidP="00DD69D5">
      <w:pPr>
        <w:spacing w:after="0" w:line="240" w:lineRule="auto"/>
        <w:ind w:firstLine="567"/>
        <w:jc w:val="both"/>
        <w:rPr>
          <w:rFonts w:ascii="Times New Roman" w:eastAsia="Times New Roman" w:hAnsi="Times New Roman" w:cs="Times New Roman"/>
          <w:sz w:val="24"/>
          <w:szCs w:val="24"/>
        </w:rPr>
      </w:pPr>
      <w:r w:rsidRPr="00F25BD9">
        <w:rPr>
          <w:rFonts w:ascii="Times New Roman" w:eastAsia="Times New Roman" w:hAnsi="Times New Roman" w:cs="Times New Roman"/>
          <w:b/>
          <w:bCs/>
          <w:i/>
          <w:sz w:val="24"/>
          <w:szCs w:val="24"/>
        </w:rPr>
        <w:t>Административна тежест:</w:t>
      </w:r>
      <w:r w:rsidRPr="00943C4D">
        <w:rPr>
          <w:rFonts w:ascii="Times New Roman" w:eastAsia="Times New Roman" w:hAnsi="Times New Roman" w:cs="Times New Roman"/>
          <w:sz w:val="24"/>
          <w:szCs w:val="24"/>
        </w:rPr>
        <w:t xml:space="preserve"> </w:t>
      </w:r>
      <w:r w:rsidRPr="00F25BD9">
        <w:rPr>
          <w:rFonts w:ascii="Times New Roman" w:eastAsia="Times New Roman" w:hAnsi="Times New Roman" w:cs="Times New Roman"/>
          <w:sz w:val="24"/>
          <w:szCs w:val="24"/>
        </w:rPr>
        <w:t xml:space="preserve">Вариант 3 налага </w:t>
      </w:r>
      <w:r w:rsidRPr="00F25BD9">
        <w:rPr>
          <w:rFonts w:ascii="Times New Roman" w:eastAsia="Times New Roman" w:hAnsi="Times New Roman" w:cs="Times New Roman"/>
          <w:bCs/>
          <w:sz w:val="24"/>
          <w:szCs w:val="24"/>
        </w:rPr>
        <w:t>административна тежест върху МСП</w:t>
      </w:r>
      <w:r w:rsidRPr="00F25BD9">
        <w:rPr>
          <w:rFonts w:ascii="Times New Roman" w:eastAsia="Times New Roman" w:hAnsi="Times New Roman" w:cs="Times New Roman"/>
          <w:sz w:val="24"/>
          <w:szCs w:val="24"/>
        </w:rPr>
        <w:t>, тъй като за пръв път много от тях ще трябва да спазват формални процедури и ограничения. С оглед количествена оценка на административната тежест са разгледани изискванията и е приложена позната методология и формулата за изчисляване на административната тежест</w:t>
      </w:r>
      <w:r>
        <w:rPr>
          <w:rFonts w:ascii="Times New Roman" w:eastAsia="Times New Roman" w:hAnsi="Times New Roman" w:cs="Times New Roman"/>
          <w:sz w:val="24"/>
          <w:szCs w:val="24"/>
        </w:rPr>
        <w:t>:</w:t>
      </w:r>
    </w:p>
    <w:p w14:paraId="20D08391" w14:textId="66F2423E" w:rsidR="00CB0A97" w:rsidRDefault="00CB0A97" w:rsidP="00DD69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25BD9">
        <w:rPr>
          <w:rFonts w:ascii="Times New Roman" w:eastAsia="Times New Roman" w:hAnsi="Times New Roman" w:cs="Times New Roman"/>
          <w:i/>
          <w:sz w:val="24"/>
          <w:szCs w:val="24"/>
        </w:rPr>
        <w:t>р</w:t>
      </w:r>
      <w:r w:rsidRPr="00F25BD9">
        <w:rPr>
          <w:rFonts w:ascii="Times New Roman" w:eastAsia="Times New Roman" w:hAnsi="Times New Roman" w:cs="Times New Roman"/>
          <w:bCs/>
          <w:i/>
          <w:sz w:val="24"/>
          <w:szCs w:val="24"/>
        </w:rPr>
        <w:t>егистрация на първи изкупвачи:</w:t>
      </w:r>
      <w:r w:rsidRPr="00F25B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Pr="00F25BD9">
        <w:rPr>
          <w:rFonts w:ascii="Times New Roman" w:eastAsia="Times New Roman" w:hAnsi="Times New Roman" w:cs="Times New Roman"/>
          <w:sz w:val="24"/>
          <w:szCs w:val="24"/>
        </w:rPr>
        <w:t xml:space="preserve">ко се приеме, че </w:t>
      </w:r>
      <w:r w:rsidRPr="00F25BD9">
        <w:rPr>
          <w:rFonts w:ascii="Times New Roman" w:eastAsia="Times New Roman" w:hAnsi="Times New Roman" w:cs="Times New Roman"/>
          <w:bCs/>
          <w:sz w:val="24"/>
          <w:szCs w:val="24"/>
        </w:rPr>
        <w:t>около 2 000 предприятия</w:t>
      </w:r>
      <w:r w:rsidRPr="00F25BD9">
        <w:rPr>
          <w:rFonts w:ascii="Times New Roman" w:eastAsia="Times New Roman" w:hAnsi="Times New Roman" w:cs="Times New Roman"/>
          <w:sz w:val="24"/>
          <w:szCs w:val="24"/>
        </w:rPr>
        <w:t xml:space="preserve"> (преработватели, големи ферми, търговци на едро) трябва да се регистрират като „първи купувач“ на земеделска продукция</w:t>
      </w:r>
      <w:r w:rsidR="005015F3">
        <w:rPr>
          <w:rFonts w:ascii="Times New Roman" w:eastAsia="Times New Roman" w:hAnsi="Times New Roman" w:cs="Times New Roman"/>
          <w:sz w:val="24"/>
          <w:szCs w:val="24"/>
        </w:rPr>
        <w:t>.</w:t>
      </w:r>
      <w:r w:rsidRPr="00F25BD9">
        <w:rPr>
          <w:rFonts w:ascii="Times New Roman" w:eastAsia="Times New Roman" w:hAnsi="Times New Roman" w:cs="Times New Roman"/>
          <w:sz w:val="24"/>
          <w:szCs w:val="24"/>
        </w:rPr>
        <w:t xml:space="preserve"> </w:t>
      </w:r>
      <w:r w:rsidR="005015F3">
        <w:rPr>
          <w:rFonts w:ascii="Times New Roman" w:eastAsia="Times New Roman" w:hAnsi="Times New Roman" w:cs="Times New Roman"/>
          <w:sz w:val="24"/>
          <w:szCs w:val="24"/>
        </w:rPr>
        <w:t>Необходимо е п</w:t>
      </w:r>
      <w:r w:rsidR="00D51DF1" w:rsidRPr="00F25BD9">
        <w:rPr>
          <w:rFonts w:ascii="Times New Roman" w:eastAsia="Times New Roman" w:hAnsi="Times New Roman" w:cs="Times New Roman"/>
          <w:sz w:val="24"/>
          <w:szCs w:val="24"/>
        </w:rPr>
        <w:t xml:space="preserve">опълването </w:t>
      </w:r>
      <w:r w:rsidRPr="00F25BD9">
        <w:rPr>
          <w:rFonts w:ascii="Times New Roman" w:eastAsia="Times New Roman" w:hAnsi="Times New Roman" w:cs="Times New Roman"/>
          <w:sz w:val="24"/>
          <w:szCs w:val="24"/>
        </w:rPr>
        <w:t xml:space="preserve">на заявление, събирането на нужните документи и подаването им отнема средно </w:t>
      </w:r>
      <w:r w:rsidRPr="00F25BD9">
        <w:rPr>
          <w:rFonts w:ascii="Times New Roman" w:eastAsia="Times New Roman" w:hAnsi="Times New Roman" w:cs="Times New Roman"/>
          <w:bCs/>
          <w:sz w:val="24"/>
          <w:szCs w:val="24"/>
        </w:rPr>
        <w:t>4 часа на предприятие</w:t>
      </w:r>
      <w:r w:rsidRPr="00F25BD9">
        <w:rPr>
          <w:rFonts w:ascii="Times New Roman" w:eastAsia="Times New Roman" w:hAnsi="Times New Roman" w:cs="Times New Roman"/>
          <w:sz w:val="24"/>
          <w:szCs w:val="24"/>
        </w:rPr>
        <w:t>, при средна цена на час ~</w:t>
      </w:r>
      <w:r w:rsidRPr="00F25BD9">
        <w:rPr>
          <w:rFonts w:ascii="Times New Roman" w:eastAsia="Times New Roman" w:hAnsi="Times New Roman" w:cs="Times New Roman"/>
          <w:bCs/>
          <w:sz w:val="24"/>
          <w:szCs w:val="24"/>
        </w:rPr>
        <w:t>15 лв.</w:t>
      </w:r>
      <w:r w:rsidRPr="00F25BD9">
        <w:rPr>
          <w:rFonts w:ascii="Times New Roman" w:eastAsia="Times New Roman" w:hAnsi="Times New Roman" w:cs="Times New Roman"/>
          <w:sz w:val="24"/>
          <w:szCs w:val="24"/>
        </w:rPr>
        <w:t xml:space="preserve"> (ако се ангажира мениджър или юрист). </w:t>
      </w:r>
      <w:r w:rsidRPr="00F25BD9">
        <w:rPr>
          <w:rFonts w:ascii="Times New Roman" w:eastAsia="Times New Roman" w:hAnsi="Times New Roman" w:cs="Times New Roman"/>
          <w:iCs/>
          <w:sz w:val="24"/>
          <w:szCs w:val="24"/>
        </w:rPr>
        <w:t>Еднократна</w:t>
      </w:r>
      <w:r>
        <w:rPr>
          <w:rFonts w:ascii="Times New Roman" w:eastAsia="Times New Roman" w:hAnsi="Times New Roman" w:cs="Times New Roman"/>
          <w:sz w:val="24"/>
          <w:szCs w:val="24"/>
        </w:rPr>
        <w:t>та</w:t>
      </w:r>
      <w:r w:rsidRPr="00F25BD9">
        <w:rPr>
          <w:rFonts w:ascii="Times New Roman" w:eastAsia="Times New Roman" w:hAnsi="Times New Roman" w:cs="Times New Roman"/>
          <w:sz w:val="24"/>
          <w:szCs w:val="24"/>
        </w:rPr>
        <w:t xml:space="preserve"> административна тежест за тази група</w:t>
      </w:r>
      <w:r>
        <w:rPr>
          <w:rFonts w:ascii="Times New Roman" w:eastAsia="Times New Roman" w:hAnsi="Times New Roman" w:cs="Times New Roman"/>
          <w:sz w:val="24"/>
          <w:szCs w:val="24"/>
        </w:rPr>
        <w:t xml:space="preserve"> би била</w:t>
      </w:r>
      <w:r w:rsidRPr="00F25BD9">
        <w:rPr>
          <w:rFonts w:ascii="Times New Roman" w:eastAsia="Times New Roman" w:hAnsi="Times New Roman" w:cs="Times New Roman"/>
          <w:sz w:val="24"/>
          <w:szCs w:val="24"/>
        </w:rPr>
        <w:t xml:space="preserve"> 2000</w:t>
      </w:r>
      <w:r>
        <w:rPr>
          <w:rFonts w:ascii="Times New Roman" w:eastAsia="Times New Roman" w:hAnsi="Times New Roman" w:cs="Times New Roman"/>
          <w:sz w:val="24"/>
          <w:szCs w:val="24"/>
        </w:rPr>
        <w:t xml:space="preserve"> × 4 × 15 = 120 000 лв. (общо).</w:t>
      </w:r>
    </w:p>
    <w:p w14:paraId="7A541B07" w14:textId="76E42554" w:rsidR="00CB0A97" w:rsidRDefault="00CB0A97" w:rsidP="00DD69D5">
      <w:pPr>
        <w:spacing w:after="0" w:line="240" w:lineRule="auto"/>
        <w:ind w:firstLine="567"/>
        <w:jc w:val="both"/>
        <w:rPr>
          <w:rFonts w:ascii="Times New Roman" w:eastAsia="Times New Roman" w:hAnsi="Times New Roman" w:cs="Times New Roman"/>
          <w:sz w:val="24"/>
          <w:szCs w:val="24"/>
        </w:rPr>
      </w:pPr>
      <w:r w:rsidRPr="00F25BD9">
        <w:rPr>
          <w:rFonts w:ascii="Times New Roman" w:eastAsia="Times New Roman" w:hAnsi="Times New Roman" w:cs="Times New Roman"/>
          <w:sz w:val="24"/>
          <w:szCs w:val="24"/>
        </w:rPr>
        <w:t xml:space="preserve">- </w:t>
      </w:r>
      <w:r w:rsidRPr="00F25BD9">
        <w:rPr>
          <w:rFonts w:ascii="Times New Roman" w:eastAsia="Times New Roman" w:hAnsi="Times New Roman" w:cs="Times New Roman"/>
          <w:i/>
          <w:sz w:val="24"/>
          <w:szCs w:val="24"/>
        </w:rPr>
        <w:t>с</w:t>
      </w:r>
      <w:r w:rsidRPr="00F25BD9">
        <w:rPr>
          <w:rFonts w:ascii="Times New Roman" w:eastAsia="Times New Roman" w:hAnsi="Times New Roman" w:cs="Times New Roman"/>
          <w:bCs/>
          <w:i/>
          <w:sz w:val="24"/>
          <w:szCs w:val="24"/>
        </w:rPr>
        <w:t>ключване на писмени договори</w:t>
      </w:r>
      <w:r w:rsidRPr="00F25BD9">
        <w:rPr>
          <w:rFonts w:ascii="Times New Roman" w:eastAsia="Times New Roman" w:hAnsi="Times New Roman" w:cs="Times New Roman"/>
          <w:bCs/>
          <w:sz w:val="24"/>
          <w:szCs w:val="24"/>
        </w:rPr>
        <w:t>:</w:t>
      </w:r>
      <w:r w:rsidRPr="00943C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ако</w:t>
      </w:r>
      <w:r w:rsidRPr="00943C4D">
        <w:rPr>
          <w:rFonts w:ascii="Times New Roman" w:eastAsia="Times New Roman" w:hAnsi="Times New Roman" w:cs="Times New Roman"/>
          <w:sz w:val="24"/>
          <w:szCs w:val="24"/>
        </w:rPr>
        <w:t xml:space="preserve"> допуснем, </w:t>
      </w:r>
      <w:r w:rsidRPr="00F25BD9">
        <w:rPr>
          <w:rFonts w:ascii="Times New Roman" w:eastAsia="Times New Roman" w:hAnsi="Times New Roman" w:cs="Times New Roman"/>
          <w:sz w:val="24"/>
          <w:szCs w:val="24"/>
        </w:rPr>
        <w:t xml:space="preserve">че </w:t>
      </w:r>
      <w:r w:rsidRPr="00F25BD9">
        <w:rPr>
          <w:rFonts w:ascii="Times New Roman" w:eastAsia="Times New Roman" w:hAnsi="Times New Roman" w:cs="Times New Roman"/>
          <w:bCs/>
          <w:sz w:val="24"/>
          <w:szCs w:val="24"/>
        </w:rPr>
        <w:t>50 000 малки производители</w:t>
      </w:r>
      <w:r w:rsidRPr="00F25BD9">
        <w:rPr>
          <w:rFonts w:ascii="Times New Roman" w:eastAsia="Times New Roman" w:hAnsi="Times New Roman" w:cs="Times New Roman"/>
          <w:sz w:val="24"/>
          <w:szCs w:val="24"/>
        </w:rPr>
        <w:t xml:space="preserve"> и </w:t>
      </w:r>
      <w:r w:rsidRPr="00F25BD9">
        <w:rPr>
          <w:rFonts w:ascii="Times New Roman" w:eastAsia="Times New Roman" w:hAnsi="Times New Roman" w:cs="Times New Roman"/>
          <w:bCs/>
          <w:sz w:val="24"/>
          <w:szCs w:val="24"/>
        </w:rPr>
        <w:t>5 000 малки доставчици/преработватели</w:t>
      </w:r>
      <w:r w:rsidRPr="00F25BD9">
        <w:rPr>
          <w:rFonts w:ascii="Times New Roman" w:eastAsia="Times New Roman" w:hAnsi="Times New Roman" w:cs="Times New Roman"/>
          <w:sz w:val="24"/>
          <w:szCs w:val="24"/>
        </w:rPr>
        <w:t xml:space="preserve"> тря</w:t>
      </w:r>
      <w:r w:rsidRPr="00943C4D">
        <w:rPr>
          <w:rFonts w:ascii="Times New Roman" w:eastAsia="Times New Roman" w:hAnsi="Times New Roman" w:cs="Times New Roman"/>
          <w:sz w:val="24"/>
          <w:szCs w:val="24"/>
        </w:rPr>
        <w:t>бва да сключат нови договори или да приведат старите в съответствие</w:t>
      </w:r>
      <w:r w:rsidR="00690E70">
        <w:rPr>
          <w:rFonts w:ascii="Times New Roman" w:eastAsia="Times New Roman" w:hAnsi="Times New Roman" w:cs="Times New Roman"/>
          <w:sz w:val="24"/>
          <w:szCs w:val="24"/>
        </w:rPr>
        <w:t xml:space="preserve"> с новите нормативни изисквания</w:t>
      </w:r>
      <w:r w:rsidRPr="00943C4D">
        <w:rPr>
          <w:rFonts w:ascii="Times New Roman" w:eastAsia="Times New Roman" w:hAnsi="Times New Roman" w:cs="Times New Roman"/>
          <w:sz w:val="24"/>
          <w:szCs w:val="24"/>
        </w:rPr>
        <w:t>. Това е еднократен</w:t>
      </w:r>
      <w:r>
        <w:rPr>
          <w:rFonts w:ascii="Times New Roman" w:eastAsia="Times New Roman" w:hAnsi="Times New Roman" w:cs="Times New Roman"/>
          <w:sz w:val="24"/>
          <w:szCs w:val="24"/>
        </w:rPr>
        <w:t xml:space="preserve"> акт</w:t>
      </w:r>
      <w:r w:rsidRPr="00943C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при който </w:t>
      </w:r>
      <w:r w:rsidRPr="00EB75A0">
        <w:rPr>
          <w:rFonts w:ascii="Times New Roman" w:eastAsia="Times New Roman" w:hAnsi="Times New Roman" w:cs="Times New Roman"/>
          <w:sz w:val="24"/>
          <w:szCs w:val="24"/>
        </w:rPr>
        <w:t xml:space="preserve">може да </w:t>
      </w:r>
      <w:r>
        <w:rPr>
          <w:rFonts w:ascii="Times New Roman" w:eastAsia="Times New Roman" w:hAnsi="Times New Roman" w:cs="Times New Roman"/>
          <w:sz w:val="24"/>
          <w:szCs w:val="24"/>
        </w:rPr>
        <w:t>са необходими</w:t>
      </w:r>
      <w:r w:rsidRPr="00EB75A0">
        <w:rPr>
          <w:rFonts w:ascii="Times New Roman" w:eastAsia="Times New Roman" w:hAnsi="Times New Roman" w:cs="Times New Roman"/>
          <w:sz w:val="24"/>
          <w:szCs w:val="24"/>
        </w:rPr>
        <w:t xml:space="preserve"> около 4 часа за консултация, преговори и оформяне на документите, особено с предоставени образци. </w:t>
      </w:r>
      <w:r>
        <w:rPr>
          <w:rFonts w:ascii="Times New Roman" w:eastAsia="Times New Roman" w:hAnsi="Times New Roman" w:cs="Times New Roman"/>
          <w:sz w:val="24"/>
          <w:szCs w:val="24"/>
        </w:rPr>
        <w:t>Съответно</w:t>
      </w:r>
      <w:r w:rsidR="00D51D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w:t>
      </w:r>
      <w:r w:rsidRPr="00EB75A0">
        <w:rPr>
          <w:rFonts w:ascii="Times New Roman" w:eastAsia="Times New Roman" w:hAnsi="Times New Roman" w:cs="Times New Roman"/>
          <w:sz w:val="24"/>
          <w:szCs w:val="24"/>
        </w:rPr>
        <w:t>днократна</w:t>
      </w:r>
      <w:r>
        <w:rPr>
          <w:rFonts w:ascii="Times New Roman" w:eastAsia="Times New Roman" w:hAnsi="Times New Roman" w:cs="Times New Roman"/>
          <w:sz w:val="24"/>
          <w:szCs w:val="24"/>
        </w:rPr>
        <w:t>та административна</w:t>
      </w:r>
      <w:r w:rsidRPr="00EB75A0">
        <w:rPr>
          <w:rFonts w:ascii="Times New Roman" w:eastAsia="Times New Roman" w:hAnsi="Times New Roman" w:cs="Times New Roman"/>
          <w:sz w:val="24"/>
          <w:szCs w:val="24"/>
        </w:rPr>
        <w:t xml:space="preserve"> тежест</w:t>
      </w:r>
      <w:r>
        <w:rPr>
          <w:rFonts w:ascii="Times New Roman" w:eastAsia="Times New Roman" w:hAnsi="Times New Roman" w:cs="Times New Roman"/>
          <w:sz w:val="24"/>
          <w:szCs w:val="24"/>
        </w:rPr>
        <w:t xml:space="preserve"> би възлизала на</w:t>
      </w:r>
      <w:r w:rsidRPr="00EB75A0">
        <w:rPr>
          <w:rFonts w:ascii="Times New Roman" w:eastAsia="Times New Roman" w:hAnsi="Times New Roman" w:cs="Times New Roman"/>
          <w:sz w:val="24"/>
          <w:szCs w:val="24"/>
        </w:rPr>
        <w:t xml:space="preserve"> (55 000 × 4) × 20</w:t>
      </w:r>
      <w:r>
        <w:rPr>
          <w:rFonts w:ascii="Times New Roman" w:eastAsia="Times New Roman" w:hAnsi="Times New Roman" w:cs="Times New Roman"/>
          <w:sz w:val="24"/>
          <w:szCs w:val="24"/>
        </w:rPr>
        <w:t xml:space="preserve"> лв./час (приблизителна ставка)</w:t>
      </w:r>
      <w:r w:rsidRPr="00EB75A0">
        <w:rPr>
          <w:rFonts w:ascii="Times New Roman" w:eastAsia="Times New Roman" w:hAnsi="Times New Roman" w:cs="Times New Roman"/>
          <w:sz w:val="24"/>
          <w:szCs w:val="24"/>
        </w:rPr>
        <w:t xml:space="preserve"> ≈ 4 400 000 лв.</w:t>
      </w:r>
      <w:r>
        <w:rPr>
          <w:rFonts w:ascii="Times New Roman" w:eastAsia="Times New Roman" w:hAnsi="Times New Roman" w:cs="Times New Roman"/>
          <w:sz w:val="24"/>
          <w:szCs w:val="24"/>
        </w:rPr>
        <w:t xml:space="preserve"> </w:t>
      </w:r>
      <w:r w:rsidRPr="00943C4D">
        <w:rPr>
          <w:rFonts w:ascii="Times New Roman" w:eastAsia="Times New Roman" w:hAnsi="Times New Roman" w:cs="Times New Roman"/>
          <w:sz w:val="24"/>
          <w:szCs w:val="24"/>
        </w:rPr>
        <w:t xml:space="preserve">Това число е значително, но отразява прехода към формална договорна база за огромен брой отношения. Разбира се, една част от тези договори вече са писмени, така че реално сумата може да </w:t>
      </w:r>
      <w:r w:rsidR="007E6B27">
        <w:rPr>
          <w:rFonts w:ascii="Times New Roman" w:eastAsia="Times New Roman" w:hAnsi="Times New Roman" w:cs="Times New Roman"/>
          <w:sz w:val="24"/>
          <w:szCs w:val="24"/>
        </w:rPr>
        <w:t>с</w:t>
      </w:r>
      <w:r w:rsidRPr="00943C4D">
        <w:rPr>
          <w:rFonts w:ascii="Times New Roman" w:eastAsia="Times New Roman" w:hAnsi="Times New Roman" w:cs="Times New Roman"/>
          <w:sz w:val="24"/>
          <w:szCs w:val="24"/>
        </w:rPr>
        <w:t>е</w:t>
      </w:r>
      <w:r w:rsidR="007E6B27">
        <w:rPr>
          <w:rFonts w:ascii="Times New Roman" w:eastAsia="Times New Roman" w:hAnsi="Times New Roman" w:cs="Times New Roman"/>
          <w:sz w:val="24"/>
          <w:szCs w:val="24"/>
        </w:rPr>
        <w:t xml:space="preserve"> очаква да е значително</w:t>
      </w:r>
      <w:r w:rsidRPr="00943C4D">
        <w:rPr>
          <w:rFonts w:ascii="Times New Roman" w:eastAsia="Times New Roman" w:hAnsi="Times New Roman" w:cs="Times New Roman"/>
          <w:sz w:val="24"/>
          <w:szCs w:val="24"/>
        </w:rPr>
        <w:t xml:space="preserve"> по-ниска</w:t>
      </w:r>
      <w:r w:rsidR="007E6B27">
        <w:rPr>
          <w:rFonts w:ascii="Times New Roman" w:eastAsia="Times New Roman" w:hAnsi="Times New Roman" w:cs="Times New Roman"/>
          <w:sz w:val="24"/>
          <w:szCs w:val="24"/>
        </w:rPr>
        <w:t xml:space="preserve"> (</w:t>
      </w:r>
      <w:r w:rsidRPr="00943C4D">
        <w:rPr>
          <w:rFonts w:ascii="Times New Roman" w:eastAsia="Times New Roman" w:hAnsi="Times New Roman" w:cs="Times New Roman"/>
          <w:sz w:val="24"/>
          <w:szCs w:val="24"/>
        </w:rPr>
        <w:t xml:space="preserve">тук е </w:t>
      </w:r>
      <w:r>
        <w:rPr>
          <w:rFonts w:ascii="Times New Roman" w:eastAsia="Times New Roman" w:hAnsi="Times New Roman" w:cs="Times New Roman"/>
          <w:sz w:val="24"/>
          <w:szCs w:val="24"/>
        </w:rPr>
        <w:t xml:space="preserve">посочена </w:t>
      </w:r>
      <w:bookmarkStart w:id="30" w:name="_Hlk197180058"/>
      <w:r w:rsidR="00690E70">
        <w:rPr>
          <w:rFonts w:ascii="Times New Roman" w:eastAsia="Times New Roman" w:hAnsi="Times New Roman" w:cs="Times New Roman"/>
          <w:sz w:val="24"/>
          <w:szCs w:val="24"/>
        </w:rPr>
        <w:t>приблизителна</w:t>
      </w:r>
      <w:r>
        <w:rPr>
          <w:rFonts w:ascii="Times New Roman" w:eastAsia="Times New Roman" w:hAnsi="Times New Roman" w:cs="Times New Roman"/>
          <w:sz w:val="24"/>
          <w:szCs w:val="24"/>
        </w:rPr>
        <w:t xml:space="preserve"> оценка за мащаба</w:t>
      </w:r>
      <w:r w:rsidR="007E6B2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79DD515" w14:textId="2978FB6E" w:rsidR="00CB0A97" w:rsidRPr="00943C4D" w:rsidRDefault="00CB0A97" w:rsidP="00DD69D5">
      <w:pPr>
        <w:spacing w:after="0" w:line="240" w:lineRule="auto"/>
        <w:ind w:firstLine="567"/>
        <w:jc w:val="both"/>
        <w:rPr>
          <w:rFonts w:ascii="Times New Roman" w:eastAsia="Times New Roman" w:hAnsi="Times New Roman" w:cs="Times New Roman"/>
          <w:sz w:val="24"/>
          <w:szCs w:val="24"/>
        </w:rPr>
      </w:pPr>
      <w:r w:rsidRPr="00F25BD9">
        <w:rPr>
          <w:rFonts w:ascii="Times New Roman" w:eastAsia="Times New Roman" w:hAnsi="Times New Roman" w:cs="Times New Roman"/>
          <w:i/>
          <w:sz w:val="24"/>
          <w:szCs w:val="24"/>
        </w:rPr>
        <w:t>- о</w:t>
      </w:r>
      <w:r w:rsidRPr="00F25BD9">
        <w:rPr>
          <w:rFonts w:ascii="Times New Roman" w:eastAsia="Times New Roman" w:hAnsi="Times New Roman" w:cs="Times New Roman"/>
          <w:bCs/>
          <w:i/>
          <w:sz w:val="24"/>
          <w:szCs w:val="24"/>
        </w:rPr>
        <w:t>граничения на надценки и български продукти:</w:t>
      </w:r>
      <w:r w:rsidRPr="00943C4D">
        <w:rPr>
          <w:rFonts w:ascii="Times New Roman" w:eastAsia="Times New Roman" w:hAnsi="Times New Roman" w:cs="Times New Roman"/>
          <w:sz w:val="24"/>
          <w:szCs w:val="24"/>
        </w:rPr>
        <w:t xml:space="preserve"> тук административната тежест е </w:t>
      </w:r>
      <w:r w:rsidRPr="00F25BD9">
        <w:rPr>
          <w:rFonts w:ascii="Times New Roman" w:eastAsia="Times New Roman" w:hAnsi="Times New Roman" w:cs="Times New Roman"/>
          <w:bCs/>
          <w:sz w:val="24"/>
          <w:szCs w:val="24"/>
        </w:rPr>
        <w:t>постоянна/ ежемесечна</w:t>
      </w:r>
      <w:r w:rsidRPr="00303B3D">
        <w:rPr>
          <w:rFonts w:ascii="Times New Roman" w:eastAsia="Times New Roman" w:hAnsi="Times New Roman" w:cs="Times New Roman"/>
          <w:sz w:val="24"/>
          <w:szCs w:val="24"/>
        </w:rPr>
        <w:t>, но прякото административно усилие за всеки малък магазин ще бъде ограничено</w:t>
      </w:r>
      <w:r w:rsidR="007E6B27">
        <w:rPr>
          <w:rFonts w:ascii="Times New Roman" w:eastAsia="Times New Roman" w:hAnsi="Times New Roman" w:cs="Times New Roman"/>
          <w:sz w:val="24"/>
          <w:szCs w:val="24"/>
        </w:rPr>
        <w:t>. О</w:t>
      </w:r>
      <w:r w:rsidRPr="00303B3D">
        <w:rPr>
          <w:rFonts w:ascii="Times New Roman" w:eastAsia="Times New Roman" w:hAnsi="Times New Roman" w:cs="Times New Roman"/>
          <w:sz w:val="24"/>
          <w:szCs w:val="24"/>
        </w:rPr>
        <w:t xml:space="preserve">сновното проследяване и анализ </w:t>
      </w:r>
      <w:r>
        <w:rPr>
          <w:rFonts w:ascii="Times New Roman" w:eastAsia="Times New Roman" w:hAnsi="Times New Roman" w:cs="Times New Roman"/>
          <w:sz w:val="24"/>
          <w:szCs w:val="24"/>
        </w:rPr>
        <w:t xml:space="preserve">ще </w:t>
      </w:r>
      <w:r w:rsidRPr="00303B3D">
        <w:rPr>
          <w:rFonts w:ascii="Times New Roman" w:eastAsia="Times New Roman" w:hAnsi="Times New Roman" w:cs="Times New Roman"/>
          <w:sz w:val="24"/>
          <w:szCs w:val="24"/>
        </w:rPr>
        <w:t xml:space="preserve">се извършва от държавата. </w:t>
      </w:r>
      <w:r>
        <w:rPr>
          <w:rFonts w:ascii="Times New Roman" w:eastAsia="Times New Roman" w:hAnsi="Times New Roman" w:cs="Times New Roman"/>
          <w:sz w:val="24"/>
          <w:szCs w:val="24"/>
        </w:rPr>
        <w:t>Ако</w:t>
      </w:r>
      <w:r w:rsidRPr="00303B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допуснем</w:t>
      </w:r>
      <w:r w:rsidRPr="00303B3D">
        <w:rPr>
          <w:rFonts w:ascii="Times New Roman" w:eastAsia="Times New Roman" w:hAnsi="Times New Roman" w:cs="Times New Roman"/>
          <w:sz w:val="24"/>
          <w:szCs w:val="24"/>
        </w:rPr>
        <w:t xml:space="preserve">, че един малък търговец отделя ~2 часа месечно допълнително  за проверка </w:t>
      </w:r>
      <w:r w:rsidRPr="00303B3D">
        <w:rPr>
          <w:rFonts w:ascii="Times New Roman" w:eastAsia="Times New Roman" w:hAnsi="Times New Roman" w:cs="Times New Roman"/>
          <w:sz w:val="24"/>
          <w:szCs w:val="24"/>
        </w:rPr>
        <w:lastRenderedPageBreak/>
        <w:t xml:space="preserve">на цените и комуникация, </w:t>
      </w:r>
      <w:r w:rsidR="00D51DF1">
        <w:rPr>
          <w:rFonts w:ascii="Times New Roman" w:eastAsia="Times New Roman" w:hAnsi="Times New Roman" w:cs="Times New Roman"/>
          <w:sz w:val="24"/>
          <w:szCs w:val="24"/>
        </w:rPr>
        <w:t>това</w:t>
      </w:r>
      <w:r w:rsidR="00D51DF1" w:rsidRPr="00303B3D">
        <w:rPr>
          <w:rFonts w:ascii="Times New Roman" w:eastAsia="Times New Roman" w:hAnsi="Times New Roman" w:cs="Times New Roman"/>
          <w:sz w:val="24"/>
          <w:szCs w:val="24"/>
        </w:rPr>
        <w:t xml:space="preserve"> </w:t>
      </w:r>
      <w:r w:rsidRPr="00303B3D">
        <w:rPr>
          <w:rFonts w:ascii="Times New Roman" w:eastAsia="Times New Roman" w:hAnsi="Times New Roman" w:cs="Times New Roman"/>
          <w:sz w:val="24"/>
          <w:szCs w:val="24"/>
        </w:rPr>
        <w:t xml:space="preserve">е ~240 лв. годишно при ~10 лв./час. За 20 000 магазина това би било около 4.8 млн. лв. годишно общо. </w:t>
      </w:r>
    </w:p>
    <w:bookmarkEnd w:id="30"/>
    <w:p w14:paraId="4D042BB8" w14:textId="404414EF" w:rsidR="00CB0A97" w:rsidRDefault="00CB0A97" w:rsidP="00DD69D5">
      <w:pPr>
        <w:spacing w:after="0" w:line="240" w:lineRule="auto"/>
        <w:ind w:firstLine="567"/>
        <w:jc w:val="both"/>
        <w:rPr>
          <w:rFonts w:ascii="Times New Roman" w:eastAsia="Times New Roman" w:hAnsi="Times New Roman" w:cs="Times New Roman"/>
          <w:sz w:val="24"/>
          <w:szCs w:val="24"/>
        </w:rPr>
      </w:pPr>
      <w:r w:rsidRPr="00F25BD9">
        <w:rPr>
          <w:rFonts w:ascii="Times New Roman" w:eastAsia="Times New Roman" w:hAnsi="Times New Roman" w:cs="Times New Roman"/>
          <w:sz w:val="24"/>
          <w:szCs w:val="24"/>
        </w:rPr>
        <w:t>Сум</w:t>
      </w:r>
      <w:r w:rsidR="00BA3EEB">
        <w:rPr>
          <w:rFonts w:ascii="Times New Roman" w:eastAsia="Times New Roman" w:hAnsi="Times New Roman" w:cs="Times New Roman"/>
          <w:sz w:val="24"/>
          <w:szCs w:val="24"/>
        </w:rPr>
        <w:t>а</w:t>
      </w:r>
      <w:r w:rsidRPr="00F25BD9">
        <w:rPr>
          <w:rFonts w:ascii="Times New Roman" w:eastAsia="Times New Roman" w:hAnsi="Times New Roman" w:cs="Times New Roman"/>
          <w:sz w:val="24"/>
          <w:szCs w:val="24"/>
        </w:rPr>
        <w:t>р</w:t>
      </w:r>
      <w:r w:rsidR="00BA3EEB">
        <w:rPr>
          <w:rFonts w:ascii="Times New Roman" w:eastAsia="Times New Roman" w:hAnsi="Times New Roman" w:cs="Times New Roman"/>
          <w:sz w:val="24"/>
          <w:szCs w:val="24"/>
        </w:rPr>
        <w:t>но</w:t>
      </w:r>
      <w:r w:rsidR="00D51DF1">
        <w:rPr>
          <w:rFonts w:ascii="Times New Roman" w:eastAsia="Times New Roman" w:hAnsi="Times New Roman" w:cs="Times New Roman"/>
          <w:sz w:val="24"/>
          <w:szCs w:val="24"/>
        </w:rPr>
        <w:t>,</w:t>
      </w:r>
      <w:r w:rsidR="00BA3EEB">
        <w:rPr>
          <w:rFonts w:ascii="Times New Roman" w:eastAsia="Times New Roman" w:hAnsi="Times New Roman" w:cs="Times New Roman"/>
          <w:sz w:val="24"/>
          <w:szCs w:val="24"/>
        </w:rPr>
        <w:t xml:space="preserve"> примерните компоненти водят до приблизителна </w:t>
      </w:r>
      <w:r w:rsidRPr="00F25BD9">
        <w:rPr>
          <w:rFonts w:ascii="Times New Roman" w:eastAsia="Times New Roman" w:hAnsi="Times New Roman" w:cs="Times New Roman"/>
          <w:bCs/>
          <w:sz w:val="24"/>
          <w:szCs w:val="24"/>
        </w:rPr>
        <w:t>годишна административна тежест за бизнеса</w:t>
      </w:r>
      <w:r w:rsidRPr="00F25BD9">
        <w:rPr>
          <w:rFonts w:ascii="Times New Roman" w:eastAsia="Times New Roman" w:hAnsi="Times New Roman" w:cs="Times New Roman"/>
          <w:sz w:val="24"/>
          <w:szCs w:val="24"/>
        </w:rPr>
        <w:t xml:space="preserve"> в порядъка на 9 </w:t>
      </w:r>
      <w:r w:rsidRPr="00F25BD9">
        <w:rPr>
          <w:rFonts w:ascii="Times New Roman" w:eastAsia="Times New Roman" w:hAnsi="Times New Roman" w:cs="Times New Roman"/>
          <w:bCs/>
          <w:sz w:val="24"/>
          <w:szCs w:val="24"/>
        </w:rPr>
        <w:t>млн. лв. първоначално (еднократно)</w:t>
      </w:r>
      <w:r w:rsidRPr="00F25BD9">
        <w:rPr>
          <w:rFonts w:ascii="Times New Roman" w:eastAsia="Times New Roman" w:hAnsi="Times New Roman" w:cs="Times New Roman"/>
          <w:sz w:val="24"/>
          <w:szCs w:val="24"/>
        </w:rPr>
        <w:t xml:space="preserve"> и </w:t>
      </w:r>
      <w:r w:rsidRPr="00F25BD9">
        <w:rPr>
          <w:rFonts w:ascii="Times New Roman" w:eastAsia="Times New Roman" w:hAnsi="Times New Roman" w:cs="Times New Roman"/>
          <w:bCs/>
          <w:sz w:val="24"/>
          <w:szCs w:val="24"/>
        </w:rPr>
        <w:t>под 5 млн. лв. годишно текущо</w:t>
      </w:r>
      <w:r w:rsidRPr="00F25BD9">
        <w:rPr>
          <w:rFonts w:ascii="Times New Roman" w:eastAsia="Times New Roman" w:hAnsi="Times New Roman" w:cs="Times New Roman"/>
          <w:sz w:val="24"/>
          <w:szCs w:val="24"/>
        </w:rPr>
        <w:t xml:space="preserve">. </w:t>
      </w:r>
      <w:r w:rsidRPr="00F25BD9">
        <w:rPr>
          <w:rFonts w:ascii="Times New Roman" w:eastAsia="Times New Roman" w:hAnsi="Times New Roman" w:cs="Times New Roman"/>
          <w:bCs/>
          <w:sz w:val="24"/>
          <w:szCs w:val="24"/>
        </w:rPr>
        <w:t>Може да се обобщи,</w:t>
      </w:r>
      <w:r w:rsidRPr="00F25BD9">
        <w:rPr>
          <w:rFonts w:ascii="Times New Roman" w:eastAsia="Times New Roman" w:hAnsi="Times New Roman" w:cs="Times New Roman"/>
          <w:sz w:val="24"/>
          <w:szCs w:val="24"/>
        </w:rPr>
        <w:t xml:space="preserve"> че Вариант 3 постига най-широк обхват и потенциално </w:t>
      </w:r>
      <w:r w:rsidRPr="00F25BD9">
        <w:rPr>
          <w:rFonts w:ascii="Times New Roman" w:eastAsia="Times New Roman" w:hAnsi="Times New Roman" w:cs="Times New Roman"/>
          <w:bCs/>
          <w:sz w:val="24"/>
          <w:szCs w:val="24"/>
        </w:rPr>
        <w:t>най-големи ползи за МСП в</w:t>
      </w:r>
      <w:r>
        <w:rPr>
          <w:rFonts w:ascii="Times New Roman" w:eastAsia="Times New Roman" w:hAnsi="Times New Roman" w:cs="Times New Roman"/>
          <w:bCs/>
          <w:sz w:val="24"/>
          <w:szCs w:val="24"/>
        </w:rPr>
        <w:t xml:space="preserve"> сектора</w:t>
      </w:r>
      <w:r w:rsidRPr="00F25BD9">
        <w:rPr>
          <w:rFonts w:ascii="Times New Roman" w:eastAsia="Times New Roman" w:hAnsi="Times New Roman" w:cs="Times New Roman"/>
          <w:bCs/>
          <w:sz w:val="24"/>
          <w:szCs w:val="24"/>
        </w:rPr>
        <w:t xml:space="preserve"> земеделието</w:t>
      </w:r>
      <w:r w:rsidRPr="00F25BD9">
        <w:rPr>
          <w:rFonts w:ascii="Times New Roman" w:eastAsia="Times New Roman" w:hAnsi="Times New Roman" w:cs="Times New Roman"/>
          <w:sz w:val="24"/>
          <w:szCs w:val="24"/>
        </w:rPr>
        <w:t xml:space="preserve"> (справедливи условия, пазарен достъп), но тези ползи идват </w:t>
      </w:r>
      <w:r w:rsidRPr="00F25BD9">
        <w:rPr>
          <w:rFonts w:ascii="Times New Roman" w:eastAsia="Times New Roman" w:hAnsi="Times New Roman" w:cs="Times New Roman"/>
          <w:bCs/>
          <w:sz w:val="24"/>
          <w:szCs w:val="24"/>
        </w:rPr>
        <w:t>с цената на административни и регулаторни разходи</w:t>
      </w:r>
      <w:r w:rsidRPr="00F25BD9">
        <w:rPr>
          <w:rFonts w:ascii="Times New Roman" w:eastAsia="Times New Roman" w:hAnsi="Times New Roman" w:cs="Times New Roman"/>
          <w:sz w:val="24"/>
          <w:szCs w:val="24"/>
        </w:rPr>
        <w:t xml:space="preserve">. Вариант 2, напротив, адресира част от проблемите с </w:t>
      </w:r>
      <w:r w:rsidRPr="00F25BD9">
        <w:rPr>
          <w:rFonts w:ascii="Times New Roman" w:eastAsia="Times New Roman" w:hAnsi="Times New Roman" w:cs="Times New Roman"/>
          <w:bCs/>
          <w:sz w:val="24"/>
          <w:szCs w:val="24"/>
        </w:rPr>
        <w:t>минимални нови тежести</w:t>
      </w:r>
      <w:r w:rsidRPr="00F25BD9">
        <w:rPr>
          <w:rFonts w:ascii="Times New Roman" w:eastAsia="Times New Roman" w:hAnsi="Times New Roman" w:cs="Times New Roman"/>
          <w:sz w:val="24"/>
          <w:szCs w:val="24"/>
        </w:rPr>
        <w:t xml:space="preserve">, макар и да не решава всичко. Вариант 1 има </w:t>
      </w:r>
      <w:r w:rsidRPr="00F25BD9">
        <w:rPr>
          <w:rFonts w:ascii="Times New Roman" w:eastAsia="Times New Roman" w:hAnsi="Times New Roman" w:cs="Times New Roman"/>
          <w:bCs/>
          <w:sz w:val="24"/>
          <w:szCs w:val="24"/>
        </w:rPr>
        <w:t>нулеви тежести</w:t>
      </w:r>
      <w:r w:rsidRPr="00F25BD9">
        <w:rPr>
          <w:rFonts w:ascii="Times New Roman" w:eastAsia="Times New Roman" w:hAnsi="Times New Roman" w:cs="Times New Roman"/>
          <w:sz w:val="24"/>
          <w:szCs w:val="24"/>
        </w:rPr>
        <w:t xml:space="preserve">, но несигурен ефект. Вариант 0 оставя нещата, </w:t>
      </w:r>
      <w:r>
        <w:rPr>
          <w:rFonts w:ascii="Times New Roman" w:eastAsia="Times New Roman" w:hAnsi="Times New Roman" w:cs="Times New Roman"/>
          <w:sz w:val="24"/>
          <w:szCs w:val="24"/>
        </w:rPr>
        <w:t>такива каквито</w:t>
      </w:r>
      <w:r w:rsidRPr="00F25BD9">
        <w:rPr>
          <w:rFonts w:ascii="Times New Roman" w:eastAsia="Times New Roman" w:hAnsi="Times New Roman" w:cs="Times New Roman"/>
          <w:sz w:val="24"/>
          <w:szCs w:val="24"/>
        </w:rPr>
        <w:t xml:space="preserve"> са, без допълнителни разходи, но с продължаване на текущите проблеми.</w:t>
      </w:r>
    </w:p>
    <w:p w14:paraId="340E0850" w14:textId="77777777" w:rsidR="00CB0A97" w:rsidRDefault="00CB0A97" w:rsidP="00CB0A97">
      <w:pPr>
        <w:spacing w:after="0" w:line="276" w:lineRule="auto"/>
        <w:ind w:firstLine="567"/>
        <w:jc w:val="both"/>
        <w:rPr>
          <w:rFonts w:ascii="Times New Roman" w:eastAsia="Times New Roman" w:hAnsi="Times New Roman" w:cs="Times New Roman"/>
          <w:sz w:val="24"/>
          <w:szCs w:val="24"/>
        </w:rPr>
      </w:pPr>
    </w:p>
    <w:p w14:paraId="1961B012" w14:textId="279B731C" w:rsidR="00CB0A97" w:rsidRDefault="00CB0A97" w:rsidP="00CB0A97">
      <w:pPr>
        <w:spacing w:after="0" w:line="276"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Таблица</w:t>
      </w:r>
      <w:r w:rsidR="00D2171D">
        <w:rPr>
          <w:rFonts w:ascii="Times New Roman" w:eastAsia="Times New Roman" w:hAnsi="Times New Roman" w:cs="Times New Roman"/>
          <w:b/>
          <w:sz w:val="24"/>
          <w:szCs w:val="24"/>
        </w:rPr>
        <w:t xml:space="preserve"> </w:t>
      </w:r>
      <w:r w:rsidR="00D2171D" w:rsidRPr="00D2171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w:t>
      </w:r>
      <w:r w:rsidR="008C0E40">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Стъпки при </w:t>
      </w:r>
      <w:r w:rsidRPr="00F81E67">
        <w:rPr>
          <w:rFonts w:ascii="Times New Roman" w:eastAsia="Times New Roman" w:hAnsi="Times New Roman" w:cs="Times New Roman"/>
          <w:b/>
          <w:sz w:val="24"/>
          <w:szCs w:val="24"/>
        </w:rPr>
        <w:t>провеждането на МСП-тест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351"/>
        <w:gridCol w:w="6962"/>
      </w:tblGrid>
      <w:tr w:rsidR="00CB0A97" w:rsidRPr="00DD69D5" w14:paraId="04E9873B" w14:textId="77777777" w:rsidTr="00DD69D5">
        <w:trPr>
          <w:tblHeader/>
        </w:trPr>
        <w:tc>
          <w:tcPr>
            <w:tcW w:w="906" w:type="dxa"/>
            <w:shd w:val="clear" w:color="auto" w:fill="00B0F0"/>
          </w:tcPr>
          <w:p w14:paraId="53AC4F32" w14:textId="77777777" w:rsidR="00CB0A97" w:rsidRPr="00DD69D5" w:rsidRDefault="00CB0A97" w:rsidP="00CB0A97">
            <w:pPr>
              <w:spacing w:line="276" w:lineRule="auto"/>
              <w:ind w:firstLine="567"/>
              <w:jc w:val="center"/>
              <w:rPr>
                <w:rFonts w:ascii="Times New Roman" w:eastAsia="Times New Roman" w:hAnsi="Times New Roman" w:cs="Times New Roman"/>
                <w:b/>
              </w:rPr>
            </w:pPr>
            <w:r w:rsidRPr="00DD69D5">
              <w:rPr>
                <w:rFonts w:ascii="Times New Roman" w:eastAsia="Times New Roman" w:hAnsi="Times New Roman" w:cs="Times New Roman"/>
                <w:b/>
              </w:rPr>
              <w:t>Стъпка</w:t>
            </w:r>
          </w:p>
        </w:tc>
        <w:tc>
          <w:tcPr>
            <w:tcW w:w="1357" w:type="dxa"/>
            <w:shd w:val="clear" w:color="auto" w:fill="00B0F0"/>
          </w:tcPr>
          <w:p w14:paraId="146714E6" w14:textId="77777777" w:rsidR="00CB0A97" w:rsidRPr="00DD69D5" w:rsidRDefault="00CB0A97" w:rsidP="00CB0A97">
            <w:pPr>
              <w:spacing w:line="276" w:lineRule="auto"/>
              <w:ind w:firstLine="567"/>
              <w:jc w:val="center"/>
              <w:rPr>
                <w:rFonts w:ascii="Times New Roman" w:eastAsia="Times New Roman" w:hAnsi="Times New Roman" w:cs="Times New Roman"/>
                <w:b/>
              </w:rPr>
            </w:pPr>
            <w:r w:rsidRPr="00DD69D5">
              <w:rPr>
                <w:rFonts w:ascii="Times New Roman" w:eastAsia="Times New Roman" w:hAnsi="Times New Roman" w:cs="Times New Roman"/>
                <w:b/>
              </w:rPr>
              <w:t>Същност</w:t>
            </w:r>
          </w:p>
        </w:tc>
        <w:tc>
          <w:tcPr>
            <w:tcW w:w="7087" w:type="dxa"/>
            <w:shd w:val="clear" w:color="auto" w:fill="00B0F0"/>
          </w:tcPr>
          <w:p w14:paraId="519965F7" w14:textId="77777777" w:rsidR="00CB0A97" w:rsidRPr="00DD69D5" w:rsidRDefault="00CB0A97" w:rsidP="00CB0A97">
            <w:pPr>
              <w:spacing w:line="276" w:lineRule="auto"/>
              <w:ind w:firstLine="567"/>
              <w:jc w:val="center"/>
              <w:rPr>
                <w:rFonts w:ascii="Times New Roman" w:eastAsia="Times New Roman" w:hAnsi="Times New Roman" w:cs="Times New Roman"/>
                <w:b/>
              </w:rPr>
            </w:pPr>
            <w:r w:rsidRPr="00DD69D5">
              <w:rPr>
                <w:rFonts w:ascii="Times New Roman" w:eastAsia="Times New Roman" w:hAnsi="Times New Roman" w:cs="Times New Roman"/>
                <w:b/>
              </w:rPr>
              <w:t>Резултат</w:t>
            </w:r>
          </w:p>
        </w:tc>
      </w:tr>
      <w:tr w:rsidR="00CB0A97" w:rsidRPr="00DD69D5" w14:paraId="5D0BFFBB" w14:textId="77777777" w:rsidTr="00DD69D5">
        <w:trPr>
          <w:cantSplit/>
          <w:trHeight w:val="1851"/>
        </w:trPr>
        <w:tc>
          <w:tcPr>
            <w:tcW w:w="906" w:type="dxa"/>
            <w:shd w:val="clear" w:color="auto" w:fill="00B0F0"/>
            <w:textDirection w:val="btLr"/>
            <w:vAlign w:val="center"/>
          </w:tcPr>
          <w:p w14:paraId="0DF59563" w14:textId="77777777" w:rsidR="00CB0A97" w:rsidRPr="00DD69D5" w:rsidRDefault="00CB0A97" w:rsidP="00CB0A97">
            <w:pPr>
              <w:spacing w:line="276" w:lineRule="auto"/>
              <w:ind w:left="113" w:right="113" w:firstLine="567"/>
              <w:jc w:val="center"/>
              <w:rPr>
                <w:rFonts w:ascii="Times New Roman" w:eastAsia="Times New Roman" w:hAnsi="Times New Roman" w:cs="Times New Roman"/>
              </w:rPr>
            </w:pPr>
            <w:r w:rsidRPr="00DD69D5">
              <w:rPr>
                <w:rFonts w:ascii="Times New Roman" w:eastAsia="Times New Roman" w:hAnsi="Times New Roman" w:cs="Times New Roman"/>
              </w:rPr>
              <w:t>Първа</w:t>
            </w:r>
          </w:p>
        </w:tc>
        <w:tc>
          <w:tcPr>
            <w:tcW w:w="1357" w:type="dxa"/>
            <w:shd w:val="clear" w:color="auto" w:fill="BDD6EE" w:themeFill="accent1" w:themeFillTint="66"/>
            <w:textDirection w:val="btLr"/>
          </w:tcPr>
          <w:p w14:paraId="2170BE39" w14:textId="77777777" w:rsidR="00CB0A97" w:rsidRPr="00DD69D5" w:rsidRDefault="00CB0A97" w:rsidP="00CB0A97">
            <w:pPr>
              <w:spacing w:line="276" w:lineRule="auto"/>
              <w:ind w:left="113" w:right="113" w:firstLine="567"/>
              <w:jc w:val="center"/>
              <w:rPr>
                <w:rFonts w:ascii="Times New Roman" w:eastAsia="Times New Roman" w:hAnsi="Times New Roman" w:cs="Times New Roman"/>
                <w:b/>
              </w:rPr>
            </w:pPr>
            <w:r w:rsidRPr="00DD69D5">
              <w:rPr>
                <w:rFonts w:ascii="Times New Roman" w:eastAsia="Times New Roman" w:hAnsi="Times New Roman" w:cs="Times New Roman"/>
                <w:b/>
              </w:rPr>
              <w:t>Идентификация на засегнатите МСП</w:t>
            </w:r>
          </w:p>
        </w:tc>
        <w:tc>
          <w:tcPr>
            <w:tcW w:w="7087" w:type="dxa"/>
            <w:shd w:val="clear" w:color="auto" w:fill="E7E6E6" w:themeFill="background2"/>
            <w:vAlign w:val="center"/>
          </w:tcPr>
          <w:p w14:paraId="7D3E6094" w14:textId="77777777" w:rsidR="00CB0A97" w:rsidRPr="00DD69D5" w:rsidRDefault="00CB0A97" w:rsidP="00CB0A97">
            <w:pPr>
              <w:spacing w:line="276" w:lineRule="auto"/>
              <w:jc w:val="both"/>
              <w:rPr>
                <w:rFonts w:ascii="Times New Roman" w:eastAsia="Times New Roman" w:hAnsi="Times New Roman" w:cs="Times New Roman"/>
              </w:rPr>
            </w:pPr>
            <w:r w:rsidRPr="00DD69D5">
              <w:rPr>
                <w:rFonts w:ascii="Times New Roman" w:eastAsia="Times New Roman" w:hAnsi="Times New Roman" w:cs="Times New Roman"/>
                <w:b/>
              </w:rPr>
              <w:t>Сектор</w:t>
            </w:r>
            <w:r w:rsidRPr="00DD69D5">
              <w:rPr>
                <w:rFonts w:ascii="Times New Roman" w:eastAsia="Times New Roman" w:hAnsi="Times New Roman" w:cs="Times New Roman"/>
              </w:rPr>
              <w:t>: Земеделие (първични производители), хранително-вкусова промишленост (преработватели), търговия на едро и дребно с храни. В обхвата на закона влизат десетки хиляди предприятия – от дребни ферми до квартални магазини.</w:t>
            </w:r>
          </w:p>
        </w:tc>
      </w:tr>
      <w:tr w:rsidR="00CB0A97" w:rsidRPr="00DD69D5" w14:paraId="03B6F644" w14:textId="77777777" w:rsidTr="00DD69D5">
        <w:trPr>
          <w:trHeight w:val="264"/>
        </w:trPr>
        <w:tc>
          <w:tcPr>
            <w:tcW w:w="906" w:type="dxa"/>
            <w:vMerge w:val="restart"/>
            <w:shd w:val="clear" w:color="auto" w:fill="00B0F0"/>
            <w:textDirection w:val="btLr"/>
            <w:vAlign w:val="center"/>
          </w:tcPr>
          <w:p w14:paraId="305E8D6A" w14:textId="77777777" w:rsidR="00CB0A97" w:rsidRPr="00DD69D5" w:rsidRDefault="00CB0A97" w:rsidP="00CB0A97">
            <w:pPr>
              <w:spacing w:line="276" w:lineRule="auto"/>
              <w:ind w:left="113" w:right="113" w:firstLine="567"/>
              <w:jc w:val="center"/>
              <w:rPr>
                <w:rFonts w:ascii="Times New Roman" w:eastAsia="Times New Roman" w:hAnsi="Times New Roman" w:cs="Times New Roman"/>
              </w:rPr>
            </w:pPr>
            <w:r w:rsidRPr="00DD69D5">
              <w:rPr>
                <w:rFonts w:ascii="Times New Roman" w:eastAsia="Times New Roman" w:hAnsi="Times New Roman" w:cs="Times New Roman"/>
              </w:rPr>
              <w:t>Втора</w:t>
            </w:r>
          </w:p>
        </w:tc>
        <w:tc>
          <w:tcPr>
            <w:tcW w:w="1357" w:type="dxa"/>
            <w:vMerge w:val="restart"/>
            <w:shd w:val="clear" w:color="auto" w:fill="BDD6EE" w:themeFill="accent1" w:themeFillTint="66"/>
            <w:textDirection w:val="btLr"/>
            <w:vAlign w:val="center"/>
          </w:tcPr>
          <w:p w14:paraId="3663E53D" w14:textId="77777777" w:rsidR="00CB0A97" w:rsidRPr="00DD69D5" w:rsidRDefault="00CB0A97" w:rsidP="00CB0A97">
            <w:pPr>
              <w:spacing w:line="276" w:lineRule="auto"/>
              <w:ind w:left="113" w:right="113" w:firstLine="567"/>
              <w:jc w:val="center"/>
              <w:rPr>
                <w:rFonts w:ascii="Times New Roman" w:eastAsia="Times New Roman" w:hAnsi="Times New Roman" w:cs="Times New Roman"/>
                <w:b/>
              </w:rPr>
            </w:pPr>
            <w:r w:rsidRPr="00DD69D5">
              <w:rPr>
                <w:rFonts w:ascii="Times New Roman" w:eastAsia="Times New Roman" w:hAnsi="Times New Roman" w:cs="Times New Roman"/>
                <w:b/>
              </w:rPr>
              <w:t>Консултации със заинтересовани страни</w:t>
            </w:r>
          </w:p>
        </w:tc>
        <w:tc>
          <w:tcPr>
            <w:tcW w:w="7087" w:type="dxa"/>
            <w:shd w:val="clear" w:color="auto" w:fill="E7E6E6" w:themeFill="background2"/>
            <w:vAlign w:val="center"/>
          </w:tcPr>
          <w:p w14:paraId="315E24CF" w14:textId="584EEEA6" w:rsidR="00CB0A97" w:rsidRPr="00DD69D5" w:rsidRDefault="00CB0A97" w:rsidP="00BA3EEB">
            <w:pPr>
              <w:spacing w:line="276" w:lineRule="auto"/>
              <w:jc w:val="both"/>
              <w:rPr>
                <w:rFonts w:ascii="Times New Roman" w:eastAsia="Times New Roman" w:hAnsi="Times New Roman" w:cs="Times New Roman"/>
              </w:rPr>
            </w:pPr>
            <w:r w:rsidRPr="00DD69D5">
              <w:rPr>
                <w:rFonts w:ascii="Times New Roman" w:eastAsia="Times New Roman" w:hAnsi="Times New Roman" w:cs="Times New Roman"/>
                <w:b/>
              </w:rPr>
              <w:t>Проведени консултации:</w:t>
            </w:r>
            <w:r w:rsidRPr="00DD69D5">
              <w:rPr>
                <w:rFonts w:ascii="Times New Roman" w:eastAsia="Times New Roman" w:hAnsi="Times New Roman" w:cs="Times New Roman"/>
              </w:rPr>
              <w:t xml:space="preserve"> асоциации на търговските вериги, преработвателите и </w:t>
            </w:r>
            <w:r w:rsidR="00D51DF1">
              <w:rPr>
                <w:rFonts w:ascii="Times New Roman" w:eastAsia="Times New Roman" w:hAnsi="Times New Roman" w:cs="Times New Roman"/>
              </w:rPr>
              <w:t>земеделските</w:t>
            </w:r>
            <w:r w:rsidR="00D51DF1" w:rsidRPr="00DD69D5">
              <w:rPr>
                <w:rFonts w:ascii="Times New Roman" w:eastAsia="Times New Roman" w:hAnsi="Times New Roman" w:cs="Times New Roman"/>
              </w:rPr>
              <w:t xml:space="preserve"> </w:t>
            </w:r>
            <w:r w:rsidRPr="00DD69D5">
              <w:rPr>
                <w:rFonts w:ascii="Times New Roman" w:eastAsia="Times New Roman" w:hAnsi="Times New Roman" w:cs="Times New Roman"/>
              </w:rPr>
              <w:t>организации. Становищата са поляризирани. Сдружението за модерна търговия (представляваща големи ритейлъри, но и много малки магазини като членове)</w:t>
            </w:r>
            <w:r w:rsidR="007E6B27">
              <w:rPr>
                <w:rFonts w:ascii="Times New Roman" w:eastAsia="Times New Roman" w:hAnsi="Times New Roman" w:cs="Times New Roman"/>
              </w:rPr>
              <w:t>, например</w:t>
            </w:r>
            <w:r w:rsidRPr="00DD69D5">
              <w:rPr>
                <w:rFonts w:ascii="Times New Roman" w:eastAsia="Times New Roman" w:hAnsi="Times New Roman" w:cs="Times New Roman"/>
              </w:rPr>
              <w:t xml:space="preserve"> остро критикува проекта, предупреждавайки за прекомерна държавна намеса, риск от дефицити и инфлация, както и непропорционална административна тежест за малки фирми. Те изтъкват, че малките търговци трудно ще се съобразят с възникващите задължения, свързани с новите регистри и изисквания, а фиксираните надценки и квоти за български стоки могат да доведат до затваряне на някои малки бизнеси. Организациите на производителите по принцип подкрепят идеята за по-строги правила срещу нелоялните търговски практики и за защита на местното производство, но също изразяват опасения: дали малките </w:t>
            </w:r>
            <w:r w:rsidR="00D51DF1">
              <w:rPr>
                <w:rFonts w:ascii="Times New Roman" w:eastAsia="Times New Roman" w:hAnsi="Times New Roman" w:cs="Times New Roman"/>
              </w:rPr>
              <w:t>стопанства</w:t>
            </w:r>
            <w:r w:rsidR="00D51DF1" w:rsidRPr="00DD69D5">
              <w:rPr>
                <w:rFonts w:ascii="Times New Roman" w:eastAsia="Times New Roman" w:hAnsi="Times New Roman" w:cs="Times New Roman"/>
              </w:rPr>
              <w:t xml:space="preserve"> </w:t>
            </w:r>
            <w:r w:rsidRPr="00DD69D5">
              <w:rPr>
                <w:rFonts w:ascii="Times New Roman" w:eastAsia="Times New Roman" w:hAnsi="Times New Roman" w:cs="Times New Roman"/>
              </w:rPr>
              <w:t>ще могат да отговорят на търсенето, породено от квотите за българска стока, дали големите търговски вериги няма да заобиколят закона по начин, който пак да ощети малките.</w:t>
            </w:r>
          </w:p>
        </w:tc>
      </w:tr>
      <w:tr w:rsidR="00CB0A97" w:rsidRPr="00DD69D5" w14:paraId="37BDECBB" w14:textId="77777777" w:rsidTr="00DD69D5">
        <w:trPr>
          <w:trHeight w:val="264"/>
        </w:trPr>
        <w:tc>
          <w:tcPr>
            <w:tcW w:w="906" w:type="dxa"/>
            <w:vMerge/>
            <w:shd w:val="clear" w:color="auto" w:fill="00B0F0"/>
          </w:tcPr>
          <w:p w14:paraId="1D1232BF" w14:textId="77777777" w:rsidR="00CB0A97" w:rsidRPr="00DD69D5" w:rsidRDefault="00CB0A97" w:rsidP="00CB0A97">
            <w:pPr>
              <w:spacing w:line="276" w:lineRule="auto"/>
              <w:ind w:firstLine="567"/>
              <w:jc w:val="both"/>
              <w:rPr>
                <w:rFonts w:ascii="Times New Roman" w:eastAsia="Times New Roman" w:hAnsi="Times New Roman" w:cs="Times New Roman"/>
              </w:rPr>
            </w:pPr>
          </w:p>
        </w:tc>
        <w:tc>
          <w:tcPr>
            <w:tcW w:w="1357" w:type="dxa"/>
            <w:vMerge/>
            <w:shd w:val="clear" w:color="auto" w:fill="BDD6EE" w:themeFill="accent1" w:themeFillTint="66"/>
          </w:tcPr>
          <w:p w14:paraId="5E318B06" w14:textId="77777777" w:rsidR="00CB0A97" w:rsidRPr="00DD69D5" w:rsidRDefault="00CB0A97" w:rsidP="00CB0A97">
            <w:pPr>
              <w:spacing w:line="276" w:lineRule="auto"/>
              <w:ind w:firstLine="567"/>
              <w:jc w:val="both"/>
              <w:rPr>
                <w:rFonts w:ascii="Times New Roman" w:eastAsia="Times New Roman" w:hAnsi="Times New Roman" w:cs="Times New Roman"/>
                <w:b/>
              </w:rPr>
            </w:pPr>
          </w:p>
        </w:tc>
        <w:tc>
          <w:tcPr>
            <w:tcW w:w="7087" w:type="dxa"/>
            <w:shd w:val="clear" w:color="auto" w:fill="E7E6E6" w:themeFill="background2"/>
            <w:vAlign w:val="center"/>
          </w:tcPr>
          <w:p w14:paraId="2DAF4384" w14:textId="25C1BD36" w:rsidR="00CB0A97" w:rsidRPr="00DD69D5" w:rsidRDefault="00CB0A97" w:rsidP="00BA3EEB">
            <w:pPr>
              <w:spacing w:line="276" w:lineRule="auto"/>
              <w:jc w:val="both"/>
              <w:rPr>
                <w:rFonts w:ascii="Times New Roman" w:eastAsia="Times New Roman" w:hAnsi="Times New Roman" w:cs="Times New Roman"/>
              </w:rPr>
            </w:pPr>
            <w:r w:rsidRPr="00DD69D5">
              <w:rPr>
                <w:rFonts w:ascii="Times New Roman" w:eastAsia="Times New Roman" w:hAnsi="Times New Roman" w:cs="Times New Roman"/>
                <w:b/>
              </w:rPr>
              <w:t xml:space="preserve">Препоръчани консултации: </w:t>
            </w:r>
            <w:r w:rsidRPr="00DD69D5">
              <w:rPr>
                <w:rFonts w:ascii="Times New Roman" w:eastAsia="Times New Roman" w:hAnsi="Times New Roman" w:cs="Times New Roman"/>
              </w:rPr>
              <w:t>Разширен диалог с МСП във всеки подсектор преди въвеждане на мерките</w:t>
            </w:r>
            <w:r w:rsidR="007E6B27">
              <w:rPr>
                <w:rFonts w:ascii="Times New Roman" w:eastAsia="Times New Roman" w:hAnsi="Times New Roman" w:cs="Times New Roman"/>
              </w:rPr>
              <w:t>, включително, например</w:t>
            </w:r>
            <w:r w:rsidR="00D51DF1">
              <w:rPr>
                <w:rFonts w:ascii="Times New Roman" w:eastAsia="Times New Roman" w:hAnsi="Times New Roman" w:cs="Times New Roman"/>
              </w:rPr>
              <w:t>,</w:t>
            </w:r>
            <w:r w:rsidRPr="00DD69D5">
              <w:rPr>
                <w:rFonts w:ascii="Times New Roman" w:eastAsia="Times New Roman" w:hAnsi="Times New Roman" w:cs="Times New Roman"/>
              </w:rPr>
              <w:t xml:space="preserve"> </w:t>
            </w:r>
            <w:r w:rsidR="007E6B27">
              <w:rPr>
                <w:rFonts w:ascii="Times New Roman" w:eastAsia="Times New Roman" w:hAnsi="Times New Roman" w:cs="Times New Roman"/>
              </w:rPr>
              <w:t>чрез</w:t>
            </w:r>
            <w:r w:rsidRPr="00DD69D5">
              <w:rPr>
                <w:rFonts w:ascii="Times New Roman" w:eastAsia="Times New Roman" w:hAnsi="Times New Roman" w:cs="Times New Roman"/>
              </w:rPr>
              <w:t xml:space="preserve"> директни срещи с дребни магазинери, с цел изработване на </w:t>
            </w:r>
            <w:r w:rsidR="00BA3EEB">
              <w:rPr>
                <w:rFonts w:ascii="Times New Roman" w:eastAsia="Times New Roman" w:hAnsi="Times New Roman" w:cs="Times New Roman"/>
              </w:rPr>
              <w:t>указания</w:t>
            </w:r>
            <w:r w:rsidRPr="00DD69D5">
              <w:rPr>
                <w:rFonts w:ascii="Times New Roman" w:eastAsia="Times New Roman" w:hAnsi="Times New Roman" w:cs="Times New Roman"/>
              </w:rPr>
              <w:t xml:space="preserve"> за </w:t>
            </w:r>
            <w:r w:rsidRPr="00DD69D5">
              <w:rPr>
                <w:rFonts w:ascii="Times New Roman" w:eastAsia="Times New Roman" w:hAnsi="Times New Roman" w:cs="Times New Roman"/>
              </w:rPr>
              <w:lastRenderedPageBreak/>
              <w:t xml:space="preserve">прилагане, които да улеснят спазването. Също така, консултации по линия на </w:t>
            </w:r>
            <w:r w:rsidR="007E6B27" w:rsidRPr="007E6B27">
              <w:rPr>
                <w:rFonts w:ascii="Times New Roman" w:eastAsia="Times New Roman" w:hAnsi="Times New Roman" w:cs="Times New Roman"/>
              </w:rPr>
              <w:t>Националния съвет за тристранно сътрудничество</w:t>
            </w:r>
            <w:r w:rsidR="007E6B27" w:rsidRPr="007E6B27" w:rsidDel="007E6B27">
              <w:rPr>
                <w:rFonts w:ascii="Times New Roman" w:eastAsia="Times New Roman" w:hAnsi="Times New Roman" w:cs="Times New Roman"/>
              </w:rPr>
              <w:t xml:space="preserve"> </w:t>
            </w:r>
            <w:r w:rsidRPr="00DD69D5">
              <w:rPr>
                <w:rFonts w:ascii="Times New Roman" w:eastAsia="Times New Roman" w:hAnsi="Times New Roman" w:cs="Times New Roman"/>
              </w:rPr>
              <w:t>(работодатели, синдикати, правителство) относно въздействието върху заетостта в малките фирми. Препоръчва се въвеждането на пилотен период с неформални проверки и предупреждения (вместо глоби) за</w:t>
            </w:r>
            <w:r w:rsidR="00BA3EEB">
              <w:rPr>
                <w:rFonts w:ascii="Times New Roman" w:eastAsia="Times New Roman" w:hAnsi="Times New Roman" w:cs="Times New Roman"/>
              </w:rPr>
              <w:t xml:space="preserve"> микро и </w:t>
            </w:r>
            <w:r w:rsidRPr="00DD69D5">
              <w:rPr>
                <w:rFonts w:ascii="Times New Roman" w:eastAsia="Times New Roman" w:hAnsi="Times New Roman" w:cs="Times New Roman"/>
              </w:rPr>
              <w:t>малки</w:t>
            </w:r>
            <w:r w:rsidR="00BA3EEB">
              <w:rPr>
                <w:rFonts w:ascii="Times New Roman" w:eastAsia="Times New Roman" w:hAnsi="Times New Roman" w:cs="Times New Roman"/>
              </w:rPr>
              <w:t>те</w:t>
            </w:r>
            <w:r w:rsidRPr="00DD69D5">
              <w:rPr>
                <w:rFonts w:ascii="Times New Roman" w:eastAsia="Times New Roman" w:hAnsi="Times New Roman" w:cs="Times New Roman"/>
              </w:rPr>
              <w:t xml:space="preserve"> </w:t>
            </w:r>
            <w:r w:rsidR="007E6B27">
              <w:rPr>
                <w:rFonts w:ascii="Times New Roman" w:eastAsia="Times New Roman" w:hAnsi="Times New Roman" w:cs="Times New Roman"/>
              </w:rPr>
              <w:t>дружества</w:t>
            </w:r>
            <w:r w:rsidRPr="00DD69D5">
              <w:rPr>
                <w:rFonts w:ascii="Times New Roman" w:eastAsia="Times New Roman" w:hAnsi="Times New Roman" w:cs="Times New Roman"/>
              </w:rPr>
              <w:t xml:space="preserve">, за да </w:t>
            </w:r>
            <w:r w:rsidR="00BA3EEB">
              <w:rPr>
                <w:rFonts w:ascii="Times New Roman" w:eastAsia="Times New Roman" w:hAnsi="Times New Roman" w:cs="Times New Roman"/>
              </w:rPr>
              <w:t xml:space="preserve">могат да </w:t>
            </w:r>
            <w:r w:rsidRPr="00DD69D5">
              <w:rPr>
                <w:rFonts w:ascii="Times New Roman" w:eastAsia="Times New Roman" w:hAnsi="Times New Roman" w:cs="Times New Roman"/>
              </w:rPr>
              <w:t>се адаптират.</w:t>
            </w:r>
          </w:p>
        </w:tc>
      </w:tr>
      <w:tr w:rsidR="00CB0A97" w:rsidRPr="00DD69D5" w14:paraId="6D3EA704" w14:textId="77777777" w:rsidTr="00DD69D5">
        <w:trPr>
          <w:trHeight w:val="132"/>
        </w:trPr>
        <w:tc>
          <w:tcPr>
            <w:tcW w:w="906" w:type="dxa"/>
            <w:vMerge w:val="restart"/>
            <w:shd w:val="clear" w:color="auto" w:fill="00B0F0"/>
            <w:textDirection w:val="btLr"/>
            <w:vAlign w:val="center"/>
          </w:tcPr>
          <w:p w14:paraId="0C2F8A3E" w14:textId="77777777" w:rsidR="00CB0A97" w:rsidRPr="00DD69D5" w:rsidRDefault="00CB0A97" w:rsidP="00CB0A97">
            <w:pPr>
              <w:spacing w:line="276" w:lineRule="auto"/>
              <w:ind w:left="113" w:right="113" w:firstLine="567"/>
              <w:jc w:val="center"/>
              <w:rPr>
                <w:rFonts w:ascii="Times New Roman" w:eastAsia="Times New Roman" w:hAnsi="Times New Roman" w:cs="Times New Roman"/>
              </w:rPr>
            </w:pPr>
            <w:r w:rsidRPr="00DD69D5">
              <w:rPr>
                <w:rFonts w:ascii="Times New Roman" w:eastAsia="Times New Roman" w:hAnsi="Times New Roman" w:cs="Times New Roman"/>
              </w:rPr>
              <w:lastRenderedPageBreak/>
              <w:t>Трета</w:t>
            </w:r>
          </w:p>
        </w:tc>
        <w:tc>
          <w:tcPr>
            <w:tcW w:w="1357" w:type="dxa"/>
            <w:vMerge w:val="restart"/>
            <w:shd w:val="clear" w:color="auto" w:fill="BDD6EE" w:themeFill="accent1" w:themeFillTint="66"/>
            <w:textDirection w:val="btLr"/>
            <w:vAlign w:val="center"/>
          </w:tcPr>
          <w:p w14:paraId="16D72ADE" w14:textId="77777777" w:rsidR="00CB0A97" w:rsidRPr="00DD69D5" w:rsidRDefault="00CB0A97" w:rsidP="00CB0A97">
            <w:pPr>
              <w:spacing w:line="276" w:lineRule="auto"/>
              <w:ind w:left="113" w:right="113" w:firstLine="567"/>
              <w:jc w:val="center"/>
              <w:rPr>
                <w:rFonts w:ascii="Times New Roman" w:eastAsia="Times New Roman" w:hAnsi="Times New Roman" w:cs="Times New Roman"/>
                <w:b/>
              </w:rPr>
            </w:pPr>
            <w:r w:rsidRPr="00DD69D5">
              <w:rPr>
                <w:rFonts w:ascii="Times New Roman" w:eastAsia="Times New Roman" w:hAnsi="Times New Roman" w:cs="Times New Roman"/>
                <w:b/>
              </w:rPr>
              <w:t>Измерване на ефекта</w:t>
            </w:r>
          </w:p>
        </w:tc>
        <w:tc>
          <w:tcPr>
            <w:tcW w:w="7087" w:type="dxa"/>
            <w:shd w:val="clear" w:color="auto" w:fill="E7E6E6" w:themeFill="background2"/>
            <w:vAlign w:val="center"/>
          </w:tcPr>
          <w:p w14:paraId="57943EEB" w14:textId="249D7020" w:rsidR="00CB0A97" w:rsidRPr="00DD69D5" w:rsidRDefault="00CB0A97" w:rsidP="00BA3EEB">
            <w:pPr>
              <w:spacing w:line="276" w:lineRule="auto"/>
              <w:jc w:val="both"/>
              <w:rPr>
                <w:rFonts w:ascii="Times New Roman" w:eastAsia="Times New Roman" w:hAnsi="Times New Roman" w:cs="Times New Roman"/>
              </w:rPr>
            </w:pPr>
            <w:r w:rsidRPr="00DD69D5">
              <w:rPr>
                <w:rFonts w:ascii="Times New Roman" w:eastAsia="Times New Roman" w:hAnsi="Times New Roman" w:cs="Times New Roman"/>
                <w:b/>
              </w:rPr>
              <w:t>Качествено:</w:t>
            </w:r>
            <w:r w:rsidRPr="00DD69D5">
              <w:rPr>
                <w:rFonts w:ascii="Times New Roman" w:eastAsia="Times New Roman" w:hAnsi="Times New Roman" w:cs="Times New Roman"/>
              </w:rPr>
              <w:t xml:space="preserve"> Вариант 3 предполага значителни положителни ефекти за малките производители (по-прозрачни и честни цени, предвидимост, достъп до пазар</w:t>
            </w:r>
            <w:r w:rsidR="007E6B27">
              <w:rPr>
                <w:rFonts w:ascii="Times New Roman" w:eastAsia="Times New Roman" w:hAnsi="Times New Roman" w:cs="Times New Roman"/>
              </w:rPr>
              <w:t>а</w:t>
            </w:r>
            <w:r w:rsidRPr="00DD69D5">
              <w:rPr>
                <w:rFonts w:ascii="Times New Roman" w:eastAsia="Times New Roman" w:hAnsi="Times New Roman" w:cs="Times New Roman"/>
              </w:rPr>
              <w:t>) и за потребителите (по-ниски надценки). Той обаче носи риск за малките търговци и преработватели</w:t>
            </w:r>
            <w:r w:rsidR="00BA3EEB">
              <w:rPr>
                <w:rFonts w:ascii="Times New Roman" w:eastAsia="Times New Roman" w:hAnsi="Times New Roman" w:cs="Times New Roman"/>
              </w:rPr>
              <w:t xml:space="preserve">, свързан с </w:t>
            </w:r>
            <w:r w:rsidRPr="00DD69D5">
              <w:rPr>
                <w:rFonts w:ascii="Times New Roman" w:eastAsia="Times New Roman" w:hAnsi="Times New Roman" w:cs="Times New Roman"/>
              </w:rPr>
              <w:t>административни и регулаторни разходи. Вариант 2 дава умерено положителен ефект</w:t>
            </w:r>
            <w:r w:rsidR="007E6B27">
              <w:rPr>
                <w:rFonts w:ascii="Times New Roman" w:eastAsia="Times New Roman" w:hAnsi="Times New Roman" w:cs="Times New Roman"/>
              </w:rPr>
              <w:t xml:space="preserve">, като </w:t>
            </w:r>
            <w:r w:rsidRPr="00DD69D5">
              <w:rPr>
                <w:rFonts w:ascii="Times New Roman" w:eastAsia="Times New Roman" w:hAnsi="Times New Roman" w:cs="Times New Roman"/>
              </w:rPr>
              <w:t>защитава МСП от най-лошите практики, подобрява приходите на фермерите (напр. своевременно плащане), без да нарушава пазара съществено. Но ползите му са ограничени до областта на нелоялните практики</w:t>
            </w:r>
            <w:r w:rsidR="007E6B27">
              <w:rPr>
                <w:rFonts w:ascii="Times New Roman" w:eastAsia="Times New Roman" w:hAnsi="Times New Roman" w:cs="Times New Roman"/>
              </w:rPr>
              <w:t>, той</w:t>
            </w:r>
            <w:r w:rsidRPr="00DD69D5">
              <w:rPr>
                <w:rFonts w:ascii="Times New Roman" w:eastAsia="Times New Roman" w:hAnsi="Times New Roman" w:cs="Times New Roman"/>
              </w:rPr>
              <w:t xml:space="preserve"> няма пряко отражение върху ценовите маржове. Вариант 1 </w:t>
            </w:r>
            <w:r w:rsidR="007E6B27">
              <w:rPr>
                <w:rFonts w:ascii="Times New Roman" w:eastAsia="Times New Roman" w:hAnsi="Times New Roman" w:cs="Times New Roman"/>
              </w:rPr>
              <w:t xml:space="preserve">води до </w:t>
            </w:r>
            <w:r w:rsidRPr="00DD69D5">
              <w:rPr>
                <w:rFonts w:ascii="Times New Roman" w:eastAsia="Times New Roman" w:hAnsi="Times New Roman" w:cs="Times New Roman"/>
              </w:rPr>
              <w:t>несигурен/минимален</w:t>
            </w:r>
            <w:r w:rsidR="007E6B27">
              <w:rPr>
                <w:rFonts w:ascii="Times New Roman" w:eastAsia="Times New Roman" w:hAnsi="Times New Roman" w:cs="Times New Roman"/>
              </w:rPr>
              <w:t xml:space="preserve"> ефект</w:t>
            </w:r>
            <w:r w:rsidRPr="00DD69D5">
              <w:rPr>
                <w:rFonts w:ascii="Times New Roman" w:eastAsia="Times New Roman" w:hAnsi="Times New Roman" w:cs="Times New Roman"/>
              </w:rPr>
              <w:t>: в най-добрия случай</w:t>
            </w:r>
            <w:r w:rsidR="00D51DF1">
              <w:rPr>
                <w:rFonts w:ascii="Times New Roman" w:eastAsia="Times New Roman" w:hAnsi="Times New Roman" w:cs="Times New Roman"/>
              </w:rPr>
              <w:t>,</w:t>
            </w:r>
            <w:r w:rsidRPr="00DD69D5">
              <w:rPr>
                <w:rFonts w:ascii="Times New Roman" w:eastAsia="Times New Roman" w:hAnsi="Times New Roman" w:cs="Times New Roman"/>
              </w:rPr>
              <w:t xml:space="preserve"> частична доброволна корекция на поведението на големите, но вероятно недостатъчна за системна промяна. Вариант 0 се свързва с негативен статичен ефект: продължаване на настоящата тенденция, при която много дребни ферми напускат пазара поради неконкурентоспособност и нелоялни условия (както показват данните от агро-преброяването</w:t>
            </w:r>
            <w:r w:rsidR="007E6B27">
              <w:rPr>
                <w:rFonts w:ascii="Times New Roman" w:eastAsia="Times New Roman" w:hAnsi="Times New Roman" w:cs="Times New Roman"/>
              </w:rPr>
              <w:t>:</w:t>
            </w:r>
            <w:r w:rsidRPr="00DD69D5">
              <w:rPr>
                <w:rFonts w:ascii="Times New Roman" w:eastAsia="Times New Roman" w:hAnsi="Times New Roman" w:cs="Times New Roman"/>
              </w:rPr>
              <w:t xml:space="preserve"> 64% спад на броя стопанства за 10 г.</w:t>
            </w:r>
            <w:r w:rsidR="007E6B27">
              <w:rPr>
                <w:rFonts w:ascii="Times New Roman" w:eastAsia="Times New Roman" w:hAnsi="Times New Roman" w:cs="Times New Roman"/>
              </w:rPr>
              <w:t>)</w:t>
            </w:r>
          </w:p>
        </w:tc>
      </w:tr>
      <w:tr w:rsidR="00CB0A97" w:rsidRPr="00DD69D5" w14:paraId="75DC6888" w14:textId="77777777" w:rsidTr="00DD69D5">
        <w:trPr>
          <w:trHeight w:val="132"/>
        </w:trPr>
        <w:tc>
          <w:tcPr>
            <w:tcW w:w="906" w:type="dxa"/>
            <w:vMerge/>
            <w:shd w:val="clear" w:color="auto" w:fill="00B0F0"/>
          </w:tcPr>
          <w:p w14:paraId="179A4901" w14:textId="77777777" w:rsidR="00CB0A97" w:rsidRPr="00DD69D5" w:rsidRDefault="00CB0A97" w:rsidP="00CB0A97">
            <w:pPr>
              <w:spacing w:line="276" w:lineRule="auto"/>
              <w:ind w:firstLine="567"/>
              <w:jc w:val="both"/>
              <w:rPr>
                <w:rFonts w:ascii="Times New Roman" w:eastAsia="Times New Roman" w:hAnsi="Times New Roman" w:cs="Times New Roman"/>
              </w:rPr>
            </w:pPr>
          </w:p>
        </w:tc>
        <w:tc>
          <w:tcPr>
            <w:tcW w:w="1357" w:type="dxa"/>
            <w:vMerge/>
            <w:shd w:val="clear" w:color="auto" w:fill="BDD6EE" w:themeFill="accent1" w:themeFillTint="66"/>
          </w:tcPr>
          <w:p w14:paraId="14EF6B48" w14:textId="77777777" w:rsidR="00CB0A97" w:rsidRPr="00DD69D5" w:rsidRDefault="00CB0A97" w:rsidP="00CB0A97">
            <w:pPr>
              <w:spacing w:line="276" w:lineRule="auto"/>
              <w:ind w:firstLine="567"/>
              <w:jc w:val="both"/>
              <w:rPr>
                <w:rFonts w:ascii="Times New Roman" w:eastAsia="Times New Roman" w:hAnsi="Times New Roman" w:cs="Times New Roman"/>
                <w:b/>
              </w:rPr>
            </w:pPr>
          </w:p>
        </w:tc>
        <w:tc>
          <w:tcPr>
            <w:tcW w:w="7087" w:type="dxa"/>
            <w:shd w:val="clear" w:color="auto" w:fill="E7E6E6" w:themeFill="background2"/>
            <w:vAlign w:val="center"/>
          </w:tcPr>
          <w:p w14:paraId="3FF35A4F" w14:textId="503F8F5D" w:rsidR="00CB0A97" w:rsidRPr="00DD69D5" w:rsidRDefault="00CB0A97" w:rsidP="00BA3EEB">
            <w:pPr>
              <w:spacing w:line="276" w:lineRule="auto"/>
              <w:jc w:val="both"/>
              <w:rPr>
                <w:rFonts w:ascii="Times New Roman" w:eastAsia="Times New Roman" w:hAnsi="Times New Roman" w:cs="Times New Roman"/>
              </w:rPr>
            </w:pPr>
            <w:r w:rsidRPr="00DD69D5">
              <w:rPr>
                <w:rFonts w:ascii="Times New Roman" w:eastAsia="Times New Roman" w:hAnsi="Times New Roman" w:cs="Times New Roman"/>
                <w:b/>
              </w:rPr>
              <w:t>Количествено:</w:t>
            </w:r>
            <w:r w:rsidRPr="00DD69D5">
              <w:rPr>
                <w:rFonts w:ascii="Times New Roman" w:eastAsia="Times New Roman" w:hAnsi="Times New Roman" w:cs="Times New Roman"/>
              </w:rPr>
              <w:t xml:space="preserve"> Остойностени са административните разходи (вж. предходния раздел): Вариант 3 – най-висок, под 5 млн. лв. годишно тежест общо. Вариант 2 – минимална тежест, потенциал</w:t>
            </w:r>
            <w:r w:rsidR="00BA3EEB">
              <w:rPr>
                <w:rFonts w:ascii="Times New Roman" w:eastAsia="Times New Roman" w:hAnsi="Times New Roman" w:cs="Times New Roman"/>
              </w:rPr>
              <w:t xml:space="preserve"> за</w:t>
            </w:r>
            <w:r w:rsidRPr="00DD69D5">
              <w:rPr>
                <w:rFonts w:ascii="Times New Roman" w:eastAsia="Times New Roman" w:hAnsi="Times New Roman" w:cs="Times New Roman"/>
              </w:rPr>
              <w:t xml:space="preserve"> нетно спестяване за бизнеса от </w:t>
            </w:r>
            <w:r w:rsidR="00BA3EEB">
              <w:rPr>
                <w:rFonts w:ascii="Times New Roman" w:eastAsia="Times New Roman" w:hAnsi="Times New Roman" w:cs="Times New Roman"/>
              </w:rPr>
              <w:t>подобрени условия</w:t>
            </w:r>
            <w:r w:rsidRPr="00DD69D5">
              <w:rPr>
                <w:rFonts w:ascii="Times New Roman" w:eastAsia="Times New Roman" w:hAnsi="Times New Roman" w:cs="Times New Roman"/>
              </w:rPr>
              <w:t xml:space="preserve">. Вариант 1 – 0 лв. задължителна тежест (само доброволни разходи). Вариант 0 </w:t>
            </w:r>
            <w:r w:rsidR="007E6B27">
              <w:rPr>
                <w:rFonts w:ascii="Times New Roman" w:eastAsia="Times New Roman" w:hAnsi="Times New Roman" w:cs="Times New Roman"/>
              </w:rPr>
              <w:t>води до</w:t>
            </w:r>
            <w:r w:rsidR="007E6B27" w:rsidRPr="00DD69D5">
              <w:rPr>
                <w:rFonts w:ascii="Times New Roman" w:eastAsia="Times New Roman" w:hAnsi="Times New Roman" w:cs="Times New Roman"/>
              </w:rPr>
              <w:t xml:space="preserve"> </w:t>
            </w:r>
            <w:r w:rsidRPr="00DD69D5">
              <w:rPr>
                <w:rFonts w:ascii="Times New Roman" w:eastAsia="Times New Roman" w:hAnsi="Times New Roman" w:cs="Times New Roman"/>
              </w:rPr>
              <w:t>0 лв. нови разходи, но косвено МСП продължават да търпят загуби от статуквото (например продължаващи</w:t>
            </w:r>
            <w:r w:rsidR="00BA3EEB">
              <w:rPr>
                <w:rFonts w:ascii="Times New Roman" w:eastAsia="Times New Roman" w:hAnsi="Times New Roman" w:cs="Times New Roman"/>
              </w:rPr>
              <w:t>те</w:t>
            </w:r>
            <w:r w:rsidRPr="00DD69D5">
              <w:rPr>
                <w:rFonts w:ascii="Times New Roman" w:eastAsia="Times New Roman" w:hAnsi="Times New Roman" w:cs="Times New Roman"/>
              </w:rPr>
              <w:t xml:space="preserve"> </w:t>
            </w:r>
            <w:r w:rsidR="007E6B27">
              <w:rPr>
                <w:rFonts w:ascii="Times New Roman" w:eastAsia="Times New Roman" w:hAnsi="Times New Roman" w:cs="Times New Roman"/>
              </w:rPr>
              <w:t>нелоялни търговски практики</w:t>
            </w:r>
            <w:r w:rsidR="007E6B27" w:rsidRPr="00DD69D5">
              <w:rPr>
                <w:rFonts w:ascii="Times New Roman" w:eastAsia="Times New Roman" w:hAnsi="Times New Roman" w:cs="Times New Roman"/>
              </w:rPr>
              <w:t xml:space="preserve"> </w:t>
            </w:r>
            <w:r w:rsidRPr="00DD69D5">
              <w:rPr>
                <w:rFonts w:ascii="Times New Roman" w:eastAsia="Times New Roman" w:hAnsi="Times New Roman" w:cs="Times New Roman"/>
              </w:rPr>
              <w:t>може да им костват стотици хиляди лева годишно неизплатени навреме суми или брак поради отказани поръчки</w:t>
            </w:r>
            <w:r w:rsidR="007E6B27">
              <w:rPr>
                <w:rFonts w:ascii="Times New Roman" w:eastAsia="Times New Roman" w:hAnsi="Times New Roman" w:cs="Times New Roman"/>
              </w:rPr>
              <w:t>, което е</w:t>
            </w:r>
            <w:r w:rsidRPr="00DD69D5">
              <w:rPr>
                <w:rFonts w:ascii="Times New Roman" w:eastAsia="Times New Roman" w:hAnsi="Times New Roman" w:cs="Times New Roman"/>
              </w:rPr>
              <w:t xml:space="preserve"> трудно измеримо, но реално).</w:t>
            </w:r>
          </w:p>
        </w:tc>
      </w:tr>
      <w:tr w:rsidR="00CB0A97" w:rsidRPr="00DD69D5" w14:paraId="79F668A9" w14:textId="77777777" w:rsidTr="00DD69D5">
        <w:trPr>
          <w:trHeight w:val="132"/>
        </w:trPr>
        <w:tc>
          <w:tcPr>
            <w:tcW w:w="906" w:type="dxa"/>
            <w:vMerge w:val="restart"/>
            <w:shd w:val="clear" w:color="auto" w:fill="00B0F0"/>
            <w:textDirection w:val="btLr"/>
            <w:vAlign w:val="center"/>
          </w:tcPr>
          <w:p w14:paraId="23A30F76" w14:textId="77777777" w:rsidR="00CB0A97" w:rsidRPr="00DD69D5" w:rsidRDefault="00CB0A97" w:rsidP="00CB0A97">
            <w:pPr>
              <w:spacing w:line="276" w:lineRule="auto"/>
              <w:ind w:left="113" w:right="113" w:firstLine="567"/>
              <w:jc w:val="center"/>
              <w:rPr>
                <w:rFonts w:ascii="Times New Roman" w:eastAsia="Times New Roman" w:hAnsi="Times New Roman" w:cs="Times New Roman"/>
              </w:rPr>
            </w:pPr>
            <w:r w:rsidRPr="00DD69D5">
              <w:rPr>
                <w:rFonts w:ascii="Times New Roman" w:eastAsia="Times New Roman" w:hAnsi="Times New Roman" w:cs="Times New Roman"/>
              </w:rPr>
              <w:t>Четвърта</w:t>
            </w:r>
          </w:p>
        </w:tc>
        <w:tc>
          <w:tcPr>
            <w:tcW w:w="1357" w:type="dxa"/>
            <w:vMerge w:val="restart"/>
            <w:shd w:val="clear" w:color="auto" w:fill="BDD6EE" w:themeFill="accent1" w:themeFillTint="66"/>
            <w:textDirection w:val="btLr"/>
            <w:vAlign w:val="center"/>
          </w:tcPr>
          <w:p w14:paraId="4194E4A1" w14:textId="77777777" w:rsidR="00CB0A97" w:rsidRPr="00DD69D5" w:rsidRDefault="00CB0A97" w:rsidP="00CB0A97">
            <w:pPr>
              <w:spacing w:line="276" w:lineRule="auto"/>
              <w:ind w:left="113" w:right="113" w:firstLine="567"/>
              <w:jc w:val="center"/>
              <w:rPr>
                <w:rFonts w:ascii="Times New Roman" w:eastAsia="Times New Roman" w:hAnsi="Times New Roman" w:cs="Times New Roman"/>
                <w:b/>
              </w:rPr>
            </w:pPr>
            <w:r w:rsidRPr="00DD69D5">
              <w:rPr>
                <w:rFonts w:ascii="Times New Roman" w:eastAsia="Times New Roman" w:hAnsi="Times New Roman" w:cs="Times New Roman"/>
                <w:b/>
              </w:rPr>
              <w:t>Анализ на алтернативи и облекчения</w:t>
            </w:r>
          </w:p>
        </w:tc>
        <w:tc>
          <w:tcPr>
            <w:tcW w:w="7087" w:type="dxa"/>
            <w:shd w:val="clear" w:color="auto" w:fill="E7E6E6" w:themeFill="background2"/>
            <w:vAlign w:val="center"/>
          </w:tcPr>
          <w:p w14:paraId="0813C843" w14:textId="204FE622" w:rsidR="00CB0A97" w:rsidRPr="00DD69D5" w:rsidRDefault="00CB0A97" w:rsidP="00502BBC">
            <w:pPr>
              <w:spacing w:line="276" w:lineRule="auto"/>
              <w:jc w:val="both"/>
              <w:rPr>
                <w:rFonts w:ascii="Times New Roman" w:eastAsia="Times New Roman" w:hAnsi="Times New Roman" w:cs="Times New Roman"/>
              </w:rPr>
            </w:pPr>
            <w:r w:rsidRPr="00DD69D5">
              <w:rPr>
                <w:rFonts w:ascii="Times New Roman" w:eastAsia="Times New Roman" w:hAnsi="Times New Roman" w:cs="Times New Roman"/>
                <w:b/>
              </w:rPr>
              <w:t>Сравнение на алтернативите:</w:t>
            </w:r>
            <w:r w:rsidRPr="00DD69D5">
              <w:rPr>
                <w:rFonts w:ascii="Times New Roman" w:eastAsia="Times New Roman" w:hAnsi="Times New Roman" w:cs="Times New Roman"/>
              </w:rPr>
              <w:t xml:space="preserve"> Вариант 3 постига най-пълно целите на политиката; Вариант 2 е баланс</w:t>
            </w:r>
            <w:r w:rsidR="00502BBC">
              <w:rPr>
                <w:rFonts w:ascii="Times New Roman" w:eastAsia="Times New Roman" w:hAnsi="Times New Roman" w:cs="Times New Roman"/>
              </w:rPr>
              <w:t xml:space="preserve">, но </w:t>
            </w:r>
            <w:r w:rsidRPr="00DD69D5">
              <w:rPr>
                <w:rFonts w:ascii="Times New Roman" w:eastAsia="Times New Roman" w:hAnsi="Times New Roman" w:cs="Times New Roman"/>
              </w:rPr>
              <w:t xml:space="preserve">постига </w:t>
            </w:r>
            <w:r w:rsidR="00502BBC">
              <w:rPr>
                <w:rFonts w:ascii="Times New Roman" w:eastAsia="Times New Roman" w:hAnsi="Times New Roman" w:cs="Times New Roman"/>
              </w:rPr>
              <w:t>частични</w:t>
            </w:r>
            <w:r w:rsidRPr="00DD69D5">
              <w:rPr>
                <w:rFonts w:ascii="Times New Roman" w:eastAsia="Times New Roman" w:hAnsi="Times New Roman" w:cs="Times New Roman"/>
              </w:rPr>
              <w:t xml:space="preserve"> подобрения с минимална намеса; Вариант 1 е недостатъчен за системна промяна; Вариант 0 означава пропуснати ползи и влошаване в дългосрочен план (още малки ферми ще фалират при липса на защита).</w:t>
            </w:r>
          </w:p>
        </w:tc>
      </w:tr>
      <w:tr w:rsidR="00CB0A97" w:rsidRPr="00DD69D5" w14:paraId="62994317" w14:textId="77777777" w:rsidTr="00DD69D5">
        <w:trPr>
          <w:trHeight w:val="132"/>
        </w:trPr>
        <w:tc>
          <w:tcPr>
            <w:tcW w:w="906" w:type="dxa"/>
            <w:vMerge/>
            <w:shd w:val="clear" w:color="auto" w:fill="00B0F0"/>
          </w:tcPr>
          <w:p w14:paraId="7D1A0FAE" w14:textId="77777777" w:rsidR="00CB0A97" w:rsidRPr="00DD69D5" w:rsidRDefault="00CB0A97" w:rsidP="00CB0A97">
            <w:pPr>
              <w:spacing w:line="276" w:lineRule="auto"/>
              <w:ind w:firstLine="567"/>
              <w:jc w:val="both"/>
              <w:rPr>
                <w:rFonts w:ascii="Times New Roman" w:eastAsia="Times New Roman" w:hAnsi="Times New Roman" w:cs="Times New Roman"/>
              </w:rPr>
            </w:pPr>
          </w:p>
        </w:tc>
        <w:tc>
          <w:tcPr>
            <w:tcW w:w="1357" w:type="dxa"/>
            <w:vMerge/>
            <w:shd w:val="clear" w:color="auto" w:fill="BDD6EE" w:themeFill="accent1" w:themeFillTint="66"/>
          </w:tcPr>
          <w:p w14:paraId="6BD882D0" w14:textId="77777777" w:rsidR="00CB0A97" w:rsidRPr="00DD69D5" w:rsidRDefault="00CB0A97" w:rsidP="00CB0A97">
            <w:pPr>
              <w:spacing w:line="276" w:lineRule="auto"/>
              <w:ind w:firstLine="567"/>
              <w:jc w:val="both"/>
              <w:rPr>
                <w:rFonts w:ascii="Times New Roman" w:eastAsia="Times New Roman" w:hAnsi="Times New Roman" w:cs="Times New Roman"/>
              </w:rPr>
            </w:pPr>
          </w:p>
        </w:tc>
        <w:tc>
          <w:tcPr>
            <w:tcW w:w="7087" w:type="dxa"/>
            <w:shd w:val="clear" w:color="auto" w:fill="E7E6E6" w:themeFill="background2"/>
            <w:vAlign w:val="center"/>
          </w:tcPr>
          <w:p w14:paraId="6C1F6876" w14:textId="0BDE79B7" w:rsidR="00CB0A97" w:rsidRPr="00DD69D5" w:rsidRDefault="00CB0A97" w:rsidP="00CB0A97">
            <w:pPr>
              <w:spacing w:line="276" w:lineRule="auto"/>
              <w:jc w:val="both"/>
              <w:rPr>
                <w:rFonts w:ascii="Times New Roman" w:eastAsia="Times New Roman" w:hAnsi="Times New Roman" w:cs="Times New Roman"/>
              </w:rPr>
            </w:pPr>
            <w:r w:rsidRPr="00DD69D5">
              <w:rPr>
                <w:rFonts w:ascii="Times New Roman" w:eastAsia="Times New Roman" w:hAnsi="Times New Roman" w:cs="Times New Roman"/>
                <w:b/>
              </w:rPr>
              <w:t>Препоръчани облекчения за МСП</w:t>
            </w:r>
            <w:r w:rsidRPr="00DD69D5">
              <w:rPr>
                <w:rFonts w:ascii="Times New Roman" w:eastAsia="Times New Roman" w:hAnsi="Times New Roman" w:cs="Times New Roman"/>
              </w:rPr>
              <w:t xml:space="preserve">, ако се премине към </w:t>
            </w:r>
            <w:r w:rsidR="00502BBC">
              <w:rPr>
                <w:rFonts w:ascii="Times New Roman" w:eastAsia="Times New Roman" w:hAnsi="Times New Roman" w:cs="Times New Roman"/>
              </w:rPr>
              <w:t>избор</w:t>
            </w:r>
            <w:r w:rsidRPr="00DD69D5">
              <w:rPr>
                <w:rFonts w:ascii="Times New Roman" w:eastAsia="Times New Roman" w:hAnsi="Times New Roman" w:cs="Times New Roman"/>
              </w:rPr>
              <w:t xml:space="preserve"> на Вариант 3:</w:t>
            </w:r>
          </w:p>
          <w:p w14:paraId="0BF75D4C" w14:textId="77777777" w:rsidR="00CB0A97" w:rsidRPr="00DD69D5" w:rsidRDefault="00CB0A97" w:rsidP="00CB0A97">
            <w:pPr>
              <w:spacing w:line="276" w:lineRule="auto"/>
              <w:jc w:val="both"/>
              <w:rPr>
                <w:rFonts w:ascii="Times New Roman" w:eastAsia="Times New Roman" w:hAnsi="Times New Roman" w:cs="Times New Roman"/>
              </w:rPr>
            </w:pPr>
            <w:r w:rsidRPr="00DD69D5">
              <w:rPr>
                <w:rFonts w:ascii="Times New Roman" w:eastAsia="Times New Roman" w:hAnsi="Times New Roman" w:cs="Times New Roman"/>
              </w:rPr>
              <w:t>(1) Дерогации за микро предприятия: да се обмисли освобождаване на най-малките от някои изисквания. Например, магазини под определен оборот да не подават месечни отчети или да имат опростен режим на ценообразуване (по метода „доставка + фиксирана надценка“ без детайлни записи). Това би намалило бюрокрацията за дребния бизнес.</w:t>
            </w:r>
          </w:p>
          <w:p w14:paraId="2BC2EBC7" w14:textId="67262A26" w:rsidR="00CB0A97" w:rsidRPr="00DD69D5" w:rsidRDefault="00CB0A97" w:rsidP="00CB0A97">
            <w:pPr>
              <w:spacing w:line="276" w:lineRule="auto"/>
              <w:jc w:val="both"/>
              <w:rPr>
                <w:rFonts w:ascii="Times New Roman" w:eastAsia="Times New Roman" w:hAnsi="Times New Roman" w:cs="Times New Roman"/>
              </w:rPr>
            </w:pPr>
            <w:r w:rsidRPr="00DD69D5">
              <w:rPr>
                <w:rFonts w:ascii="Times New Roman" w:eastAsia="Times New Roman" w:hAnsi="Times New Roman" w:cs="Times New Roman"/>
              </w:rPr>
              <w:t xml:space="preserve">(2) Целева подкрепа: паралелно с регулациите, държавата да предвиди образци на договори, безплатни консултации за малките </w:t>
            </w:r>
            <w:r w:rsidR="00D51DF1">
              <w:rPr>
                <w:rFonts w:ascii="Times New Roman" w:eastAsia="Times New Roman" w:hAnsi="Times New Roman" w:cs="Times New Roman"/>
              </w:rPr>
              <w:t>производители</w:t>
            </w:r>
            <w:r w:rsidR="00D51DF1" w:rsidRPr="00DD69D5">
              <w:rPr>
                <w:rFonts w:ascii="Times New Roman" w:eastAsia="Times New Roman" w:hAnsi="Times New Roman" w:cs="Times New Roman"/>
              </w:rPr>
              <w:t xml:space="preserve"> </w:t>
            </w:r>
            <w:r w:rsidRPr="00DD69D5">
              <w:rPr>
                <w:rFonts w:ascii="Times New Roman" w:eastAsia="Times New Roman" w:hAnsi="Times New Roman" w:cs="Times New Roman"/>
              </w:rPr>
              <w:t>и търговци, за да могат да изпълнят изискванията с по-малко собствени разходи. Бюджетът</w:t>
            </w:r>
            <w:r w:rsidR="00502BBC">
              <w:rPr>
                <w:rFonts w:ascii="Times New Roman" w:eastAsia="Times New Roman" w:hAnsi="Times New Roman" w:cs="Times New Roman"/>
              </w:rPr>
              <w:t xml:space="preserve"> следва</w:t>
            </w:r>
            <w:r w:rsidRPr="00DD69D5">
              <w:rPr>
                <w:rFonts w:ascii="Times New Roman" w:eastAsia="Times New Roman" w:hAnsi="Times New Roman" w:cs="Times New Roman"/>
              </w:rPr>
              <w:t xml:space="preserve"> да обезпечи разработката и използв</w:t>
            </w:r>
            <w:r w:rsidR="00502BBC">
              <w:rPr>
                <w:rFonts w:ascii="Times New Roman" w:eastAsia="Times New Roman" w:hAnsi="Times New Roman" w:cs="Times New Roman"/>
              </w:rPr>
              <w:t xml:space="preserve">ането на дигитални инструменти, </w:t>
            </w:r>
            <w:r w:rsidRPr="00DD69D5">
              <w:rPr>
                <w:rFonts w:ascii="Times New Roman" w:eastAsia="Times New Roman" w:hAnsi="Times New Roman" w:cs="Times New Roman"/>
              </w:rPr>
              <w:t>напр</w:t>
            </w:r>
            <w:r w:rsidR="007E6B27">
              <w:rPr>
                <w:rFonts w:ascii="Times New Roman" w:eastAsia="Times New Roman" w:hAnsi="Times New Roman" w:cs="Times New Roman"/>
              </w:rPr>
              <w:t>имер</w:t>
            </w:r>
            <w:r w:rsidR="00D51DF1">
              <w:rPr>
                <w:rFonts w:ascii="Times New Roman" w:eastAsia="Times New Roman" w:hAnsi="Times New Roman" w:cs="Times New Roman"/>
              </w:rPr>
              <w:t>,</w:t>
            </w:r>
            <w:r w:rsidR="007E6B27" w:rsidRPr="00DD69D5">
              <w:rPr>
                <w:rFonts w:ascii="Times New Roman" w:eastAsia="Times New Roman" w:hAnsi="Times New Roman" w:cs="Times New Roman"/>
              </w:rPr>
              <w:t xml:space="preserve"> </w:t>
            </w:r>
            <w:r w:rsidR="007E6B27">
              <w:rPr>
                <w:rFonts w:ascii="Times New Roman" w:eastAsia="Times New Roman" w:hAnsi="Times New Roman" w:cs="Times New Roman"/>
              </w:rPr>
              <w:t xml:space="preserve">просто софтуерно приложение </w:t>
            </w:r>
            <w:r w:rsidRPr="00DD69D5">
              <w:rPr>
                <w:rFonts w:ascii="Times New Roman" w:eastAsia="Times New Roman" w:hAnsi="Times New Roman" w:cs="Times New Roman"/>
              </w:rPr>
              <w:t>за малки магазини, ко</w:t>
            </w:r>
            <w:r w:rsidR="00502BBC">
              <w:rPr>
                <w:rFonts w:ascii="Times New Roman" w:eastAsia="Times New Roman" w:hAnsi="Times New Roman" w:cs="Times New Roman"/>
              </w:rPr>
              <w:t>е</w:t>
            </w:r>
            <w:r w:rsidRPr="00DD69D5">
              <w:rPr>
                <w:rFonts w:ascii="Times New Roman" w:eastAsia="Times New Roman" w:hAnsi="Times New Roman" w:cs="Times New Roman"/>
              </w:rPr>
              <w:t>то автоматично да следи маржа на регулираните стоки</w:t>
            </w:r>
            <w:r w:rsidR="007E6B27">
              <w:rPr>
                <w:rFonts w:ascii="Times New Roman" w:eastAsia="Times New Roman" w:hAnsi="Times New Roman" w:cs="Times New Roman"/>
              </w:rPr>
              <w:t>.</w:t>
            </w:r>
            <w:r w:rsidRPr="00DD69D5">
              <w:rPr>
                <w:rFonts w:ascii="Times New Roman" w:eastAsia="Times New Roman" w:hAnsi="Times New Roman" w:cs="Times New Roman"/>
              </w:rPr>
              <w:t xml:space="preserve"> </w:t>
            </w:r>
            <w:r w:rsidR="007E6B27">
              <w:rPr>
                <w:rFonts w:ascii="Times New Roman" w:eastAsia="Times New Roman" w:hAnsi="Times New Roman" w:cs="Times New Roman"/>
              </w:rPr>
              <w:t>Т</w:t>
            </w:r>
            <w:r w:rsidRPr="00DD69D5">
              <w:rPr>
                <w:rFonts w:ascii="Times New Roman" w:eastAsia="Times New Roman" w:hAnsi="Times New Roman" w:cs="Times New Roman"/>
              </w:rPr>
              <w:t>ова би минимизирало времето за съответствие.</w:t>
            </w:r>
          </w:p>
          <w:p w14:paraId="6FDBE97D" w14:textId="611FADFE" w:rsidR="00CB0A97" w:rsidRPr="00DD69D5" w:rsidRDefault="00CB0A97" w:rsidP="009238CD">
            <w:pPr>
              <w:spacing w:line="276" w:lineRule="auto"/>
              <w:jc w:val="both"/>
              <w:rPr>
                <w:rFonts w:ascii="Times New Roman" w:eastAsia="Times New Roman" w:hAnsi="Times New Roman" w:cs="Times New Roman"/>
              </w:rPr>
            </w:pPr>
            <w:r w:rsidRPr="00DD69D5">
              <w:rPr>
                <w:rFonts w:ascii="Times New Roman" w:eastAsia="Times New Roman" w:hAnsi="Times New Roman" w:cs="Times New Roman"/>
              </w:rPr>
              <w:t xml:space="preserve">(3) Регулаторна гъвкавост: да се </w:t>
            </w:r>
            <w:r w:rsidR="00122DE6">
              <w:rPr>
                <w:rFonts w:ascii="Times New Roman" w:eastAsia="Times New Roman" w:hAnsi="Times New Roman" w:cs="Times New Roman"/>
              </w:rPr>
              <w:t>предвиди</w:t>
            </w:r>
            <w:r w:rsidR="0005723C">
              <w:rPr>
                <w:rFonts w:ascii="Times New Roman" w:eastAsia="Times New Roman" w:hAnsi="Times New Roman" w:cs="Times New Roman"/>
              </w:rPr>
              <w:t xml:space="preserve"> механизъм за </w:t>
            </w:r>
            <w:r w:rsidR="00502BBC">
              <w:rPr>
                <w:rFonts w:ascii="Times New Roman" w:eastAsia="Times New Roman" w:hAnsi="Times New Roman" w:cs="Times New Roman"/>
              </w:rPr>
              <w:t>редовно</w:t>
            </w:r>
            <w:r w:rsidRPr="00DD69D5">
              <w:rPr>
                <w:rFonts w:ascii="Times New Roman" w:eastAsia="Times New Roman" w:hAnsi="Times New Roman" w:cs="Times New Roman"/>
              </w:rPr>
              <w:t xml:space="preserve"> </w:t>
            </w:r>
            <w:r w:rsidR="00502BBC">
              <w:rPr>
                <w:rFonts w:ascii="Times New Roman" w:eastAsia="Times New Roman" w:hAnsi="Times New Roman" w:cs="Times New Roman"/>
              </w:rPr>
              <w:t xml:space="preserve">проследяване </w:t>
            </w:r>
            <w:r w:rsidR="007E6B27">
              <w:rPr>
                <w:rFonts w:ascii="Times New Roman" w:eastAsia="Times New Roman" w:hAnsi="Times New Roman" w:cs="Times New Roman"/>
              </w:rPr>
              <w:t>на</w:t>
            </w:r>
            <w:r w:rsidRPr="00DD69D5">
              <w:rPr>
                <w:rFonts w:ascii="Times New Roman" w:eastAsia="Times New Roman" w:hAnsi="Times New Roman" w:cs="Times New Roman"/>
              </w:rPr>
              <w:t xml:space="preserve"> ефектите </w:t>
            </w:r>
            <w:r w:rsidR="00502BBC">
              <w:rPr>
                <w:rFonts w:ascii="Times New Roman" w:eastAsia="Times New Roman" w:hAnsi="Times New Roman" w:cs="Times New Roman"/>
              </w:rPr>
              <w:t>от</w:t>
            </w:r>
            <w:r w:rsidR="007E6B27">
              <w:rPr>
                <w:rFonts w:ascii="Times New Roman" w:eastAsia="Times New Roman" w:hAnsi="Times New Roman" w:cs="Times New Roman"/>
              </w:rPr>
              <w:t xml:space="preserve"> закона</w:t>
            </w:r>
            <w:r w:rsidR="00502BBC">
              <w:rPr>
                <w:rFonts w:ascii="Times New Roman" w:eastAsia="Times New Roman" w:hAnsi="Times New Roman" w:cs="Times New Roman"/>
              </w:rPr>
              <w:t>, включващ възможност за бързо преразглеждане и адаптиране на някои от предвидените мерки, при необходимост</w:t>
            </w:r>
            <w:r w:rsidRPr="00DD69D5">
              <w:rPr>
                <w:rFonts w:ascii="Times New Roman" w:eastAsia="Times New Roman" w:hAnsi="Times New Roman" w:cs="Times New Roman"/>
              </w:rPr>
              <w:t>. Това</w:t>
            </w:r>
            <w:r w:rsidR="009238CD">
              <w:rPr>
                <w:rFonts w:ascii="Times New Roman" w:eastAsia="Times New Roman" w:hAnsi="Times New Roman" w:cs="Times New Roman"/>
              </w:rPr>
              <w:t xml:space="preserve"> би</w:t>
            </w:r>
            <w:r w:rsidRPr="00DD69D5">
              <w:rPr>
                <w:rFonts w:ascii="Times New Roman" w:eastAsia="Times New Roman" w:hAnsi="Times New Roman" w:cs="Times New Roman"/>
              </w:rPr>
              <w:t xml:space="preserve"> създа</w:t>
            </w:r>
            <w:r w:rsidR="009238CD">
              <w:rPr>
                <w:rFonts w:ascii="Times New Roman" w:eastAsia="Times New Roman" w:hAnsi="Times New Roman" w:cs="Times New Roman"/>
              </w:rPr>
              <w:t>ло гъвкавост на новата рамка</w:t>
            </w:r>
            <w:r w:rsidRPr="00DD69D5">
              <w:rPr>
                <w:rFonts w:ascii="Times New Roman" w:eastAsia="Times New Roman" w:hAnsi="Times New Roman" w:cs="Times New Roman"/>
              </w:rPr>
              <w:t xml:space="preserve"> и </w:t>
            </w:r>
            <w:r w:rsidR="009238CD">
              <w:rPr>
                <w:rFonts w:ascii="Times New Roman" w:eastAsia="Times New Roman" w:hAnsi="Times New Roman" w:cs="Times New Roman"/>
              </w:rPr>
              <w:t xml:space="preserve">би </w:t>
            </w:r>
            <w:r w:rsidRPr="00DD69D5">
              <w:rPr>
                <w:rFonts w:ascii="Times New Roman" w:eastAsia="Times New Roman" w:hAnsi="Times New Roman" w:cs="Times New Roman"/>
              </w:rPr>
              <w:t>намал</w:t>
            </w:r>
            <w:r w:rsidR="009238CD">
              <w:rPr>
                <w:rFonts w:ascii="Times New Roman" w:eastAsia="Times New Roman" w:hAnsi="Times New Roman" w:cs="Times New Roman"/>
              </w:rPr>
              <w:t xml:space="preserve">ило </w:t>
            </w:r>
            <w:r w:rsidRPr="00DD69D5">
              <w:rPr>
                <w:rFonts w:ascii="Times New Roman" w:eastAsia="Times New Roman" w:hAnsi="Times New Roman" w:cs="Times New Roman"/>
              </w:rPr>
              <w:t>риска МСП да бъдат трайно ощетени от непредвидени последици.</w:t>
            </w:r>
          </w:p>
        </w:tc>
      </w:tr>
    </w:tbl>
    <w:p w14:paraId="2CAFABBD" w14:textId="77777777" w:rsidR="00CB0A97" w:rsidRDefault="00CB0A97" w:rsidP="00CB0A97">
      <w:pPr>
        <w:spacing w:after="0" w:line="276" w:lineRule="auto"/>
        <w:ind w:firstLine="567"/>
        <w:jc w:val="both"/>
        <w:rPr>
          <w:rFonts w:ascii="Times New Roman" w:eastAsia="Times New Roman" w:hAnsi="Times New Roman" w:cs="Times New Roman"/>
          <w:b/>
          <w:bCs/>
          <w:sz w:val="24"/>
          <w:szCs w:val="24"/>
        </w:rPr>
      </w:pPr>
    </w:p>
    <w:p w14:paraId="6A5C3817" w14:textId="106161B0" w:rsidR="00CB0A97" w:rsidRPr="00ED6430" w:rsidRDefault="00CB0A97" w:rsidP="00DD69D5">
      <w:pPr>
        <w:spacing w:after="0" w:line="240" w:lineRule="auto"/>
        <w:ind w:firstLine="567"/>
        <w:jc w:val="both"/>
        <w:rPr>
          <w:rFonts w:ascii="Times New Roman" w:eastAsia="Times New Roman" w:hAnsi="Times New Roman" w:cs="Times New Roman"/>
          <w:sz w:val="24"/>
          <w:szCs w:val="24"/>
        </w:rPr>
      </w:pPr>
      <w:r w:rsidRPr="00ED6430">
        <w:rPr>
          <w:rFonts w:ascii="Times New Roman" w:eastAsia="Times New Roman" w:hAnsi="Times New Roman" w:cs="Times New Roman"/>
          <w:sz w:val="24"/>
          <w:szCs w:val="24"/>
        </w:rPr>
        <w:t xml:space="preserve">Анализът показва, че </w:t>
      </w:r>
      <w:r w:rsidRPr="00ED6430">
        <w:rPr>
          <w:rFonts w:ascii="Times New Roman" w:eastAsia="Times New Roman" w:hAnsi="Times New Roman" w:cs="Times New Roman"/>
          <w:bCs/>
          <w:sz w:val="24"/>
          <w:szCs w:val="24"/>
        </w:rPr>
        <w:t>една “универсална” регулация по цялата верига</w:t>
      </w:r>
      <w:r w:rsidR="009238CD" w:rsidRPr="00ED6430">
        <w:rPr>
          <w:rFonts w:ascii="Times New Roman" w:eastAsia="Times New Roman" w:hAnsi="Times New Roman" w:cs="Times New Roman"/>
          <w:bCs/>
          <w:sz w:val="24"/>
          <w:szCs w:val="24"/>
        </w:rPr>
        <w:t xml:space="preserve"> на доставки</w:t>
      </w:r>
      <w:r w:rsidRPr="00ED6430">
        <w:rPr>
          <w:rFonts w:ascii="Times New Roman" w:eastAsia="Times New Roman" w:hAnsi="Times New Roman" w:cs="Times New Roman"/>
          <w:bCs/>
          <w:sz w:val="24"/>
          <w:szCs w:val="24"/>
        </w:rPr>
        <w:t xml:space="preserve">, каквато предвижда Вариант 3, носи както значителни потенциални ползи, така и </w:t>
      </w:r>
      <w:r w:rsidR="00486A68">
        <w:rPr>
          <w:rFonts w:ascii="Times New Roman" w:eastAsia="Times New Roman" w:hAnsi="Times New Roman" w:cs="Times New Roman"/>
          <w:bCs/>
          <w:sz w:val="24"/>
          <w:szCs w:val="24"/>
        </w:rPr>
        <w:t xml:space="preserve">определени </w:t>
      </w:r>
      <w:r w:rsidRPr="00ED6430">
        <w:rPr>
          <w:rFonts w:ascii="Times New Roman" w:eastAsia="Times New Roman" w:hAnsi="Times New Roman" w:cs="Times New Roman"/>
          <w:bCs/>
          <w:sz w:val="24"/>
          <w:szCs w:val="24"/>
        </w:rPr>
        <w:t>рискове и тежести за МСП, което означава, че ако се премине към неговото приложение</w:t>
      </w:r>
      <w:r w:rsidR="007E6B27" w:rsidRPr="00ED6430">
        <w:rPr>
          <w:rFonts w:ascii="Times New Roman" w:eastAsia="Times New Roman" w:hAnsi="Times New Roman" w:cs="Times New Roman"/>
          <w:bCs/>
          <w:sz w:val="24"/>
          <w:szCs w:val="24"/>
        </w:rPr>
        <w:t>,</w:t>
      </w:r>
      <w:r w:rsidRPr="00ED6430">
        <w:rPr>
          <w:rFonts w:ascii="Times New Roman" w:eastAsia="Times New Roman" w:hAnsi="Times New Roman" w:cs="Times New Roman"/>
          <w:bCs/>
          <w:sz w:val="24"/>
          <w:szCs w:val="24"/>
        </w:rPr>
        <w:t xml:space="preserve"> то е необходимо внимателно поетапно прилагане и на облекчения за микро </w:t>
      </w:r>
      <w:r w:rsidR="00D51DF1">
        <w:rPr>
          <w:rFonts w:ascii="Times New Roman" w:eastAsia="Times New Roman" w:hAnsi="Times New Roman" w:cs="Times New Roman"/>
          <w:bCs/>
          <w:sz w:val="24"/>
          <w:szCs w:val="24"/>
        </w:rPr>
        <w:t>предприятията</w:t>
      </w:r>
      <w:r w:rsidRPr="00ED6430">
        <w:rPr>
          <w:rFonts w:ascii="Times New Roman" w:eastAsia="Times New Roman" w:hAnsi="Times New Roman" w:cs="Times New Roman"/>
          <w:sz w:val="24"/>
          <w:szCs w:val="24"/>
        </w:rPr>
        <w:t xml:space="preserve">. </w:t>
      </w:r>
    </w:p>
    <w:p w14:paraId="6EE0C0AA" w14:textId="0402AB05" w:rsidR="00CB0A97" w:rsidRDefault="00CB0A97" w:rsidP="00DD69D5">
      <w:pPr>
        <w:spacing w:after="0" w:line="240" w:lineRule="auto"/>
        <w:ind w:firstLine="567"/>
        <w:jc w:val="both"/>
        <w:rPr>
          <w:rFonts w:ascii="Times New Roman" w:eastAsia="Times New Roman" w:hAnsi="Times New Roman" w:cs="Times New Roman"/>
          <w:sz w:val="24"/>
          <w:szCs w:val="24"/>
        </w:rPr>
      </w:pPr>
      <w:r w:rsidRPr="00ED6430">
        <w:rPr>
          <w:rFonts w:ascii="Times New Roman" w:eastAsia="Times New Roman" w:hAnsi="Times New Roman" w:cs="Times New Roman"/>
          <w:sz w:val="24"/>
          <w:szCs w:val="24"/>
        </w:rPr>
        <w:t xml:space="preserve">От гледна точка на малките и средни предприятия, </w:t>
      </w:r>
      <w:r w:rsidR="0005723C" w:rsidRPr="00ED6430">
        <w:rPr>
          <w:rFonts w:ascii="Times New Roman" w:eastAsia="Times New Roman" w:hAnsi="Times New Roman" w:cs="Times New Roman"/>
          <w:bCs/>
          <w:sz w:val="24"/>
          <w:szCs w:val="24"/>
        </w:rPr>
        <w:t>Вариант 2</w:t>
      </w:r>
      <w:r w:rsidR="0005723C" w:rsidRPr="00ED6430">
        <w:rPr>
          <w:rFonts w:ascii="Times New Roman" w:eastAsia="Times New Roman" w:hAnsi="Times New Roman" w:cs="Times New Roman"/>
          <w:sz w:val="24"/>
          <w:szCs w:val="24"/>
        </w:rPr>
        <w:t xml:space="preserve"> предлага по-ограничен обхват и съответно по-малки рискове, но и по-умерен потенциал за </w:t>
      </w:r>
      <w:r w:rsidR="009238CD" w:rsidRPr="00ED6430">
        <w:rPr>
          <w:rFonts w:ascii="Times New Roman" w:eastAsia="Times New Roman" w:hAnsi="Times New Roman" w:cs="Times New Roman"/>
          <w:sz w:val="24"/>
          <w:szCs w:val="24"/>
        </w:rPr>
        <w:t>ефективност</w:t>
      </w:r>
      <w:r w:rsidR="0005723C" w:rsidRPr="00ED6430">
        <w:rPr>
          <w:rFonts w:ascii="Times New Roman" w:eastAsia="Times New Roman" w:hAnsi="Times New Roman" w:cs="Times New Roman"/>
          <w:sz w:val="24"/>
          <w:szCs w:val="24"/>
        </w:rPr>
        <w:t xml:space="preserve">. При него са възможни подобрения по отношение на нелоялните практики, но </w:t>
      </w:r>
      <w:r w:rsidR="009238CD" w:rsidRPr="00ED6430">
        <w:rPr>
          <w:rFonts w:ascii="Times New Roman" w:eastAsia="Times New Roman" w:hAnsi="Times New Roman" w:cs="Times New Roman"/>
          <w:sz w:val="24"/>
          <w:szCs w:val="24"/>
        </w:rPr>
        <w:t>цялостния</w:t>
      </w:r>
      <w:r w:rsidR="0005723C" w:rsidRPr="00ED6430">
        <w:rPr>
          <w:rFonts w:ascii="Times New Roman" w:eastAsia="Times New Roman" w:hAnsi="Times New Roman" w:cs="Times New Roman"/>
          <w:sz w:val="24"/>
          <w:szCs w:val="24"/>
        </w:rPr>
        <w:t xml:space="preserve"> </w:t>
      </w:r>
      <w:r w:rsidR="009238CD" w:rsidRPr="00ED6430">
        <w:rPr>
          <w:rFonts w:ascii="Times New Roman" w:eastAsia="Times New Roman" w:hAnsi="Times New Roman" w:cs="Times New Roman"/>
          <w:sz w:val="24"/>
          <w:szCs w:val="24"/>
        </w:rPr>
        <w:t xml:space="preserve">целен резултат за изкореняване на идентифицираните проблеми </w:t>
      </w:r>
      <w:r w:rsidR="0005723C" w:rsidRPr="00ED6430">
        <w:rPr>
          <w:rFonts w:ascii="Times New Roman" w:eastAsia="Times New Roman" w:hAnsi="Times New Roman" w:cs="Times New Roman"/>
          <w:sz w:val="24"/>
          <w:szCs w:val="24"/>
        </w:rPr>
        <w:t>може да</w:t>
      </w:r>
      <w:r w:rsidR="0005723C" w:rsidRPr="0005723C">
        <w:rPr>
          <w:rFonts w:ascii="Times New Roman" w:eastAsia="Times New Roman" w:hAnsi="Times New Roman" w:cs="Times New Roman"/>
          <w:sz w:val="24"/>
          <w:szCs w:val="24"/>
        </w:rPr>
        <w:t xml:space="preserve"> бъде по-слаб. </w:t>
      </w:r>
    </w:p>
    <w:p w14:paraId="3F4C32B1" w14:textId="26B1F936" w:rsidR="00CB0A97" w:rsidRPr="009238CD" w:rsidRDefault="00CB0A97" w:rsidP="00DD69D5">
      <w:pPr>
        <w:spacing w:after="0" w:line="240" w:lineRule="auto"/>
        <w:ind w:firstLine="567"/>
        <w:jc w:val="both"/>
        <w:rPr>
          <w:rFonts w:ascii="Times New Roman" w:eastAsia="Times New Roman" w:hAnsi="Times New Roman" w:cs="Times New Roman"/>
          <w:sz w:val="24"/>
          <w:szCs w:val="24"/>
        </w:rPr>
      </w:pPr>
      <w:r w:rsidRPr="009238CD">
        <w:rPr>
          <w:rFonts w:ascii="Times New Roman" w:eastAsia="Times New Roman" w:hAnsi="Times New Roman" w:cs="Times New Roman"/>
          <w:bCs/>
          <w:sz w:val="24"/>
          <w:szCs w:val="24"/>
        </w:rPr>
        <w:t>Вариант 1</w:t>
      </w:r>
      <w:r w:rsidRPr="009238CD">
        <w:rPr>
          <w:rFonts w:ascii="Times New Roman" w:eastAsia="Times New Roman" w:hAnsi="Times New Roman" w:cs="Times New Roman"/>
          <w:sz w:val="24"/>
          <w:szCs w:val="24"/>
        </w:rPr>
        <w:t xml:space="preserve"> (доброволен) вероятно няма да промени системно средата и би оставил много МСП незащитени, а </w:t>
      </w:r>
      <w:r w:rsidRPr="009238CD">
        <w:rPr>
          <w:rFonts w:ascii="Times New Roman" w:eastAsia="Times New Roman" w:hAnsi="Times New Roman" w:cs="Times New Roman"/>
          <w:bCs/>
          <w:sz w:val="24"/>
          <w:szCs w:val="24"/>
        </w:rPr>
        <w:t>Вариант 0</w:t>
      </w:r>
      <w:r w:rsidRPr="009238CD">
        <w:rPr>
          <w:rFonts w:ascii="Times New Roman" w:eastAsia="Times New Roman" w:hAnsi="Times New Roman" w:cs="Times New Roman"/>
          <w:sz w:val="24"/>
          <w:szCs w:val="24"/>
        </w:rPr>
        <w:t xml:space="preserve"> запазва неприемливо статукво</w:t>
      </w:r>
      <w:r w:rsidR="00D51DF1">
        <w:rPr>
          <w:rFonts w:ascii="Times New Roman" w:eastAsia="Times New Roman" w:hAnsi="Times New Roman" w:cs="Times New Roman"/>
          <w:sz w:val="24"/>
          <w:szCs w:val="24"/>
        </w:rPr>
        <w:t>то</w:t>
      </w:r>
      <w:r w:rsidRPr="009238CD">
        <w:rPr>
          <w:rFonts w:ascii="Times New Roman" w:eastAsia="Times New Roman" w:hAnsi="Times New Roman" w:cs="Times New Roman"/>
          <w:sz w:val="24"/>
          <w:szCs w:val="24"/>
        </w:rPr>
        <w:t xml:space="preserve"> с продължаващо изтичане на дребни стопанства от сектора. </w:t>
      </w:r>
    </w:p>
    <w:p w14:paraId="694190BB" w14:textId="5B356C75" w:rsidR="00CB0A97" w:rsidRPr="00E9562E" w:rsidRDefault="009238CD" w:rsidP="00DD69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базата на МСП-теста </w:t>
      </w:r>
      <w:r w:rsidR="00CB0A97">
        <w:rPr>
          <w:rFonts w:ascii="Times New Roman" w:eastAsia="Times New Roman" w:hAnsi="Times New Roman" w:cs="Times New Roman"/>
          <w:sz w:val="24"/>
          <w:szCs w:val="24"/>
        </w:rPr>
        <w:t xml:space="preserve">като </w:t>
      </w:r>
      <w:r w:rsidR="00CB0A97" w:rsidRPr="00943C4D">
        <w:rPr>
          <w:rFonts w:ascii="Times New Roman" w:eastAsia="Times New Roman" w:hAnsi="Times New Roman" w:cs="Times New Roman"/>
          <w:sz w:val="24"/>
          <w:szCs w:val="24"/>
        </w:rPr>
        <w:t>препоръч</w:t>
      </w:r>
      <w:r w:rsidR="00CB0A97">
        <w:rPr>
          <w:rFonts w:ascii="Times New Roman" w:eastAsia="Times New Roman" w:hAnsi="Times New Roman" w:cs="Times New Roman"/>
          <w:sz w:val="24"/>
          <w:szCs w:val="24"/>
        </w:rPr>
        <w:t>ителен</w:t>
      </w:r>
      <w:r w:rsidRPr="009238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може да </w:t>
      </w:r>
      <w:r w:rsidRPr="00943C4D">
        <w:rPr>
          <w:rFonts w:ascii="Times New Roman" w:eastAsia="Times New Roman" w:hAnsi="Times New Roman" w:cs="Times New Roman"/>
          <w:sz w:val="24"/>
          <w:szCs w:val="24"/>
        </w:rPr>
        <w:t xml:space="preserve">се </w:t>
      </w:r>
      <w:r w:rsidRPr="009238CD">
        <w:rPr>
          <w:rFonts w:ascii="Times New Roman" w:eastAsia="Times New Roman" w:hAnsi="Times New Roman" w:cs="Times New Roman"/>
          <w:sz w:val="24"/>
          <w:szCs w:val="24"/>
        </w:rPr>
        <w:t>определи</w:t>
      </w:r>
      <w:r w:rsidR="00CB0A97" w:rsidRPr="009238CD">
        <w:rPr>
          <w:rFonts w:ascii="Times New Roman" w:eastAsia="Times New Roman" w:hAnsi="Times New Roman" w:cs="Times New Roman"/>
          <w:sz w:val="24"/>
          <w:szCs w:val="24"/>
        </w:rPr>
        <w:t xml:space="preserve"> </w:t>
      </w:r>
      <w:r w:rsidR="00CB0A97" w:rsidRPr="009238CD">
        <w:rPr>
          <w:rFonts w:ascii="Times New Roman" w:eastAsia="Times New Roman" w:hAnsi="Times New Roman" w:cs="Times New Roman"/>
          <w:bCs/>
          <w:sz w:val="24"/>
          <w:szCs w:val="24"/>
        </w:rPr>
        <w:t>Вариант 3</w:t>
      </w:r>
      <w:r w:rsidR="005C01E8" w:rsidRPr="009238CD">
        <w:rPr>
          <w:rFonts w:ascii="Times New Roman" w:eastAsia="Times New Roman" w:hAnsi="Times New Roman" w:cs="Times New Roman"/>
          <w:bCs/>
          <w:sz w:val="24"/>
          <w:szCs w:val="24"/>
        </w:rPr>
        <w:t>,</w:t>
      </w:r>
      <w:r w:rsidR="00CB0A97" w:rsidRPr="009238CD">
        <w:rPr>
          <w:rFonts w:ascii="Times New Roman" w:eastAsia="Times New Roman" w:hAnsi="Times New Roman" w:cs="Times New Roman"/>
          <w:sz w:val="24"/>
          <w:szCs w:val="24"/>
        </w:rPr>
        <w:t xml:space="preserve"> с</w:t>
      </w:r>
      <w:r w:rsidR="00CB0A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препоръки за повторен преглед и </w:t>
      </w:r>
      <w:r w:rsidR="00CB0A97">
        <w:rPr>
          <w:rFonts w:ascii="Times New Roman" w:eastAsia="Times New Roman" w:hAnsi="Times New Roman" w:cs="Times New Roman"/>
          <w:sz w:val="24"/>
          <w:szCs w:val="24"/>
        </w:rPr>
        <w:t xml:space="preserve">преосмисляне на някои от включените в него мерки в </w:t>
      </w:r>
      <w:r w:rsidR="00CB0A97" w:rsidRPr="00943C4D">
        <w:rPr>
          <w:rFonts w:ascii="Times New Roman" w:eastAsia="Times New Roman" w:hAnsi="Times New Roman" w:cs="Times New Roman"/>
          <w:sz w:val="24"/>
          <w:szCs w:val="24"/>
        </w:rPr>
        <w:t xml:space="preserve">посока </w:t>
      </w:r>
      <w:r w:rsidR="00CB0A97" w:rsidRPr="00E9562E">
        <w:rPr>
          <w:rFonts w:ascii="Times New Roman" w:eastAsia="Times New Roman" w:hAnsi="Times New Roman" w:cs="Times New Roman"/>
          <w:bCs/>
          <w:sz w:val="24"/>
          <w:szCs w:val="24"/>
        </w:rPr>
        <w:t>намаляван</w:t>
      </w:r>
      <w:r w:rsidR="00CB0A97">
        <w:rPr>
          <w:rFonts w:ascii="Times New Roman" w:eastAsia="Times New Roman" w:hAnsi="Times New Roman" w:cs="Times New Roman"/>
          <w:bCs/>
          <w:sz w:val="24"/>
          <w:szCs w:val="24"/>
        </w:rPr>
        <w:t>е на административната тежест и допълнителна целенасоченост към</w:t>
      </w:r>
      <w:r w:rsidR="00CB0A97" w:rsidRPr="00E9562E">
        <w:rPr>
          <w:rFonts w:ascii="Times New Roman" w:eastAsia="Times New Roman" w:hAnsi="Times New Roman" w:cs="Times New Roman"/>
          <w:bCs/>
          <w:sz w:val="24"/>
          <w:szCs w:val="24"/>
        </w:rPr>
        <w:t xml:space="preserve"> най-проблемните звена</w:t>
      </w:r>
      <w:r w:rsidR="00CB0A97">
        <w:rPr>
          <w:rFonts w:ascii="Times New Roman" w:eastAsia="Times New Roman" w:hAnsi="Times New Roman" w:cs="Times New Roman"/>
          <w:bCs/>
          <w:sz w:val="24"/>
          <w:szCs w:val="24"/>
        </w:rPr>
        <w:t>, като</w:t>
      </w:r>
      <w:r w:rsidR="00CB0A97" w:rsidRPr="00E9562E">
        <w:rPr>
          <w:rFonts w:ascii="Times New Roman" w:eastAsia="Times New Roman" w:hAnsi="Times New Roman" w:cs="Times New Roman"/>
          <w:sz w:val="24"/>
          <w:szCs w:val="24"/>
        </w:rPr>
        <w:t xml:space="preserve">: </w:t>
      </w:r>
    </w:p>
    <w:p w14:paraId="135A4D5F" w14:textId="4C0EB6C2" w:rsidR="00CB0A97" w:rsidRPr="00E9562E" w:rsidRDefault="00CB0A97" w:rsidP="00DD69D5">
      <w:pPr>
        <w:spacing w:after="0" w:line="240" w:lineRule="auto"/>
        <w:ind w:firstLine="567"/>
        <w:jc w:val="both"/>
        <w:rPr>
          <w:rFonts w:ascii="Times New Roman" w:eastAsia="Times New Roman" w:hAnsi="Times New Roman" w:cs="Times New Roman"/>
          <w:sz w:val="24"/>
          <w:szCs w:val="24"/>
        </w:rPr>
      </w:pPr>
      <w:r w:rsidRPr="00E9562E">
        <w:rPr>
          <w:rFonts w:ascii="Times New Roman" w:eastAsia="Times New Roman" w:hAnsi="Times New Roman" w:cs="Times New Roman"/>
          <w:sz w:val="24"/>
          <w:szCs w:val="24"/>
        </w:rPr>
        <w:lastRenderedPageBreak/>
        <w:t xml:space="preserve">1. </w:t>
      </w:r>
      <w:r w:rsidRPr="00E9562E">
        <w:rPr>
          <w:rFonts w:ascii="Times New Roman" w:eastAsia="Times New Roman" w:hAnsi="Times New Roman" w:cs="Times New Roman"/>
          <w:bCs/>
          <w:sz w:val="24"/>
          <w:szCs w:val="24"/>
        </w:rPr>
        <w:t>укреп</w:t>
      </w:r>
      <w:r w:rsidR="009238CD">
        <w:rPr>
          <w:rFonts w:ascii="Times New Roman" w:eastAsia="Times New Roman" w:hAnsi="Times New Roman" w:cs="Times New Roman"/>
          <w:bCs/>
          <w:sz w:val="24"/>
          <w:szCs w:val="24"/>
        </w:rPr>
        <w:t>ване на капацитета</w:t>
      </w:r>
      <w:r w:rsidRPr="00E9562E">
        <w:rPr>
          <w:rFonts w:ascii="Times New Roman" w:eastAsia="Times New Roman" w:hAnsi="Times New Roman" w:cs="Times New Roman"/>
          <w:bCs/>
          <w:sz w:val="24"/>
          <w:szCs w:val="24"/>
        </w:rPr>
        <w:t xml:space="preserve"> на администрацията</w:t>
      </w:r>
      <w:r w:rsidRPr="00E9562E">
        <w:rPr>
          <w:rFonts w:ascii="Times New Roman" w:eastAsia="Times New Roman" w:hAnsi="Times New Roman" w:cs="Times New Roman"/>
          <w:sz w:val="24"/>
          <w:szCs w:val="24"/>
        </w:rPr>
        <w:t xml:space="preserve"> </w:t>
      </w:r>
      <w:r w:rsidR="009238CD">
        <w:rPr>
          <w:rFonts w:ascii="Times New Roman" w:eastAsia="Times New Roman" w:hAnsi="Times New Roman" w:cs="Times New Roman"/>
          <w:sz w:val="24"/>
          <w:szCs w:val="24"/>
        </w:rPr>
        <w:t xml:space="preserve">с предварителна готовност </w:t>
      </w:r>
      <w:r w:rsidRPr="00E9562E">
        <w:rPr>
          <w:rFonts w:ascii="Times New Roman" w:eastAsia="Times New Roman" w:hAnsi="Times New Roman" w:cs="Times New Roman"/>
          <w:sz w:val="24"/>
          <w:szCs w:val="24"/>
        </w:rPr>
        <w:t xml:space="preserve">тя да поеме </w:t>
      </w:r>
      <w:r w:rsidR="009238CD">
        <w:rPr>
          <w:rFonts w:ascii="Times New Roman" w:eastAsia="Times New Roman" w:hAnsi="Times New Roman" w:cs="Times New Roman"/>
          <w:sz w:val="24"/>
          <w:szCs w:val="24"/>
        </w:rPr>
        <w:t>по-голямата</w:t>
      </w:r>
      <w:r w:rsidRPr="00E9562E">
        <w:rPr>
          <w:rFonts w:ascii="Times New Roman" w:eastAsia="Times New Roman" w:hAnsi="Times New Roman" w:cs="Times New Roman"/>
          <w:sz w:val="24"/>
          <w:szCs w:val="24"/>
        </w:rPr>
        <w:t xml:space="preserve"> част от тежестта</w:t>
      </w:r>
      <w:r>
        <w:rPr>
          <w:rFonts w:ascii="Times New Roman" w:eastAsia="Times New Roman" w:hAnsi="Times New Roman" w:cs="Times New Roman"/>
          <w:sz w:val="24"/>
          <w:szCs w:val="24"/>
        </w:rPr>
        <w:t xml:space="preserve"> по привеждане в действие, прилагане, изпълнение, администриране, спазване, наблюдение, контрол и отчитане на новите законови мерки</w:t>
      </w:r>
      <w:r w:rsidR="005C01E8">
        <w:rPr>
          <w:rFonts w:ascii="Times New Roman" w:eastAsia="Times New Roman" w:hAnsi="Times New Roman" w:cs="Times New Roman"/>
          <w:sz w:val="24"/>
          <w:szCs w:val="24"/>
        </w:rPr>
        <w:t>;</w:t>
      </w:r>
    </w:p>
    <w:p w14:paraId="0A56FD85" w14:textId="47A637E7" w:rsidR="00CB0A97" w:rsidRDefault="00CB0A97" w:rsidP="00DD69D5">
      <w:pPr>
        <w:spacing w:after="0" w:line="240" w:lineRule="auto"/>
        <w:ind w:firstLine="567"/>
        <w:jc w:val="both"/>
        <w:rPr>
          <w:rFonts w:ascii="Times New Roman" w:eastAsia="Times New Roman" w:hAnsi="Times New Roman" w:cs="Times New Roman"/>
          <w:sz w:val="24"/>
          <w:szCs w:val="24"/>
        </w:rPr>
      </w:pPr>
      <w:r w:rsidRPr="00E9562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9238CD">
        <w:rPr>
          <w:rFonts w:ascii="Times New Roman" w:eastAsia="Times New Roman" w:hAnsi="Times New Roman" w:cs="Times New Roman"/>
          <w:sz w:val="24"/>
          <w:szCs w:val="24"/>
        </w:rPr>
        <w:t>въвеждане на</w:t>
      </w:r>
      <w:r>
        <w:rPr>
          <w:rFonts w:ascii="Times New Roman" w:eastAsia="Times New Roman" w:hAnsi="Times New Roman" w:cs="Times New Roman"/>
          <w:sz w:val="24"/>
          <w:szCs w:val="24"/>
        </w:rPr>
        <w:t xml:space="preserve"> системен текущ мониторинг </w:t>
      </w:r>
      <w:r w:rsidR="009238CD">
        <w:rPr>
          <w:rFonts w:ascii="Times New Roman" w:eastAsia="Times New Roman" w:hAnsi="Times New Roman" w:cs="Times New Roman"/>
          <w:sz w:val="24"/>
          <w:szCs w:val="24"/>
        </w:rPr>
        <w:t>за</w:t>
      </w:r>
      <w:r>
        <w:rPr>
          <w:rFonts w:ascii="Times New Roman" w:eastAsia="Times New Roman" w:hAnsi="Times New Roman" w:cs="Times New Roman"/>
          <w:sz w:val="24"/>
          <w:szCs w:val="24"/>
        </w:rPr>
        <w:t xml:space="preserve"> спазването на новите мерки чрез предвиждането на възможност за автоматизирано</w:t>
      </w:r>
      <w:r w:rsidRPr="00E9562E">
        <w:rPr>
          <w:rFonts w:ascii="Times New Roman" w:eastAsia="Times New Roman" w:hAnsi="Times New Roman" w:cs="Times New Roman"/>
          <w:sz w:val="24"/>
          <w:szCs w:val="24"/>
        </w:rPr>
        <w:t xml:space="preserve"> </w:t>
      </w:r>
      <w:r w:rsidR="009238CD">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консолидирано </w:t>
      </w:r>
      <w:r w:rsidRPr="00E9562E">
        <w:rPr>
          <w:rFonts w:ascii="Times New Roman" w:eastAsia="Times New Roman" w:hAnsi="Times New Roman" w:cs="Times New Roman"/>
          <w:sz w:val="24"/>
          <w:szCs w:val="24"/>
        </w:rPr>
        <w:t>събира</w:t>
      </w:r>
      <w:r>
        <w:rPr>
          <w:rFonts w:ascii="Times New Roman" w:eastAsia="Times New Roman" w:hAnsi="Times New Roman" w:cs="Times New Roman"/>
          <w:sz w:val="24"/>
          <w:szCs w:val="24"/>
        </w:rPr>
        <w:t>не на</w:t>
      </w:r>
      <w:r w:rsidRPr="00E9562E">
        <w:rPr>
          <w:rFonts w:ascii="Times New Roman" w:eastAsia="Times New Roman" w:hAnsi="Times New Roman" w:cs="Times New Roman"/>
          <w:sz w:val="24"/>
          <w:szCs w:val="24"/>
        </w:rPr>
        <w:t xml:space="preserve"> данни от</w:t>
      </w:r>
      <w:r>
        <w:rPr>
          <w:rFonts w:ascii="Times New Roman" w:eastAsia="Times New Roman" w:hAnsi="Times New Roman" w:cs="Times New Roman"/>
          <w:sz w:val="24"/>
          <w:szCs w:val="24"/>
        </w:rPr>
        <w:t xml:space="preserve"> наличните </w:t>
      </w:r>
      <w:r w:rsidRPr="00E9562E">
        <w:rPr>
          <w:rFonts w:ascii="Times New Roman" w:eastAsia="Times New Roman" w:hAnsi="Times New Roman" w:cs="Times New Roman"/>
          <w:sz w:val="24"/>
          <w:szCs w:val="24"/>
        </w:rPr>
        <w:t xml:space="preserve"> информационни системи</w:t>
      </w:r>
      <w:r>
        <w:rPr>
          <w:rFonts w:ascii="Times New Roman" w:eastAsia="Times New Roman" w:hAnsi="Times New Roman" w:cs="Times New Roman"/>
          <w:sz w:val="24"/>
          <w:szCs w:val="24"/>
        </w:rPr>
        <w:t>;</w:t>
      </w:r>
      <w:r w:rsidRPr="00E9562E">
        <w:rPr>
          <w:rFonts w:ascii="Times New Roman" w:eastAsia="Times New Roman" w:hAnsi="Times New Roman" w:cs="Times New Roman"/>
          <w:sz w:val="24"/>
          <w:szCs w:val="24"/>
        </w:rPr>
        <w:t xml:space="preserve"> </w:t>
      </w:r>
    </w:p>
    <w:p w14:paraId="4648A026" w14:textId="4EBB778D" w:rsidR="00CB0A97" w:rsidRPr="00E9562E" w:rsidRDefault="00CB0A97" w:rsidP="00DD69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засилен</w:t>
      </w:r>
      <w:r w:rsidRPr="00E9562E">
        <w:rPr>
          <w:rFonts w:ascii="Times New Roman" w:eastAsia="Times New Roman" w:hAnsi="Times New Roman" w:cs="Times New Roman"/>
          <w:bCs/>
          <w:sz w:val="24"/>
          <w:szCs w:val="24"/>
        </w:rPr>
        <w:t xml:space="preserve"> постоянен надзор </w:t>
      </w:r>
      <w:r>
        <w:rPr>
          <w:rFonts w:ascii="Times New Roman" w:eastAsia="Times New Roman" w:hAnsi="Times New Roman" w:cs="Times New Roman"/>
          <w:bCs/>
          <w:sz w:val="24"/>
          <w:szCs w:val="24"/>
        </w:rPr>
        <w:t>за ефективно</w:t>
      </w:r>
      <w:r w:rsidRPr="00E9562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право</w:t>
      </w:r>
      <w:r w:rsidRPr="00E9562E">
        <w:rPr>
          <w:rFonts w:ascii="Times New Roman" w:eastAsia="Times New Roman" w:hAnsi="Times New Roman" w:cs="Times New Roman"/>
          <w:bCs/>
          <w:sz w:val="24"/>
          <w:szCs w:val="24"/>
        </w:rPr>
        <w:t>прилагането</w:t>
      </w:r>
      <w:r w:rsidRPr="00E9562E">
        <w:rPr>
          <w:rFonts w:ascii="Times New Roman" w:eastAsia="Times New Roman" w:hAnsi="Times New Roman" w:cs="Times New Roman"/>
          <w:sz w:val="24"/>
          <w:szCs w:val="24"/>
        </w:rPr>
        <w:t xml:space="preserve">: ако се установи, че определена разпоредба не работи или вреди на МСП, да се коригира своевременно. </w:t>
      </w:r>
    </w:p>
    <w:p w14:paraId="60997FA6" w14:textId="7D21999A" w:rsidR="00375498" w:rsidRDefault="00CB0A97" w:rsidP="009238CD">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Проведеният МСП-тест</w:t>
      </w:r>
      <w:r w:rsidRPr="008775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демонстрира важността на баланса между </w:t>
      </w:r>
      <w:r w:rsidRPr="008775B7">
        <w:rPr>
          <w:rFonts w:ascii="Times New Roman" w:eastAsia="Times New Roman" w:hAnsi="Times New Roman" w:cs="Times New Roman"/>
          <w:bCs/>
          <w:sz w:val="24"/>
          <w:szCs w:val="24"/>
        </w:rPr>
        <w:t>ефективната защита на слабите участници на пазара</w:t>
      </w:r>
      <w:r w:rsidR="009238CD">
        <w:rPr>
          <w:rFonts w:ascii="Times New Roman" w:eastAsia="Times New Roman" w:hAnsi="Times New Roman" w:cs="Times New Roman"/>
          <w:bCs/>
          <w:sz w:val="24"/>
          <w:szCs w:val="24"/>
        </w:rPr>
        <w:t xml:space="preserve"> и </w:t>
      </w:r>
      <w:r w:rsidRPr="008775B7">
        <w:rPr>
          <w:rFonts w:ascii="Times New Roman" w:eastAsia="Times New Roman" w:hAnsi="Times New Roman" w:cs="Times New Roman"/>
          <w:bCs/>
          <w:sz w:val="24"/>
          <w:szCs w:val="24"/>
        </w:rPr>
        <w:t>миним</w:t>
      </w:r>
      <w:r>
        <w:rPr>
          <w:rFonts w:ascii="Times New Roman" w:eastAsia="Times New Roman" w:hAnsi="Times New Roman" w:cs="Times New Roman"/>
          <w:bCs/>
          <w:sz w:val="24"/>
          <w:szCs w:val="24"/>
        </w:rPr>
        <w:t xml:space="preserve">изирането на налаганата </w:t>
      </w:r>
      <w:r w:rsidRPr="008775B7">
        <w:rPr>
          <w:rFonts w:ascii="Times New Roman" w:eastAsia="Times New Roman" w:hAnsi="Times New Roman" w:cs="Times New Roman"/>
          <w:bCs/>
          <w:sz w:val="24"/>
          <w:szCs w:val="24"/>
        </w:rPr>
        <w:t>административна тежест</w:t>
      </w:r>
      <w:r w:rsidRPr="008775B7">
        <w:rPr>
          <w:rFonts w:ascii="Times New Roman" w:eastAsia="Times New Roman" w:hAnsi="Times New Roman" w:cs="Times New Roman"/>
          <w:sz w:val="24"/>
          <w:szCs w:val="24"/>
        </w:rPr>
        <w:t>. Данните сочат, че българското земеделие и търговия са силно фрагментирани и</w:t>
      </w:r>
      <w:r w:rsidR="009238CD">
        <w:rPr>
          <w:rFonts w:ascii="Times New Roman" w:eastAsia="Times New Roman" w:hAnsi="Times New Roman" w:cs="Times New Roman"/>
          <w:sz w:val="24"/>
          <w:szCs w:val="24"/>
        </w:rPr>
        <w:t xml:space="preserve"> се</w:t>
      </w:r>
      <w:r w:rsidRPr="008775B7">
        <w:rPr>
          <w:rFonts w:ascii="Times New Roman" w:eastAsia="Times New Roman" w:hAnsi="Times New Roman" w:cs="Times New Roman"/>
          <w:sz w:val="24"/>
          <w:szCs w:val="24"/>
        </w:rPr>
        <w:t xml:space="preserve"> </w:t>
      </w:r>
      <w:r w:rsidR="005C01E8">
        <w:rPr>
          <w:rFonts w:ascii="Times New Roman" w:eastAsia="Times New Roman" w:hAnsi="Times New Roman" w:cs="Times New Roman"/>
          <w:sz w:val="24"/>
          <w:szCs w:val="24"/>
        </w:rPr>
        <w:t>характеризира</w:t>
      </w:r>
      <w:r w:rsidR="005C01E8" w:rsidRPr="008775B7">
        <w:rPr>
          <w:rFonts w:ascii="Times New Roman" w:eastAsia="Times New Roman" w:hAnsi="Times New Roman" w:cs="Times New Roman"/>
          <w:sz w:val="24"/>
          <w:szCs w:val="24"/>
        </w:rPr>
        <w:t xml:space="preserve"> </w:t>
      </w:r>
      <w:r w:rsidR="009238CD">
        <w:rPr>
          <w:rFonts w:ascii="Times New Roman" w:eastAsia="Times New Roman" w:hAnsi="Times New Roman" w:cs="Times New Roman"/>
          <w:sz w:val="24"/>
          <w:szCs w:val="24"/>
        </w:rPr>
        <w:t>с</w:t>
      </w:r>
      <w:r w:rsidRPr="008775B7">
        <w:rPr>
          <w:rFonts w:ascii="Times New Roman" w:eastAsia="Times New Roman" w:hAnsi="Times New Roman" w:cs="Times New Roman"/>
          <w:sz w:val="24"/>
          <w:szCs w:val="24"/>
        </w:rPr>
        <w:t xml:space="preserve"> </w:t>
      </w:r>
      <w:r w:rsidR="005C01E8">
        <w:rPr>
          <w:rFonts w:ascii="Times New Roman" w:eastAsia="Times New Roman" w:hAnsi="Times New Roman" w:cs="Times New Roman"/>
          <w:sz w:val="24"/>
          <w:szCs w:val="24"/>
        </w:rPr>
        <w:t xml:space="preserve">висока численост на </w:t>
      </w:r>
      <w:r w:rsidRPr="008775B7">
        <w:rPr>
          <w:rFonts w:ascii="Times New Roman" w:eastAsia="Times New Roman" w:hAnsi="Times New Roman" w:cs="Times New Roman"/>
          <w:sz w:val="24"/>
          <w:szCs w:val="24"/>
        </w:rPr>
        <w:t>микро предприятия</w:t>
      </w:r>
      <w:r w:rsidR="005C01E8">
        <w:rPr>
          <w:rFonts w:ascii="Times New Roman" w:eastAsia="Times New Roman" w:hAnsi="Times New Roman" w:cs="Times New Roman"/>
          <w:sz w:val="24"/>
          <w:szCs w:val="24"/>
        </w:rPr>
        <w:t>та</w:t>
      </w:r>
      <w:r w:rsidRPr="008775B7">
        <w:rPr>
          <w:rFonts w:ascii="Times New Roman" w:eastAsia="Times New Roman" w:hAnsi="Times New Roman" w:cs="Times New Roman"/>
          <w:sz w:val="24"/>
          <w:szCs w:val="24"/>
        </w:rPr>
        <w:t xml:space="preserve">, което налага регулаторните </w:t>
      </w:r>
      <w:r>
        <w:rPr>
          <w:rFonts w:ascii="Times New Roman" w:eastAsia="Times New Roman" w:hAnsi="Times New Roman" w:cs="Times New Roman"/>
          <w:sz w:val="24"/>
          <w:szCs w:val="24"/>
        </w:rPr>
        <w:t>мерки</w:t>
      </w:r>
      <w:r w:rsidRPr="008775B7">
        <w:rPr>
          <w:rFonts w:ascii="Times New Roman" w:eastAsia="Times New Roman" w:hAnsi="Times New Roman" w:cs="Times New Roman"/>
          <w:sz w:val="24"/>
          <w:szCs w:val="24"/>
        </w:rPr>
        <w:t xml:space="preserve"> да бъдат </w:t>
      </w:r>
      <w:r w:rsidRPr="008775B7">
        <w:rPr>
          <w:rFonts w:ascii="Times New Roman" w:eastAsia="Times New Roman" w:hAnsi="Times New Roman" w:cs="Times New Roman"/>
          <w:bCs/>
          <w:sz w:val="24"/>
          <w:szCs w:val="24"/>
        </w:rPr>
        <w:t>пропорционални и внимателно дозирани</w:t>
      </w:r>
      <w:r w:rsidRPr="008775B7">
        <w:rPr>
          <w:rFonts w:ascii="Times New Roman" w:eastAsia="Times New Roman" w:hAnsi="Times New Roman" w:cs="Times New Roman"/>
          <w:sz w:val="24"/>
          <w:szCs w:val="24"/>
        </w:rPr>
        <w:t xml:space="preserve">. </w:t>
      </w:r>
    </w:p>
    <w:p w14:paraId="04476863" w14:textId="77777777" w:rsidR="00CB0A97" w:rsidRDefault="00CB0A97" w:rsidP="00DE2073">
      <w:pPr>
        <w:spacing w:after="0"/>
        <w:ind w:firstLine="567"/>
        <w:jc w:val="both"/>
        <w:rPr>
          <w:rFonts w:ascii="Times New Roman" w:hAnsi="Times New Roman" w:cs="Times New Roman"/>
          <w:sz w:val="24"/>
          <w:szCs w:val="24"/>
        </w:rPr>
      </w:pPr>
    </w:p>
    <w:p w14:paraId="32FACFC5" w14:textId="77777777" w:rsidR="00D62206" w:rsidRPr="007B4A99" w:rsidRDefault="00D62206" w:rsidP="008D0E15">
      <w:pPr>
        <w:pStyle w:val="Heading2"/>
        <w:numPr>
          <w:ilvl w:val="1"/>
          <w:numId w:val="1"/>
        </w:numPr>
        <w:tabs>
          <w:tab w:val="left" w:pos="900"/>
        </w:tabs>
        <w:ind w:left="360" w:firstLine="0"/>
        <w:rPr>
          <w:rFonts w:ascii="Times New Roman" w:hAnsi="Times New Roman"/>
        </w:rPr>
      </w:pPr>
      <w:bookmarkStart w:id="31" w:name="_Toc198633091"/>
      <w:r w:rsidRPr="007B4A99">
        <w:rPr>
          <w:rFonts w:ascii="Times New Roman" w:hAnsi="Times New Roman"/>
        </w:rPr>
        <w:t>Описание на разходите и ползите</w:t>
      </w:r>
      <w:r w:rsidR="00FB588D" w:rsidRPr="007B4A99">
        <w:rPr>
          <w:rFonts w:ascii="Times New Roman" w:hAnsi="Times New Roman"/>
        </w:rPr>
        <w:t xml:space="preserve"> върху заинтересованите страни</w:t>
      </w:r>
      <w:bookmarkEnd w:id="31"/>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D91104" w:rsidRPr="007B4A99" w14:paraId="03CE0EA2" w14:textId="77777777" w:rsidTr="00DD69D5">
        <w:tc>
          <w:tcPr>
            <w:tcW w:w="8702" w:type="dxa"/>
          </w:tcPr>
          <w:p w14:paraId="77CF8EFE" w14:textId="77777777" w:rsidR="00D91104" w:rsidRPr="007B4A99" w:rsidRDefault="00D91104" w:rsidP="00D91104">
            <w:pPr>
              <w:spacing w:before="120" w:after="240"/>
              <w:jc w:val="both"/>
              <w:rPr>
                <w:rFonts w:ascii="Times New Roman" w:eastAsia="Calibri" w:hAnsi="Times New Roman" w:cs="Times New Roman"/>
                <w:i/>
                <w:color w:val="1F4E79"/>
                <w:sz w:val="16"/>
                <w:szCs w:val="16"/>
              </w:rPr>
            </w:pPr>
            <w:r w:rsidRPr="007B4A99">
              <w:rPr>
                <w:rFonts w:ascii="Times New Roman" w:eastAsia="Calibri" w:hAnsi="Times New Roman" w:cs="Times New Roman"/>
                <w:i/>
                <w:color w:val="1F4E79"/>
                <w:sz w:val="16"/>
                <w:szCs w:val="16"/>
              </w:rPr>
              <w:t xml:space="preserve">[Разходите и ползите са три основни групи: </w:t>
            </w:r>
          </w:p>
          <w:p w14:paraId="70ADAB6B" w14:textId="77777777" w:rsidR="00D91104" w:rsidRPr="007B4A99" w:rsidRDefault="00D91104" w:rsidP="00893B6A">
            <w:pPr>
              <w:numPr>
                <w:ilvl w:val="0"/>
                <w:numId w:val="5"/>
              </w:numPr>
              <w:spacing w:before="120" w:after="240"/>
              <w:ind w:left="0"/>
              <w:jc w:val="both"/>
              <w:rPr>
                <w:rFonts w:ascii="Times New Roman" w:eastAsia="Calibri" w:hAnsi="Times New Roman" w:cs="Times New Roman"/>
                <w:i/>
                <w:color w:val="1F4E79"/>
                <w:sz w:val="16"/>
                <w:szCs w:val="16"/>
              </w:rPr>
            </w:pPr>
            <w:r w:rsidRPr="007B4A99">
              <w:rPr>
                <w:rFonts w:ascii="Times New Roman" w:eastAsia="Calibri" w:hAnsi="Times New Roman" w:cs="Times New Roman"/>
                <w:i/>
                <w:color w:val="1F4E79"/>
                <w:sz w:val="16"/>
                <w:szCs w:val="16"/>
              </w:rPr>
              <w:t>Разходи и ползи, които могат да бъдат остойностени (измерени в парични единици)</w:t>
            </w:r>
          </w:p>
          <w:p w14:paraId="51961F88" w14:textId="77777777" w:rsidR="00D91104" w:rsidRPr="007B4A99" w:rsidRDefault="00D91104" w:rsidP="00893B6A">
            <w:pPr>
              <w:numPr>
                <w:ilvl w:val="0"/>
                <w:numId w:val="5"/>
              </w:numPr>
              <w:spacing w:before="120" w:after="240"/>
              <w:ind w:left="0"/>
              <w:jc w:val="both"/>
              <w:rPr>
                <w:rFonts w:ascii="Times New Roman" w:eastAsia="Calibri" w:hAnsi="Times New Roman" w:cs="Times New Roman"/>
                <w:i/>
                <w:color w:val="1F4E79"/>
                <w:sz w:val="16"/>
                <w:szCs w:val="16"/>
              </w:rPr>
            </w:pPr>
            <w:r w:rsidRPr="007B4A99">
              <w:rPr>
                <w:rFonts w:ascii="Times New Roman" w:eastAsia="Calibri" w:hAnsi="Times New Roman" w:cs="Times New Roman"/>
                <w:i/>
                <w:color w:val="1F4E79"/>
                <w:sz w:val="16"/>
                <w:szCs w:val="16"/>
              </w:rPr>
              <w:t xml:space="preserve">Разходи и ползи, които могат да бъдат измерени в натурални (физически единици), но не могат да бъдат остойностени </w:t>
            </w:r>
          </w:p>
          <w:p w14:paraId="07448165" w14:textId="77777777" w:rsidR="00D91104" w:rsidRPr="007B4A99" w:rsidRDefault="00D91104" w:rsidP="00893B6A">
            <w:pPr>
              <w:numPr>
                <w:ilvl w:val="0"/>
                <w:numId w:val="5"/>
              </w:numPr>
              <w:spacing w:before="120" w:after="240"/>
              <w:ind w:left="0"/>
              <w:jc w:val="both"/>
              <w:rPr>
                <w:rFonts w:ascii="Times New Roman" w:eastAsia="Calibri" w:hAnsi="Times New Roman" w:cs="Times New Roman"/>
                <w:i/>
                <w:color w:val="1F4E79"/>
                <w:sz w:val="16"/>
                <w:szCs w:val="16"/>
              </w:rPr>
            </w:pPr>
            <w:r w:rsidRPr="007B4A99">
              <w:rPr>
                <w:rFonts w:ascii="Times New Roman" w:eastAsia="Calibri" w:hAnsi="Times New Roman" w:cs="Times New Roman"/>
                <w:i/>
                <w:color w:val="1F4E79"/>
                <w:sz w:val="16"/>
                <w:szCs w:val="16"/>
              </w:rPr>
              <w:t>Разходи и ползи, които не могат да бъдат остойностени измерени в натурални (физически единици)</w:t>
            </w:r>
          </w:p>
          <w:p w14:paraId="6A24C320" w14:textId="77777777" w:rsidR="00D91104" w:rsidRPr="007B4A99" w:rsidRDefault="00D91104" w:rsidP="00D91104">
            <w:pPr>
              <w:spacing w:before="120" w:after="240"/>
              <w:jc w:val="both"/>
              <w:rPr>
                <w:rFonts w:ascii="Times New Roman" w:eastAsia="Calibri" w:hAnsi="Times New Roman" w:cs="Times New Roman"/>
                <w:i/>
                <w:color w:val="1F4E79"/>
                <w:sz w:val="16"/>
                <w:szCs w:val="16"/>
              </w:rPr>
            </w:pPr>
            <w:r w:rsidRPr="007B4A99">
              <w:rPr>
                <w:rFonts w:ascii="Times New Roman" w:eastAsia="Calibri" w:hAnsi="Times New Roman" w:cs="Times New Roman"/>
                <w:i/>
                <w:color w:val="1F4E79"/>
                <w:sz w:val="16"/>
                <w:szCs w:val="16"/>
              </w:rPr>
              <w:t>Когато е невъзможно да бъде представена количествената характеристика на регулаторните разходи и ползи, те се описват качествено.]</w:t>
            </w:r>
          </w:p>
          <w:p w14:paraId="1F5E8EC0" w14:textId="77777777" w:rsidR="00D91104" w:rsidRPr="007B4A99" w:rsidRDefault="00D91104" w:rsidP="00D91104">
            <w:pPr>
              <w:jc w:val="both"/>
              <w:rPr>
                <w:rFonts w:ascii="Times New Roman" w:eastAsia="Calibri" w:hAnsi="Times New Roman" w:cs="Times New Roman"/>
                <w:i/>
                <w:sz w:val="16"/>
                <w:szCs w:val="16"/>
              </w:rPr>
            </w:pPr>
            <w:r w:rsidRPr="007B4A99">
              <w:rPr>
                <w:rFonts w:ascii="Times New Roman" w:eastAsia="Calibri" w:hAnsi="Times New Roman" w:cs="Times New Roman"/>
                <w:i/>
                <w:sz w:val="16"/>
                <w:szCs w:val="16"/>
              </w:rPr>
              <w:t>Опишете на негативните (разходите) и положителните (ползите) въздействия за всяка от заинтересованите страни, за всеки от вариантите при решаване на всеки проблем.</w:t>
            </w:r>
          </w:p>
          <w:p w14:paraId="0997135A" w14:textId="77777777" w:rsidR="00D91104" w:rsidRPr="007B4A99" w:rsidRDefault="00D91104" w:rsidP="00D91104">
            <w:pPr>
              <w:spacing w:before="120" w:after="240"/>
              <w:jc w:val="both"/>
              <w:rPr>
                <w:rFonts w:ascii="Times New Roman" w:eastAsia="Calibri" w:hAnsi="Times New Roman" w:cs="Times New Roman"/>
                <w:i/>
                <w:color w:val="1F4E79"/>
                <w:sz w:val="20"/>
                <w:szCs w:val="20"/>
              </w:rPr>
            </w:pPr>
            <w:r w:rsidRPr="007B4A99">
              <w:rPr>
                <w:rFonts w:ascii="Times New Roman" w:eastAsia="Calibri" w:hAnsi="Times New Roman" w:cs="Times New Roman"/>
                <w:color w:val="1F4E79"/>
                <w:sz w:val="16"/>
                <w:szCs w:val="16"/>
              </w:rPr>
              <w:t>Опишете в следната поредност:</w:t>
            </w:r>
          </w:p>
        </w:tc>
      </w:tr>
    </w:tbl>
    <w:p w14:paraId="465B9526" w14:textId="77777777" w:rsidR="00CB0A97" w:rsidRDefault="00CB0A97" w:rsidP="00CB0A97">
      <w:pPr>
        <w:spacing w:after="0" w:line="240" w:lineRule="auto"/>
        <w:ind w:firstLine="567"/>
        <w:jc w:val="both"/>
        <w:rPr>
          <w:rFonts w:ascii="Times New Roman" w:eastAsia="Times New Roman" w:hAnsi="Times New Roman" w:cs="Times New Roman"/>
          <w:sz w:val="24"/>
          <w:szCs w:val="24"/>
        </w:rPr>
      </w:pPr>
    </w:p>
    <w:p w14:paraId="306B53DC" w14:textId="1D913E97" w:rsidR="009F44BC" w:rsidRPr="007B4A99" w:rsidRDefault="009F44BC" w:rsidP="009F44BC">
      <w:pPr>
        <w:jc w:val="center"/>
        <w:rPr>
          <w:rFonts w:ascii="Times New Roman" w:eastAsia="Calibri" w:hAnsi="Times New Roman" w:cs="Times New Roman"/>
          <w:b/>
          <w:color w:val="1F4E79"/>
          <w:sz w:val="24"/>
          <w:szCs w:val="24"/>
        </w:rPr>
      </w:pPr>
      <w:r w:rsidRPr="007B4A99">
        <w:rPr>
          <w:rFonts w:ascii="Times New Roman" w:eastAsia="Calibri" w:hAnsi="Times New Roman" w:cs="Times New Roman"/>
          <w:b/>
          <w:color w:val="000000" w:themeColor="text1"/>
          <w:sz w:val="24"/>
          <w:szCs w:val="24"/>
        </w:rPr>
        <w:t xml:space="preserve">Таблица № </w:t>
      </w:r>
      <w:r w:rsidR="008C0E40">
        <w:rPr>
          <w:rFonts w:ascii="Times New Roman" w:eastAsia="Calibri" w:hAnsi="Times New Roman" w:cs="Times New Roman"/>
          <w:b/>
          <w:color w:val="000000" w:themeColor="text1"/>
          <w:sz w:val="24"/>
          <w:szCs w:val="24"/>
        </w:rPr>
        <w:t>12</w:t>
      </w:r>
      <w:r w:rsidRPr="007B4A99">
        <w:rPr>
          <w:rFonts w:ascii="Times New Roman" w:eastAsia="Calibri" w:hAnsi="Times New Roman" w:cs="Times New Roman"/>
          <w:b/>
          <w:color w:val="000000" w:themeColor="text1"/>
          <w:sz w:val="24"/>
          <w:szCs w:val="24"/>
        </w:rPr>
        <w:t>. Разходи и ползи за заинтересованите страни</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560"/>
        <w:gridCol w:w="1842"/>
        <w:gridCol w:w="1701"/>
        <w:gridCol w:w="1985"/>
      </w:tblGrid>
      <w:tr w:rsidR="009F44BC" w:rsidRPr="007B4A99" w14:paraId="7110542C" w14:textId="77777777" w:rsidTr="009F44BC">
        <w:trPr>
          <w:jc w:val="center"/>
        </w:trPr>
        <w:tc>
          <w:tcPr>
            <w:tcW w:w="8784" w:type="dxa"/>
            <w:gridSpan w:val="5"/>
            <w:shd w:val="clear" w:color="auto" w:fill="DBDBDB"/>
          </w:tcPr>
          <w:p w14:paraId="207CDBFE" w14:textId="77777777" w:rsidR="009F44BC" w:rsidRPr="009F44BC" w:rsidRDefault="009F44BC" w:rsidP="00364174">
            <w:pPr>
              <w:spacing w:before="120" w:after="120"/>
              <w:jc w:val="center"/>
              <w:rPr>
                <w:rFonts w:ascii="Times New Roman" w:eastAsia="Calibri" w:hAnsi="Times New Roman" w:cs="Times New Roman"/>
                <w:b/>
                <w:i/>
                <w:lang w:val="ru-RU"/>
              </w:rPr>
            </w:pPr>
            <w:r w:rsidRPr="009F44BC">
              <w:rPr>
                <w:rFonts w:ascii="Times New Roman" w:eastAsia="Calibri" w:hAnsi="Times New Roman" w:cs="Times New Roman"/>
                <w:b/>
                <w:i/>
                <w:lang w:val="ru-RU"/>
              </w:rPr>
              <w:t>Проблем: Липса на цялостна рамка от мерки на национално ниво, която гарантира прозрачност, проследяемост и равнопоставеност в отношенията между участниците във веригата на доставки на земеделски продукти и храни</w:t>
            </w:r>
          </w:p>
        </w:tc>
      </w:tr>
      <w:tr w:rsidR="009F44BC" w:rsidRPr="007B4A99" w14:paraId="24604F9A" w14:textId="77777777" w:rsidTr="001A4DA6">
        <w:trPr>
          <w:jc w:val="center"/>
        </w:trPr>
        <w:tc>
          <w:tcPr>
            <w:tcW w:w="1696" w:type="dxa"/>
            <w:shd w:val="clear" w:color="auto" w:fill="DBDBDB"/>
          </w:tcPr>
          <w:p w14:paraId="1A79FEF8" w14:textId="77777777" w:rsidR="009F44BC" w:rsidRPr="005015F3" w:rsidRDefault="009F44BC" w:rsidP="00364174">
            <w:pPr>
              <w:spacing w:before="120" w:after="120"/>
              <w:jc w:val="both"/>
              <w:rPr>
                <w:rFonts w:ascii="Times New Roman" w:eastAsia="Calibri" w:hAnsi="Times New Roman" w:cs="Times New Roman"/>
                <w:b/>
                <w:i/>
                <w:noProof/>
              </w:rPr>
            </w:pPr>
          </w:p>
        </w:tc>
        <w:tc>
          <w:tcPr>
            <w:tcW w:w="1560" w:type="dxa"/>
            <w:shd w:val="clear" w:color="auto" w:fill="DEEAF6"/>
          </w:tcPr>
          <w:p w14:paraId="5537219F" w14:textId="77777777" w:rsidR="009F44BC" w:rsidRPr="005015F3" w:rsidRDefault="009F44BC" w:rsidP="00364174">
            <w:pPr>
              <w:spacing w:before="120" w:after="120"/>
              <w:contextualSpacing/>
              <w:jc w:val="center"/>
              <w:rPr>
                <w:rFonts w:ascii="Times New Roman" w:eastAsia="Calibri" w:hAnsi="Times New Roman" w:cs="Times New Roman"/>
                <w:b/>
                <w:i/>
                <w:noProof/>
              </w:rPr>
            </w:pPr>
            <w:r w:rsidRPr="005015F3">
              <w:rPr>
                <w:rFonts w:ascii="Times New Roman" w:eastAsia="Calibri" w:hAnsi="Times New Roman" w:cs="Times New Roman"/>
                <w:b/>
                <w:i/>
                <w:noProof/>
              </w:rPr>
              <w:t>Вариант 0:</w:t>
            </w:r>
          </w:p>
          <w:p w14:paraId="3F11AD13" w14:textId="77777777" w:rsidR="009F44BC" w:rsidRPr="005015F3" w:rsidRDefault="009F44BC" w:rsidP="00364174">
            <w:pPr>
              <w:spacing w:before="120" w:after="120"/>
              <w:contextualSpacing/>
              <w:jc w:val="center"/>
              <w:rPr>
                <w:rFonts w:ascii="Times New Roman" w:eastAsia="Calibri" w:hAnsi="Times New Roman" w:cs="Times New Roman"/>
                <w:b/>
                <w:i/>
                <w:noProof/>
              </w:rPr>
            </w:pPr>
            <w:r w:rsidRPr="005015F3">
              <w:rPr>
                <w:rFonts w:ascii="Times New Roman" w:eastAsia="Calibri" w:hAnsi="Times New Roman" w:cs="Times New Roman"/>
                <w:b/>
                <w:i/>
                <w:noProof/>
              </w:rPr>
              <w:t>„Без действие“</w:t>
            </w:r>
          </w:p>
        </w:tc>
        <w:tc>
          <w:tcPr>
            <w:tcW w:w="1842" w:type="dxa"/>
            <w:shd w:val="clear" w:color="auto" w:fill="BDD6EE"/>
          </w:tcPr>
          <w:p w14:paraId="2429835A" w14:textId="77777777" w:rsidR="009F44BC" w:rsidRPr="005015F3" w:rsidRDefault="009F44BC" w:rsidP="00364174">
            <w:pPr>
              <w:spacing w:before="120" w:after="120"/>
              <w:contextualSpacing/>
              <w:jc w:val="center"/>
              <w:rPr>
                <w:rFonts w:ascii="Times New Roman" w:eastAsia="Calibri" w:hAnsi="Times New Roman" w:cs="Times New Roman"/>
                <w:b/>
                <w:i/>
                <w:noProof/>
              </w:rPr>
            </w:pPr>
            <w:r w:rsidRPr="005015F3">
              <w:rPr>
                <w:rFonts w:ascii="Times New Roman" w:eastAsia="Calibri" w:hAnsi="Times New Roman" w:cs="Times New Roman"/>
                <w:b/>
                <w:i/>
                <w:noProof/>
              </w:rPr>
              <w:t>Вариант 1:</w:t>
            </w:r>
            <w:r w:rsidRPr="005015F3">
              <w:rPr>
                <w:rFonts w:ascii="Calibri" w:eastAsia="Calibri" w:hAnsi="Calibri" w:cs="Times New Roman"/>
                <w:noProof/>
              </w:rPr>
              <w:t xml:space="preserve"> </w:t>
            </w:r>
            <w:r w:rsidRPr="005015F3">
              <w:rPr>
                <w:rFonts w:ascii="Times New Roman" w:eastAsia="Calibri" w:hAnsi="Times New Roman" w:cs="Times New Roman"/>
                <w:b/>
                <w:i/>
                <w:noProof/>
              </w:rPr>
              <w:t>„Нерегулаторен“</w:t>
            </w:r>
          </w:p>
        </w:tc>
        <w:tc>
          <w:tcPr>
            <w:tcW w:w="1701" w:type="dxa"/>
            <w:shd w:val="clear" w:color="auto" w:fill="9CC2E5"/>
          </w:tcPr>
          <w:p w14:paraId="67A0D82D" w14:textId="77777777" w:rsidR="009F44BC" w:rsidRPr="005015F3" w:rsidRDefault="009F44BC" w:rsidP="00364174">
            <w:pPr>
              <w:spacing w:before="120" w:after="120"/>
              <w:contextualSpacing/>
              <w:jc w:val="center"/>
              <w:rPr>
                <w:rFonts w:ascii="Times New Roman" w:eastAsia="Calibri" w:hAnsi="Times New Roman" w:cs="Times New Roman"/>
                <w:b/>
                <w:i/>
                <w:noProof/>
              </w:rPr>
            </w:pPr>
            <w:r w:rsidRPr="005015F3">
              <w:rPr>
                <w:rFonts w:ascii="Times New Roman" w:eastAsia="Calibri" w:hAnsi="Times New Roman" w:cs="Times New Roman"/>
                <w:b/>
                <w:i/>
                <w:noProof/>
              </w:rPr>
              <w:t>Вариант 2:</w:t>
            </w:r>
            <w:r w:rsidRPr="005015F3">
              <w:rPr>
                <w:rFonts w:ascii="Calibri" w:eastAsia="Calibri" w:hAnsi="Calibri" w:cs="Times New Roman"/>
                <w:noProof/>
              </w:rPr>
              <w:t xml:space="preserve"> </w:t>
            </w:r>
            <w:r w:rsidRPr="005015F3">
              <w:rPr>
                <w:rFonts w:ascii="Times New Roman" w:eastAsia="Calibri" w:hAnsi="Times New Roman" w:cs="Times New Roman"/>
                <w:b/>
                <w:i/>
                <w:noProof/>
              </w:rPr>
              <w:t>„Регулаторен - промени в действащата правна уредба“</w:t>
            </w:r>
          </w:p>
        </w:tc>
        <w:tc>
          <w:tcPr>
            <w:tcW w:w="1985" w:type="dxa"/>
            <w:shd w:val="clear" w:color="auto" w:fill="2E74B5"/>
          </w:tcPr>
          <w:p w14:paraId="2092374D" w14:textId="77777777" w:rsidR="009F44BC" w:rsidRPr="005015F3" w:rsidRDefault="009F44BC" w:rsidP="00364174">
            <w:pPr>
              <w:spacing w:before="120" w:after="120"/>
              <w:contextualSpacing/>
              <w:jc w:val="center"/>
              <w:rPr>
                <w:rFonts w:ascii="Times New Roman" w:eastAsia="Calibri" w:hAnsi="Times New Roman" w:cs="Times New Roman"/>
                <w:b/>
                <w:i/>
                <w:noProof/>
              </w:rPr>
            </w:pPr>
            <w:r w:rsidRPr="005015F3">
              <w:rPr>
                <w:rFonts w:ascii="Times New Roman" w:eastAsia="Calibri" w:hAnsi="Times New Roman" w:cs="Times New Roman"/>
                <w:b/>
                <w:i/>
                <w:noProof/>
              </w:rPr>
              <w:t>Вариант 3: „Регулаторен – изцяло нов специален закон“</w:t>
            </w:r>
          </w:p>
        </w:tc>
      </w:tr>
      <w:tr w:rsidR="009F44BC" w:rsidRPr="00EC2B08" w14:paraId="7725C1C5" w14:textId="77777777" w:rsidTr="001A4DA6">
        <w:trPr>
          <w:jc w:val="center"/>
        </w:trPr>
        <w:tc>
          <w:tcPr>
            <w:tcW w:w="1696" w:type="dxa"/>
            <w:shd w:val="clear" w:color="auto" w:fill="DBDBDB"/>
          </w:tcPr>
          <w:p w14:paraId="1DDA9D7D" w14:textId="77777777" w:rsidR="009F44BC" w:rsidRPr="005015F3" w:rsidRDefault="009F44BC" w:rsidP="00364174">
            <w:pPr>
              <w:spacing w:before="120" w:after="120"/>
              <w:rPr>
                <w:rFonts w:ascii="Times New Roman" w:eastAsia="Calibri" w:hAnsi="Times New Roman" w:cs="Times New Roman"/>
                <w:b/>
                <w:i/>
                <w:noProof/>
              </w:rPr>
            </w:pPr>
            <w:r w:rsidRPr="005015F3">
              <w:rPr>
                <w:rFonts w:ascii="Times New Roman" w:eastAsia="Calibri" w:hAnsi="Times New Roman" w:cs="Times New Roman"/>
                <w:b/>
                <w:i/>
                <w:noProof/>
              </w:rPr>
              <w:t xml:space="preserve">Заинтересована страна/група 1: </w:t>
            </w:r>
            <w:r w:rsidRPr="005015F3">
              <w:rPr>
                <w:rFonts w:ascii="Times New Roman" w:eastAsia="Calibri" w:hAnsi="Times New Roman" w:cs="Times New Roman"/>
                <w:b/>
                <w:i/>
                <w:noProof/>
              </w:rPr>
              <w:lastRenderedPageBreak/>
              <w:t>Българските земеделски производители, доставчици и търговци на храни</w:t>
            </w:r>
          </w:p>
        </w:tc>
        <w:tc>
          <w:tcPr>
            <w:tcW w:w="1560" w:type="dxa"/>
            <w:shd w:val="clear" w:color="auto" w:fill="DEEAF6"/>
          </w:tcPr>
          <w:p w14:paraId="7D300835" w14:textId="3B900E3E" w:rsidR="001A4DA6" w:rsidRPr="005015F3" w:rsidRDefault="009F44BC" w:rsidP="00364174">
            <w:pPr>
              <w:rPr>
                <w:rFonts w:ascii="Times New Roman" w:eastAsia="Calibri" w:hAnsi="Times New Roman" w:cs="Times New Roman"/>
                <w:b/>
                <w:noProof/>
                <w:sz w:val="16"/>
                <w:szCs w:val="16"/>
              </w:rPr>
            </w:pPr>
            <w:r w:rsidRPr="005015F3">
              <w:rPr>
                <w:rFonts w:ascii="Times New Roman" w:eastAsia="Calibri" w:hAnsi="Times New Roman" w:cs="Times New Roman"/>
                <w:b/>
                <w:i/>
                <w:noProof/>
                <w:sz w:val="16"/>
                <w:szCs w:val="16"/>
              </w:rPr>
              <w:lastRenderedPageBreak/>
              <w:t xml:space="preserve">Разходи: </w:t>
            </w:r>
            <w:r w:rsidR="00EC2B08" w:rsidRPr="005015F3">
              <w:rPr>
                <w:rFonts w:ascii="Times New Roman" w:eastAsia="Calibri" w:hAnsi="Times New Roman" w:cs="Times New Roman"/>
                <w:b/>
                <w:noProof/>
                <w:sz w:val="16"/>
                <w:szCs w:val="16"/>
              </w:rPr>
              <w:t>з</w:t>
            </w:r>
            <w:r w:rsidR="001A4DA6" w:rsidRPr="005015F3">
              <w:rPr>
                <w:rFonts w:ascii="Times New Roman" w:eastAsia="Calibri" w:hAnsi="Times New Roman" w:cs="Times New Roman"/>
                <w:b/>
                <w:noProof/>
                <w:sz w:val="16"/>
                <w:szCs w:val="16"/>
              </w:rPr>
              <w:t>а</w:t>
            </w:r>
            <w:r w:rsidR="00EC2B08" w:rsidRPr="005015F3">
              <w:rPr>
                <w:rFonts w:ascii="Times New Roman" w:eastAsia="Calibri" w:hAnsi="Times New Roman" w:cs="Times New Roman"/>
                <w:b/>
                <w:noProof/>
                <w:sz w:val="16"/>
                <w:szCs w:val="16"/>
              </w:rPr>
              <w:t xml:space="preserve">пазвне на </w:t>
            </w:r>
            <w:r w:rsidR="001A4DA6" w:rsidRPr="005015F3">
              <w:rPr>
                <w:rFonts w:ascii="Times New Roman" w:eastAsia="Calibri" w:hAnsi="Times New Roman" w:cs="Times New Roman"/>
                <w:b/>
                <w:noProof/>
                <w:sz w:val="16"/>
                <w:szCs w:val="16"/>
              </w:rPr>
              <w:t xml:space="preserve">неравнставеността и непропорционалното разпределение </w:t>
            </w:r>
            <w:r w:rsidR="001A4DA6" w:rsidRPr="005015F3">
              <w:rPr>
                <w:rFonts w:ascii="Times New Roman" w:eastAsia="Calibri" w:hAnsi="Times New Roman" w:cs="Times New Roman"/>
                <w:b/>
                <w:noProof/>
                <w:sz w:val="16"/>
                <w:szCs w:val="16"/>
              </w:rPr>
              <w:lastRenderedPageBreak/>
              <w:t>на добавената стойност по веригата на доставки</w:t>
            </w:r>
            <w:r w:rsidR="00DF1B7A" w:rsidRPr="005015F3">
              <w:rPr>
                <w:rFonts w:ascii="Times New Roman" w:eastAsia="Calibri" w:hAnsi="Times New Roman" w:cs="Times New Roman"/>
                <w:b/>
                <w:noProof/>
                <w:sz w:val="16"/>
                <w:szCs w:val="16"/>
              </w:rPr>
              <w:t>.</w:t>
            </w:r>
          </w:p>
          <w:p w14:paraId="1E0DFC81" w14:textId="77777777" w:rsidR="009F44BC" w:rsidRDefault="009F44BC" w:rsidP="00364174">
            <w:pPr>
              <w:rPr>
                <w:rFonts w:ascii="Times New Roman" w:eastAsia="Calibri" w:hAnsi="Times New Roman" w:cs="Times New Roman"/>
                <w:b/>
                <w:i/>
                <w:noProof/>
                <w:sz w:val="16"/>
                <w:szCs w:val="16"/>
              </w:rPr>
            </w:pPr>
          </w:p>
          <w:p w14:paraId="30BD3263" w14:textId="77777777" w:rsidR="005015F3" w:rsidRPr="005015F3" w:rsidRDefault="005015F3" w:rsidP="00364174">
            <w:pPr>
              <w:rPr>
                <w:rFonts w:ascii="Times New Roman" w:eastAsia="Calibri" w:hAnsi="Times New Roman" w:cs="Times New Roman"/>
                <w:b/>
                <w:i/>
                <w:noProof/>
                <w:sz w:val="16"/>
                <w:szCs w:val="16"/>
              </w:rPr>
            </w:pPr>
          </w:p>
          <w:p w14:paraId="199C9E9B" w14:textId="77777777" w:rsidR="009F44BC" w:rsidRPr="005015F3" w:rsidRDefault="009F44BC" w:rsidP="00364174">
            <w:pPr>
              <w:rPr>
                <w:rFonts w:ascii="Times New Roman" w:eastAsia="Calibri" w:hAnsi="Times New Roman" w:cs="Times New Roman"/>
                <w:b/>
                <w:i/>
                <w:noProof/>
                <w:sz w:val="16"/>
                <w:szCs w:val="16"/>
              </w:rPr>
            </w:pPr>
            <w:r w:rsidRPr="005015F3">
              <w:rPr>
                <w:rFonts w:ascii="Times New Roman" w:eastAsia="Calibri" w:hAnsi="Times New Roman" w:cs="Times New Roman"/>
                <w:b/>
                <w:i/>
                <w:noProof/>
                <w:sz w:val="16"/>
                <w:szCs w:val="16"/>
              </w:rPr>
              <w:t>Ползи: няма.</w:t>
            </w:r>
          </w:p>
        </w:tc>
        <w:tc>
          <w:tcPr>
            <w:tcW w:w="1842" w:type="dxa"/>
            <w:shd w:val="clear" w:color="auto" w:fill="BDD6EE"/>
          </w:tcPr>
          <w:p w14:paraId="287D6D90" w14:textId="054CD411" w:rsidR="009F44BC" w:rsidRPr="005015F3" w:rsidRDefault="00EC2B08" w:rsidP="00364174">
            <w:pPr>
              <w:rPr>
                <w:rFonts w:ascii="Times New Roman" w:eastAsia="Calibri" w:hAnsi="Times New Roman" w:cs="Times New Roman"/>
                <w:b/>
                <w:i/>
                <w:noProof/>
                <w:sz w:val="16"/>
                <w:szCs w:val="16"/>
              </w:rPr>
            </w:pPr>
            <w:r w:rsidRPr="005015F3">
              <w:rPr>
                <w:rFonts w:ascii="Times New Roman" w:eastAsia="Calibri" w:hAnsi="Times New Roman" w:cs="Times New Roman"/>
                <w:b/>
                <w:i/>
                <w:noProof/>
                <w:sz w:val="16"/>
                <w:szCs w:val="16"/>
              </w:rPr>
              <w:lastRenderedPageBreak/>
              <w:t xml:space="preserve">Разходи: </w:t>
            </w:r>
            <w:r w:rsidRPr="005015F3">
              <w:rPr>
                <w:rFonts w:ascii="Times New Roman" w:eastAsia="Calibri" w:hAnsi="Times New Roman" w:cs="Times New Roman"/>
                <w:b/>
                <w:noProof/>
                <w:sz w:val="16"/>
                <w:szCs w:val="16"/>
              </w:rPr>
              <w:t>минимални</w:t>
            </w:r>
            <w:r w:rsidR="009F44BC" w:rsidRPr="005015F3">
              <w:rPr>
                <w:rFonts w:ascii="Times New Roman" w:eastAsia="Calibri" w:hAnsi="Times New Roman" w:cs="Times New Roman"/>
                <w:b/>
                <w:noProof/>
                <w:sz w:val="16"/>
                <w:szCs w:val="16"/>
              </w:rPr>
              <w:t xml:space="preserve"> разходи за</w:t>
            </w:r>
            <w:r w:rsidR="00D3763A" w:rsidRPr="005015F3">
              <w:rPr>
                <w:rFonts w:ascii="Times New Roman" w:eastAsia="Calibri" w:hAnsi="Times New Roman" w:cs="Times New Roman"/>
                <w:b/>
                <w:noProof/>
                <w:sz w:val="16"/>
                <w:szCs w:val="16"/>
              </w:rPr>
              <w:t xml:space="preserve"> участие в срещи, свързани с прилагането </w:t>
            </w:r>
            <w:r w:rsidRPr="005015F3">
              <w:rPr>
                <w:rFonts w:ascii="Times New Roman" w:eastAsia="Calibri" w:hAnsi="Times New Roman" w:cs="Times New Roman"/>
                <w:b/>
                <w:noProof/>
                <w:sz w:val="16"/>
                <w:szCs w:val="16"/>
              </w:rPr>
              <w:t>на кодекси за поведение</w:t>
            </w:r>
            <w:r w:rsidR="00D3763A" w:rsidRPr="005015F3">
              <w:rPr>
                <w:rFonts w:ascii="Times New Roman" w:eastAsia="Calibri" w:hAnsi="Times New Roman" w:cs="Times New Roman"/>
                <w:b/>
                <w:noProof/>
                <w:sz w:val="16"/>
                <w:szCs w:val="16"/>
              </w:rPr>
              <w:t xml:space="preserve"> или подходи на </w:t>
            </w:r>
            <w:r w:rsidR="00D3763A" w:rsidRPr="005015F3">
              <w:rPr>
                <w:rFonts w:ascii="Times New Roman" w:eastAsia="Calibri" w:hAnsi="Times New Roman" w:cs="Times New Roman"/>
                <w:b/>
                <w:noProof/>
                <w:sz w:val="16"/>
                <w:szCs w:val="16"/>
              </w:rPr>
              <w:lastRenderedPageBreak/>
              <w:t>саморегулиране</w:t>
            </w:r>
            <w:r w:rsidR="009F44BC" w:rsidRPr="005015F3">
              <w:rPr>
                <w:rFonts w:ascii="Times New Roman" w:eastAsia="Calibri" w:hAnsi="Times New Roman" w:cs="Times New Roman"/>
                <w:b/>
                <w:noProof/>
                <w:sz w:val="16"/>
                <w:szCs w:val="16"/>
              </w:rPr>
              <w:t>.</w:t>
            </w:r>
          </w:p>
          <w:p w14:paraId="6EE0EB33" w14:textId="77777777" w:rsidR="009F44BC" w:rsidRPr="005015F3" w:rsidRDefault="009F44BC" w:rsidP="00364174">
            <w:pPr>
              <w:rPr>
                <w:rFonts w:ascii="Times New Roman" w:eastAsia="Calibri" w:hAnsi="Times New Roman" w:cs="Times New Roman"/>
                <w:b/>
                <w:i/>
                <w:noProof/>
                <w:sz w:val="16"/>
                <w:szCs w:val="16"/>
              </w:rPr>
            </w:pPr>
          </w:p>
          <w:p w14:paraId="5D5AA23B" w14:textId="77777777" w:rsidR="00EC2B08" w:rsidRPr="005015F3" w:rsidRDefault="00EC2B08" w:rsidP="00364174">
            <w:pPr>
              <w:rPr>
                <w:rFonts w:ascii="Times New Roman" w:eastAsia="Calibri" w:hAnsi="Times New Roman" w:cs="Times New Roman"/>
                <w:b/>
                <w:i/>
                <w:noProof/>
                <w:sz w:val="16"/>
                <w:szCs w:val="16"/>
              </w:rPr>
            </w:pPr>
          </w:p>
          <w:p w14:paraId="425D1BEC" w14:textId="77777777" w:rsidR="00EC2B08" w:rsidRPr="005015F3" w:rsidRDefault="00EC2B08" w:rsidP="00364174">
            <w:pPr>
              <w:rPr>
                <w:rFonts w:ascii="Times New Roman" w:eastAsia="Calibri" w:hAnsi="Times New Roman" w:cs="Times New Roman"/>
                <w:b/>
                <w:i/>
                <w:noProof/>
                <w:sz w:val="16"/>
                <w:szCs w:val="16"/>
              </w:rPr>
            </w:pPr>
          </w:p>
          <w:p w14:paraId="391FDB9A" w14:textId="7659CBC9" w:rsidR="009F44BC" w:rsidRPr="005015F3" w:rsidRDefault="009F44BC" w:rsidP="001A4DA6">
            <w:pPr>
              <w:rPr>
                <w:rFonts w:ascii="Times New Roman" w:eastAsia="Calibri" w:hAnsi="Times New Roman" w:cs="Times New Roman"/>
                <w:b/>
                <w:i/>
                <w:noProof/>
                <w:sz w:val="16"/>
                <w:szCs w:val="16"/>
              </w:rPr>
            </w:pPr>
            <w:r w:rsidRPr="005015F3">
              <w:rPr>
                <w:rFonts w:ascii="Times New Roman" w:eastAsia="Calibri" w:hAnsi="Times New Roman" w:cs="Times New Roman"/>
                <w:b/>
                <w:i/>
                <w:noProof/>
                <w:sz w:val="16"/>
                <w:szCs w:val="16"/>
              </w:rPr>
              <w:t xml:space="preserve">Ползи: </w:t>
            </w:r>
            <w:r w:rsidRPr="005015F3">
              <w:rPr>
                <w:rFonts w:ascii="Times New Roman" w:eastAsia="Calibri" w:hAnsi="Times New Roman" w:cs="Times New Roman"/>
                <w:b/>
                <w:noProof/>
                <w:sz w:val="16"/>
                <w:szCs w:val="16"/>
              </w:rPr>
              <w:t xml:space="preserve">несигурно и незначително </w:t>
            </w:r>
            <w:r w:rsidR="00EC2B08" w:rsidRPr="005015F3">
              <w:rPr>
                <w:rFonts w:ascii="Times New Roman" w:eastAsia="Calibri" w:hAnsi="Times New Roman" w:cs="Times New Roman"/>
                <w:b/>
                <w:noProof/>
                <w:sz w:val="16"/>
                <w:szCs w:val="16"/>
              </w:rPr>
              <w:t>изсветляване и изравняване на отношенията по веригата на доставки</w:t>
            </w:r>
            <w:r w:rsidR="001A4DA6" w:rsidRPr="005015F3">
              <w:rPr>
                <w:rFonts w:ascii="Times New Roman" w:eastAsia="Calibri" w:hAnsi="Times New Roman" w:cs="Times New Roman"/>
                <w:b/>
                <w:noProof/>
                <w:sz w:val="16"/>
                <w:szCs w:val="16"/>
              </w:rPr>
              <w:t>.</w:t>
            </w:r>
          </w:p>
        </w:tc>
        <w:tc>
          <w:tcPr>
            <w:tcW w:w="1701" w:type="dxa"/>
            <w:shd w:val="clear" w:color="auto" w:fill="9CC2E5"/>
          </w:tcPr>
          <w:p w14:paraId="163873CC" w14:textId="23483548" w:rsidR="009F44BC" w:rsidRPr="005015F3" w:rsidRDefault="009F44BC" w:rsidP="00364174">
            <w:pPr>
              <w:rPr>
                <w:rFonts w:ascii="Times New Roman" w:eastAsia="Calibri" w:hAnsi="Times New Roman" w:cs="Times New Roman"/>
                <w:b/>
                <w:i/>
                <w:noProof/>
                <w:sz w:val="16"/>
                <w:szCs w:val="16"/>
              </w:rPr>
            </w:pPr>
            <w:r w:rsidRPr="005015F3">
              <w:rPr>
                <w:rFonts w:ascii="Times New Roman" w:eastAsia="Calibri" w:hAnsi="Times New Roman" w:cs="Times New Roman"/>
                <w:b/>
                <w:i/>
                <w:noProof/>
                <w:sz w:val="16"/>
                <w:szCs w:val="16"/>
              </w:rPr>
              <w:lastRenderedPageBreak/>
              <w:t xml:space="preserve">Разходи: </w:t>
            </w:r>
            <w:r w:rsidR="001A4DA6" w:rsidRPr="005015F3">
              <w:rPr>
                <w:rFonts w:ascii="Times New Roman" w:eastAsia="Calibri" w:hAnsi="Times New Roman" w:cs="Times New Roman"/>
                <w:b/>
                <w:noProof/>
                <w:sz w:val="16"/>
                <w:szCs w:val="16"/>
              </w:rPr>
              <w:t>незначителни</w:t>
            </w:r>
            <w:r w:rsidRPr="005015F3">
              <w:rPr>
                <w:rFonts w:ascii="Times New Roman" w:eastAsia="Calibri" w:hAnsi="Times New Roman" w:cs="Times New Roman"/>
                <w:b/>
                <w:noProof/>
                <w:sz w:val="16"/>
                <w:szCs w:val="16"/>
              </w:rPr>
              <w:t xml:space="preserve"> разходи за</w:t>
            </w:r>
            <w:r w:rsidR="001A4DA6" w:rsidRPr="005015F3">
              <w:rPr>
                <w:rFonts w:ascii="Times New Roman" w:eastAsia="Calibri" w:hAnsi="Times New Roman" w:cs="Times New Roman"/>
                <w:b/>
                <w:noProof/>
                <w:sz w:val="16"/>
                <w:szCs w:val="16"/>
              </w:rPr>
              <w:t xml:space="preserve"> постигане на съответствие с </w:t>
            </w:r>
            <w:r w:rsidR="00EC2B08" w:rsidRPr="005015F3">
              <w:rPr>
                <w:rFonts w:ascii="Times New Roman" w:eastAsia="Calibri" w:hAnsi="Times New Roman" w:cs="Times New Roman"/>
                <w:b/>
                <w:noProof/>
                <w:sz w:val="16"/>
                <w:szCs w:val="16"/>
              </w:rPr>
              <w:t>изменения</w:t>
            </w:r>
            <w:r w:rsidR="001A4DA6" w:rsidRPr="005015F3">
              <w:rPr>
                <w:rFonts w:ascii="Times New Roman" w:eastAsia="Calibri" w:hAnsi="Times New Roman" w:cs="Times New Roman"/>
                <w:b/>
                <w:noProof/>
                <w:sz w:val="16"/>
                <w:szCs w:val="16"/>
              </w:rPr>
              <w:t>та</w:t>
            </w:r>
            <w:r w:rsidR="00EC2B08" w:rsidRPr="005015F3">
              <w:rPr>
                <w:rFonts w:ascii="Times New Roman" w:eastAsia="Calibri" w:hAnsi="Times New Roman" w:cs="Times New Roman"/>
                <w:b/>
                <w:noProof/>
                <w:sz w:val="16"/>
                <w:szCs w:val="16"/>
              </w:rPr>
              <w:t xml:space="preserve"> и </w:t>
            </w:r>
            <w:r w:rsidR="00EC2B08" w:rsidRPr="005015F3">
              <w:rPr>
                <w:rFonts w:ascii="Times New Roman" w:eastAsia="Calibri" w:hAnsi="Times New Roman" w:cs="Times New Roman"/>
                <w:b/>
                <w:noProof/>
                <w:sz w:val="16"/>
                <w:szCs w:val="16"/>
              </w:rPr>
              <w:lastRenderedPageBreak/>
              <w:t>допълнения</w:t>
            </w:r>
            <w:r w:rsidR="001A4DA6" w:rsidRPr="005015F3">
              <w:rPr>
                <w:rFonts w:ascii="Times New Roman" w:eastAsia="Calibri" w:hAnsi="Times New Roman" w:cs="Times New Roman"/>
                <w:b/>
                <w:noProof/>
                <w:sz w:val="16"/>
                <w:szCs w:val="16"/>
              </w:rPr>
              <w:t>та</w:t>
            </w:r>
            <w:r w:rsidR="00EC2B08" w:rsidRPr="005015F3">
              <w:rPr>
                <w:rFonts w:ascii="Times New Roman" w:eastAsia="Calibri" w:hAnsi="Times New Roman" w:cs="Times New Roman"/>
                <w:b/>
                <w:noProof/>
                <w:sz w:val="16"/>
                <w:szCs w:val="16"/>
              </w:rPr>
              <w:t xml:space="preserve"> в правната уредба</w:t>
            </w:r>
            <w:r w:rsidRPr="005015F3">
              <w:rPr>
                <w:rFonts w:ascii="Times New Roman" w:eastAsia="Calibri" w:hAnsi="Times New Roman" w:cs="Times New Roman"/>
                <w:b/>
                <w:i/>
                <w:noProof/>
                <w:sz w:val="16"/>
                <w:szCs w:val="16"/>
              </w:rPr>
              <w:t>.</w:t>
            </w:r>
          </w:p>
          <w:p w14:paraId="0EBF0C37" w14:textId="77777777" w:rsidR="009F44BC" w:rsidRPr="005015F3" w:rsidRDefault="009F44BC" w:rsidP="00364174">
            <w:pPr>
              <w:rPr>
                <w:rFonts w:ascii="Times New Roman" w:eastAsia="Calibri" w:hAnsi="Times New Roman" w:cs="Times New Roman"/>
                <w:b/>
                <w:i/>
                <w:noProof/>
                <w:sz w:val="16"/>
                <w:szCs w:val="16"/>
              </w:rPr>
            </w:pPr>
          </w:p>
          <w:p w14:paraId="31647870" w14:textId="77777777" w:rsidR="00EC2B08" w:rsidRPr="005015F3" w:rsidRDefault="00EC2B08" w:rsidP="00364174">
            <w:pPr>
              <w:rPr>
                <w:rFonts w:ascii="Times New Roman" w:eastAsia="Calibri" w:hAnsi="Times New Roman" w:cs="Times New Roman"/>
                <w:b/>
                <w:i/>
                <w:noProof/>
                <w:sz w:val="16"/>
                <w:szCs w:val="16"/>
              </w:rPr>
            </w:pPr>
          </w:p>
          <w:p w14:paraId="524448CF" w14:textId="6DEBDBAC" w:rsidR="009F44BC" w:rsidRPr="005015F3" w:rsidRDefault="009F44BC" w:rsidP="001A4DA6">
            <w:pPr>
              <w:rPr>
                <w:rFonts w:ascii="Times New Roman" w:eastAsia="Calibri" w:hAnsi="Times New Roman" w:cs="Times New Roman"/>
                <w:b/>
                <w:i/>
                <w:noProof/>
                <w:sz w:val="16"/>
                <w:szCs w:val="16"/>
              </w:rPr>
            </w:pPr>
            <w:r w:rsidRPr="005015F3">
              <w:rPr>
                <w:rFonts w:ascii="Times New Roman" w:eastAsia="Calibri" w:hAnsi="Times New Roman" w:cs="Times New Roman"/>
                <w:b/>
                <w:i/>
                <w:noProof/>
                <w:sz w:val="16"/>
                <w:szCs w:val="16"/>
              </w:rPr>
              <w:t xml:space="preserve">Ползи: </w:t>
            </w:r>
            <w:r w:rsidRPr="005015F3">
              <w:rPr>
                <w:rFonts w:ascii="Times New Roman" w:eastAsia="Calibri" w:hAnsi="Times New Roman" w:cs="Times New Roman"/>
                <w:b/>
                <w:noProof/>
                <w:sz w:val="16"/>
                <w:szCs w:val="16"/>
              </w:rPr>
              <w:t xml:space="preserve">непълно </w:t>
            </w:r>
            <w:r w:rsidR="00EC2B08" w:rsidRPr="005015F3">
              <w:rPr>
                <w:rFonts w:ascii="Times New Roman" w:eastAsia="Calibri" w:hAnsi="Times New Roman" w:cs="Times New Roman"/>
                <w:b/>
                <w:noProof/>
                <w:sz w:val="16"/>
                <w:szCs w:val="16"/>
              </w:rPr>
              <w:t>изсветляване и изравняване на отношенията по веригата на доставки.</w:t>
            </w:r>
            <w:r w:rsidRPr="005015F3">
              <w:rPr>
                <w:rFonts w:ascii="Times New Roman" w:eastAsia="Calibri" w:hAnsi="Times New Roman" w:cs="Times New Roman"/>
                <w:b/>
                <w:i/>
                <w:noProof/>
                <w:sz w:val="16"/>
                <w:szCs w:val="16"/>
              </w:rPr>
              <w:t xml:space="preserve"> </w:t>
            </w:r>
          </w:p>
        </w:tc>
        <w:tc>
          <w:tcPr>
            <w:tcW w:w="1985" w:type="dxa"/>
            <w:shd w:val="clear" w:color="auto" w:fill="2E74B5"/>
          </w:tcPr>
          <w:p w14:paraId="20AA1B32" w14:textId="4BA4D8BE" w:rsidR="009F44BC" w:rsidRPr="005015F3" w:rsidRDefault="009F44BC" w:rsidP="00364174">
            <w:pPr>
              <w:rPr>
                <w:rFonts w:ascii="Times New Roman" w:eastAsia="Calibri" w:hAnsi="Times New Roman" w:cs="Times New Roman"/>
                <w:b/>
                <w:noProof/>
                <w:sz w:val="16"/>
                <w:szCs w:val="16"/>
              </w:rPr>
            </w:pPr>
            <w:r w:rsidRPr="005015F3">
              <w:rPr>
                <w:rFonts w:ascii="Times New Roman" w:eastAsia="Calibri" w:hAnsi="Times New Roman" w:cs="Times New Roman"/>
                <w:b/>
                <w:i/>
                <w:noProof/>
                <w:sz w:val="16"/>
                <w:szCs w:val="16"/>
              </w:rPr>
              <w:lastRenderedPageBreak/>
              <w:t xml:space="preserve">Разходи: </w:t>
            </w:r>
            <w:r w:rsidR="00EC2B08" w:rsidRPr="005015F3">
              <w:rPr>
                <w:rFonts w:ascii="Times New Roman" w:eastAsia="Calibri" w:hAnsi="Times New Roman" w:cs="Times New Roman"/>
                <w:b/>
                <w:noProof/>
                <w:sz w:val="16"/>
                <w:szCs w:val="16"/>
              </w:rPr>
              <w:t>увеличени, административни и регулаторни разходи, свързани с постигане на пълно съответствие</w:t>
            </w:r>
            <w:r w:rsidR="00C016F4">
              <w:rPr>
                <w:rFonts w:ascii="Times New Roman" w:eastAsia="Calibri" w:hAnsi="Times New Roman" w:cs="Times New Roman"/>
                <w:b/>
                <w:noProof/>
                <w:sz w:val="16"/>
                <w:szCs w:val="16"/>
              </w:rPr>
              <w:t xml:space="preserve"> </w:t>
            </w:r>
            <w:r w:rsidR="00EC2B08" w:rsidRPr="005015F3">
              <w:rPr>
                <w:rFonts w:ascii="Times New Roman" w:eastAsia="Calibri" w:hAnsi="Times New Roman" w:cs="Times New Roman"/>
                <w:b/>
                <w:noProof/>
                <w:sz w:val="16"/>
                <w:szCs w:val="16"/>
              </w:rPr>
              <w:t>с</w:t>
            </w:r>
            <w:r w:rsidR="001A4DA6" w:rsidRPr="005015F3">
              <w:rPr>
                <w:rFonts w:ascii="Times New Roman" w:eastAsia="Calibri" w:hAnsi="Times New Roman" w:cs="Times New Roman"/>
                <w:b/>
                <w:noProof/>
                <w:sz w:val="16"/>
                <w:szCs w:val="16"/>
              </w:rPr>
              <w:t xml:space="preserve"> новия закон</w:t>
            </w:r>
            <w:r w:rsidR="00C016F4">
              <w:rPr>
                <w:rFonts w:ascii="Times New Roman" w:eastAsia="Calibri" w:hAnsi="Times New Roman" w:cs="Times New Roman"/>
                <w:b/>
                <w:noProof/>
                <w:sz w:val="16"/>
                <w:szCs w:val="16"/>
              </w:rPr>
              <w:t>,</w:t>
            </w:r>
            <w:r w:rsidR="00C016F4" w:rsidRPr="005015F3">
              <w:rPr>
                <w:rFonts w:ascii="Times New Roman" w:eastAsia="Calibri" w:hAnsi="Times New Roman" w:cs="Times New Roman"/>
                <w:b/>
                <w:noProof/>
                <w:sz w:val="16"/>
                <w:szCs w:val="16"/>
              </w:rPr>
              <w:t xml:space="preserve"> но </w:t>
            </w:r>
            <w:r w:rsidR="00C016F4" w:rsidRPr="005015F3">
              <w:rPr>
                <w:rFonts w:ascii="Times New Roman" w:eastAsia="Calibri" w:hAnsi="Times New Roman" w:cs="Times New Roman"/>
                <w:b/>
                <w:noProof/>
                <w:sz w:val="16"/>
                <w:szCs w:val="16"/>
              </w:rPr>
              <w:lastRenderedPageBreak/>
              <w:t>оправдани от ползите</w:t>
            </w:r>
            <w:r w:rsidRPr="005015F3">
              <w:rPr>
                <w:rFonts w:ascii="Times New Roman" w:eastAsia="Calibri" w:hAnsi="Times New Roman" w:cs="Times New Roman"/>
                <w:b/>
                <w:noProof/>
                <w:sz w:val="16"/>
                <w:szCs w:val="16"/>
              </w:rPr>
              <w:t>.</w:t>
            </w:r>
          </w:p>
          <w:p w14:paraId="38E21984" w14:textId="77777777" w:rsidR="009F44BC" w:rsidRPr="005015F3" w:rsidRDefault="009F44BC" w:rsidP="00364174">
            <w:pPr>
              <w:rPr>
                <w:rFonts w:ascii="Times New Roman" w:eastAsia="Calibri" w:hAnsi="Times New Roman" w:cs="Times New Roman"/>
                <w:b/>
                <w:i/>
                <w:noProof/>
                <w:sz w:val="16"/>
                <w:szCs w:val="16"/>
              </w:rPr>
            </w:pPr>
          </w:p>
          <w:p w14:paraId="54F9BA50" w14:textId="77777777" w:rsidR="009F44BC" w:rsidRPr="005015F3" w:rsidRDefault="009F44BC" w:rsidP="00364174">
            <w:pPr>
              <w:rPr>
                <w:rFonts w:ascii="Times New Roman" w:eastAsia="Calibri" w:hAnsi="Times New Roman" w:cs="Times New Roman"/>
                <w:b/>
                <w:i/>
                <w:noProof/>
                <w:sz w:val="16"/>
                <w:szCs w:val="16"/>
              </w:rPr>
            </w:pPr>
          </w:p>
          <w:p w14:paraId="0425EDFB" w14:textId="77777777" w:rsidR="00EC2B08" w:rsidRPr="005015F3" w:rsidRDefault="00EC2B08" w:rsidP="00364174">
            <w:pPr>
              <w:rPr>
                <w:rFonts w:ascii="Times New Roman" w:eastAsia="Calibri" w:hAnsi="Times New Roman" w:cs="Times New Roman"/>
                <w:b/>
                <w:i/>
                <w:noProof/>
                <w:sz w:val="16"/>
                <w:szCs w:val="16"/>
              </w:rPr>
            </w:pPr>
          </w:p>
          <w:p w14:paraId="5E301F18" w14:textId="6EAA1910" w:rsidR="009F44BC" w:rsidRPr="005015F3" w:rsidRDefault="009F44BC" w:rsidP="00364174">
            <w:pPr>
              <w:rPr>
                <w:rFonts w:ascii="Times New Roman" w:eastAsia="Calibri" w:hAnsi="Times New Roman" w:cs="Times New Roman"/>
                <w:b/>
                <w:i/>
                <w:noProof/>
                <w:sz w:val="16"/>
                <w:szCs w:val="16"/>
              </w:rPr>
            </w:pPr>
            <w:r w:rsidRPr="005015F3">
              <w:rPr>
                <w:rFonts w:ascii="Times New Roman" w:eastAsia="Calibri" w:hAnsi="Times New Roman" w:cs="Times New Roman"/>
                <w:b/>
                <w:i/>
                <w:noProof/>
                <w:sz w:val="16"/>
                <w:szCs w:val="16"/>
              </w:rPr>
              <w:t xml:space="preserve">Ползи: </w:t>
            </w:r>
            <w:r w:rsidR="001A4DA6" w:rsidRPr="005015F3">
              <w:rPr>
                <w:rFonts w:ascii="Times New Roman" w:eastAsia="Calibri" w:hAnsi="Times New Roman" w:cs="Times New Roman"/>
                <w:b/>
                <w:noProof/>
                <w:sz w:val="16"/>
                <w:szCs w:val="16"/>
              </w:rPr>
              <w:t>оптимално изсветляване и изравняване на отношенията по веригата на доставки.</w:t>
            </w:r>
            <w:r w:rsidR="001A4DA6" w:rsidRPr="005015F3">
              <w:rPr>
                <w:rFonts w:ascii="Times New Roman" w:eastAsia="Calibri" w:hAnsi="Times New Roman" w:cs="Times New Roman"/>
                <w:b/>
                <w:i/>
                <w:noProof/>
                <w:sz w:val="16"/>
                <w:szCs w:val="16"/>
              </w:rPr>
              <w:t xml:space="preserve"> </w:t>
            </w:r>
          </w:p>
        </w:tc>
      </w:tr>
      <w:tr w:rsidR="009F44BC" w:rsidRPr="00EC2B08" w14:paraId="13294AD0" w14:textId="77777777" w:rsidTr="001A4DA6">
        <w:trPr>
          <w:jc w:val="center"/>
        </w:trPr>
        <w:tc>
          <w:tcPr>
            <w:tcW w:w="1696" w:type="dxa"/>
            <w:shd w:val="clear" w:color="auto" w:fill="DBDBDB"/>
          </w:tcPr>
          <w:p w14:paraId="7E879700" w14:textId="77777777" w:rsidR="009F44BC" w:rsidRPr="005015F3" w:rsidRDefault="009F44BC" w:rsidP="00364174">
            <w:pPr>
              <w:spacing w:before="120"/>
              <w:rPr>
                <w:rFonts w:ascii="Times New Roman" w:eastAsia="Calibri" w:hAnsi="Times New Roman" w:cs="Times New Roman"/>
                <w:b/>
                <w:i/>
                <w:noProof/>
              </w:rPr>
            </w:pPr>
            <w:r w:rsidRPr="005015F3">
              <w:rPr>
                <w:rFonts w:ascii="Times New Roman" w:eastAsia="Calibri" w:hAnsi="Times New Roman" w:cs="Times New Roman"/>
                <w:b/>
                <w:i/>
                <w:noProof/>
              </w:rPr>
              <w:lastRenderedPageBreak/>
              <w:t>Заинтересована страна/група 2:</w:t>
            </w:r>
            <w:r w:rsidRPr="005015F3">
              <w:rPr>
                <w:noProof/>
              </w:rPr>
              <w:t xml:space="preserve"> </w:t>
            </w:r>
            <w:r w:rsidRPr="005015F3">
              <w:rPr>
                <w:rFonts w:ascii="Times New Roman" w:eastAsia="Calibri" w:hAnsi="Times New Roman" w:cs="Times New Roman"/>
                <w:b/>
                <w:i/>
                <w:noProof/>
              </w:rPr>
              <w:t>Българските граждани, като потребители и обществото като цяло</w:t>
            </w:r>
          </w:p>
        </w:tc>
        <w:tc>
          <w:tcPr>
            <w:tcW w:w="1560" w:type="dxa"/>
            <w:shd w:val="clear" w:color="auto" w:fill="DEEAF6"/>
          </w:tcPr>
          <w:p w14:paraId="32B8E5B2" w14:textId="15C9FC56" w:rsidR="009F44BC" w:rsidRPr="005015F3" w:rsidRDefault="001A4DA6" w:rsidP="00364174">
            <w:pPr>
              <w:rPr>
                <w:rFonts w:ascii="Times New Roman" w:eastAsia="Calibri" w:hAnsi="Times New Roman" w:cs="Times New Roman"/>
                <w:b/>
                <w:noProof/>
                <w:sz w:val="16"/>
                <w:szCs w:val="16"/>
              </w:rPr>
            </w:pPr>
            <w:r w:rsidRPr="005015F3">
              <w:rPr>
                <w:rFonts w:ascii="Times New Roman" w:eastAsia="Calibri" w:hAnsi="Times New Roman" w:cs="Times New Roman"/>
                <w:b/>
                <w:i/>
                <w:noProof/>
                <w:sz w:val="16"/>
                <w:szCs w:val="16"/>
              </w:rPr>
              <w:t xml:space="preserve">Разходи: </w:t>
            </w:r>
            <w:r w:rsidRPr="005015F3">
              <w:rPr>
                <w:rFonts w:ascii="Times New Roman" w:eastAsia="Calibri" w:hAnsi="Times New Roman" w:cs="Times New Roman"/>
                <w:b/>
                <w:noProof/>
                <w:sz w:val="16"/>
                <w:szCs w:val="16"/>
              </w:rPr>
              <w:t>запазване на досегашни</w:t>
            </w:r>
            <w:r w:rsidR="009F44BC" w:rsidRPr="005015F3">
              <w:rPr>
                <w:rFonts w:ascii="Times New Roman" w:eastAsia="Calibri" w:hAnsi="Times New Roman" w:cs="Times New Roman"/>
                <w:b/>
                <w:noProof/>
                <w:sz w:val="16"/>
                <w:szCs w:val="16"/>
              </w:rPr>
              <w:t>т</w:t>
            </w:r>
            <w:r w:rsidRPr="005015F3">
              <w:rPr>
                <w:rFonts w:ascii="Times New Roman" w:eastAsia="Calibri" w:hAnsi="Times New Roman" w:cs="Times New Roman"/>
                <w:b/>
                <w:noProof/>
                <w:sz w:val="16"/>
                <w:szCs w:val="16"/>
              </w:rPr>
              <w:t xml:space="preserve">е </w:t>
            </w:r>
            <w:r w:rsidR="00D3763A" w:rsidRPr="005015F3">
              <w:rPr>
                <w:rFonts w:ascii="Times New Roman" w:eastAsia="Calibri" w:hAnsi="Times New Roman" w:cs="Times New Roman"/>
                <w:b/>
                <w:noProof/>
                <w:sz w:val="16"/>
                <w:szCs w:val="16"/>
              </w:rPr>
              <w:t>разходи за основни хранителни продути на домакинствата и запазване на несигурността от пазарно необосновано повишаване на техните цени</w:t>
            </w:r>
            <w:r w:rsidR="009F44BC" w:rsidRPr="005015F3">
              <w:rPr>
                <w:rFonts w:ascii="Times New Roman" w:eastAsia="Calibri" w:hAnsi="Times New Roman" w:cs="Times New Roman"/>
                <w:b/>
                <w:noProof/>
                <w:sz w:val="16"/>
                <w:szCs w:val="16"/>
              </w:rPr>
              <w:t>.</w:t>
            </w:r>
          </w:p>
          <w:p w14:paraId="7A509987" w14:textId="77777777" w:rsidR="009F44BC" w:rsidRPr="005015F3" w:rsidRDefault="009F44BC" w:rsidP="00364174">
            <w:pPr>
              <w:rPr>
                <w:rFonts w:ascii="Times New Roman" w:eastAsia="Calibri" w:hAnsi="Times New Roman" w:cs="Times New Roman"/>
                <w:b/>
                <w:i/>
                <w:noProof/>
                <w:sz w:val="16"/>
                <w:szCs w:val="16"/>
              </w:rPr>
            </w:pPr>
          </w:p>
          <w:p w14:paraId="16E86A0C" w14:textId="77777777" w:rsidR="009F44BC" w:rsidRPr="005015F3" w:rsidRDefault="009F44BC" w:rsidP="00364174">
            <w:pPr>
              <w:rPr>
                <w:rFonts w:ascii="Times New Roman" w:eastAsia="Calibri" w:hAnsi="Times New Roman" w:cs="Times New Roman"/>
                <w:b/>
                <w:i/>
                <w:noProof/>
                <w:sz w:val="16"/>
                <w:szCs w:val="16"/>
              </w:rPr>
            </w:pPr>
          </w:p>
          <w:p w14:paraId="6D3907C1" w14:textId="77777777" w:rsidR="009F44BC" w:rsidRPr="005015F3" w:rsidRDefault="009F44BC" w:rsidP="00364174">
            <w:pPr>
              <w:rPr>
                <w:rFonts w:ascii="Times New Roman" w:eastAsia="Calibri" w:hAnsi="Times New Roman" w:cs="Times New Roman"/>
                <w:b/>
                <w:i/>
                <w:noProof/>
                <w:sz w:val="16"/>
                <w:szCs w:val="16"/>
              </w:rPr>
            </w:pPr>
            <w:r w:rsidRPr="005015F3">
              <w:rPr>
                <w:rFonts w:ascii="Times New Roman" w:eastAsia="Calibri" w:hAnsi="Times New Roman" w:cs="Times New Roman"/>
                <w:b/>
                <w:i/>
                <w:noProof/>
                <w:sz w:val="16"/>
                <w:szCs w:val="16"/>
              </w:rPr>
              <w:t xml:space="preserve">Ползи: </w:t>
            </w:r>
            <w:r w:rsidRPr="005015F3">
              <w:rPr>
                <w:rFonts w:ascii="Times New Roman" w:eastAsia="Calibri" w:hAnsi="Times New Roman" w:cs="Times New Roman"/>
                <w:b/>
                <w:noProof/>
                <w:sz w:val="16"/>
                <w:szCs w:val="16"/>
              </w:rPr>
              <w:t>няма.</w:t>
            </w:r>
          </w:p>
        </w:tc>
        <w:tc>
          <w:tcPr>
            <w:tcW w:w="1842" w:type="dxa"/>
            <w:shd w:val="clear" w:color="auto" w:fill="BDD6EE"/>
          </w:tcPr>
          <w:p w14:paraId="5014D946" w14:textId="61F869CA" w:rsidR="00D3763A" w:rsidRPr="005015F3" w:rsidRDefault="009F44BC" w:rsidP="00364174">
            <w:pPr>
              <w:rPr>
                <w:rFonts w:ascii="Times New Roman" w:eastAsia="Calibri" w:hAnsi="Times New Roman" w:cs="Times New Roman"/>
                <w:b/>
                <w:noProof/>
                <w:sz w:val="16"/>
                <w:szCs w:val="16"/>
              </w:rPr>
            </w:pPr>
            <w:r w:rsidRPr="005015F3">
              <w:rPr>
                <w:rFonts w:ascii="Times New Roman" w:eastAsia="Calibri" w:hAnsi="Times New Roman" w:cs="Times New Roman"/>
                <w:b/>
                <w:i/>
                <w:noProof/>
                <w:sz w:val="16"/>
                <w:szCs w:val="16"/>
              </w:rPr>
              <w:t xml:space="preserve">Разходи: </w:t>
            </w:r>
            <w:r w:rsidRPr="005015F3">
              <w:rPr>
                <w:rFonts w:ascii="Times New Roman" w:eastAsia="Calibri" w:hAnsi="Times New Roman" w:cs="Times New Roman"/>
                <w:b/>
                <w:noProof/>
                <w:sz w:val="16"/>
                <w:szCs w:val="16"/>
              </w:rPr>
              <w:t xml:space="preserve">несигурно </w:t>
            </w:r>
            <w:r w:rsidR="00D3763A" w:rsidRPr="005015F3">
              <w:rPr>
                <w:rFonts w:ascii="Times New Roman" w:eastAsia="Calibri" w:hAnsi="Times New Roman" w:cs="Times New Roman"/>
                <w:b/>
                <w:noProof/>
                <w:sz w:val="16"/>
                <w:szCs w:val="16"/>
              </w:rPr>
              <w:t>съкращаване на разходите за основни хранителни продукти на домакинствата; запазване на несигурността в обществото от пазарно необосновано повишаване на техните цени.</w:t>
            </w:r>
          </w:p>
          <w:p w14:paraId="36E00AD4" w14:textId="77777777" w:rsidR="001A4DA6" w:rsidRPr="005015F3" w:rsidRDefault="001A4DA6" w:rsidP="00364174">
            <w:pPr>
              <w:rPr>
                <w:rFonts w:ascii="Times New Roman" w:eastAsia="Calibri" w:hAnsi="Times New Roman" w:cs="Times New Roman"/>
                <w:b/>
                <w:i/>
                <w:noProof/>
                <w:sz w:val="16"/>
                <w:szCs w:val="16"/>
              </w:rPr>
            </w:pPr>
          </w:p>
          <w:p w14:paraId="440FE585" w14:textId="77777777" w:rsidR="009F44BC" w:rsidRPr="005015F3" w:rsidRDefault="009F44BC" w:rsidP="00364174">
            <w:pPr>
              <w:rPr>
                <w:rFonts w:ascii="Times New Roman" w:eastAsia="Calibri" w:hAnsi="Times New Roman" w:cs="Times New Roman"/>
                <w:b/>
                <w:i/>
                <w:noProof/>
                <w:sz w:val="16"/>
                <w:szCs w:val="16"/>
              </w:rPr>
            </w:pPr>
          </w:p>
          <w:p w14:paraId="40D3B53B" w14:textId="77777777" w:rsidR="00D3763A" w:rsidRPr="005015F3" w:rsidRDefault="00D3763A" w:rsidP="00364174">
            <w:pPr>
              <w:rPr>
                <w:rFonts w:ascii="Times New Roman" w:eastAsia="Calibri" w:hAnsi="Times New Roman" w:cs="Times New Roman"/>
                <w:b/>
                <w:i/>
                <w:noProof/>
                <w:sz w:val="16"/>
                <w:szCs w:val="16"/>
              </w:rPr>
            </w:pPr>
          </w:p>
          <w:p w14:paraId="5CAA1485" w14:textId="11FF4F3D" w:rsidR="009F44BC" w:rsidRPr="005015F3" w:rsidRDefault="009F44BC" w:rsidP="00D3763A">
            <w:pPr>
              <w:rPr>
                <w:rFonts w:ascii="Times New Roman" w:eastAsia="Calibri" w:hAnsi="Times New Roman" w:cs="Times New Roman"/>
                <w:b/>
                <w:i/>
                <w:noProof/>
                <w:sz w:val="16"/>
                <w:szCs w:val="16"/>
              </w:rPr>
            </w:pPr>
            <w:r w:rsidRPr="005015F3">
              <w:rPr>
                <w:rFonts w:ascii="Times New Roman" w:eastAsia="Calibri" w:hAnsi="Times New Roman" w:cs="Times New Roman"/>
                <w:b/>
                <w:i/>
                <w:noProof/>
                <w:sz w:val="16"/>
                <w:szCs w:val="16"/>
              </w:rPr>
              <w:t>Ползи:</w:t>
            </w:r>
            <w:r w:rsidR="00D3763A" w:rsidRPr="005015F3">
              <w:rPr>
                <w:rFonts w:ascii="Times New Roman" w:eastAsia="Calibri" w:hAnsi="Times New Roman" w:cs="Times New Roman"/>
                <w:b/>
                <w:i/>
                <w:noProof/>
                <w:sz w:val="16"/>
                <w:szCs w:val="16"/>
              </w:rPr>
              <w:t xml:space="preserve"> </w:t>
            </w:r>
            <w:r w:rsidR="00D3763A" w:rsidRPr="005015F3">
              <w:rPr>
                <w:rFonts w:ascii="Times New Roman" w:eastAsia="Calibri" w:hAnsi="Times New Roman" w:cs="Times New Roman"/>
                <w:b/>
                <w:noProof/>
                <w:sz w:val="16"/>
                <w:szCs w:val="16"/>
              </w:rPr>
              <w:t>несигурно</w:t>
            </w:r>
            <w:r w:rsidRPr="005015F3">
              <w:rPr>
                <w:rFonts w:ascii="Times New Roman" w:eastAsia="Calibri" w:hAnsi="Times New Roman" w:cs="Times New Roman"/>
                <w:b/>
                <w:noProof/>
                <w:sz w:val="16"/>
                <w:szCs w:val="16"/>
              </w:rPr>
              <w:t xml:space="preserve"> </w:t>
            </w:r>
            <w:r w:rsidR="00D3763A" w:rsidRPr="005015F3">
              <w:rPr>
                <w:rFonts w:ascii="Times New Roman" w:eastAsia="Calibri" w:hAnsi="Times New Roman" w:cs="Times New Roman"/>
                <w:b/>
                <w:noProof/>
                <w:sz w:val="16"/>
                <w:szCs w:val="16"/>
              </w:rPr>
              <w:t>намаляване на досегашните цени на земеделските продукти и храни</w:t>
            </w:r>
            <w:r w:rsidRPr="005015F3">
              <w:rPr>
                <w:rFonts w:ascii="Times New Roman" w:eastAsia="Calibri" w:hAnsi="Times New Roman" w:cs="Times New Roman"/>
                <w:b/>
                <w:noProof/>
                <w:sz w:val="16"/>
                <w:szCs w:val="16"/>
              </w:rPr>
              <w:t>.</w:t>
            </w:r>
          </w:p>
        </w:tc>
        <w:tc>
          <w:tcPr>
            <w:tcW w:w="1701" w:type="dxa"/>
            <w:shd w:val="clear" w:color="auto" w:fill="9CC2E5"/>
          </w:tcPr>
          <w:p w14:paraId="12B9C38B" w14:textId="67040E7D" w:rsidR="009F44BC" w:rsidRPr="005015F3" w:rsidRDefault="009F44BC" w:rsidP="00364174">
            <w:pPr>
              <w:rPr>
                <w:rFonts w:ascii="Times New Roman" w:eastAsia="Calibri" w:hAnsi="Times New Roman" w:cs="Times New Roman"/>
                <w:b/>
                <w:noProof/>
                <w:sz w:val="16"/>
                <w:szCs w:val="16"/>
              </w:rPr>
            </w:pPr>
            <w:r w:rsidRPr="005015F3">
              <w:rPr>
                <w:rFonts w:ascii="Times New Roman" w:eastAsia="Calibri" w:hAnsi="Times New Roman" w:cs="Times New Roman"/>
                <w:b/>
                <w:i/>
                <w:noProof/>
                <w:sz w:val="16"/>
                <w:szCs w:val="16"/>
              </w:rPr>
              <w:t xml:space="preserve">Разходи: </w:t>
            </w:r>
            <w:r w:rsidRPr="005015F3">
              <w:rPr>
                <w:rFonts w:ascii="Times New Roman" w:eastAsia="Calibri" w:hAnsi="Times New Roman" w:cs="Times New Roman"/>
                <w:b/>
                <w:noProof/>
                <w:sz w:val="16"/>
                <w:szCs w:val="16"/>
              </w:rPr>
              <w:t>частично</w:t>
            </w:r>
            <w:r w:rsidR="00D3763A" w:rsidRPr="005015F3">
              <w:rPr>
                <w:rFonts w:ascii="Times New Roman" w:eastAsia="Calibri" w:hAnsi="Times New Roman" w:cs="Times New Roman"/>
                <w:b/>
                <w:noProof/>
                <w:sz w:val="16"/>
                <w:szCs w:val="16"/>
              </w:rPr>
              <w:t xml:space="preserve"> и непостоянно съкращаване на разходите за основни хранителни продукти на домакинствата; несигурно преодоляване на несигурността в обществото от пазарно необосновано повишаване на техните цени.</w:t>
            </w:r>
          </w:p>
          <w:p w14:paraId="7B8F56F4" w14:textId="77777777" w:rsidR="009F44BC" w:rsidRPr="005015F3" w:rsidRDefault="009F44BC" w:rsidP="00364174">
            <w:pPr>
              <w:rPr>
                <w:rFonts w:ascii="Times New Roman" w:eastAsia="Calibri" w:hAnsi="Times New Roman" w:cs="Times New Roman"/>
                <w:b/>
                <w:i/>
                <w:noProof/>
                <w:sz w:val="16"/>
                <w:szCs w:val="16"/>
              </w:rPr>
            </w:pPr>
          </w:p>
          <w:p w14:paraId="4507B5F7" w14:textId="43284FA2" w:rsidR="00D3763A" w:rsidRPr="005015F3" w:rsidRDefault="009F44BC" w:rsidP="00364174">
            <w:pPr>
              <w:rPr>
                <w:rFonts w:ascii="Times New Roman" w:eastAsia="Calibri" w:hAnsi="Times New Roman" w:cs="Times New Roman"/>
                <w:b/>
                <w:i/>
                <w:noProof/>
                <w:sz w:val="16"/>
                <w:szCs w:val="16"/>
              </w:rPr>
            </w:pPr>
            <w:r w:rsidRPr="005015F3">
              <w:rPr>
                <w:rFonts w:ascii="Times New Roman" w:eastAsia="Calibri" w:hAnsi="Times New Roman" w:cs="Times New Roman"/>
                <w:b/>
                <w:i/>
                <w:noProof/>
                <w:sz w:val="16"/>
                <w:szCs w:val="16"/>
              </w:rPr>
              <w:t xml:space="preserve">Ползи: </w:t>
            </w:r>
            <w:r w:rsidRPr="005015F3">
              <w:rPr>
                <w:rFonts w:ascii="Times New Roman" w:eastAsia="Calibri" w:hAnsi="Times New Roman" w:cs="Times New Roman"/>
                <w:b/>
                <w:noProof/>
                <w:sz w:val="16"/>
                <w:szCs w:val="16"/>
              </w:rPr>
              <w:t>частично у</w:t>
            </w:r>
            <w:r w:rsidR="00D3763A" w:rsidRPr="005015F3">
              <w:rPr>
                <w:rFonts w:ascii="Times New Roman" w:eastAsia="Calibri" w:hAnsi="Times New Roman" w:cs="Times New Roman"/>
                <w:b/>
                <w:noProof/>
                <w:sz w:val="16"/>
                <w:szCs w:val="16"/>
              </w:rPr>
              <w:t xml:space="preserve"> намаляване на досегашните цени на земеделските продукти и храни.</w:t>
            </w:r>
          </w:p>
        </w:tc>
        <w:tc>
          <w:tcPr>
            <w:tcW w:w="1985" w:type="dxa"/>
            <w:shd w:val="clear" w:color="auto" w:fill="2E74B5"/>
          </w:tcPr>
          <w:p w14:paraId="0C436C65" w14:textId="572B1A22" w:rsidR="009F44BC" w:rsidRPr="005015F3" w:rsidRDefault="009F44BC" w:rsidP="00364174">
            <w:pPr>
              <w:rPr>
                <w:rFonts w:ascii="Times New Roman" w:eastAsia="Calibri" w:hAnsi="Times New Roman" w:cs="Times New Roman"/>
                <w:b/>
                <w:noProof/>
                <w:sz w:val="16"/>
                <w:szCs w:val="16"/>
              </w:rPr>
            </w:pPr>
            <w:r w:rsidRPr="005015F3">
              <w:rPr>
                <w:rFonts w:ascii="Times New Roman" w:eastAsia="Calibri" w:hAnsi="Times New Roman" w:cs="Times New Roman"/>
                <w:b/>
                <w:i/>
                <w:noProof/>
                <w:sz w:val="16"/>
                <w:szCs w:val="16"/>
              </w:rPr>
              <w:t xml:space="preserve">Разходи: </w:t>
            </w:r>
            <w:r w:rsidR="00D3763A" w:rsidRPr="005015F3">
              <w:rPr>
                <w:rFonts w:ascii="Times New Roman" w:eastAsia="Calibri" w:hAnsi="Times New Roman" w:cs="Times New Roman"/>
                <w:b/>
                <w:noProof/>
                <w:sz w:val="16"/>
                <w:szCs w:val="16"/>
              </w:rPr>
              <w:t>оптимално съкращаване на разходите за основни хранителни продукти на домакинствата и преодоляване на възможността за пазарно необосновано повишаване на техните цени.</w:t>
            </w:r>
          </w:p>
          <w:p w14:paraId="11A216BE" w14:textId="77777777" w:rsidR="009F44BC" w:rsidRPr="005015F3" w:rsidRDefault="009F44BC" w:rsidP="00364174">
            <w:pPr>
              <w:rPr>
                <w:rFonts w:ascii="Times New Roman" w:eastAsia="Calibri" w:hAnsi="Times New Roman" w:cs="Times New Roman"/>
                <w:b/>
                <w:i/>
                <w:noProof/>
                <w:sz w:val="16"/>
                <w:szCs w:val="16"/>
              </w:rPr>
            </w:pPr>
          </w:p>
          <w:p w14:paraId="2B966098" w14:textId="77777777" w:rsidR="00D3763A" w:rsidRPr="005015F3" w:rsidRDefault="00D3763A" w:rsidP="00364174">
            <w:pPr>
              <w:rPr>
                <w:rFonts w:ascii="Times New Roman" w:eastAsia="Calibri" w:hAnsi="Times New Roman" w:cs="Times New Roman"/>
                <w:b/>
                <w:i/>
                <w:noProof/>
                <w:sz w:val="16"/>
                <w:szCs w:val="16"/>
              </w:rPr>
            </w:pPr>
          </w:p>
          <w:p w14:paraId="430483AE" w14:textId="77777777" w:rsidR="00D3763A" w:rsidRPr="005015F3" w:rsidRDefault="00D3763A" w:rsidP="00364174">
            <w:pPr>
              <w:rPr>
                <w:rFonts w:ascii="Times New Roman" w:eastAsia="Calibri" w:hAnsi="Times New Roman" w:cs="Times New Roman"/>
                <w:b/>
                <w:i/>
                <w:noProof/>
                <w:sz w:val="16"/>
                <w:szCs w:val="16"/>
              </w:rPr>
            </w:pPr>
          </w:p>
          <w:p w14:paraId="247E797D" w14:textId="77777777" w:rsidR="00D3763A" w:rsidRPr="005015F3" w:rsidRDefault="00D3763A" w:rsidP="00364174">
            <w:pPr>
              <w:rPr>
                <w:rFonts w:ascii="Times New Roman" w:eastAsia="Calibri" w:hAnsi="Times New Roman" w:cs="Times New Roman"/>
                <w:b/>
                <w:i/>
                <w:noProof/>
                <w:sz w:val="16"/>
                <w:szCs w:val="16"/>
              </w:rPr>
            </w:pPr>
          </w:p>
          <w:p w14:paraId="124F2568" w14:textId="72135925" w:rsidR="009F44BC" w:rsidRPr="005015F3" w:rsidRDefault="009F44BC" w:rsidP="00364174">
            <w:pPr>
              <w:rPr>
                <w:rFonts w:ascii="Times New Roman" w:eastAsia="Calibri" w:hAnsi="Times New Roman" w:cs="Times New Roman"/>
                <w:b/>
                <w:noProof/>
                <w:sz w:val="16"/>
                <w:szCs w:val="16"/>
              </w:rPr>
            </w:pPr>
            <w:r w:rsidRPr="005015F3">
              <w:rPr>
                <w:rFonts w:ascii="Times New Roman" w:eastAsia="Calibri" w:hAnsi="Times New Roman" w:cs="Times New Roman"/>
                <w:b/>
                <w:i/>
                <w:noProof/>
                <w:sz w:val="16"/>
                <w:szCs w:val="16"/>
              </w:rPr>
              <w:t xml:space="preserve">Ползи: </w:t>
            </w:r>
            <w:r w:rsidR="00D3763A" w:rsidRPr="005015F3">
              <w:rPr>
                <w:rFonts w:ascii="Times New Roman" w:eastAsia="Calibri" w:hAnsi="Times New Roman" w:cs="Times New Roman"/>
                <w:b/>
                <w:noProof/>
                <w:sz w:val="16"/>
                <w:szCs w:val="16"/>
              </w:rPr>
              <w:t>намаляване на досегашните цени на земеделските продукти и храни</w:t>
            </w:r>
            <w:r w:rsidRPr="005015F3">
              <w:rPr>
                <w:rFonts w:ascii="Times New Roman" w:eastAsia="Calibri" w:hAnsi="Times New Roman" w:cs="Times New Roman"/>
                <w:b/>
                <w:noProof/>
                <w:sz w:val="16"/>
                <w:szCs w:val="16"/>
              </w:rPr>
              <w:t>.</w:t>
            </w:r>
          </w:p>
          <w:p w14:paraId="015ACAF8" w14:textId="77777777" w:rsidR="009F44BC" w:rsidRPr="005015F3" w:rsidRDefault="009F44BC" w:rsidP="00364174">
            <w:pPr>
              <w:rPr>
                <w:rFonts w:ascii="Times New Roman" w:eastAsia="Calibri" w:hAnsi="Times New Roman" w:cs="Times New Roman"/>
                <w:b/>
                <w:i/>
                <w:noProof/>
                <w:sz w:val="16"/>
                <w:szCs w:val="16"/>
              </w:rPr>
            </w:pPr>
          </w:p>
        </w:tc>
      </w:tr>
      <w:tr w:rsidR="009F44BC" w:rsidRPr="007B4A99" w14:paraId="5675A9FA" w14:textId="77777777" w:rsidTr="001A4DA6">
        <w:trPr>
          <w:jc w:val="center"/>
        </w:trPr>
        <w:tc>
          <w:tcPr>
            <w:tcW w:w="1696" w:type="dxa"/>
            <w:shd w:val="clear" w:color="auto" w:fill="DBDBDB"/>
          </w:tcPr>
          <w:p w14:paraId="3227C250" w14:textId="77777777" w:rsidR="009F44BC" w:rsidRPr="005015F3" w:rsidRDefault="009F44BC" w:rsidP="00364174">
            <w:pPr>
              <w:spacing w:before="120" w:after="120"/>
              <w:rPr>
                <w:rFonts w:ascii="Times New Roman" w:eastAsia="Calibri" w:hAnsi="Times New Roman" w:cs="Times New Roman"/>
                <w:b/>
                <w:i/>
                <w:noProof/>
              </w:rPr>
            </w:pPr>
            <w:r w:rsidRPr="005015F3">
              <w:rPr>
                <w:rFonts w:ascii="Times New Roman" w:eastAsia="Calibri" w:hAnsi="Times New Roman" w:cs="Times New Roman"/>
                <w:b/>
                <w:i/>
                <w:noProof/>
              </w:rPr>
              <w:t>Заинтересована страна/група 3: Българската държава</w:t>
            </w:r>
          </w:p>
        </w:tc>
        <w:tc>
          <w:tcPr>
            <w:tcW w:w="1560" w:type="dxa"/>
            <w:shd w:val="clear" w:color="auto" w:fill="DEEAF6"/>
          </w:tcPr>
          <w:p w14:paraId="3A56579C" w14:textId="77777777" w:rsidR="009F44BC" w:rsidRPr="005015F3" w:rsidRDefault="009F44BC" w:rsidP="00364174">
            <w:pPr>
              <w:rPr>
                <w:rFonts w:ascii="Times New Roman" w:eastAsia="Calibri" w:hAnsi="Times New Roman" w:cs="Times New Roman"/>
                <w:b/>
                <w:i/>
                <w:noProof/>
                <w:sz w:val="16"/>
                <w:szCs w:val="16"/>
              </w:rPr>
            </w:pPr>
            <w:r w:rsidRPr="005015F3">
              <w:rPr>
                <w:rFonts w:ascii="Times New Roman" w:eastAsia="Calibri" w:hAnsi="Times New Roman" w:cs="Times New Roman"/>
                <w:b/>
                <w:i/>
                <w:noProof/>
                <w:sz w:val="16"/>
                <w:szCs w:val="16"/>
              </w:rPr>
              <w:t xml:space="preserve">Разходи: </w:t>
            </w:r>
            <w:r w:rsidRPr="005015F3">
              <w:rPr>
                <w:rFonts w:ascii="Times New Roman" w:eastAsia="Calibri" w:hAnsi="Times New Roman" w:cs="Times New Roman"/>
                <w:b/>
                <w:noProof/>
                <w:sz w:val="16"/>
                <w:szCs w:val="16"/>
              </w:rPr>
              <w:t>няма.</w:t>
            </w:r>
          </w:p>
          <w:p w14:paraId="1D6BC404" w14:textId="77777777" w:rsidR="009F44BC" w:rsidRPr="005015F3" w:rsidRDefault="009F44BC" w:rsidP="00364174">
            <w:pPr>
              <w:rPr>
                <w:rFonts w:ascii="Times New Roman" w:eastAsia="Calibri" w:hAnsi="Times New Roman" w:cs="Times New Roman"/>
                <w:b/>
                <w:i/>
                <w:noProof/>
                <w:sz w:val="16"/>
                <w:szCs w:val="16"/>
              </w:rPr>
            </w:pPr>
          </w:p>
          <w:p w14:paraId="4DD162DE" w14:textId="77777777" w:rsidR="009F44BC" w:rsidRPr="005015F3" w:rsidRDefault="009F44BC" w:rsidP="00364174">
            <w:pPr>
              <w:rPr>
                <w:rFonts w:ascii="Times New Roman" w:eastAsia="Calibri" w:hAnsi="Times New Roman" w:cs="Times New Roman"/>
                <w:b/>
                <w:i/>
                <w:noProof/>
                <w:sz w:val="16"/>
                <w:szCs w:val="16"/>
              </w:rPr>
            </w:pPr>
          </w:p>
          <w:p w14:paraId="74CABAE2" w14:textId="77777777" w:rsidR="009F44BC" w:rsidRPr="005015F3" w:rsidRDefault="009F44BC" w:rsidP="00364174">
            <w:pPr>
              <w:rPr>
                <w:rFonts w:ascii="Times New Roman" w:eastAsia="Calibri" w:hAnsi="Times New Roman" w:cs="Times New Roman"/>
                <w:b/>
                <w:i/>
                <w:noProof/>
                <w:sz w:val="16"/>
                <w:szCs w:val="16"/>
              </w:rPr>
            </w:pPr>
          </w:p>
          <w:p w14:paraId="207060F2" w14:textId="77777777" w:rsidR="009F44BC" w:rsidRPr="005015F3" w:rsidRDefault="009F44BC" w:rsidP="00364174">
            <w:pPr>
              <w:rPr>
                <w:rFonts w:ascii="Times New Roman" w:eastAsia="Calibri" w:hAnsi="Times New Roman" w:cs="Times New Roman"/>
                <w:b/>
                <w:i/>
                <w:noProof/>
                <w:sz w:val="16"/>
                <w:szCs w:val="16"/>
              </w:rPr>
            </w:pPr>
          </w:p>
          <w:p w14:paraId="1243ECAC" w14:textId="77777777" w:rsidR="009F44BC" w:rsidRPr="005015F3" w:rsidRDefault="009F44BC" w:rsidP="00364174">
            <w:pPr>
              <w:rPr>
                <w:rFonts w:ascii="Times New Roman" w:eastAsia="Calibri" w:hAnsi="Times New Roman" w:cs="Times New Roman"/>
                <w:b/>
                <w:i/>
                <w:noProof/>
                <w:sz w:val="16"/>
                <w:szCs w:val="16"/>
              </w:rPr>
            </w:pPr>
          </w:p>
          <w:p w14:paraId="52DB4445" w14:textId="77777777" w:rsidR="009F44BC" w:rsidRPr="005015F3" w:rsidRDefault="009F44BC" w:rsidP="00364174">
            <w:pPr>
              <w:rPr>
                <w:rFonts w:ascii="Times New Roman" w:eastAsia="Calibri" w:hAnsi="Times New Roman" w:cs="Times New Roman"/>
                <w:b/>
                <w:i/>
                <w:noProof/>
                <w:sz w:val="16"/>
                <w:szCs w:val="16"/>
              </w:rPr>
            </w:pPr>
          </w:p>
          <w:p w14:paraId="40D6F757" w14:textId="714A789E" w:rsidR="009F44BC" w:rsidRPr="005015F3" w:rsidRDefault="009F44BC" w:rsidP="00D3763A">
            <w:pPr>
              <w:rPr>
                <w:rFonts w:ascii="Times New Roman" w:eastAsia="Calibri" w:hAnsi="Times New Roman" w:cs="Times New Roman"/>
                <w:b/>
                <w:i/>
                <w:noProof/>
                <w:sz w:val="16"/>
                <w:szCs w:val="16"/>
              </w:rPr>
            </w:pPr>
            <w:r w:rsidRPr="005015F3">
              <w:rPr>
                <w:rFonts w:ascii="Times New Roman" w:eastAsia="Calibri" w:hAnsi="Times New Roman" w:cs="Times New Roman"/>
                <w:b/>
                <w:i/>
                <w:noProof/>
                <w:sz w:val="16"/>
                <w:szCs w:val="16"/>
              </w:rPr>
              <w:t xml:space="preserve">Ползи: </w:t>
            </w:r>
            <w:r w:rsidR="00D3763A" w:rsidRPr="005015F3">
              <w:rPr>
                <w:rFonts w:ascii="Times New Roman" w:eastAsia="Calibri" w:hAnsi="Times New Roman" w:cs="Times New Roman"/>
                <w:b/>
                <w:noProof/>
                <w:sz w:val="16"/>
                <w:szCs w:val="16"/>
              </w:rPr>
              <w:t>няма.</w:t>
            </w:r>
          </w:p>
        </w:tc>
        <w:tc>
          <w:tcPr>
            <w:tcW w:w="1842" w:type="dxa"/>
            <w:shd w:val="clear" w:color="auto" w:fill="BDD6EE"/>
          </w:tcPr>
          <w:p w14:paraId="11DB8A24" w14:textId="7CD0F2F7" w:rsidR="009F44BC" w:rsidRPr="005015F3" w:rsidRDefault="009F44BC" w:rsidP="00364174">
            <w:pPr>
              <w:rPr>
                <w:rFonts w:ascii="Times New Roman" w:eastAsia="Calibri" w:hAnsi="Times New Roman" w:cs="Times New Roman"/>
                <w:b/>
                <w:noProof/>
                <w:sz w:val="16"/>
                <w:szCs w:val="16"/>
              </w:rPr>
            </w:pPr>
            <w:r w:rsidRPr="005015F3">
              <w:rPr>
                <w:rFonts w:ascii="Times New Roman" w:eastAsia="Calibri" w:hAnsi="Times New Roman" w:cs="Times New Roman"/>
                <w:b/>
                <w:i/>
                <w:noProof/>
                <w:sz w:val="16"/>
                <w:szCs w:val="16"/>
              </w:rPr>
              <w:t xml:space="preserve">Разходи: </w:t>
            </w:r>
            <w:r w:rsidR="00D3763A" w:rsidRPr="005015F3">
              <w:rPr>
                <w:rFonts w:ascii="Times New Roman" w:eastAsia="Calibri" w:hAnsi="Times New Roman" w:cs="Times New Roman"/>
                <w:b/>
                <w:noProof/>
                <w:sz w:val="16"/>
                <w:szCs w:val="16"/>
              </w:rPr>
              <w:t>минимални разходи за разработване на кодекси за поведение или на подходи за саморегулиране</w:t>
            </w:r>
            <w:r w:rsidRPr="005015F3">
              <w:rPr>
                <w:rFonts w:ascii="Times New Roman" w:eastAsia="Calibri" w:hAnsi="Times New Roman" w:cs="Times New Roman"/>
                <w:b/>
                <w:noProof/>
                <w:sz w:val="16"/>
                <w:szCs w:val="16"/>
              </w:rPr>
              <w:t>.</w:t>
            </w:r>
          </w:p>
          <w:p w14:paraId="2E4F5022" w14:textId="77777777" w:rsidR="009F44BC" w:rsidRPr="005015F3" w:rsidRDefault="009F44BC" w:rsidP="00364174">
            <w:pPr>
              <w:rPr>
                <w:rFonts w:ascii="Times New Roman" w:eastAsia="Calibri" w:hAnsi="Times New Roman" w:cs="Times New Roman"/>
                <w:b/>
                <w:i/>
                <w:noProof/>
                <w:sz w:val="16"/>
                <w:szCs w:val="16"/>
              </w:rPr>
            </w:pPr>
          </w:p>
          <w:p w14:paraId="33C20603" w14:textId="77777777" w:rsidR="009F44BC" w:rsidRPr="005015F3" w:rsidRDefault="009F44BC" w:rsidP="00364174">
            <w:pPr>
              <w:rPr>
                <w:rFonts w:ascii="Times New Roman" w:eastAsia="Calibri" w:hAnsi="Times New Roman" w:cs="Times New Roman"/>
                <w:b/>
                <w:i/>
                <w:noProof/>
                <w:sz w:val="16"/>
                <w:szCs w:val="16"/>
              </w:rPr>
            </w:pPr>
          </w:p>
          <w:p w14:paraId="102456E9" w14:textId="77777777" w:rsidR="009F44BC" w:rsidRPr="005015F3" w:rsidRDefault="009F44BC" w:rsidP="00364174">
            <w:pPr>
              <w:rPr>
                <w:rFonts w:ascii="Times New Roman" w:eastAsia="Calibri" w:hAnsi="Times New Roman" w:cs="Times New Roman"/>
                <w:b/>
                <w:i/>
                <w:noProof/>
                <w:sz w:val="16"/>
                <w:szCs w:val="16"/>
              </w:rPr>
            </w:pPr>
          </w:p>
          <w:p w14:paraId="5D26ED81" w14:textId="28FB6E41" w:rsidR="009F44BC" w:rsidRPr="005015F3" w:rsidRDefault="009F44BC" w:rsidP="000E551C">
            <w:pPr>
              <w:rPr>
                <w:rFonts w:ascii="Times New Roman" w:eastAsia="Calibri" w:hAnsi="Times New Roman" w:cs="Times New Roman"/>
                <w:b/>
                <w:i/>
                <w:noProof/>
                <w:sz w:val="16"/>
                <w:szCs w:val="16"/>
              </w:rPr>
            </w:pPr>
            <w:r w:rsidRPr="005015F3">
              <w:rPr>
                <w:rFonts w:ascii="Times New Roman" w:eastAsia="Calibri" w:hAnsi="Times New Roman" w:cs="Times New Roman"/>
                <w:b/>
                <w:i/>
                <w:noProof/>
                <w:sz w:val="16"/>
                <w:szCs w:val="16"/>
              </w:rPr>
              <w:t xml:space="preserve">Ползи: </w:t>
            </w:r>
            <w:r w:rsidRPr="005015F3">
              <w:rPr>
                <w:rFonts w:ascii="Times New Roman" w:eastAsia="Calibri" w:hAnsi="Times New Roman" w:cs="Times New Roman"/>
                <w:b/>
                <w:noProof/>
                <w:sz w:val="16"/>
                <w:szCs w:val="16"/>
              </w:rPr>
              <w:t xml:space="preserve">несигурна и незначителна възможност за </w:t>
            </w:r>
            <w:r w:rsidR="000E551C" w:rsidRPr="005015F3">
              <w:rPr>
                <w:rFonts w:ascii="Times New Roman" w:eastAsia="Calibri" w:hAnsi="Times New Roman" w:cs="Times New Roman"/>
                <w:b/>
                <w:noProof/>
                <w:sz w:val="16"/>
                <w:szCs w:val="16"/>
              </w:rPr>
              <w:t>изсветляване и изравняване на отношенията по веригата на доставки</w:t>
            </w:r>
            <w:r w:rsidRPr="005015F3">
              <w:rPr>
                <w:rFonts w:ascii="Times New Roman" w:eastAsia="Calibri" w:hAnsi="Times New Roman" w:cs="Times New Roman"/>
                <w:b/>
                <w:noProof/>
                <w:sz w:val="16"/>
                <w:szCs w:val="16"/>
              </w:rPr>
              <w:t>.</w:t>
            </w:r>
          </w:p>
        </w:tc>
        <w:tc>
          <w:tcPr>
            <w:tcW w:w="1701" w:type="dxa"/>
            <w:shd w:val="clear" w:color="auto" w:fill="9CC2E5"/>
          </w:tcPr>
          <w:p w14:paraId="6FCB3AD8" w14:textId="17381D2E" w:rsidR="009F44BC" w:rsidRPr="005015F3" w:rsidRDefault="009F44BC" w:rsidP="00364174">
            <w:pPr>
              <w:rPr>
                <w:rFonts w:ascii="Times New Roman" w:eastAsia="Calibri" w:hAnsi="Times New Roman" w:cs="Times New Roman"/>
                <w:b/>
                <w:noProof/>
                <w:sz w:val="16"/>
                <w:szCs w:val="16"/>
              </w:rPr>
            </w:pPr>
            <w:r w:rsidRPr="005015F3">
              <w:rPr>
                <w:rFonts w:ascii="Times New Roman" w:eastAsia="Calibri" w:hAnsi="Times New Roman" w:cs="Times New Roman"/>
                <w:b/>
                <w:i/>
                <w:noProof/>
                <w:sz w:val="16"/>
                <w:szCs w:val="16"/>
              </w:rPr>
              <w:t>Разходи:</w:t>
            </w:r>
            <w:r w:rsidR="000E551C" w:rsidRPr="005015F3">
              <w:rPr>
                <w:rFonts w:ascii="Times New Roman" w:eastAsia="Calibri" w:hAnsi="Times New Roman" w:cs="Times New Roman"/>
                <w:b/>
                <w:i/>
                <w:noProof/>
                <w:sz w:val="16"/>
                <w:szCs w:val="16"/>
              </w:rPr>
              <w:t xml:space="preserve"> </w:t>
            </w:r>
            <w:r w:rsidR="000E551C" w:rsidRPr="005015F3">
              <w:rPr>
                <w:rFonts w:ascii="Times New Roman" w:eastAsia="Calibri" w:hAnsi="Times New Roman" w:cs="Times New Roman"/>
                <w:b/>
                <w:noProof/>
                <w:sz w:val="16"/>
                <w:szCs w:val="16"/>
              </w:rPr>
              <w:t>незначителни</w:t>
            </w:r>
            <w:r w:rsidRPr="005015F3">
              <w:rPr>
                <w:rFonts w:ascii="Times New Roman" w:eastAsia="Calibri" w:hAnsi="Times New Roman" w:cs="Times New Roman"/>
                <w:b/>
                <w:noProof/>
                <w:sz w:val="16"/>
                <w:szCs w:val="16"/>
              </w:rPr>
              <w:t xml:space="preserve"> </w:t>
            </w:r>
            <w:r w:rsidR="000E551C" w:rsidRPr="005015F3">
              <w:rPr>
                <w:rFonts w:ascii="Times New Roman" w:eastAsia="Calibri" w:hAnsi="Times New Roman" w:cs="Times New Roman"/>
                <w:b/>
                <w:noProof/>
                <w:sz w:val="16"/>
                <w:szCs w:val="16"/>
              </w:rPr>
              <w:t xml:space="preserve">разходи, свързани с разработване, приемане, прилагане, наблюдение, конрол на изменения в действащото законодателство. </w:t>
            </w:r>
          </w:p>
          <w:p w14:paraId="629D6F3F" w14:textId="77777777" w:rsidR="009F44BC" w:rsidRPr="005015F3" w:rsidRDefault="009F44BC" w:rsidP="00364174">
            <w:pPr>
              <w:rPr>
                <w:rFonts w:ascii="Times New Roman" w:eastAsia="Calibri" w:hAnsi="Times New Roman" w:cs="Times New Roman"/>
                <w:b/>
                <w:i/>
                <w:noProof/>
                <w:sz w:val="16"/>
                <w:szCs w:val="16"/>
              </w:rPr>
            </w:pPr>
          </w:p>
          <w:p w14:paraId="4CC1AA9D" w14:textId="752D0251" w:rsidR="009F44BC" w:rsidRPr="005015F3" w:rsidRDefault="009F44BC" w:rsidP="000E551C">
            <w:pPr>
              <w:rPr>
                <w:rFonts w:ascii="Times New Roman" w:eastAsia="Calibri" w:hAnsi="Times New Roman" w:cs="Times New Roman"/>
                <w:b/>
                <w:i/>
                <w:noProof/>
                <w:sz w:val="16"/>
                <w:szCs w:val="16"/>
              </w:rPr>
            </w:pPr>
            <w:r w:rsidRPr="005015F3">
              <w:rPr>
                <w:rFonts w:ascii="Times New Roman" w:eastAsia="Calibri" w:hAnsi="Times New Roman" w:cs="Times New Roman"/>
                <w:b/>
                <w:i/>
                <w:noProof/>
                <w:sz w:val="16"/>
                <w:szCs w:val="16"/>
              </w:rPr>
              <w:t xml:space="preserve">Ползи: </w:t>
            </w:r>
            <w:r w:rsidR="000E551C" w:rsidRPr="005015F3">
              <w:rPr>
                <w:rFonts w:ascii="Times New Roman" w:eastAsia="Calibri" w:hAnsi="Times New Roman" w:cs="Times New Roman"/>
                <w:b/>
                <w:noProof/>
                <w:sz w:val="16"/>
                <w:szCs w:val="16"/>
              </w:rPr>
              <w:t>непълноценно изсветляване и изравняване на отношенията по веригата на доставки.</w:t>
            </w:r>
          </w:p>
        </w:tc>
        <w:tc>
          <w:tcPr>
            <w:tcW w:w="1985" w:type="dxa"/>
            <w:shd w:val="clear" w:color="auto" w:fill="2E74B5"/>
          </w:tcPr>
          <w:p w14:paraId="7260DB1B" w14:textId="5ABEDCE1" w:rsidR="009F44BC" w:rsidRPr="005015F3" w:rsidRDefault="009F44BC" w:rsidP="00364174">
            <w:pPr>
              <w:rPr>
                <w:rFonts w:ascii="Times New Roman" w:eastAsia="Calibri" w:hAnsi="Times New Roman" w:cs="Times New Roman"/>
                <w:b/>
                <w:noProof/>
                <w:sz w:val="16"/>
                <w:szCs w:val="16"/>
              </w:rPr>
            </w:pPr>
            <w:r w:rsidRPr="005015F3">
              <w:rPr>
                <w:rFonts w:ascii="Times New Roman" w:eastAsia="Calibri" w:hAnsi="Times New Roman" w:cs="Times New Roman"/>
                <w:b/>
                <w:i/>
                <w:noProof/>
                <w:sz w:val="16"/>
                <w:szCs w:val="16"/>
              </w:rPr>
              <w:t>Разходи:</w:t>
            </w:r>
            <w:r w:rsidR="000E551C" w:rsidRPr="005015F3">
              <w:rPr>
                <w:rFonts w:ascii="Times New Roman" w:eastAsia="Calibri" w:hAnsi="Times New Roman" w:cs="Times New Roman"/>
                <w:b/>
                <w:i/>
                <w:noProof/>
                <w:sz w:val="16"/>
                <w:szCs w:val="16"/>
              </w:rPr>
              <w:t xml:space="preserve"> </w:t>
            </w:r>
            <w:r w:rsidRPr="005015F3">
              <w:rPr>
                <w:rFonts w:ascii="Times New Roman" w:eastAsia="Calibri" w:hAnsi="Times New Roman" w:cs="Times New Roman"/>
                <w:b/>
                <w:i/>
                <w:noProof/>
                <w:sz w:val="16"/>
                <w:szCs w:val="16"/>
              </w:rPr>
              <w:t xml:space="preserve"> </w:t>
            </w:r>
            <w:r w:rsidR="00EC2B08" w:rsidRPr="005015F3">
              <w:rPr>
                <w:rFonts w:ascii="Times New Roman" w:eastAsia="Calibri" w:hAnsi="Times New Roman" w:cs="Times New Roman"/>
                <w:b/>
                <w:noProof/>
                <w:sz w:val="16"/>
                <w:szCs w:val="16"/>
              </w:rPr>
              <w:t xml:space="preserve">разработване, приемане, прилагане, наблюдение, конрол и отчитане на </w:t>
            </w:r>
            <w:r w:rsidR="000E551C" w:rsidRPr="005015F3">
              <w:rPr>
                <w:rFonts w:ascii="Times New Roman" w:eastAsia="Calibri" w:hAnsi="Times New Roman" w:cs="Times New Roman"/>
                <w:b/>
                <w:noProof/>
                <w:sz w:val="16"/>
                <w:szCs w:val="16"/>
              </w:rPr>
              <w:t>изцяло нов закон.</w:t>
            </w:r>
          </w:p>
          <w:p w14:paraId="08C2831D" w14:textId="77777777" w:rsidR="009F44BC" w:rsidRPr="005015F3" w:rsidRDefault="009F44BC" w:rsidP="00364174">
            <w:pPr>
              <w:rPr>
                <w:rFonts w:ascii="Times New Roman" w:eastAsia="Calibri" w:hAnsi="Times New Roman" w:cs="Times New Roman"/>
                <w:b/>
                <w:i/>
                <w:noProof/>
                <w:sz w:val="16"/>
                <w:szCs w:val="16"/>
              </w:rPr>
            </w:pPr>
          </w:p>
          <w:p w14:paraId="292C9D05" w14:textId="77777777" w:rsidR="009F44BC" w:rsidRPr="005015F3" w:rsidRDefault="009F44BC" w:rsidP="00364174">
            <w:pPr>
              <w:rPr>
                <w:rFonts w:ascii="Times New Roman" w:eastAsia="Calibri" w:hAnsi="Times New Roman" w:cs="Times New Roman"/>
                <w:b/>
                <w:i/>
                <w:noProof/>
                <w:sz w:val="16"/>
                <w:szCs w:val="16"/>
              </w:rPr>
            </w:pPr>
          </w:p>
          <w:p w14:paraId="672C7C87" w14:textId="77777777" w:rsidR="000E551C" w:rsidRPr="005015F3" w:rsidRDefault="000E551C" w:rsidP="00364174">
            <w:pPr>
              <w:rPr>
                <w:rFonts w:ascii="Times New Roman" w:eastAsia="Calibri" w:hAnsi="Times New Roman" w:cs="Times New Roman"/>
                <w:b/>
                <w:i/>
                <w:noProof/>
                <w:sz w:val="16"/>
                <w:szCs w:val="16"/>
              </w:rPr>
            </w:pPr>
          </w:p>
          <w:p w14:paraId="30B22A40" w14:textId="77777777" w:rsidR="000E551C" w:rsidRPr="005015F3" w:rsidRDefault="000E551C" w:rsidP="00364174">
            <w:pPr>
              <w:rPr>
                <w:rFonts w:ascii="Times New Roman" w:eastAsia="Calibri" w:hAnsi="Times New Roman" w:cs="Times New Roman"/>
                <w:b/>
                <w:i/>
                <w:noProof/>
                <w:sz w:val="16"/>
                <w:szCs w:val="16"/>
              </w:rPr>
            </w:pPr>
          </w:p>
          <w:p w14:paraId="2F90861C" w14:textId="381DC7AC" w:rsidR="009F44BC" w:rsidRPr="005015F3" w:rsidRDefault="009F44BC" w:rsidP="000E551C">
            <w:pPr>
              <w:rPr>
                <w:rFonts w:ascii="Times New Roman" w:eastAsia="Calibri" w:hAnsi="Times New Roman" w:cs="Times New Roman"/>
                <w:b/>
                <w:i/>
                <w:noProof/>
                <w:sz w:val="16"/>
                <w:szCs w:val="16"/>
              </w:rPr>
            </w:pPr>
            <w:r w:rsidRPr="005015F3">
              <w:rPr>
                <w:rFonts w:ascii="Times New Roman" w:eastAsia="Calibri" w:hAnsi="Times New Roman" w:cs="Times New Roman"/>
                <w:b/>
                <w:i/>
                <w:noProof/>
                <w:sz w:val="16"/>
                <w:szCs w:val="16"/>
              </w:rPr>
              <w:t xml:space="preserve">Ползи: </w:t>
            </w:r>
            <w:r w:rsidR="000E551C" w:rsidRPr="005015F3">
              <w:rPr>
                <w:rFonts w:ascii="Times New Roman" w:eastAsia="Calibri" w:hAnsi="Times New Roman" w:cs="Times New Roman"/>
                <w:b/>
                <w:noProof/>
                <w:sz w:val="16"/>
                <w:szCs w:val="16"/>
              </w:rPr>
              <w:t>оптимално изсветляване и изравняване на отношенията по веригата на доставки</w:t>
            </w:r>
            <w:r w:rsidR="00C016F4">
              <w:rPr>
                <w:rFonts w:ascii="Times New Roman" w:eastAsia="Calibri" w:hAnsi="Times New Roman" w:cs="Times New Roman"/>
                <w:b/>
                <w:noProof/>
                <w:sz w:val="16"/>
                <w:szCs w:val="16"/>
              </w:rPr>
              <w:t xml:space="preserve"> и пълноценно прилагане на правото на ЕС</w:t>
            </w:r>
            <w:r w:rsidR="000E551C" w:rsidRPr="005015F3">
              <w:rPr>
                <w:rFonts w:ascii="Times New Roman" w:eastAsia="Calibri" w:hAnsi="Times New Roman" w:cs="Times New Roman"/>
                <w:b/>
                <w:noProof/>
                <w:sz w:val="16"/>
                <w:szCs w:val="16"/>
              </w:rPr>
              <w:t>.</w:t>
            </w:r>
          </w:p>
        </w:tc>
      </w:tr>
    </w:tbl>
    <w:p w14:paraId="1A184713" w14:textId="77777777" w:rsidR="009F44BC" w:rsidRDefault="009F44BC" w:rsidP="00CB0A97">
      <w:pPr>
        <w:spacing w:after="0" w:line="240" w:lineRule="auto"/>
        <w:ind w:firstLine="567"/>
        <w:jc w:val="both"/>
        <w:rPr>
          <w:rFonts w:ascii="Times New Roman" w:eastAsia="Times New Roman" w:hAnsi="Times New Roman" w:cs="Times New Roman"/>
          <w:sz w:val="24"/>
          <w:szCs w:val="24"/>
        </w:rPr>
      </w:pPr>
    </w:p>
    <w:p w14:paraId="0B7C1F89" w14:textId="38B2C598" w:rsidR="00CB0A97" w:rsidRPr="007B4A99" w:rsidRDefault="00CB0A97" w:rsidP="00CB0A97">
      <w:pPr>
        <w:pStyle w:val="Heading2"/>
        <w:tabs>
          <w:tab w:val="left" w:pos="900"/>
        </w:tabs>
        <w:ind w:firstLine="567"/>
        <w:rPr>
          <w:rFonts w:ascii="Times New Roman" w:hAnsi="Times New Roman"/>
        </w:rPr>
      </w:pPr>
      <w:bookmarkStart w:id="32" w:name="_Toc198633092"/>
      <w:r w:rsidRPr="0023795F">
        <w:rPr>
          <w:rFonts w:ascii="Times New Roman" w:hAnsi="Times New Roman"/>
        </w:rPr>
        <w:lastRenderedPageBreak/>
        <w:t xml:space="preserve">5.6.1. </w:t>
      </w:r>
      <w:r w:rsidRPr="0023795F">
        <w:rPr>
          <w:rFonts w:ascii="Times New Roman" w:eastAsia="Times New Roman" w:hAnsi="Times New Roman"/>
          <w:sz w:val="24"/>
          <w:szCs w:val="24"/>
        </w:rPr>
        <w:t>Анализ „разходи–ползи“</w:t>
      </w:r>
      <w:bookmarkEnd w:id="32"/>
      <w:r w:rsidRPr="0093049E">
        <w:rPr>
          <w:rFonts w:ascii="Times New Roman" w:eastAsia="Times New Roman" w:hAnsi="Times New Roman"/>
          <w:sz w:val="24"/>
          <w:szCs w:val="24"/>
        </w:rPr>
        <w:t xml:space="preserve"> </w:t>
      </w:r>
    </w:p>
    <w:p w14:paraId="4275BCD4" w14:textId="53672994" w:rsidR="00CB0A97" w:rsidRPr="008A1F6F" w:rsidRDefault="00CB0A97" w:rsidP="00CB0A97">
      <w:pPr>
        <w:spacing w:after="0" w:line="240" w:lineRule="auto"/>
        <w:ind w:firstLine="567"/>
        <w:jc w:val="both"/>
        <w:rPr>
          <w:rFonts w:ascii="Times New Roman" w:eastAsia="Times New Roman" w:hAnsi="Times New Roman" w:cs="Times New Roman"/>
          <w:sz w:val="24"/>
          <w:szCs w:val="24"/>
        </w:rPr>
      </w:pPr>
      <w:r w:rsidRPr="008A1F6F">
        <w:rPr>
          <w:rFonts w:ascii="Times New Roman" w:eastAsia="Times New Roman" w:hAnsi="Times New Roman" w:cs="Times New Roman"/>
          <w:sz w:val="24"/>
          <w:szCs w:val="24"/>
        </w:rPr>
        <w:t xml:space="preserve">За целите на настоящата цялостна предварителна </w:t>
      </w:r>
      <w:r w:rsidR="005C01E8">
        <w:rPr>
          <w:rFonts w:ascii="Times New Roman" w:eastAsia="Times New Roman" w:hAnsi="Times New Roman" w:cs="Times New Roman"/>
          <w:sz w:val="24"/>
          <w:szCs w:val="24"/>
        </w:rPr>
        <w:t>ОВ</w:t>
      </w:r>
      <w:r w:rsidRPr="008A1F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е </w:t>
      </w:r>
      <w:r w:rsidRPr="008A1F6F">
        <w:rPr>
          <w:rFonts w:ascii="Times New Roman" w:eastAsia="Times New Roman" w:hAnsi="Times New Roman" w:cs="Times New Roman"/>
          <w:sz w:val="24"/>
          <w:szCs w:val="24"/>
        </w:rPr>
        <w:t>използва</w:t>
      </w:r>
      <w:r>
        <w:rPr>
          <w:rFonts w:ascii="Times New Roman" w:eastAsia="Times New Roman" w:hAnsi="Times New Roman" w:cs="Times New Roman"/>
          <w:sz w:val="24"/>
          <w:szCs w:val="24"/>
        </w:rPr>
        <w:t>н</w:t>
      </w:r>
      <w:r w:rsidR="0023795F">
        <w:rPr>
          <w:rFonts w:ascii="Times New Roman" w:eastAsia="Times New Roman" w:hAnsi="Times New Roman" w:cs="Times New Roman"/>
          <w:sz w:val="24"/>
          <w:szCs w:val="24"/>
        </w:rPr>
        <w:t xml:space="preserve"> изготвен</w:t>
      </w:r>
      <w:r w:rsidRPr="0023795F">
        <w:rPr>
          <w:rFonts w:ascii="Times New Roman" w:eastAsia="Times New Roman" w:hAnsi="Times New Roman" w:cs="Times New Roman"/>
          <w:sz w:val="24"/>
          <w:szCs w:val="24"/>
        </w:rPr>
        <w:t xml:space="preserve"> анализа „разходи – ползи“</w:t>
      </w:r>
      <w:r w:rsidRPr="008A1F6F">
        <w:rPr>
          <w:rFonts w:ascii="Times New Roman" w:eastAsia="Times New Roman" w:hAnsi="Times New Roman" w:cs="Times New Roman"/>
          <w:i/>
          <w:sz w:val="24"/>
          <w:szCs w:val="24"/>
        </w:rPr>
        <w:t xml:space="preserve"> </w:t>
      </w:r>
      <w:r w:rsidRPr="008A1F6F">
        <w:rPr>
          <w:rFonts w:ascii="Times New Roman" w:eastAsia="Times New Roman" w:hAnsi="Times New Roman" w:cs="Times New Roman"/>
          <w:sz w:val="24"/>
          <w:szCs w:val="24"/>
        </w:rPr>
        <w:t>като метод за оценяване на проектопредложения за публични политики и мерки за регулиране посредством сравняване (съпоставяне) на техните разходи и ползи, измерени в стойност (парични единици).</w:t>
      </w:r>
    </w:p>
    <w:p w14:paraId="39D9EBAE" w14:textId="77777777" w:rsidR="00CB0A97" w:rsidRPr="008A1F6F" w:rsidRDefault="00CB0A97" w:rsidP="00CB0A97">
      <w:pPr>
        <w:spacing w:after="0" w:line="240" w:lineRule="auto"/>
        <w:ind w:firstLine="567"/>
        <w:jc w:val="both"/>
        <w:rPr>
          <w:rFonts w:ascii="Times New Roman" w:eastAsia="Times New Roman" w:hAnsi="Times New Roman" w:cs="Times New Roman"/>
          <w:sz w:val="24"/>
          <w:szCs w:val="24"/>
        </w:rPr>
      </w:pPr>
      <w:r w:rsidRPr="008A1F6F">
        <w:rPr>
          <w:rFonts w:ascii="Times New Roman" w:eastAsia="Times New Roman" w:hAnsi="Times New Roman" w:cs="Times New Roman"/>
          <w:sz w:val="24"/>
          <w:szCs w:val="24"/>
        </w:rPr>
        <w:t>Основни инструменти за извършване на анализа „разходи – ползи“ в рамките на конкретната цялостна предварителна ОВ са:</w:t>
      </w:r>
    </w:p>
    <w:p w14:paraId="783343CE" w14:textId="77777777" w:rsidR="00CB0A97" w:rsidRPr="008A1F6F" w:rsidRDefault="00CB0A97" w:rsidP="00893B6A">
      <w:pPr>
        <w:numPr>
          <w:ilvl w:val="0"/>
          <w:numId w:val="11"/>
        </w:numPr>
        <w:spacing w:after="0" w:line="240" w:lineRule="auto"/>
        <w:ind w:left="993" w:firstLine="567"/>
        <w:contextualSpacing/>
        <w:jc w:val="both"/>
        <w:rPr>
          <w:rFonts w:ascii="Times New Roman" w:eastAsia="Calibri" w:hAnsi="Times New Roman" w:cs="Times New Roman"/>
          <w:sz w:val="24"/>
          <w:szCs w:val="24"/>
        </w:rPr>
      </w:pPr>
      <w:r w:rsidRPr="008A1F6F">
        <w:rPr>
          <w:rFonts w:ascii="Times New Roman" w:eastAsia="Calibri" w:hAnsi="Times New Roman" w:cs="Times New Roman"/>
          <w:sz w:val="24"/>
          <w:szCs w:val="24"/>
        </w:rPr>
        <w:t>нетната настояща стойност и</w:t>
      </w:r>
    </w:p>
    <w:p w14:paraId="61BD2E9E" w14:textId="77777777" w:rsidR="00CB0A97" w:rsidRPr="009F44BC" w:rsidRDefault="00CB0A97" w:rsidP="00893B6A">
      <w:pPr>
        <w:numPr>
          <w:ilvl w:val="0"/>
          <w:numId w:val="11"/>
        </w:numPr>
        <w:spacing w:after="0" w:line="240" w:lineRule="auto"/>
        <w:ind w:left="993" w:firstLine="567"/>
        <w:contextualSpacing/>
        <w:jc w:val="both"/>
        <w:rPr>
          <w:rFonts w:ascii="Times New Roman" w:eastAsia="Calibri" w:hAnsi="Times New Roman" w:cs="Times New Roman"/>
          <w:sz w:val="24"/>
          <w:szCs w:val="24"/>
        </w:rPr>
      </w:pPr>
      <w:r w:rsidRPr="009F44BC">
        <w:rPr>
          <w:rFonts w:ascii="Times New Roman" w:eastAsia="Calibri" w:hAnsi="Times New Roman" w:cs="Times New Roman"/>
          <w:sz w:val="24"/>
          <w:szCs w:val="24"/>
        </w:rPr>
        <w:t>сравняването на анюализираните стойности на разходите и ползите.</w:t>
      </w:r>
    </w:p>
    <w:p w14:paraId="31B25C1C" w14:textId="77777777" w:rsidR="00CB0A97" w:rsidRPr="009F44BC" w:rsidRDefault="00CB0A97" w:rsidP="00CB0A97">
      <w:pPr>
        <w:spacing w:after="0" w:line="240" w:lineRule="auto"/>
        <w:ind w:firstLine="567"/>
        <w:jc w:val="both"/>
        <w:rPr>
          <w:rFonts w:ascii="Times New Roman" w:eastAsia="Times New Roman" w:hAnsi="Times New Roman" w:cs="Times New Roman"/>
          <w:sz w:val="24"/>
          <w:szCs w:val="24"/>
        </w:rPr>
      </w:pPr>
      <w:r w:rsidRPr="009F44BC">
        <w:rPr>
          <w:rFonts w:ascii="Times New Roman" w:eastAsia="Times New Roman" w:hAnsi="Times New Roman" w:cs="Times New Roman"/>
          <w:sz w:val="24"/>
          <w:szCs w:val="24"/>
        </w:rPr>
        <w:t>Нетната настояща стойност е разлика между сбора от настоящите стойности на регулаторните ползи и сбора от настоящите стойности на регулаторните разходи в рамките на полезния живот на предложенията:</w:t>
      </w:r>
    </w:p>
    <w:p w14:paraId="2284698D" w14:textId="77777777" w:rsidR="00CB0A97" w:rsidRPr="009F44BC" w:rsidRDefault="00CB0A97" w:rsidP="00CB0A97">
      <w:pPr>
        <w:spacing w:after="0" w:line="240" w:lineRule="auto"/>
        <w:ind w:firstLine="567"/>
        <w:jc w:val="both"/>
        <w:rPr>
          <w:rFonts w:ascii="Times New Roman" w:eastAsia="Times New Roman" w:hAnsi="Times New Roman" w:cs="Times New Roman"/>
          <w:sz w:val="24"/>
          <w:szCs w:val="24"/>
        </w:rPr>
      </w:pPr>
    </w:p>
    <w:p w14:paraId="4CD215B9" w14:textId="77777777" w:rsidR="00CB0A97" w:rsidRPr="009F44BC" w:rsidRDefault="00C40A49" w:rsidP="00CB0A97">
      <w:pPr>
        <w:spacing w:after="0" w:line="240" w:lineRule="auto"/>
        <w:ind w:firstLine="567"/>
        <w:jc w:val="both"/>
        <w:rPr>
          <w:rFonts w:ascii="Times New Roman" w:eastAsia="Times New Roman" w:hAnsi="Times New Roman" w:cs="Times New Roman"/>
          <w:sz w:val="24"/>
          <w:szCs w:val="24"/>
        </w:rPr>
      </w:pPr>
      <w:r>
        <w:rPr>
          <w:rFonts w:ascii="Times New Roman" w:eastAsia="Calibri" w:hAnsi="Times New Roman" w:cs="Times New Roman"/>
          <w:sz w:val="24"/>
          <w:szCs w:val="24"/>
        </w:rPr>
        <w:object w:dxaOrig="1440" w:dyaOrig="1440" w14:anchorId="30DD6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s1026" type="#_x0000_t75" style="position:absolute;left:0;text-align:left;margin-left:98.65pt;margin-top:6.85pt;width:249.75pt;height:51.85pt;z-index:251665408;visibility:visible">
            <v:imagedata r:id="rId25" o:title=""/>
          </v:shape>
          <o:OLEObject Type="Embed" ProgID="Equation.3" ShapeID="Object 1" DrawAspect="Content" ObjectID="_1809408389" r:id="rId26"/>
        </w:object>
      </w:r>
    </w:p>
    <w:p w14:paraId="32982955" w14:textId="77777777" w:rsidR="00CB0A97" w:rsidRPr="009F44BC" w:rsidRDefault="00CB0A97" w:rsidP="00CB0A97">
      <w:pPr>
        <w:spacing w:after="0" w:line="240" w:lineRule="auto"/>
        <w:ind w:firstLine="567"/>
        <w:jc w:val="both"/>
        <w:rPr>
          <w:rFonts w:ascii="Times New Roman" w:eastAsia="Times New Roman" w:hAnsi="Times New Roman" w:cs="Times New Roman"/>
          <w:sz w:val="24"/>
          <w:szCs w:val="24"/>
        </w:rPr>
      </w:pPr>
    </w:p>
    <w:p w14:paraId="12767487" w14:textId="77777777" w:rsidR="00CB0A97" w:rsidRPr="009F44BC" w:rsidRDefault="00CB0A97" w:rsidP="00CB0A97">
      <w:pPr>
        <w:spacing w:after="0" w:line="240" w:lineRule="auto"/>
        <w:ind w:firstLine="567"/>
        <w:jc w:val="right"/>
        <w:rPr>
          <w:rFonts w:ascii="Times New Roman" w:eastAsia="Times New Roman" w:hAnsi="Times New Roman" w:cs="Times New Roman"/>
          <w:sz w:val="24"/>
          <w:szCs w:val="24"/>
        </w:rPr>
      </w:pPr>
    </w:p>
    <w:p w14:paraId="65611FEE" w14:textId="77777777" w:rsidR="00CB0A97" w:rsidRPr="009F44BC" w:rsidRDefault="00CB0A97" w:rsidP="00CB0A97">
      <w:pPr>
        <w:spacing w:after="0" w:line="240" w:lineRule="auto"/>
        <w:ind w:firstLine="567"/>
        <w:jc w:val="both"/>
        <w:rPr>
          <w:rFonts w:ascii="Times New Roman" w:eastAsia="Times New Roman" w:hAnsi="Times New Roman" w:cs="Times New Roman"/>
          <w:sz w:val="24"/>
          <w:szCs w:val="24"/>
        </w:rPr>
      </w:pPr>
    </w:p>
    <w:p w14:paraId="5A12D2D6" w14:textId="77777777" w:rsidR="00CB0A97" w:rsidRPr="009F44BC" w:rsidRDefault="00CB0A97" w:rsidP="00CB0A97">
      <w:pPr>
        <w:spacing w:after="0" w:line="240" w:lineRule="auto"/>
        <w:ind w:firstLine="567"/>
        <w:jc w:val="both"/>
        <w:rPr>
          <w:rFonts w:ascii="Times New Roman" w:eastAsia="Times New Roman" w:hAnsi="Times New Roman" w:cs="Times New Roman"/>
          <w:sz w:val="24"/>
          <w:szCs w:val="24"/>
          <w:lang w:val="ru-RU"/>
        </w:rPr>
      </w:pPr>
    </w:p>
    <w:p w14:paraId="1F2F52BB" w14:textId="77777777" w:rsidR="00CB0A97" w:rsidRPr="009F44BC" w:rsidRDefault="00CB0A97" w:rsidP="00CB0A97">
      <w:pPr>
        <w:spacing w:after="0" w:line="240" w:lineRule="auto"/>
        <w:ind w:left="708" w:firstLine="567"/>
        <w:jc w:val="both"/>
        <w:rPr>
          <w:rFonts w:ascii="Times New Roman" w:eastAsia="Times New Roman" w:hAnsi="Times New Roman" w:cs="Times New Roman"/>
          <w:sz w:val="24"/>
          <w:szCs w:val="24"/>
        </w:rPr>
      </w:pPr>
      <w:r w:rsidRPr="009F44BC">
        <w:rPr>
          <w:rFonts w:ascii="Times New Roman" w:eastAsia="Times New Roman" w:hAnsi="Times New Roman" w:cs="Times New Roman"/>
          <w:sz w:val="24"/>
          <w:szCs w:val="24"/>
          <w:lang w:val="ru-RU"/>
        </w:rPr>
        <w:t>където:</w:t>
      </w:r>
    </w:p>
    <w:p w14:paraId="7585947D" w14:textId="77777777" w:rsidR="00CB0A97" w:rsidRPr="009F44BC" w:rsidRDefault="00CB0A97" w:rsidP="00CB0A97">
      <w:pPr>
        <w:spacing w:after="0" w:line="240" w:lineRule="auto"/>
        <w:ind w:left="1416" w:firstLine="567"/>
        <w:jc w:val="both"/>
        <w:rPr>
          <w:rFonts w:ascii="Times New Roman" w:eastAsia="Times New Roman" w:hAnsi="Times New Roman" w:cs="Times New Roman"/>
          <w:sz w:val="24"/>
          <w:szCs w:val="24"/>
        </w:rPr>
      </w:pPr>
      <w:r w:rsidRPr="009F44BC">
        <w:rPr>
          <w:rFonts w:ascii="Times New Roman" w:eastAsia="Times New Roman" w:hAnsi="Times New Roman" w:cs="Times New Roman"/>
          <w:i/>
          <w:sz w:val="24"/>
          <w:szCs w:val="24"/>
        </w:rPr>
        <w:t>NPV</w:t>
      </w:r>
      <w:r w:rsidRPr="009F44BC">
        <w:rPr>
          <w:rFonts w:ascii="Times New Roman" w:eastAsia="Times New Roman" w:hAnsi="Times New Roman" w:cs="Times New Roman"/>
          <w:sz w:val="24"/>
          <w:szCs w:val="24"/>
        </w:rPr>
        <w:t xml:space="preserve"> </w:t>
      </w:r>
      <w:r w:rsidRPr="009F44BC">
        <w:rPr>
          <w:rFonts w:ascii="Times New Roman" w:eastAsia="Times New Roman" w:hAnsi="Times New Roman" w:cs="Times New Roman"/>
          <w:sz w:val="24"/>
          <w:szCs w:val="24"/>
          <w:lang w:val="ru-RU"/>
        </w:rPr>
        <w:t>е</w:t>
      </w:r>
      <w:r w:rsidRPr="009F44BC">
        <w:rPr>
          <w:rFonts w:ascii="Times New Roman" w:eastAsia="Times New Roman" w:hAnsi="Times New Roman" w:cs="Times New Roman"/>
          <w:sz w:val="24"/>
          <w:szCs w:val="24"/>
        </w:rPr>
        <w:t xml:space="preserve"> нетната настояща стойност;</w:t>
      </w:r>
    </w:p>
    <w:p w14:paraId="209E8755" w14:textId="77777777" w:rsidR="00CB0A97" w:rsidRPr="009F44BC" w:rsidRDefault="00CB0A97" w:rsidP="00CB0A97">
      <w:pPr>
        <w:spacing w:after="0" w:line="240" w:lineRule="auto"/>
        <w:ind w:left="1416" w:firstLine="567"/>
        <w:jc w:val="both"/>
        <w:rPr>
          <w:rFonts w:ascii="Times New Roman" w:eastAsia="Times New Roman" w:hAnsi="Times New Roman" w:cs="Times New Roman"/>
          <w:sz w:val="24"/>
          <w:szCs w:val="24"/>
          <w:lang w:val="ru-RU"/>
        </w:rPr>
      </w:pPr>
      <w:r w:rsidRPr="009F44BC">
        <w:rPr>
          <w:rFonts w:ascii="Times New Roman" w:eastAsia="Times New Roman" w:hAnsi="Times New Roman" w:cs="Times New Roman"/>
          <w:i/>
          <w:sz w:val="24"/>
          <w:szCs w:val="24"/>
        </w:rPr>
        <w:t>B</w:t>
      </w:r>
      <w:r w:rsidRPr="009F44BC">
        <w:rPr>
          <w:rFonts w:ascii="Times New Roman" w:eastAsia="Times New Roman" w:hAnsi="Times New Roman" w:cs="Times New Roman"/>
          <w:i/>
          <w:sz w:val="24"/>
          <w:szCs w:val="24"/>
          <w:vertAlign w:val="subscript"/>
        </w:rPr>
        <w:t>t</w:t>
      </w:r>
      <w:r w:rsidRPr="009F44BC">
        <w:rPr>
          <w:rFonts w:ascii="Times New Roman" w:eastAsia="Times New Roman" w:hAnsi="Times New Roman" w:cs="Times New Roman"/>
          <w:sz w:val="24"/>
          <w:szCs w:val="24"/>
          <w:lang w:val="ru-RU"/>
        </w:rPr>
        <w:t xml:space="preserve"> – регулаторните ползи на </w:t>
      </w:r>
      <w:r w:rsidRPr="009F44BC">
        <w:rPr>
          <w:rFonts w:ascii="Times New Roman" w:eastAsia="Times New Roman" w:hAnsi="Times New Roman" w:cs="Times New Roman"/>
          <w:sz w:val="24"/>
          <w:szCs w:val="24"/>
        </w:rPr>
        <w:t xml:space="preserve">проектопредложението </w:t>
      </w:r>
      <w:r w:rsidRPr="009F44BC">
        <w:rPr>
          <w:rFonts w:ascii="Times New Roman" w:eastAsia="Times New Roman" w:hAnsi="Times New Roman" w:cs="Times New Roman"/>
          <w:sz w:val="24"/>
          <w:szCs w:val="24"/>
          <w:lang w:val="ru-RU"/>
        </w:rPr>
        <w:t xml:space="preserve">в година </w:t>
      </w:r>
      <w:r w:rsidRPr="009F44BC">
        <w:rPr>
          <w:rFonts w:ascii="Times New Roman" w:eastAsia="Times New Roman" w:hAnsi="Times New Roman" w:cs="Times New Roman"/>
          <w:sz w:val="24"/>
          <w:szCs w:val="24"/>
        </w:rPr>
        <w:t>t</w:t>
      </w:r>
      <w:r w:rsidRPr="009F44BC">
        <w:rPr>
          <w:rFonts w:ascii="Times New Roman" w:eastAsia="Times New Roman" w:hAnsi="Times New Roman" w:cs="Times New Roman"/>
          <w:sz w:val="24"/>
          <w:szCs w:val="24"/>
          <w:lang w:val="ru-RU"/>
        </w:rPr>
        <w:t>;</w:t>
      </w:r>
    </w:p>
    <w:p w14:paraId="7CBA8E88" w14:textId="77777777" w:rsidR="00CB0A97" w:rsidRPr="009F44BC" w:rsidRDefault="00CB0A97" w:rsidP="00CB0A97">
      <w:pPr>
        <w:spacing w:after="0" w:line="240" w:lineRule="auto"/>
        <w:ind w:firstLine="567"/>
        <w:jc w:val="both"/>
        <w:rPr>
          <w:rFonts w:ascii="Times New Roman" w:eastAsia="Times New Roman" w:hAnsi="Times New Roman" w:cs="Times New Roman"/>
          <w:sz w:val="24"/>
          <w:szCs w:val="24"/>
          <w:lang w:val="ru-RU"/>
        </w:rPr>
      </w:pPr>
      <w:r w:rsidRPr="009F44BC">
        <w:rPr>
          <w:rFonts w:ascii="Times New Roman" w:eastAsia="Times New Roman" w:hAnsi="Times New Roman" w:cs="Times New Roman"/>
          <w:sz w:val="24"/>
          <w:szCs w:val="24"/>
          <w:lang w:val="ru-RU"/>
        </w:rPr>
        <w:tab/>
      </w:r>
      <w:r w:rsidRPr="009F44BC">
        <w:rPr>
          <w:rFonts w:ascii="Times New Roman" w:eastAsia="Times New Roman" w:hAnsi="Times New Roman" w:cs="Times New Roman"/>
          <w:sz w:val="24"/>
          <w:szCs w:val="24"/>
          <w:lang w:val="ru-RU"/>
        </w:rPr>
        <w:tab/>
      </w:r>
      <w:r w:rsidRPr="009F44BC">
        <w:rPr>
          <w:rFonts w:ascii="Times New Roman" w:eastAsia="Times New Roman" w:hAnsi="Times New Roman" w:cs="Times New Roman"/>
          <w:sz w:val="24"/>
          <w:szCs w:val="24"/>
          <w:lang w:val="ru-RU"/>
        </w:rPr>
        <w:tab/>
      </w:r>
      <w:r w:rsidRPr="009F44BC">
        <w:rPr>
          <w:rFonts w:ascii="Times New Roman" w:eastAsia="Times New Roman" w:hAnsi="Times New Roman" w:cs="Times New Roman"/>
          <w:i/>
          <w:sz w:val="24"/>
          <w:szCs w:val="24"/>
        </w:rPr>
        <w:t>C</w:t>
      </w:r>
      <w:r w:rsidRPr="009F44BC">
        <w:rPr>
          <w:rFonts w:ascii="Times New Roman" w:eastAsia="Times New Roman" w:hAnsi="Times New Roman" w:cs="Times New Roman"/>
          <w:i/>
          <w:sz w:val="24"/>
          <w:szCs w:val="24"/>
          <w:vertAlign w:val="subscript"/>
        </w:rPr>
        <w:t>t</w:t>
      </w:r>
      <w:r w:rsidRPr="009F44BC">
        <w:rPr>
          <w:rFonts w:ascii="Times New Roman" w:eastAsia="Times New Roman" w:hAnsi="Times New Roman" w:cs="Times New Roman"/>
          <w:sz w:val="24"/>
          <w:szCs w:val="24"/>
          <w:lang w:val="ru-RU"/>
        </w:rPr>
        <w:t xml:space="preserve"> – регулаторните разходи на </w:t>
      </w:r>
      <w:r w:rsidRPr="009F44BC">
        <w:rPr>
          <w:rFonts w:ascii="Times New Roman" w:eastAsia="Times New Roman" w:hAnsi="Times New Roman" w:cs="Times New Roman"/>
          <w:sz w:val="24"/>
          <w:szCs w:val="24"/>
        </w:rPr>
        <w:t xml:space="preserve">проектопредложението </w:t>
      </w:r>
      <w:r w:rsidRPr="009F44BC">
        <w:rPr>
          <w:rFonts w:ascii="Times New Roman" w:eastAsia="Times New Roman" w:hAnsi="Times New Roman" w:cs="Times New Roman"/>
          <w:sz w:val="24"/>
          <w:szCs w:val="24"/>
          <w:lang w:val="ru-RU"/>
        </w:rPr>
        <w:t xml:space="preserve">в година </w:t>
      </w:r>
      <w:r w:rsidRPr="009F44BC">
        <w:rPr>
          <w:rFonts w:ascii="Times New Roman" w:eastAsia="Times New Roman" w:hAnsi="Times New Roman" w:cs="Times New Roman"/>
          <w:sz w:val="24"/>
          <w:szCs w:val="24"/>
        </w:rPr>
        <w:t>t</w:t>
      </w:r>
      <w:r w:rsidRPr="009F44BC">
        <w:rPr>
          <w:rFonts w:ascii="Times New Roman" w:eastAsia="Times New Roman" w:hAnsi="Times New Roman" w:cs="Times New Roman"/>
          <w:sz w:val="24"/>
          <w:szCs w:val="24"/>
          <w:lang w:val="ru-RU"/>
        </w:rPr>
        <w:t>;</w:t>
      </w:r>
    </w:p>
    <w:p w14:paraId="1BFB02A0" w14:textId="77777777" w:rsidR="00CB0A97" w:rsidRPr="009F44BC" w:rsidRDefault="00CB0A97" w:rsidP="00CB0A97">
      <w:pPr>
        <w:spacing w:after="0" w:line="240" w:lineRule="auto"/>
        <w:ind w:firstLine="567"/>
        <w:jc w:val="both"/>
        <w:rPr>
          <w:rFonts w:ascii="Times New Roman" w:eastAsia="Times New Roman" w:hAnsi="Times New Roman" w:cs="Times New Roman"/>
          <w:sz w:val="24"/>
          <w:szCs w:val="24"/>
          <w:lang w:val="ru-RU"/>
        </w:rPr>
      </w:pPr>
      <w:r w:rsidRPr="009F44BC">
        <w:rPr>
          <w:rFonts w:ascii="Times New Roman" w:eastAsia="Times New Roman" w:hAnsi="Times New Roman" w:cs="Times New Roman"/>
          <w:sz w:val="24"/>
          <w:szCs w:val="24"/>
          <w:lang w:val="ru-RU"/>
        </w:rPr>
        <w:tab/>
      </w:r>
      <w:r w:rsidRPr="009F44BC">
        <w:rPr>
          <w:rFonts w:ascii="Times New Roman" w:eastAsia="Times New Roman" w:hAnsi="Times New Roman" w:cs="Times New Roman"/>
          <w:sz w:val="24"/>
          <w:szCs w:val="24"/>
          <w:lang w:val="ru-RU"/>
        </w:rPr>
        <w:tab/>
      </w:r>
      <w:r w:rsidRPr="009F44BC">
        <w:rPr>
          <w:rFonts w:ascii="Times New Roman" w:eastAsia="Times New Roman" w:hAnsi="Times New Roman" w:cs="Times New Roman"/>
          <w:sz w:val="24"/>
          <w:szCs w:val="24"/>
          <w:lang w:val="ru-RU"/>
        </w:rPr>
        <w:tab/>
      </w:r>
      <w:r w:rsidRPr="009F44BC">
        <w:rPr>
          <w:rFonts w:ascii="Times New Roman" w:eastAsia="Times New Roman" w:hAnsi="Times New Roman" w:cs="Times New Roman"/>
          <w:i/>
          <w:sz w:val="24"/>
          <w:szCs w:val="24"/>
        </w:rPr>
        <w:t>R</w:t>
      </w:r>
      <w:r w:rsidRPr="009F44BC">
        <w:rPr>
          <w:rFonts w:ascii="Times New Roman" w:eastAsia="Times New Roman" w:hAnsi="Times New Roman" w:cs="Times New Roman"/>
          <w:sz w:val="24"/>
          <w:szCs w:val="24"/>
          <w:lang w:val="ru-RU"/>
        </w:rPr>
        <w:t xml:space="preserve"> – годишната социална норма на дисконт;</w:t>
      </w:r>
    </w:p>
    <w:p w14:paraId="07A07A7D" w14:textId="77777777" w:rsidR="00CB0A97" w:rsidRPr="009F44BC" w:rsidRDefault="00CB0A97" w:rsidP="00CB0A97">
      <w:pPr>
        <w:spacing w:after="0" w:line="240" w:lineRule="auto"/>
        <w:ind w:firstLine="567"/>
        <w:jc w:val="both"/>
        <w:rPr>
          <w:rFonts w:ascii="Times New Roman" w:eastAsia="Times New Roman" w:hAnsi="Times New Roman" w:cs="Times New Roman"/>
          <w:sz w:val="24"/>
          <w:szCs w:val="24"/>
          <w:lang w:val="ru-RU"/>
        </w:rPr>
      </w:pPr>
      <w:r w:rsidRPr="009F44BC">
        <w:rPr>
          <w:rFonts w:ascii="Times New Roman" w:eastAsia="Times New Roman" w:hAnsi="Times New Roman" w:cs="Times New Roman"/>
          <w:sz w:val="24"/>
          <w:szCs w:val="24"/>
          <w:lang w:val="ru-RU"/>
        </w:rPr>
        <w:tab/>
      </w:r>
      <w:r w:rsidRPr="009F44BC">
        <w:rPr>
          <w:rFonts w:ascii="Times New Roman" w:eastAsia="Times New Roman" w:hAnsi="Times New Roman" w:cs="Times New Roman"/>
          <w:sz w:val="24"/>
          <w:szCs w:val="24"/>
          <w:lang w:val="ru-RU"/>
        </w:rPr>
        <w:tab/>
      </w:r>
      <w:r w:rsidRPr="009F44BC">
        <w:rPr>
          <w:rFonts w:ascii="Times New Roman" w:eastAsia="Times New Roman" w:hAnsi="Times New Roman" w:cs="Times New Roman"/>
          <w:sz w:val="24"/>
          <w:szCs w:val="24"/>
          <w:lang w:val="ru-RU"/>
        </w:rPr>
        <w:tab/>
      </w:r>
      <w:r w:rsidRPr="009F44BC">
        <w:rPr>
          <w:rFonts w:ascii="Times New Roman" w:eastAsia="Times New Roman" w:hAnsi="Times New Roman" w:cs="Times New Roman"/>
          <w:i/>
          <w:sz w:val="24"/>
          <w:szCs w:val="24"/>
        </w:rPr>
        <w:t>n</w:t>
      </w:r>
      <w:r w:rsidRPr="009F44BC">
        <w:rPr>
          <w:rFonts w:ascii="Times New Roman" w:eastAsia="Times New Roman" w:hAnsi="Times New Roman" w:cs="Times New Roman"/>
          <w:sz w:val="24"/>
          <w:szCs w:val="24"/>
          <w:lang w:val="ru-RU"/>
        </w:rPr>
        <w:t xml:space="preserve"> – броят години полезен живот на проекта. </w:t>
      </w:r>
    </w:p>
    <w:p w14:paraId="3287B007" w14:textId="77777777" w:rsidR="00CB0A97" w:rsidRPr="009F44BC" w:rsidRDefault="00CB0A97" w:rsidP="00CB0A97">
      <w:pPr>
        <w:spacing w:after="0" w:line="240" w:lineRule="auto"/>
        <w:ind w:firstLine="567"/>
        <w:jc w:val="both"/>
        <w:rPr>
          <w:rFonts w:ascii="Times New Roman" w:eastAsia="Times New Roman" w:hAnsi="Times New Roman" w:cs="Times New Roman"/>
          <w:sz w:val="24"/>
          <w:szCs w:val="24"/>
        </w:rPr>
      </w:pPr>
    </w:p>
    <w:p w14:paraId="1A78D33D" w14:textId="23E5B8F9" w:rsidR="00CB0A97" w:rsidRPr="009F44BC" w:rsidRDefault="00CB0A97" w:rsidP="00CB0A97">
      <w:pPr>
        <w:spacing w:after="0" w:line="240" w:lineRule="auto"/>
        <w:ind w:firstLine="567"/>
        <w:jc w:val="both"/>
        <w:rPr>
          <w:rFonts w:ascii="Times New Roman" w:eastAsia="Times New Roman" w:hAnsi="Times New Roman" w:cs="Times New Roman"/>
          <w:sz w:val="24"/>
          <w:szCs w:val="24"/>
        </w:rPr>
      </w:pPr>
      <w:r w:rsidRPr="009F44BC">
        <w:rPr>
          <w:rFonts w:ascii="Times New Roman" w:eastAsia="Times New Roman" w:hAnsi="Times New Roman" w:cs="Times New Roman"/>
          <w:sz w:val="24"/>
          <w:szCs w:val="24"/>
        </w:rPr>
        <w:t>Математически</w:t>
      </w:r>
      <w:r w:rsidR="005C01E8">
        <w:rPr>
          <w:rFonts w:ascii="Times New Roman" w:eastAsia="Times New Roman" w:hAnsi="Times New Roman" w:cs="Times New Roman"/>
          <w:sz w:val="24"/>
          <w:szCs w:val="24"/>
        </w:rPr>
        <w:t>,</w:t>
      </w:r>
      <w:r w:rsidRPr="009F44BC">
        <w:rPr>
          <w:rFonts w:ascii="Times New Roman" w:eastAsia="Times New Roman" w:hAnsi="Times New Roman" w:cs="Times New Roman"/>
          <w:sz w:val="24"/>
          <w:szCs w:val="24"/>
        </w:rPr>
        <w:t xml:space="preserve"> нетната настояща стойност може да бъде положителна величина, отрицателна величина и нула. Трите потенциални значения на NPV</w:t>
      </w:r>
      <w:r w:rsidRPr="009F44BC">
        <w:rPr>
          <w:rFonts w:ascii="Times New Roman" w:eastAsia="Times New Roman" w:hAnsi="Times New Roman" w:cs="Times New Roman"/>
          <w:sz w:val="24"/>
          <w:szCs w:val="24"/>
          <w:lang w:val="ru-RU"/>
        </w:rPr>
        <w:t xml:space="preserve"> </w:t>
      </w:r>
      <w:r w:rsidRPr="009F44BC">
        <w:rPr>
          <w:rFonts w:ascii="Times New Roman" w:eastAsia="Times New Roman" w:hAnsi="Times New Roman" w:cs="Times New Roman"/>
          <w:sz w:val="24"/>
          <w:szCs w:val="24"/>
        </w:rPr>
        <w:t>се интерпретират по следния начин:</w:t>
      </w:r>
    </w:p>
    <w:p w14:paraId="284C84B5" w14:textId="77777777" w:rsidR="00CB0A97" w:rsidRPr="009F44BC" w:rsidRDefault="00CB0A97" w:rsidP="00893B6A">
      <w:pPr>
        <w:numPr>
          <w:ilvl w:val="0"/>
          <w:numId w:val="12"/>
        </w:numPr>
        <w:spacing w:after="0" w:line="240" w:lineRule="auto"/>
        <w:ind w:firstLine="567"/>
        <w:contextualSpacing/>
        <w:jc w:val="both"/>
        <w:rPr>
          <w:rFonts w:ascii="Times New Roman" w:eastAsia="Calibri" w:hAnsi="Times New Roman" w:cs="Times New Roman"/>
          <w:sz w:val="24"/>
          <w:szCs w:val="24"/>
        </w:rPr>
      </w:pPr>
      <w:r w:rsidRPr="009F44BC">
        <w:rPr>
          <w:rFonts w:ascii="Times New Roman" w:eastAsia="Calibri" w:hAnsi="Times New Roman" w:cs="Times New Roman"/>
          <w:sz w:val="24"/>
          <w:szCs w:val="24"/>
        </w:rPr>
        <w:t>NPV &gt; 0 означава, че вариантът е атрактивен – неговото приемане ще увеличи благосъстоянието на обществото като цяло. При избор между алтернативни (взаимно изключващи се) регулаторни варианти, най-атрактивен е вариантът с най-висока (положителна) NPV;</w:t>
      </w:r>
    </w:p>
    <w:p w14:paraId="1A8BDA6A" w14:textId="77777777" w:rsidR="00CB0A97" w:rsidRPr="009F44BC" w:rsidRDefault="00CB0A97" w:rsidP="00893B6A">
      <w:pPr>
        <w:numPr>
          <w:ilvl w:val="0"/>
          <w:numId w:val="12"/>
        </w:numPr>
        <w:spacing w:after="0" w:line="240" w:lineRule="auto"/>
        <w:ind w:firstLine="567"/>
        <w:contextualSpacing/>
        <w:jc w:val="both"/>
        <w:rPr>
          <w:rFonts w:ascii="Times New Roman" w:eastAsia="Calibri" w:hAnsi="Times New Roman" w:cs="Times New Roman"/>
          <w:sz w:val="24"/>
          <w:szCs w:val="24"/>
        </w:rPr>
      </w:pPr>
      <w:r w:rsidRPr="009F44BC">
        <w:rPr>
          <w:rFonts w:ascii="Times New Roman" w:eastAsia="Calibri" w:hAnsi="Times New Roman" w:cs="Times New Roman"/>
          <w:sz w:val="24"/>
          <w:szCs w:val="24"/>
        </w:rPr>
        <w:t>Когато NPV &lt; 0, вариантът е неатрактивен и трябва да бъде отхвърлен, защото неговото (евентуално) приемане ще намали общественото благосъстояние;</w:t>
      </w:r>
    </w:p>
    <w:p w14:paraId="0246D301" w14:textId="77777777" w:rsidR="00CB0A97" w:rsidRPr="009F44BC" w:rsidRDefault="00CB0A97" w:rsidP="00893B6A">
      <w:pPr>
        <w:numPr>
          <w:ilvl w:val="0"/>
          <w:numId w:val="12"/>
        </w:numPr>
        <w:spacing w:after="0" w:line="240" w:lineRule="auto"/>
        <w:ind w:firstLine="567"/>
        <w:contextualSpacing/>
        <w:jc w:val="both"/>
        <w:rPr>
          <w:rFonts w:ascii="Times New Roman" w:eastAsia="Calibri" w:hAnsi="Times New Roman" w:cs="Times New Roman"/>
          <w:sz w:val="24"/>
          <w:szCs w:val="24"/>
        </w:rPr>
      </w:pPr>
      <w:r w:rsidRPr="009F44BC">
        <w:rPr>
          <w:rFonts w:ascii="Times New Roman" w:eastAsia="Calibri" w:hAnsi="Times New Roman" w:cs="Times New Roman"/>
          <w:bCs/>
          <w:sz w:val="24"/>
          <w:szCs w:val="24"/>
        </w:rPr>
        <w:t xml:space="preserve">NPV </w:t>
      </w:r>
      <w:r w:rsidRPr="009F44BC">
        <w:rPr>
          <w:rFonts w:ascii="Times New Roman" w:eastAsia="Calibri" w:hAnsi="Times New Roman" w:cs="Times New Roman"/>
          <w:bCs/>
          <w:sz w:val="24"/>
          <w:szCs w:val="24"/>
          <w:lang w:val="ru-RU"/>
        </w:rPr>
        <w:t xml:space="preserve">= 0 </w:t>
      </w:r>
      <w:r w:rsidRPr="009F44BC">
        <w:rPr>
          <w:rFonts w:ascii="Times New Roman" w:eastAsia="Calibri" w:hAnsi="Times New Roman" w:cs="Times New Roman"/>
          <w:sz w:val="24"/>
          <w:szCs w:val="24"/>
          <w:lang w:val="ru-RU"/>
        </w:rPr>
        <w:t xml:space="preserve">е граничен случай – оценяваният </w:t>
      </w:r>
      <w:r w:rsidRPr="009F44BC">
        <w:rPr>
          <w:rFonts w:ascii="Times New Roman" w:eastAsia="Calibri" w:hAnsi="Times New Roman" w:cs="Times New Roman"/>
          <w:sz w:val="24"/>
          <w:szCs w:val="24"/>
        </w:rPr>
        <w:t xml:space="preserve">вариант </w:t>
      </w:r>
      <w:r w:rsidRPr="009F44BC">
        <w:rPr>
          <w:rFonts w:ascii="Times New Roman" w:eastAsia="Calibri" w:hAnsi="Times New Roman" w:cs="Times New Roman"/>
          <w:bCs/>
          <w:sz w:val="24"/>
          <w:szCs w:val="24"/>
          <w:lang w:val="ru-RU"/>
        </w:rPr>
        <w:t xml:space="preserve">не променя </w:t>
      </w:r>
      <w:r w:rsidRPr="009F44BC">
        <w:rPr>
          <w:rFonts w:ascii="Times New Roman" w:eastAsia="Calibri" w:hAnsi="Times New Roman" w:cs="Times New Roman"/>
          <w:sz w:val="24"/>
          <w:szCs w:val="24"/>
          <w:lang w:val="ru-RU"/>
        </w:rPr>
        <w:t xml:space="preserve">благосъстоянието на </w:t>
      </w:r>
      <w:r w:rsidRPr="009F44BC">
        <w:rPr>
          <w:rFonts w:ascii="Times New Roman" w:eastAsia="Calibri" w:hAnsi="Times New Roman" w:cs="Times New Roman"/>
          <w:sz w:val="24"/>
          <w:szCs w:val="24"/>
        </w:rPr>
        <w:t>обществото</w:t>
      </w:r>
      <w:r w:rsidRPr="009F44BC">
        <w:rPr>
          <w:rFonts w:ascii="Times New Roman" w:eastAsia="Calibri" w:hAnsi="Times New Roman" w:cs="Times New Roman"/>
          <w:sz w:val="24"/>
          <w:szCs w:val="24"/>
          <w:lang w:val="ru-RU"/>
        </w:rPr>
        <w:t xml:space="preserve">. Такива </w:t>
      </w:r>
      <w:r w:rsidRPr="009F44BC">
        <w:rPr>
          <w:rFonts w:ascii="Times New Roman" w:eastAsia="Calibri" w:hAnsi="Times New Roman" w:cs="Times New Roman"/>
          <w:sz w:val="24"/>
          <w:szCs w:val="24"/>
        </w:rPr>
        <w:t xml:space="preserve">предложения </w:t>
      </w:r>
      <w:r w:rsidRPr="009F44BC">
        <w:rPr>
          <w:rFonts w:ascii="Times New Roman" w:eastAsia="Calibri" w:hAnsi="Times New Roman" w:cs="Times New Roman"/>
          <w:sz w:val="24"/>
          <w:szCs w:val="24"/>
          <w:lang w:val="ru-RU"/>
        </w:rPr>
        <w:t xml:space="preserve">се считат за </w:t>
      </w:r>
      <w:r w:rsidRPr="009F44BC">
        <w:rPr>
          <w:rFonts w:ascii="Times New Roman" w:eastAsia="Calibri" w:hAnsi="Times New Roman" w:cs="Times New Roman"/>
          <w:bCs/>
          <w:i/>
          <w:sz w:val="24"/>
          <w:szCs w:val="24"/>
          <w:lang w:val="ru-RU"/>
        </w:rPr>
        <w:t>неатрактивни</w:t>
      </w:r>
      <w:r w:rsidRPr="009F44BC">
        <w:rPr>
          <w:rFonts w:ascii="Times New Roman" w:eastAsia="Calibri" w:hAnsi="Times New Roman" w:cs="Times New Roman"/>
          <w:bCs/>
          <w:sz w:val="24"/>
          <w:szCs w:val="24"/>
          <w:lang w:val="ru-RU"/>
        </w:rPr>
        <w:t xml:space="preserve"> </w:t>
      </w:r>
      <w:r w:rsidRPr="009F44BC">
        <w:rPr>
          <w:rFonts w:ascii="Times New Roman" w:eastAsia="Calibri" w:hAnsi="Times New Roman" w:cs="Times New Roman"/>
          <w:sz w:val="24"/>
          <w:szCs w:val="24"/>
          <w:lang w:val="ru-RU"/>
        </w:rPr>
        <w:t xml:space="preserve">и следва да бъдат </w:t>
      </w:r>
      <w:r w:rsidRPr="009F44BC">
        <w:rPr>
          <w:rFonts w:ascii="Times New Roman" w:eastAsia="Calibri" w:hAnsi="Times New Roman" w:cs="Times New Roman"/>
          <w:bCs/>
          <w:sz w:val="24"/>
          <w:szCs w:val="24"/>
          <w:lang w:val="ru-RU"/>
        </w:rPr>
        <w:t>отхвърлени.</w:t>
      </w:r>
    </w:p>
    <w:p w14:paraId="72196D35" w14:textId="77777777" w:rsidR="00CB0A97" w:rsidRPr="009F44BC" w:rsidRDefault="00CB0A97" w:rsidP="00CB0A97">
      <w:pPr>
        <w:spacing w:after="0" w:line="240" w:lineRule="auto"/>
        <w:ind w:firstLine="567"/>
        <w:jc w:val="both"/>
        <w:rPr>
          <w:rFonts w:ascii="Times New Roman" w:eastAsia="Microsoft JhengHei UI Light" w:hAnsi="Times New Roman" w:cs="Times New Roman"/>
          <w:sz w:val="24"/>
          <w:szCs w:val="24"/>
        </w:rPr>
      </w:pPr>
      <w:r w:rsidRPr="009F44BC">
        <w:rPr>
          <w:rFonts w:ascii="Times New Roman" w:eastAsia="Microsoft JhengHei UI Light" w:hAnsi="Times New Roman" w:cs="Times New Roman"/>
          <w:sz w:val="24"/>
          <w:szCs w:val="24"/>
        </w:rPr>
        <w:t xml:space="preserve">Анюализираните стойности са фиксирани (постоянни) парични суми във всяка година t, чиито сбор в настояща стойност е равен на настоящата стойност на оригиналния паричен поток, който се анюализира. </w:t>
      </w:r>
      <w:r w:rsidRPr="009F44BC">
        <w:rPr>
          <w:rFonts w:ascii="Times New Roman" w:eastAsia="Times New Roman" w:hAnsi="Times New Roman" w:cs="Times New Roman"/>
          <w:sz w:val="24"/>
          <w:szCs w:val="24"/>
        </w:rPr>
        <w:t>За целите на анюализацията се използва т. нар. капиталовъзстановителен фактор:</w:t>
      </w:r>
    </w:p>
    <w:p w14:paraId="547F6BAA" w14:textId="77777777" w:rsidR="00CB0A97" w:rsidRPr="008A1F6F" w:rsidRDefault="00CB0A97" w:rsidP="00CB0A97">
      <w:pPr>
        <w:spacing w:after="0" w:line="240" w:lineRule="auto"/>
        <w:ind w:firstLine="567"/>
        <w:jc w:val="both"/>
        <w:rPr>
          <w:rFonts w:ascii="Times New Roman" w:eastAsia="Times New Roman" w:hAnsi="Times New Roman" w:cs="Times New Roman"/>
          <w:sz w:val="24"/>
          <w:szCs w:val="24"/>
        </w:rPr>
      </w:pPr>
    </w:p>
    <w:p w14:paraId="37522868" w14:textId="77777777" w:rsidR="00CB0A97" w:rsidRPr="008A1F6F" w:rsidRDefault="00CB0A97" w:rsidP="00CB0A97">
      <w:pPr>
        <w:spacing w:after="0" w:line="240" w:lineRule="auto"/>
        <w:ind w:firstLine="567"/>
        <w:jc w:val="center"/>
        <w:rPr>
          <w:rFonts w:ascii="Times New Roman" w:eastAsia="Times New Roman" w:hAnsi="Times New Roman" w:cs="Times New Roman"/>
          <w:sz w:val="24"/>
          <w:szCs w:val="24"/>
        </w:rPr>
      </w:pPr>
      <w:r w:rsidRPr="008A1F6F">
        <w:rPr>
          <w:rFonts w:ascii="Times New Roman" w:eastAsia="Times New Roman" w:hAnsi="Times New Roman" w:cs="Times New Roman"/>
          <w:noProof/>
          <w:sz w:val="24"/>
          <w:szCs w:val="24"/>
          <w:lang w:val="en-US"/>
        </w:rPr>
        <w:lastRenderedPageBreak/>
        <w:drawing>
          <wp:inline distT="0" distB="0" distL="0" distR="0" wp14:anchorId="51EAB438" wp14:editId="34109E36">
            <wp:extent cx="1841500" cy="58420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41500" cy="584200"/>
                    </a:xfrm>
                    <a:prstGeom prst="rect">
                      <a:avLst/>
                    </a:prstGeom>
                    <a:noFill/>
                    <a:ln>
                      <a:noFill/>
                    </a:ln>
                  </pic:spPr>
                </pic:pic>
              </a:graphicData>
            </a:graphic>
          </wp:inline>
        </w:drawing>
      </w:r>
      <w:r>
        <w:rPr>
          <w:rFonts w:ascii="Times New Roman" w:eastAsia="Times New Roman" w:hAnsi="Times New Roman" w:cs="Times New Roman"/>
          <w:sz w:val="24"/>
          <w:szCs w:val="24"/>
        </w:rPr>
        <w:t>,</w:t>
      </w:r>
    </w:p>
    <w:p w14:paraId="65E4FAD7" w14:textId="77777777" w:rsidR="00CB0A97" w:rsidRPr="008A1F6F" w:rsidRDefault="00CB0A97" w:rsidP="00CB0A97">
      <w:pPr>
        <w:spacing w:after="0" w:line="240" w:lineRule="auto"/>
        <w:ind w:left="708" w:firstLine="567"/>
        <w:jc w:val="both"/>
        <w:rPr>
          <w:rFonts w:ascii="Times New Roman" w:eastAsia="Times New Roman" w:hAnsi="Times New Roman" w:cs="Times New Roman"/>
          <w:sz w:val="24"/>
          <w:szCs w:val="24"/>
        </w:rPr>
      </w:pPr>
      <w:r w:rsidRPr="008A1F6F">
        <w:rPr>
          <w:rFonts w:ascii="Times New Roman" w:eastAsia="Times New Roman" w:hAnsi="Times New Roman" w:cs="Times New Roman"/>
          <w:sz w:val="24"/>
          <w:szCs w:val="24"/>
          <w:lang w:val="ru-RU"/>
        </w:rPr>
        <w:t>където:</w:t>
      </w:r>
    </w:p>
    <w:p w14:paraId="1C77FAE0" w14:textId="77777777" w:rsidR="00CB0A97" w:rsidRPr="008A1F6F" w:rsidRDefault="00CB0A97" w:rsidP="00CB0A97">
      <w:pPr>
        <w:spacing w:after="0" w:line="240" w:lineRule="auto"/>
        <w:ind w:left="1416" w:firstLine="567"/>
        <w:jc w:val="both"/>
        <w:rPr>
          <w:rFonts w:ascii="Times New Roman" w:eastAsia="Times New Roman" w:hAnsi="Times New Roman" w:cs="Times New Roman"/>
          <w:sz w:val="24"/>
          <w:szCs w:val="24"/>
        </w:rPr>
      </w:pPr>
      <w:r w:rsidRPr="008A1F6F">
        <w:rPr>
          <w:rFonts w:ascii="Times New Roman" w:eastAsia="Times New Roman" w:hAnsi="Times New Roman" w:cs="Times New Roman"/>
          <w:i/>
          <w:sz w:val="24"/>
          <w:szCs w:val="24"/>
        </w:rPr>
        <w:t>CRF</w:t>
      </w:r>
      <w:r w:rsidRPr="008A1F6F">
        <w:rPr>
          <w:rFonts w:ascii="Times New Roman" w:eastAsia="Times New Roman" w:hAnsi="Times New Roman" w:cs="Times New Roman"/>
          <w:sz w:val="24"/>
          <w:szCs w:val="24"/>
        </w:rPr>
        <w:t xml:space="preserve"> е капиталовъзстановителният фактор;</w:t>
      </w:r>
    </w:p>
    <w:p w14:paraId="41E02503" w14:textId="77777777" w:rsidR="00CB0A97" w:rsidRPr="008A1F6F" w:rsidRDefault="00CB0A97" w:rsidP="00CB0A97">
      <w:pPr>
        <w:spacing w:after="0" w:line="240" w:lineRule="auto"/>
        <w:ind w:firstLine="567"/>
        <w:jc w:val="both"/>
        <w:rPr>
          <w:rFonts w:ascii="Times New Roman" w:eastAsia="Times New Roman" w:hAnsi="Times New Roman" w:cs="Times New Roman"/>
          <w:sz w:val="24"/>
          <w:szCs w:val="24"/>
          <w:lang w:val="ru-RU"/>
        </w:rPr>
      </w:pPr>
      <w:r w:rsidRPr="008A1F6F">
        <w:rPr>
          <w:rFonts w:ascii="Times New Roman" w:eastAsia="Times New Roman" w:hAnsi="Times New Roman" w:cs="Times New Roman"/>
          <w:sz w:val="24"/>
          <w:szCs w:val="24"/>
          <w:lang w:val="ru-RU"/>
        </w:rPr>
        <w:tab/>
      </w:r>
      <w:r w:rsidRPr="008A1F6F">
        <w:rPr>
          <w:rFonts w:ascii="Times New Roman" w:eastAsia="Times New Roman" w:hAnsi="Times New Roman" w:cs="Times New Roman"/>
          <w:sz w:val="24"/>
          <w:szCs w:val="24"/>
          <w:lang w:val="ru-RU"/>
        </w:rPr>
        <w:tab/>
      </w:r>
      <w:r w:rsidRPr="008A1F6F">
        <w:rPr>
          <w:rFonts w:ascii="Times New Roman" w:eastAsia="Times New Roman" w:hAnsi="Times New Roman" w:cs="Times New Roman"/>
          <w:sz w:val="24"/>
          <w:szCs w:val="24"/>
          <w:lang w:val="ru-RU"/>
        </w:rPr>
        <w:tab/>
      </w:r>
      <w:r w:rsidRPr="008A1F6F">
        <w:rPr>
          <w:rFonts w:ascii="Times New Roman" w:eastAsia="Times New Roman" w:hAnsi="Times New Roman" w:cs="Times New Roman"/>
          <w:i/>
          <w:sz w:val="24"/>
          <w:szCs w:val="24"/>
        </w:rPr>
        <w:t>R</w:t>
      </w:r>
      <w:r w:rsidRPr="008A1F6F">
        <w:rPr>
          <w:rFonts w:ascii="Times New Roman" w:eastAsia="Times New Roman" w:hAnsi="Times New Roman" w:cs="Times New Roman"/>
          <w:sz w:val="24"/>
          <w:szCs w:val="24"/>
          <w:lang w:val="ru-RU"/>
        </w:rPr>
        <w:t xml:space="preserve"> – годишната социална норма на дисконт;</w:t>
      </w:r>
    </w:p>
    <w:p w14:paraId="4EF8C26D" w14:textId="77777777" w:rsidR="00CB0A97" w:rsidRPr="008A1F6F" w:rsidRDefault="00CB0A97" w:rsidP="00CB0A97">
      <w:pPr>
        <w:spacing w:line="240" w:lineRule="auto"/>
        <w:ind w:firstLine="567"/>
        <w:jc w:val="both"/>
        <w:rPr>
          <w:rFonts w:ascii="Times New Roman" w:eastAsia="Times New Roman" w:hAnsi="Times New Roman" w:cs="Times New Roman"/>
          <w:sz w:val="24"/>
          <w:szCs w:val="24"/>
          <w:lang w:val="ru-RU"/>
        </w:rPr>
      </w:pPr>
      <w:r w:rsidRPr="008A1F6F">
        <w:rPr>
          <w:rFonts w:ascii="Times New Roman" w:eastAsia="Times New Roman" w:hAnsi="Times New Roman" w:cs="Times New Roman"/>
          <w:sz w:val="24"/>
          <w:szCs w:val="24"/>
          <w:lang w:val="ru-RU"/>
        </w:rPr>
        <w:tab/>
      </w:r>
      <w:r w:rsidRPr="008A1F6F">
        <w:rPr>
          <w:rFonts w:ascii="Times New Roman" w:eastAsia="Times New Roman" w:hAnsi="Times New Roman" w:cs="Times New Roman"/>
          <w:sz w:val="24"/>
          <w:szCs w:val="24"/>
          <w:lang w:val="ru-RU"/>
        </w:rPr>
        <w:tab/>
      </w:r>
      <w:r w:rsidRPr="008A1F6F">
        <w:rPr>
          <w:rFonts w:ascii="Times New Roman" w:eastAsia="Times New Roman" w:hAnsi="Times New Roman" w:cs="Times New Roman"/>
          <w:sz w:val="24"/>
          <w:szCs w:val="24"/>
          <w:lang w:val="ru-RU"/>
        </w:rPr>
        <w:tab/>
      </w:r>
      <w:r w:rsidRPr="008A1F6F">
        <w:rPr>
          <w:rFonts w:ascii="Times New Roman" w:eastAsia="Times New Roman" w:hAnsi="Times New Roman" w:cs="Times New Roman"/>
          <w:i/>
          <w:sz w:val="24"/>
          <w:szCs w:val="24"/>
        </w:rPr>
        <w:t>n</w:t>
      </w:r>
      <w:r w:rsidRPr="008A1F6F">
        <w:rPr>
          <w:rFonts w:ascii="Times New Roman" w:eastAsia="Times New Roman" w:hAnsi="Times New Roman" w:cs="Times New Roman"/>
          <w:sz w:val="24"/>
          <w:szCs w:val="24"/>
          <w:lang w:val="ru-RU"/>
        </w:rPr>
        <w:t xml:space="preserve"> – броят години полезен живот на проекта.</w:t>
      </w:r>
    </w:p>
    <w:p w14:paraId="38479D60" w14:textId="77777777" w:rsidR="00CB0A97" w:rsidRPr="008A1F6F" w:rsidRDefault="00CB0A97" w:rsidP="00CB0A97">
      <w:pPr>
        <w:spacing w:after="0" w:line="240" w:lineRule="auto"/>
        <w:ind w:firstLine="567"/>
        <w:jc w:val="both"/>
        <w:rPr>
          <w:rFonts w:ascii="Times New Roman" w:eastAsia="Microsoft JhengHei UI Light" w:hAnsi="Times New Roman" w:cs="Times New Roman"/>
          <w:sz w:val="24"/>
          <w:szCs w:val="24"/>
        </w:rPr>
      </w:pPr>
      <w:r w:rsidRPr="008A1F6F">
        <w:rPr>
          <w:rFonts w:ascii="Times New Roman" w:eastAsia="Microsoft JhengHei UI Light" w:hAnsi="Times New Roman" w:cs="Times New Roman"/>
          <w:sz w:val="24"/>
          <w:szCs w:val="24"/>
        </w:rPr>
        <w:t>Анюализираната стойност на регулаторните разходи се изчислява по следния начин:</w:t>
      </w:r>
    </w:p>
    <w:p w14:paraId="2E6D342F" w14:textId="77777777" w:rsidR="00CB0A97" w:rsidRPr="008A1F6F" w:rsidRDefault="00CB0A97" w:rsidP="00CB0A97">
      <w:pPr>
        <w:spacing w:after="0" w:line="240" w:lineRule="auto"/>
        <w:ind w:firstLine="567"/>
        <w:jc w:val="both"/>
        <w:rPr>
          <w:rFonts w:ascii="Times New Roman" w:eastAsia="Times New Roman" w:hAnsi="Times New Roman" w:cs="Times New Roman"/>
          <w:sz w:val="24"/>
          <w:szCs w:val="24"/>
        </w:rPr>
      </w:pPr>
    </w:p>
    <w:p w14:paraId="2E77AD6A" w14:textId="77777777" w:rsidR="00CB0A97" w:rsidRPr="008A1F6F" w:rsidRDefault="00CB0A97" w:rsidP="00CB0A97">
      <w:pPr>
        <w:spacing w:after="0" w:line="240" w:lineRule="auto"/>
        <w:ind w:firstLine="567"/>
        <w:jc w:val="center"/>
        <w:rPr>
          <w:rFonts w:ascii="Times New Roman" w:eastAsia="Times New Roman" w:hAnsi="Times New Roman" w:cs="Times New Roman"/>
          <w:sz w:val="24"/>
          <w:szCs w:val="24"/>
        </w:rPr>
      </w:pPr>
      <w:r w:rsidRPr="008A1F6F">
        <w:rPr>
          <w:rFonts w:ascii="Times New Roman" w:eastAsia="Times New Roman" w:hAnsi="Times New Roman" w:cs="Times New Roman"/>
          <w:noProof/>
          <w:sz w:val="24"/>
          <w:szCs w:val="24"/>
          <w:lang w:val="en-US"/>
        </w:rPr>
        <w:drawing>
          <wp:inline distT="0" distB="0" distL="0" distR="0" wp14:anchorId="7C925D99" wp14:editId="161DAA93">
            <wp:extent cx="1854200" cy="23495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54200" cy="234950"/>
                    </a:xfrm>
                    <a:prstGeom prst="rect">
                      <a:avLst/>
                    </a:prstGeom>
                    <a:noFill/>
                    <a:ln>
                      <a:noFill/>
                    </a:ln>
                  </pic:spPr>
                </pic:pic>
              </a:graphicData>
            </a:graphic>
          </wp:inline>
        </w:drawing>
      </w:r>
      <w:r>
        <w:rPr>
          <w:rFonts w:ascii="Times New Roman" w:eastAsia="Times New Roman" w:hAnsi="Times New Roman" w:cs="Times New Roman"/>
          <w:sz w:val="24"/>
          <w:szCs w:val="24"/>
        </w:rPr>
        <w:t>,</w:t>
      </w:r>
    </w:p>
    <w:p w14:paraId="40449A24" w14:textId="77777777" w:rsidR="00CB0A97" w:rsidRPr="008A1F6F" w:rsidRDefault="00CB0A97" w:rsidP="00CB0A97">
      <w:pPr>
        <w:spacing w:after="0" w:line="240" w:lineRule="auto"/>
        <w:ind w:left="708" w:firstLine="567"/>
        <w:jc w:val="both"/>
        <w:rPr>
          <w:rFonts w:ascii="Times New Roman" w:eastAsia="Times New Roman" w:hAnsi="Times New Roman" w:cs="Times New Roman"/>
          <w:sz w:val="24"/>
          <w:szCs w:val="24"/>
        </w:rPr>
      </w:pPr>
      <w:r w:rsidRPr="008A1F6F">
        <w:rPr>
          <w:rFonts w:ascii="Times New Roman" w:eastAsia="Times New Roman" w:hAnsi="Times New Roman" w:cs="Times New Roman"/>
          <w:sz w:val="24"/>
          <w:szCs w:val="24"/>
          <w:lang w:val="ru-RU"/>
        </w:rPr>
        <w:t>където:</w:t>
      </w:r>
    </w:p>
    <w:p w14:paraId="22DA40BB" w14:textId="77777777" w:rsidR="00CB0A97" w:rsidRPr="008A1F6F" w:rsidRDefault="00CB0A97" w:rsidP="00CB0A97">
      <w:pPr>
        <w:spacing w:after="0" w:line="240" w:lineRule="auto"/>
        <w:ind w:left="1416" w:firstLine="567"/>
        <w:jc w:val="both"/>
        <w:rPr>
          <w:rFonts w:ascii="Times New Roman" w:eastAsia="Times New Roman" w:hAnsi="Times New Roman" w:cs="Times New Roman"/>
          <w:sz w:val="24"/>
          <w:szCs w:val="24"/>
        </w:rPr>
      </w:pPr>
      <w:r w:rsidRPr="008A1F6F">
        <w:rPr>
          <w:rFonts w:ascii="Times New Roman" w:eastAsia="Times New Roman" w:hAnsi="Times New Roman" w:cs="Times New Roman"/>
          <w:i/>
          <w:sz w:val="24"/>
          <w:szCs w:val="24"/>
        </w:rPr>
        <w:t>AVC</w:t>
      </w:r>
      <w:r w:rsidRPr="008A1F6F">
        <w:rPr>
          <w:rFonts w:ascii="Times New Roman" w:eastAsia="Times New Roman" w:hAnsi="Times New Roman" w:cs="Times New Roman"/>
          <w:sz w:val="24"/>
          <w:szCs w:val="24"/>
        </w:rPr>
        <w:t xml:space="preserve"> е анюализираната стойност на регулаторните разходи;</w:t>
      </w:r>
    </w:p>
    <w:p w14:paraId="29F1FDC2" w14:textId="77777777" w:rsidR="00CB0A97" w:rsidRPr="008A1F6F" w:rsidRDefault="00CB0A97" w:rsidP="00CB0A97">
      <w:pPr>
        <w:spacing w:after="0" w:line="240" w:lineRule="auto"/>
        <w:ind w:left="1416" w:firstLine="567"/>
        <w:jc w:val="both"/>
        <w:rPr>
          <w:rFonts w:ascii="Times New Roman" w:eastAsia="Times New Roman" w:hAnsi="Times New Roman" w:cs="Times New Roman"/>
          <w:sz w:val="24"/>
          <w:szCs w:val="24"/>
          <w:lang w:val="ru-RU"/>
        </w:rPr>
      </w:pPr>
      <w:r w:rsidRPr="008A1F6F">
        <w:rPr>
          <w:rFonts w:ascii="Times New Roman" w:eastAsia="Times New Roman" w:hAnsi="Times New Roman" w:cs="Times New Roman"/>
          <w:i/>
          <w:sz w:val="24"/>
          <w:szCs w:val="24"/>
        </w:rPr>
        <w:t>PVC</w:t>
      </w:r>
      <w:r w:rsidRPr="008A1F6F">
        <w:rPr>
          <w:rFonts w:ascii="Times New Roman" w:eastAsia="Times New Roman" w:hAnsi="Times New Roman" w:cs="Times New Roman"/>
          <w:sz w:val="24"/>
          <w:szCs w:val="24"/>
          <w:lang w:val="ru-RU"/>
        </w:rPr>
        <w:t xml:space="preserve"> – сборът от </w:t>
      </w:r>
      <w:r w:rsidRPr="008A1F6F">
        <w:rPr>
          <w:rFonts w:ascii="Times New Roman" w:eastAsia="Times New Roman" w:hAnsi="Times New Roman" w:cs="Times New Roman"/>
          <w:sz w:val="24"/>
          <w:szCs w:val="24"/>
        </w:rPr>
        <w:t>настоящите стойности на регулаторните разходи</w:t>
      </w:r>
      <w:r w:rsidRPr="008A1F6F">
        <w:rPr>
          <w:rFonts w:ascii="Times New Roman" w:eastAsia="Times New Roman" w:hAnsi="Times New Roman" w:cs="Times New Roman"/>
          <w:sz w:val="24"/>
          <w:szCs w:val="24"/>
          <w:lang w:val="ru-RU"/>
        </w:rPr>
        <w:t>;</w:t>
      </w:r>
    </w:p>
    <w:p w14:paraId="43A0BB51" w14:textId="77777777" w:rsidR="00CB0A97" w:rsidRPr="008A1F6F" w:rsidRDefault="00CB0A97" w:rsidP="00CB0A97">
      <w:pPr>
        <w:spacing w:line="240" w:lineRule="auto"/>
        <w:ind w:firstLine="567"/>
        <w:jc w:val="both"/>
        <w:rPr>
          <w:rFonts w:ascii="Times New Roman" w:eastAsia="Times New Roman" w:hAnsi="Times New Roman" w:cs="Times New Roman"/>
          <w:sz w:val="24"/>
          <w:szCs w:val="24"/>
          <w:lang w:val="ru-RU"/>
        </w:rPr>
      </w:pPr>
      <w:r w:rsidRPr="008A1F6F">
        <w:rPr>
          <w:rFonts w:ascii="Times New Roman" w:eastAsia="Times New Roman" w:hAnsi="Times New Roman" w:cs="Times New Roman"/>
          <w:sz w:val="24"/>
          <w:szCs w:val="24"/>
          <w:lang w:val="ru-RU"/>
        </w:rPr>
        <w:tab/>
      </w:r>
      <w:r w:rsidRPr="008A1F6F">
        <w:rPr>
          <w:rFonts w:ascii="Times New Roman" w:eastAsia="Times New Roman" w:hAnsi="Times New Roman" w:cs="Times New Roman"/>
          <w:sz w:val="24"/>
          <w:szCs w:val="24"/>
          <w:lang w:val="ru-RU"/>
        </w:rPr>
        <w:tab/>
      </w:r>
      <w:r w:rsidRPr="008A1F6F">
        <w:rPr>
          <w:rFonts w:ascii="Times New Roman" w:eastAsia="Times New Roman" w:hAnsi="Times New Roman" w:cs="Times New Roman"/>
          <w:sz w:val="24"/>
          <w:szCs w:val="24"/>
          <w:lang w:val="ru-RU"/>
        </w:rPr>
        <w:tab/>
      </w:r>
      <w:r w:rsidRPr="008A1F6F">
        <w:rPr>
          <w:rFonts w:ascii="Times New Roman" w:eastAsia="Times New Roman" w:hAnsi="Times New Roman" w:cs="Times New Roman"/>
          <w:i/>
          <w:sz w:val="24"/>
          <w:szCs w:val="24"/>
        </w:rPr>
        <w:t>CRF</w:t>
      </w:r>
      <w:r w:rsidRPr="008A1F6F">
        <w:rPr>
          <w:rFonts w:ascii="Times New Roman" w:eastAsia="Times New Roman" w:hAnsi="Times New Roman" w:cs="Times New Roman"/>
          <w:sz w:val="24"/>
          <w:szCs w:val="24"/>
          <w:lang w:val="ru-RU"/>
        </w:rPr>
        <w:t xml:space="preserve"> – капиталовъзстановителният фактор.</w:t>
      </w:r>
    </w:p>
    <w:p w14:paraId="083EE2FA" w14:textId="77777777" w:rsidR="00CB0A97" w:rsidRPr="008A1F6F" w:rsidRDefault="00CB0A97" w:rsidP="00CB0A97">
      <w:pPr>
        <w:spacing w:after="0" w:line="240" w:lineRule="auto"/>
        <w:ind w:firstLine="567"/>
        <w:jc w:val="both"/>
        <w:rPr>
          <w:rFonts w:ascii="Times New Roman" w:eastAsia="Microsoft JhengHei UI Light" w:hAnsi="Times New Roman" w:cs="Times New Roman"/>
          <w:sz w:val="24"/>
          <w:szCs w:val="24"/>
        </w:rPr>
      </w:pPr>
      <w:r w:rsidRPr="008A1F6F">
        <w:rPr>
          <w:rFonts w:ascii="Times New Roman" w:eastAsia="Microsoft JhengHei UI Light" w:hAnsi="Times New Roman" w:cs="Times New Roman"/>
          <w:sz w:val="24"/>
          <w:szCs w:val="24"/>
        </w:rPr>
        <w:t>Аналогично, анюализираната стойност на регулаторните ползи има следния вид:</w:t>
      </w:r>
    </w:p>
    <w:p w14:paraId="6F964E69" w14:textId="77777777" w:rsidR="00CB0A97" w:rsidRPr="008A1F6F" w:rsidRDefault="00CB0A97" w:rsidP="00CB0A97">
      <w:pPr>
        <w:spacing w:after="0" w:line="240" w:lineRule="auto"/>
        <w:ind w:firstLine="567"/>
        <w:jc w:val="both"/>
        <w:rPr>
          <w:rFonts w:ascii="Times New Roman" w:eastAsia="Microsoft JhengHei UI Light" w:hAnsi="Times New Roman" w:cs="Times New Roman"/>
          <w:sz w:val="24"/>
          <w:szCs w:val="24"/>
        </w:rPr>
      </w:pPr>
    </w:p>
    <w:p w14:paraId="744AF7D2" w14:textId="77777777" w:rsidR="00CB0A97" w:rsidRPr="008A1F6F" w:rsidRDefault="00CB0A97" w:rsidP="00CB0A97">
      <w:pPr>
        <w:spacing w:after="0" w:line="240" w:lineRule="auto"/>
        <w:ind w:firstLine="567"/>
        <w:jc w:val="center"/>
        <w:rPr>
          <w:rFonts w:ascii="Times New Roman" w:eastAsia="Times New Roman" w:hAnsi="Times New Roman" w:cs="Times New Roman"/>
          <w:sz w:val="24"/>
          <w:szCs w:val="24"/>
        </w:rPr>
      </w:pPr>
      <w:r w:rsidRPr="008A1F6F">
        <w:rPr>
          <w:rFonts w:ascii="Times New Roman" w:eastAsia="Times New Roman" w:hAnsi="Times New Roman" w:cs="Times New Roman"/>
          <w:noProof/>
          <w:sz w:val="24"/>
          <w:szCs w:val="24"/>
          <w:lang w:val="en-US"/>
        </w:rPr>
        <w:drawing>
          <wp:inline distT="0" distB="0" distL="0" distR="0" wp14:anchorId="0B2583C6" wp14:editId="393D0983">
            <wp:extent cx="1854200" cy="2349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54200" cy="234950"/>
                    </a:xfrm>
                    <a:prstGeom prst="rect">
                      <a:avLst/>
                    </a:prstGeom>
                    <a:noFill/>
                    <a:ln>
                      <a:noFill/>
                    </a:ln>
                  </pic:spPr>
                </pic:pic>
              </a:graphicData>
            </a:graphic>
          </wp:inline>
        </w:drawing>
      </w:r>
      <w:r>
        <w:rPr>
          <w:rFonts w:ascii="Times New Roman" w:eastAsia="Times New Roman" w:hAnsi="Times New Roman" w:cs="Times New Roman"/>
          <w:sz w:val="24"/>
          <w:szCs w:val="24"/>
        </w:rPr>
        <w:t>,</w:t>
      </w:r>
    </w:p>
    <w:p w14:paraId="7B121FDB" w14:textId="77777777" w:rsidR="00CB0A97" w:rsidRPr="008A1F6F" w:rsidRDefault="00CB0A97" w:rsidP="00CB0A97">
      <w:pPr>
        <w:spacing w:after="0" w:line="240" w:lineRule="auto"/>
        <w:ind w:left="708" w:firstLine="567"/>
        <w:jc w:val="both"/>
        <w:rPr>
          <w:rFonts w:ascii="Times New Roman" w:eastAsia="Times New Roman" w:hAnsi="Times New Roman" w:cs="Times New Roman"/>
          <w:sz w:val="24"/>
          <w:szCs w:val="24"/>
        </w:rPr>
      </w:pPr>
      <w:r w:rsidRPr="008A1F6F">
        <w:rPr>
          <w:rFonts w:ascii="Times New Roman" w:eastAsia="Times New Roman" w:hAnsi="Times New Roman" w:cs="Times New Roman"/>
          <w:sz w:val="24"/>
          <w:szCs w:val="24"/>
          <w:lang w:val="ru-RU"/>
        </w:rPr>
        <w:t>където:</w:t>
      </w:r>
    </w:p>
    <w:p w14:paraId="015D1C68" w14:textId="77777777" w:rsidR="00CB0A97" w:rsidRPr="008A1F6F" w:rsidRDefault="00CB0A97" w:rsidP="00CB0A97">
      <w:pPr>
        <w:spacing w:after="0" w:line="240" w:lineRule="auto"/>
        <w:ind w:left="1416" w:firstLine="567"/>
        <w:jc w:val="both"/>
        <w:rPr>
          <w:rFonts w:ascii="Times New Roman" w:eastAsia="Times New Roman" w:hAnsi="Times New Roman" w:cs="Times New Roman"/>
          <w:sz w:val="24"/>
          <w:szCs w:val="24"/>
        </w:rPr>
      </w:pPr>
      <w:r w:rsidRPr="008A1F6F">
        <w:rPr>
          <w:rFonts w:ascii="Times New Roman" w:eastAsia="Times New Roman" w:hAnsi="Times New Roman" w:cs="Times New Roman"/>
          <w:i/>
          <w:sz w:val="24"/>
          <w:szCs w:val="24"/>
        </w:rPr>
        <w:t>AVB</w:t>
      </w:r>
      <w:r w:rsidRPr="008A1F6F">
        <w:rPr>
          <w:rFonts w:ascii="Times New Roman" w:eastAsia="Times New Roman" w:hAnsi="Times New Roman" w:cs="Times New Roman"/>
          <w:sz w:val="24"/>
          <w:szCs w:val="24"/>
        </w:rPr>
        <w:t xml:space="preserve"> е анюализираната стойност на регулаторните ползи;</w:t>
      </w:r>
    </w:p>
    <w:p w14:paraId="6C178165" w14:textId="77777777" w:rsidR="00CB0A97" w:rsidRPr="008A1F6F" w:rsidRDefault="00CB0A97" w:rsidP="00CB0A97">
      <w:pPr>
        <w:spacing w:after="0" w:line="240" w:lineRule="auto"/>
        <w:ind w:left="1416" w:firstLine="567"/>
        <w:jc w:val="both"/>
        <w:rPr>
          <w:rFonts w:ascii="Times New Roman" w:eastAsia="Times New Roman" w:hAnsi="Times New Roman" w:cs="Times New Roman"/>
          <w:sz w:val="24"/>
          <w:szCs w:val="24"/>
          <w:lang w:val="ru-RU"/>
        </w:rPr>
      </w:pPr>
      <w:r w:rsidRPr="008A1F6F">
        <w:rPr>
          <w:rFonts w:ascii="Times New Roman" w:eastAsia="Times New Roman" w:hAnsi="Times New Roman" w:cs="Times New Roman"/>
          <w:i/>
          <w:sz w:val="24"/>
          <w:szCs w:val="24"/>
        </w:rPr>
        <w:t>PVB</w:t>
      </w:r>
      <w:r w:rsidRPr="008A1F6F">
        <w:rPr>
          <w:rFonts w:ascii="Times New Roman" w:eastAsia="Times New Roman" w:hAnsi="Times New Roman" w:cs="Times New Roman"/>
          <w:sz w:val="24"/>
          <w:szCs w:val="24"/>
          <w:lang w:val="ru-RU"/>
        </w:rPr>
        <w:t xml:space="preserve"> – сборът от </w:t>
      </w:r>
      <w:r w:rsidRPr="008A1F6F">
        <w:rPr>
          <w:rFonts w:ascii="Times New Roman" w:eastAsia="Times New Roman" w:hAnsi="Times New Roman" w:cs="Times New Roman"/>
          <w:sz w:val="24"/>
          <w:szCs w:val="24"/>
        </w:rPr>
        <w:t>настоящите стойности на регулаторните ползи</w:t>
      </w:r>
      <w:r w:rsidRPr="008A1F6F">
        <w:rPr>
          <w:rFonts w:ascii="Times New Roman" w:eastAsia="Times New Roman" w:hAnsi="Times New Roman" w:cs="Times New Roman"/>
          <w:sz w:val="24"/>
          <w:szCs w:val="24"/>
          <w:lang w:val="ru-RU"/>
        </w:rPr>
        <w:t>;</w:t>
      </w:r>
    </w:p>
    <w:p w14:paraId="5CCBE1B3" w14:textId="77777777" w:rsidR="00CB0A97" w:rsidRPr="008A1F6F" w:rsidRDefault="00CB0A97" w:rsidP="00CB0A97">
      <w:pPr>
        <w:spacing w:line="240" w:lineRule="auto"/>
        <w:ind w:firstLine="567"/>
        <w:jc w:val="both"/>
        <w:rPr>
          <w:rFonts w:ascii="Times New Roman" w:eastAsia="Times New Roman" w:hAnsi="Times New Roman" w:cs="Times New Roman"/>
          <w:sz w:val="24"/>
          <w:szCs w:val="24"/>
          <w:lang w:val="ru-RU"/>
        </w:rPr>
      </w:pPr>
      <w:r w:rsidRPr="008A1F6F">
        <w:rPr>
          <w:rFonts w:ascii="Times New Roman" w:eastAsia="Times New Roman" w:hAnsi="Times New Roman" w:cs="Times New Roman"/>
          <w:sz w:val="24"/>
          <w:szCs w:val="24"/>
          <w:lang w:val="ru-RU"/>
        </w:rPr>
        <w:tab/>
      </w:r>
      <w:r w:rsidRPr="008A1F6F">
        <w:rPr>
          <w:rFonts w:ascii="Times New Roman" w:eastAsia="Times New Roman" w:hAnsi="Times New Roman" w:cs="Times New Roman"/>
          <w:sz w:val="24"/>
          <w:szCs w:val="24"/>
          <w:lang w:val="ru-RU"/>
        </w:rPr>
        <w:tab/>
      </w:r>
      <w:r w:rsidRPr="008A1F6F">
        <w:rPr>
          <w:rFonts w:ascii="Times New Roman" w:eastAsia="Times New Roman" w:hAnsi="Times New Roman" w:cs="Times New Roman"/>
          <w:sz w:val="24"/>
          <w:szCs w:val="24"/>
          <w:lang w:val="ru-RU"/>
        </w:rPr>
        <w:tab/>
      </w:r>
      <w:r w:rsidRPr="008A1F6F">
        <w:rPr>
          <w:rFonts w:ascii="Times New Roman" w:eastAsia="Times New Roman" w:hAnsi="Times New Roman" w:cs="Times New Roman"/>
          <w:i/>
          <w:sz w:val="24"/>
          <w:szCs w:val="24"/>
        </w:rPr>
        <w:t>CRF</w:t>
      </w:r>
      <w:r w:rsidRPr="008A1F6F">
        <w:rPr>
          <w:rFonts w:ascii="Times New Roman" w:eastAsia="Times New Roman" w:hAnsi="Times New Roman" w:cs="Times New Roman"/>
          <w:sz w:val="24"/>
          <w:szCs w:val="24"/>
          <w:lang w:val="ru-RU"/>
        </w:rPr>
        <w:t xml:space="preserve"> – капиталовъзстановителният фактор.</w:t>
      </w:r>
    </w:p>
    <w:p w14:paraId="149E6586" w14:textId="67C6D57C" w:rsidR="00CB0A97" w:rsidRPr="009F44BC" w:rsidRDefault="00CB0A97" w:rsidP="00CB0A97">
      <w:pPr>
        <w:spacing w:after="0" w:line="240" w:lineRule="auto"/>
        <w:ind w:firstLine="567"/>
        <w:jc w:val="both"/>
        <w:rPr>
          <w:rFonts w:ascii="Times New Roman" w:eastAsia="Times New Roman" w:hAnsi="Times New Roman" w:cs="Times New Roman"/>
          <w:sz w:val="24"/>
          <w:szCs w:val="24"/>
        </w:rPr>
      </w:pPr>
      <w:r w:rsidRPr="009F44BC">
        <w:rPr>
          <w:rFonts w:ascii="Times New Roman" w:eastAsia="Times New Roman" w:hAnsi="Times New Roman" w:cs="Times New Roman"/>
          <w:sz w:val="24"/>
          <w:szCs w:val="24"/>
        </w:rPr>
        <w:t>Математически</w:t>
      </w:r>
      <w:r w:rsidR="005C01E8">
        <w:rPr>
          <w:rFonts w:ascii="Times New Roman" w:eastAsia="Times New Roman" w:hAnsi="Times New Roman" w:cs="Times New Roman"/>
          <w:sz w:val="24"/>
          <w:szCs w:val="24"/>
        </w:rPr>
        <w:t>,</w:t>
      </w:r>
      <w:r w:rsidRPr="009F44BC">
        <w:rPr>
          <w:rFonts w:ascii="Times New Roman" w:eastAsia="Times New Roman" w:hAnsi="Times New Roman" w:cs="Times New Roman"/>
          <w:sz w:val="24"/>
          <w:szCs w:val="24"/>
        </w:rPr>
        <w:t xml:space="preserve"> AVB може да бъде по-голяма от AVC, по-малка от AVC и равна</w:t>
      </w:r>
      <w:r w:rsidRPr="009F44BC">
        <w:rPr>
          <w:rFonts w:ascii="Times New Roman" w:eastAsia="Times New Roman" w:hAnsi="Times New Roman" w:cs="Times New Roman"/>
          <w:i/>
          <w:sz w:val="24"/>
          <w:szCs w:val="24"/>
        </w:rPr>
        <w:t xml:space="preserve"> </w:t>
      </w:r>
      <w:r w:rsidRPr="009F44BC">
        <w:rPr>
          <w:rFonts w:ascii="Times New Roman" w:eastAsia="Times New Roman" w:hAnsi="Times New Roman" w:cs="Times New Roman"/>
          <w:sz w:val="24"/>
          <w:szCs w:val="24"/>
        </w:rPr>
        <w:t xml:space="preserve">на AVC. AVB &gt; AVC означава, че вариантът е </w:t>
      </w:r>
      <w:r w:rsidRPr="009F44BC">
        <w:rPr>
          <w:rFonts w:ascii="Times New Roman" w:eastAsia="Times New Roman" w:hAnsi="Times New Roman" w:cs="Times New Roman"/>
          <w:i/>
          <w:sz w:val="24"/>
          <w:szCs w:val="24"/>
        </w:rPr>
        <w:t>атрактивен</w:t>
      </w:r>
      <w:r w:rsidR="005C01E8">
        <w:rPr>
          <w:rFonts w:ascii="Times New Roman" w:eastAsia="Times New Roman" w:hAnsi="Times New Roman" w:cs="Times New Roman"/>
          <w:sz w:val="24"/>
          <w:szCs w:val="24"/>
        </w:rPr>
        <w:t xml:space="preserve"> </w:t>
      </w:r>
      <w:r w:rsidRPr="009F44BC">
        <w:rPr>
          <w:rFonts w:ascii="Times New Roman" w:eastAsia="Times New Roman" w:hAnsi="Times New Roman" w:cs="Times New Roman"/>
          <w:sz w:val="24"/>
          <w:szCs w:val="24"/>
        </w:rPr>
        <w:t xml:space="preserve">– неговото осъществяване ще увеличи благосъстоянието на обществото като цяло. При избор между алтернативни регулаторни варианти, най-добър е вариантът с най-голямо превишение на AVB над AVC. </w:t>
      </w:r>
    </w:p>
    <w:p w14:paraId="1BA982D3" w14:textId="77777777" w:rsidR="00CB0A97" w:rsidRPr="009F44BC" w:rsidRDefault="00CB0A97" w:rsidP="00CB0A97">
      <w:pPr>
        <w:spacing w:after="0" w:line="240" w:lineRule="auto"/>
        <w:ind w:firstLine="567"/>
        <w:jc w:val="both"/>
        <w:rPr>
          <w:rFonts w:ascii="Times New Roman" w:eastAsia="Times New Roman" w:hAnsi="Times New Roman" w:cs="Times New Roman"/>
          <w:bCs/>
          <w:sz w:val="24"/>
          <w:szCs w:val="24"/>
          <w:lang w:val="ru-RU"/>
        </w:rPr>
      </w:pPr>
      <w:r w:rsidRPr="009F44BC">
        <w:rPr>
          <w:rFonts w:ascii="Times New Roman" w:eastAsia="Times New Roman" w:hAnsi="Times New Roman" w:cs="Times New Roman"/>
          <w:sz w:val="24"/>
          <w:szCs w:val="24"/>
        </w:rPr>
        <w:t xml:space="preserve">Когато AVB &lt; AVC, вариантът е неатрактивен и трябва да бъде отхвърлен, защото неговото (евентуално) предприемане ще намали общественото благосъстояние. </w:t>
      </w:r>
      <w:r w:rsidRPr="009F44BC">
        <w:rPr>
          <w:rFonts w:ascii="Times New Roman" w:eastAsia="Times New Roman" w:hAnsi="Times New Roman" w:cs="Times New Roman"/>
          <w:sz w:val="24"/>
          <w:szCs w:val="24"/>
          <w:lang w:val="ru-RU"/>
        </w:rPr>
        <w:t xml:space="preserve">Накрая, </w:t>
      </w:r>
      <w:r w:rsidRPr="009F44BC">
        <w:rPr>
          <w:rFonts w:ascii="Times New Roman" w:eastAsia="Times New Roman" w:hAnsi="Times New Roman" w:cs="Times New Roman"/>
          <w:bCs/>
          <w:sz w:val="24"/>
          <w:szCs w:val="24"/>
        </w:rPr>
        <w:t xml:space="preserve">AVB </w:t>
      </w:r>
      <w:r w:rsidRPr="009F44BC">
        <w:rPr>
          <w:rFonts w:ascii="Times New Roman" w:eastAsia="Times New Roman" w:hAnsi="Times New Roman" w:cs="Times New Roman"/>
          <w:bCs/>
          <w:sz w:val="24"/>
          <w:szCs w:val="24"/>
          <w:lang w:val="ru-RU"/>
        </w:rPr>
        <w:t>=</w:t>
      </w:r>
      <w:r w:rsidRPr="009F44BC">
        <w:rPr>
          <w:rFonts w:ascii="Times New Roman" w:eastAsia="Times New Roman" w:hAnsi="Times New Roman" w:cs="Times New Roman"/>
          <w:bCs/>
          <w:sz w:val="24"/>
          <w:szCs w:val="24"/>
        </w:rPr>
        <w:t xml:space="preserve"> AVC</w:t>
      </w:r>
      <w:r w:rsidRPr="009F44BC">
        <w:rPr>
          <w:rFonts w:ascii="Times New Roman" w:eastAsia="Times New Roman" w:hAnsi="Times New Roman" w:cs="Times New Roman"/>
          <w:bCs/>
          <w:sz w:val="24"/>
          <w:szCs w:val="24"/>
          <w:lang w:val="ru-RU"/>
        </w:rPr>
        <w:t xml:space="preserve"> </w:t>
      </w:r>
      <w:r w:rsidRPr="009F44BC">
        <w:rPr>
          <w:rFonts w:ascii="Times New Roman" w:eastAsia="Times New Roman" w:hAnsi="Times New Roman" w:cs="Times New Roman"/>
          <w:sz w:val="24"/>
          <w:szCs w:val="24"/>
          <w:lang w:val="ru-RU"/>
        </w:rPr>
        <w:t xml:space="preserve">е граничен случай – планираната интервенция </w:t>
      </w:r>
      <w:r w:rsidRPr="009F44BC">
        <w:rPr>
          <w:rFonts w:ascii="Times New Roman" w:eastAsia="Times New Roman" w:hAnsi="Times New Roman" w:cs="Times New Roman"/>
          <w:bCs/>
          <w:sz w:val="24"/>
          <w:szCs w:val="24"/>
          <w:lang w:val="ru-RU"/>
        </w:rPr>
        <w:t xml:space="preserve">не променя </w:t>
      </w:r>
      <w:r w:rsidRPr="009F44BC">
        <w:rPr>
          <w:rFonts w:ascii="Times New Roman" w:eastAsia="Times New Roman" w:hAnsi="Times New Roman" w:cs="Times New Roman"/>
          <w:sz w:val="24"/>
          <w:szCs w:val="24"/>
          <w:lang w:val="ru-RU"/>
        </w:rPr>
        <w:t xml:space="preserve">благосъстоянието на </w:t>
      </w:r>
      <w:r w:rsidRPr="009F44BC">
        <w:rPr>
          <w:rFonts w:ascii="Times New Roman" w:eastAsia="Times New Roman" w:hAnsi="Times New Roman" w:cs="Times New Roman"/>
          <w:sz w:val="24"/>
          <w:szCs w:val="24"/>
        </w:rPr>
        <w:t>обществото</w:t>
      </w:r>
      <w:r w:rsidRPr="009F44BC">
        <w:rPr>
          <w:rFonts w:ascii="Times New Roman" w:eastAsia="Times New Roman" w:hAnsi="Times New Roman" w:cs="Times New Roman"/>
          <w:sz w:val="24"/>
          <w:szCs w:val="24"/>
          <w:lang w:val="ru-RU"/>
        </w:rPr>
        <w:t xml:space="preserve">. Такива </w:t>
      </w:r>
      <w:r w:rsidRPr="009F44BC">
        <w:rPr>
          <w:rFonts w:ascii="Times New Roman" w:eastAsia="Times New Roman" w:hAnsi="Times New Roman" w:cs="Times New Roman"/>
          <w:sz w:val="24"/>
          <w:szCs w:val="24"/>
        </w:rPr>
        <w:t xml:space="preserve">предложения </w:t>
      </w:r>
      <w:r w:rsidRPr="009F44BC">
        <w:rPr>
          <w:rFonts w:ascii="Times New Roman" w:eastAsia="Times New Roman" w:hAnsi="Times New Roman" w:cs="Times New Roman"/>
          <w:sz w:val="24"/>
          <w:szCs w:val="24"/>
          <w:lang w:val="ru-RU"/>
        </w:rPr>
        <w:t xml:space="preserve">се смятат за </w:t>
      </w:r>
      <w:r w:rsidRPr="009F44BC">
        <w:rPr>
          <w:rFonts w:ascii="Times New Roman" w:eastAsia="Times New Roman" w:hAnsi="Times New Roman" w:cs="Times New Roman"/>
          <w:bCs/>
          <w:i/>
          <w:sz w:val="24"/>
          <w:szCs w:val="24"/>
          <w:lang w:val="ru-RU"/>
        </w:rPr>
        <w:t>неатрактивни</w:t>
      </w:r>
      <w:r w:rsidRPr="009F44BC">
        <w:rPr>
          <w:rFonts w:ascii="Times New Roman" w:eastAsia="Times New Roman" w:hAnsi="Times New Roman" w:cs="Times New Roman"/>
          <w:bCs/>
          <w:sz w:val="24"/>
          <w:szCs w:val="24"/>
          <w:lang w:val="ru-RU"/>
        </w:rPr>
        <w:t xml:space="preserve"> </w:t>
      </w:r>
      <w:r w:rsidRPr="009F44BC">
        <w:rPr>
          <w:rFonts w:ascii="Times New Roman" w:eastAsia="Times New Roman" w:hAnsi="Times New Roman" w:cs="Times New Roman"/>
          <w:sz w:val="24"/>
          <w:szCs w:val="24"/>
          <w:lang w:val="ru-RU"/>
        </w:rPr>
        <w:t xml:space="preserve">и следва да бъдат </w:t>
      </w:r>
      <w:r w:rsidRPr="009F44BC">
        <w:rPr>
          <w:rFonts w:ascii="Times New Roman" w:eastAsia="Times New Roman" w:hAnsi="Times New Roman" w:cs="Times New Roman"/>
          <w:bCs/>
          <w:sz w:val="24"/>
          <w:szCs w:val="24"/>
          <w:lang w:val="ru-RU"/>
        </w:rPr>
        <w:t>отхвърлени.</w:t>
      </w:r>
    </w:p>
    <w:p w14:paraId="510C9485" w14:textId="46A81C58" w:rsidR="00CB0A97" w:rsidRPr="009F44BC" w:rsidRDefault="00CB0A97" w:rsidP="00CB0A97">
      <w:pPr>
        <w:spacing w:after="0" w:line="240" w:lineRule="auto"/>
        <w:ind w:firstLine="567"/>
        <w:jc w:val="both"/>
        <w:rPr>
          <w:rFonts w:ascii="Times New Roman" w:eastAsia="Times New Roman" w:hAnsi="Times New Roman" w:cs="Times New Roman"/>
          <w:sz w:val="24"/>
          <w:szCs w:val="24"/>
        </w:rPr>
      </w:pPr>
      <w:r w:rsidRPr="009F44BC">
        <w:rPr>
          <w:rFonts w:ascii="Times New Roman" w:eastAsia="Times New Roman" w:hAnsi="Times New Roman" w:cs="Times New Roman"/>
          <w:sz w:val="24"/>
          <w:szCs w:val="24"/>
        </w:rPr>
        <w:t xml:space="preserve">В съответствие с горната методология е направен подробен анализ „разходи–ползи“ за четирите разгледани </w:t>
      </w:r>
      <w:r w:rsidR="0023795F">
        <w:rPr>
          <w:rFonts w:ascii="Times New Roman" w:eastAsia="Times New Roman" w:hAnsi="Times New Roman" w:cs="Times New Roman"/>
          <w:sz w:val="24"/>
          <w:szCs w:val="24"/>
        </w:rPr>
        <w:t xml:space="preserve">в ОВ </w:t>
      </w:r>
      <w:r w:rsidRPr="009F44BC">
        <w:rPr>
          <w:rFonts w:ascii="Times New Roman" w:eastAsia="Times New Roman" w:hAnsi="Times New Roman" w:cs="Times New Roman"/>
          <w:sz w:val="24"/>
          <w:szCs w:val="24"/>
        </w:rPr>
        <w:t xml:space="preserve">варианта. При </w:t>
      </w:r>
      <w:r w:rsidR="0023795F">
        <w:rPr>
          <w:rFonts w:ascii="Times New Roman" w:eastAsia="Times New Roman" w:hAnsi="Times New Roman" w:cs="Times New Roman"/>
          <w:sz w:val="24"/>
          <w:szCs w:val="24"/>
        </w:rPr>
        <w:t>него</w:t>
      </w:r>
      <w:r w:rsidRPr="009F44BC">
        <w:rPr>
          <w:rFonts w:ascii="Times New Roman" w:eastAsia="Times New Roman" w:hAnsi="Times New Roman" w:cs="Times New Roman"/>
          <w:sz w:val="24"/>
          <w:szCs w:val="24"/>
        </w:rPr>
        <w:t xml:space="preserve"> са използвани </w:t>
      </w:r>
      <w:r w:rsidRPr="009F44BC">
        <w:rPr>
          <w:rFonts w:ascii="Times New Roman" w:eastAsia="Times New Roman" w:hAnsi="Times New Roman" w:cs="Times New Roman"/>
          <w:bCs/>
          <w:sz w:val="24"/>
          <w:szCs w:val="24"/>
        </w:rPr>
        <w:t xml:space="preserve">реални стойности от бюджетите на </w:t>
      </w:r>
      <w:r w:rsidR="005C01E8">
        <w:rPr>
          <w:rFonts w:ascii="Times New Roman" w:eastAsia="Times New Roman" w:hAnsi="Times New Roman" w:cs="Times New Roman"/>
          <w:bCs/>
          <w:sz w:val="24"/>
          <w:szCs w:val="24"/>
        </w:rPr>
        <w:t>МЗХ</w:t>
      </w:r>
      <w:r w:rsidRPr="009F44BC">
        <w:rPr>
          <w:rFonts w:ascii="Times New Roman" w:eastAsia="Times New Roman" w:hAnsi="Times New Roman" w:cs="Times New Roman"/>
          <w:bCs/>
          <w:sz w:val="24"/>
          <w:szCs w:val="24"/>
        </w:rPr>
        <w:t xml:space="preserve"> </w:t>
      </w:r>
      <w:r w:rsidRPr="009F44BC">
        <w:rPr>
          <w:rFonts w:ascii="Times New Roman" w:eastAsia="Times New Roman" w:hAnsi="Times New Roman" w:cs="Times New Roman"/>
          <w:sz w:val="24"/>
          <w:szCs w:val="24"/>
        </w:rPr>
        <w:t xml:space="preserve">за 2023–2025 г. Всички изчисления следват логическа последователност и са прозрачни, като са посочени източниците на стойностите и начинът на дисконтиране и анюализиране. Използван е актуален социален дисконтов процент от 4% годишно (препоръчан от Европейската комисия). </w:t>
      </w:r>
    </w:p>
    <w:p w14:paraId="6AAA912C" w14:textId="4AA7031F" w:rsidR="00CB0A97" w:rsidRPr="009F44BC" w:rsidRDefault="00CB0A97" w:rsidP="00CB0A97">
      <w:pPr>
        <w:spacing w:after="0" w:line="240" w:lineRule="auto"/>
        <w:ind w:firstLine="567"/>
        <w:jc w:val="both"/>
        <w:rPr>
          <w:rFonts w:ascii="Times New Roman" w:eastAsia="Times New Roman" w:hAnsi="Times New Roman" w:cs="Times New Roman"/>
          <w:sz w:val="24"/>
          <w:szCs w:val="24"/>
        </w:rPr>
      </w:pPr>
      <w:r w:rsidRPr="009F44BC">
        <w:rPr>
          <w:rFonts w:ascii="Times New Roman" w:eastAsia="Times New Roman" w:hAnsi="Times New Roman" w:cs="Times New Roman"/>
          <w:sz w:val="24"/>
          <w:szCs w:val="24"/>
        </w:rPr>
        <w:t xml:space="preserve">Периодът на анализа обхваща 5 години (2025–2029), като за целите на дисконтирането настоящата стойност (NPV) се изчислява към началото на 2025 г. При това се приема, че разходите и ползите за 2025 г. настъпват непосредствено (без </w:t>
      </w:r>
      <w:r w:rsidRPr="009F44BC">
        <w:rPr>
          <w:rFonts w:ascii="Times New Roman" w:eastAsia="Times New Roman" w:hAnsi="Times New Roman" w:cs="Times New Roman"/>
          <w:sz w:val="24"/>
          <w:szCs w:val="24"/>
        </w:rPr>
        <w:lastRenderedPageBreak/>
        <w:t>дисконтиране), а за следващите години се привеждат към 2025 г. чрез сложна а</w:t>
      </w:r>
      <w:r w:rsidR="0023795F">
        <w:rPr>
          <w:rFonts w:ascii="Times New Roman" w:eastAsia="Times New Roman" w:hAnsi="Times New Roman" w:cs="Times New Roman"/>
          <w:sz w:val="24"/>
          <w:szCs w:val="24"/>
        </w:rPr>
        <w:t>ню</w:t>
      </w:r>
      <w:r w:rsidRPr="009F44BC">
        <w:rPr>
          <w:rFonts w:ascii="Times New Roman" w:eastAsia="Times New Roman" w:hAnsi="Times New Roman" w:cs="Times New Roman"/>
          <w:sz w:val="24"/>
          <w:szCs w:val="24"/>
        </w:rPr>
        <w:t xml:space="preserve">ализация с 4% годишно. За сравнимост на вариантите, всички парични потоци са изразени в </w:t>
      </w:r>
      <w:r w:rsidRPr="009F44BC">
        <w:rPr>
          <w:rFonts w:ascii="Times New Roman" w:eastAsia="Times New Roman" w:hAnsi="Times New Roman" w:cs="Times New Roman"/>
          <w:bCs/>
          <w:sz w:val="24"/>
          <w:szCs w:val="24"/>
        </w:rPr>
        <w:t>хил. лв.</w:t>
      </w:r>
      <w:r w:rsidRPr="009F44BC">
        <w:rPr>
          <w:rFonts w:ascii="Times New Roman" w:eastAsia="Times New Roman" w:hAnsi="Times New Roman" w:cs="Times New Roman"/>
          <w:sz w:val="24"/>
          <w:szCs w:val="24"/>
        </w:rPr>
        <w:t xml:space="preserve"> (хиляди лева). Накрая, нетните настоящи стойности и анюализираните стойности на съвкупните разходи (AVC) и ползи (AVB) позволяват изчисляване на коефициент на икономическа ефективност (отношение AVB/AVC) за всеки вариант и класиране по резултати.</w:t>
      </w:r>
    </w:p>
    <w:p w14:paraId="2C90438A" w14:textId="77777777" w:rsidR="00CB0A97" w:rsidRDefault="00CB0A97" w:rsidP="00CB0A97">
      <w:pPr>
        <w:spacing w:after="0" w:line="240" w:lineRule="auto"/>
        <w:ind w:firstLine="567"/>
        <w:jc w:val="both"/>
        <w:rPr>
          <w:rFonts w:ascii="Times New Roman" w:eastAsia="Times New Roman" w:hAnsi="Times New Roman" w:cs="Times New Roman"/>
          <w:sz w:val="24"/>
          <w:szCs w:val="24"/>
        </w:rPr>
      </w:pPr>
    </w:p>
    <w:p w14:paraId="357BD6F5" w14:textId="45D9C584" w:rsidR="00CB0A97" w:rsidRPr="00807B9A" w:rsidRDefault="00CB0A97" w:rsidP="00CB0A97">
      <w:pPr>
        <w:spacing w:after="0" w:line="240" w:lineRule="auto"/>
        <w:ind w:firstLine="567"/>
        <w:jc w:val="both"/>
        <w:rPr>
          <w:rFonts w:ascii="Times New Roman" w:eastAsia="Times New Roman" w:hAnsi="Times New Roman" w:cs="Times New Roman"/>
          <w:b/>
          <w:sz w:val="24"/>
          <w:szCs w:val="24"/>
        </w:rPr>
      </w:pPr>
      <w:r w:rsidRPr="00807B9A">
        <w:rPr>
          <w:rFonts w:ascii="Times New Roman" w:eastAsia="Times New Roman" w:hAnsi="Times New Roman" w:cs="Times New Roman"/>
          <w:b/>
          <w:sz w:val="24"/>
          <w:szCs w:val="24"/>
        </w:rPr>
        <w:t xml:space="preserve">Вариант 0: „Без действие“ </w:t>
      </w:r>
    </w:p>
    <w:p w14:paraId="6AF235F7" w14:textId="742BDD38" w:rsidR="00CB0A97" w:rsidRPr="00EC26B5" w:rsidRDefault="00CB0A97" w:rsidP="00CB0A97">
      <w:pPr>
        <w:spacing w:after="0" w:line="240" w:lineRule="auto"/>
        <w:ind w:firstLine="567"/>
        <w:jc w:val="both"/>
        <w:rPr>
          <w:rFonts w:ascii="Times New Roman" w:eastAsia="Times New Roman" w:hAnsi="Times New Roman" w:cs="Times New Roman"/>
          <w:sz w:val="24"/>
          <w:szCs w:val="24"/>
        </w:rPr>
      </w:pPr>
      <w:r w:rsidRPr="008A426F">
        <w:rPr>
          <w:rFonts w:ascii="Times New Roman" w:eastAsia="Times New Roman" w:hAnsi="Times New Roman" w:cs="Times New Roman"/>
          <w:b/>
          <w:bCs/>
          <w:i/>
          <w:sz w:val="24"/>
          <w:szCs w:val="24"/>
        </w:rPr>
        <w:t>Описание на варианта</w:t>
      </w:r>
      <w:r w:rsidRPr="00EC26B5">
        <w:rPr>
          <w:rFonts w:ascii="Times New Roman" w:eastAsia="Times New Roman" w:hAnsi="Times New Roman" w:cs="Times New Roman"/>
          <w:bCs/>
          <w:sz w:val="24"/>
          <w:szCs w:val="24"/>
        </w:rPr>
        <w:t>:</w:t>
      </w:r>
      <w:r w:rsidRPr="00EC26B5">
        <w:rPr>
          <w:rFonts w:ascii="Times New Roman" w:eastAsia="Times New Roman" w:hAnsi="Times New Roman" w:cs="Times New Roman"/>
          <w:sz w:val="24"/>
          <w:szCs w:val="24"/>
        </w:rPr>
        <w:t xml:space="preserve"> При </w:t>
      </w:r>
      <w:r w:rsidRPr="00EC26B5">
        <w:rPr>
          <w:rFonts w:ascii="Times New Roman" w:eastAsia="Times New Roman" w:hAnsi="Times New Roman" w:cs="Times New Roman"/>
          <w:bCs/>
          <w:sz w:val="24"/>
          <w:szCs w:val="24"/>
        </w:rPr>
        <w:t>вариант 0</w:t>
      </w:r>
      <w:r w:rsidRPr="00EC26B5">
        <w:rPr>
          <w:rFonts w:ascii="Times New Roman" w:eastAsia="Times New Roman" w:hAnsi="Times New Roman" w:cs="Times New Roman"/>
          <w:sz w:val="24"/>
          <w:szCs w:val="24"/>
        </w:rPr>
        <w:t xml:space="preserve"> не се предприемат нови мерки. В този смисъл се запазва настоящото положение без </w:t>
      </w:r>
      <w:r>
        <w:rPr>
          <w:rFonts w:ascii="Times New Roman" w:eastAsia="Times New Roman" w:hAnsi="Times New Roman" w:cs="Times New Roman"/>
          <w:sz w:val="24"/>
          <w:szCs w:val="24"/>
        </w:rPr>
        <w:t>регулаторна намеса</w:t>
      </w:r>
      <w:r w:rsidRPr="00EC26B5">
        <w:rPr>
          <w:rFonts w:ascii="Times New Roman" w:eastAsia="Times New Roman" w:hAnsi="Times New Roman" w:cs="Times New Roman"/>
          <w:sz w:val="24"/>
          <w:szCs w:val="24"/>
        </w:rPr>
        <w:t>. Това означава, че установените проблеми</w:t>
      </w:r>
      <w:r w:rsidR="001B7CA8">
        <w:rPr>
          <w:rFonts w:ascii="Times New Roman" w:eastAsia="Times New Roman" w:hAnsi="Times New Roman" w:cs="Times New Roman"/>
          <w:sz w:val="24"/>
          <w:szCs w:val="24"/>
        </w:rPr>
        <w:t xml:space="preserve"> по</w:t>
      </w:r>
      <w:r w:rsidRPr="00EC26B5">
        <w:rPr>
          <w:rFonts w:ascii="Times New Roman" w:eastAsia="Times New Roman" w:hAnsi="Times New Roman" w:cs="Times New Roman"/>
          <w:sz w:val="24"/>
          <w:szCs w:val="24"/>
        </w:rPr>
        <w:t xml:space="preserve"> верига</w:t>
      </w:r>
      <w:r>
        <w:rPr>
          <w:rFonts w:ascii="Times New Roman" w:eastAsia="Times New Roman" w:hAnsi="Times New Roman" w:cs="Times New Roman"/>
          <w:sz w:val="24"/>
          <w:szCs w:val="24"/>
        </w:rPr>
        <w:t>та на доставки (непрозрачност и</w:t>
      </w:r>
      <w:r w:rsidRPr="00EC26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непроследяемост,</w:t>
      </w:r>
      <w:r w:rsidRPr="00EC26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водещи до </w:t>
      </w:r>
      <w:r w:rsidRPr="00EC26B5">
        <w:rPr>
          <w:rFonts w:ascii="Times New Roman" w:eastAsia="Times New Roman" w:hAnsi="Times New Roman" w:cs="Times New Roman"/>
          <w:sz w:val="24"/>
          <w:szCs w:val="24"/>
        </w:rPr>
        <w:t xml:space="preserve">неравнопоставеност </w:t>
      </w:r>
      <w:r>
        <w:rPr>
          <w:rFonts w:ascii="Times New Roman" w:eastAsia="Times New Roman" w:hAnsi="Times New Roman" w:cs="Times New Roman"/>
          <w:sz w:val="24"/>
          <w:szCs w:val="24"/>
        </w:rPr>
        <w:t xml:space="preserve">и непропорционалност в </w:t>
      </w:r>
      <w:r w:rsidR="001B7CA8">
        <w:rPr>
          <w:rFonts w:ascii="Times New Roman" w:eastAsia="Times New Roman" w:hAnsi="Times New Roman" w:cs="Times New Roman"/>
          <w:sz w:val="24"/>
          <w:szCs w:val="24"/>
        </w:rPr>
        <w:t xml:space="preserve">отношенията </w:t>
      </w:r>
      <w:r w:rsidRPr="00EC26B5">
        <w:rPr>
          <w:rFonts w:ascii="Times New Roman" w:eastAsia="Times New Roman" w:hAnsi="Times New Roman" w:cs="Times New Roman"/>
          <w:sz w:val="24"/>
          <w:szCs w:val="24"/>
        </w:rPr>
        <w:t xml:space="preserve">между големи търговци и малки земеделски производители) продължават да съществуват. Липсата на намеса не води до нови бюджетни разходи за МЗХ, но </w:t>
      </w:r>
      <w:r w:rsidRPr="00EC26B5">
        <w:rPr>
          <w:rFonts w:ascii="Times New Roman" w:eastAsia="Times New Roman" w:hAnsi="Times New Roman" w:cs="Times New Roman"/>
          <w:bCs/>
          <w:sz w:val="24"/>
          <w:szCs w:val="24"/>
        </w:rPr>
        <w:t>продължава да генерира значителни загуби за обществото</w:t>
      </w:r>
      <w:r w:rsidRPr="00EC26B5">
        <w:rPr>
          <w:rFonts w:ascii="Times New Roman" w:eastAsia="Times New Roman" w:hAnsi="Times New Roman" w:cs="Times New Roman"/>
          <w:sz w:val="24"/>
          <w:szCs w:val="24"/>
        </w:rPr>
        <w:t>, особено за по-слабите участници във веригата. На база анализа на текущото състояние, н</w:t>
      </w:r>
      <w:r w:rsidRPr="00EC26B5">
        <w:rPr>
          <w:rFonts w:ascii="Times New Roman" w:eastAsia="Times New Roman" w:hAnsi="Times New Roman" w:cs="Times New Roman"/>
          <w:bCs/>
          <w:sz w:val="24"/>
          <w:szCs w:val="24"/>
        </w:rPr>
        <w:t xml:space="preserve">елоялните търговски практики </w:t>
      </w:r>
      <w:r w:rsidRPr="00EC26B5">
        <w:rPr>
          <w:rFonts w:ascii="Times New Roman" w:eastAsia="Times New Roman" w:hAnsi="Times New Roman" w:cs="Times New Roman"/>
          <w:sz w:val="24"/>
          <w:szCs w:val="24"/>
        </w:rPr>
        <w:t xml:space="preserve">нанасят щети, изразени в </w:t>
      </w:r>
      <w:r w:rsidRPr="00EC26B5">
        <w:rPr>
          <w:rFonts w:ascii="Times New Roman" w:eastAsia="Times New Roman" w:hAnsi="Times New Roman" w:cs="Times New Roman"/>
          <w:bCs/>
          <w:sz w:val="24"/>
          <w:szCs w:val="24"/>
        </w:rPr>
        <w:t>загуба на доходи за земеделските производители и малките доставчици</w:t>
      </w:r>
      <w:r w:rsidRPr="00EC26B5">
        <w:rPr>
          <w:rFonts w:ascii="Times New Roman" w:eastAsia="Times New Roman" w:hAnsi="Times New Roman" w:cs="Times New Roman"/>
          <w:sz w:val="24"/>
          <w:szCs w:val="24"/>
        </w:rPr>
        <w:t xml:space="preserve"> в размер на </w:t>
      </w:r>
      <w:r w:rsidRPr="00EC26B5">
        <w:rPr>
          <w:rFonts w:ascii="Times New Roman" w:eastAsia="Times New Roman" w:hAnsi="Times New Roman" w:cs="Times New Roman"/>
          <w:bCs/>
          <w:sz w:val="24"/>
          <w:szCs w:val="24"/>
        </w:rPr>
        <w:t>820</w:t>
      </w:r>
      <w:r w:rsidR="00A37BA3">
        <w:rPr>
          <w:rFonts w:ascii="Times New Roman" w:eastAsia="Times New Roman" w:hAnsi="Times New Roman" w:cs="Times New Roman"/>
          <w:bCs/>
          <w:sz w:val="24"/>
          <w:szCs w:val="24"/>
        </w:rPr>
        <w:t xml:space="preserve"> </w:t>
      </w:r>
      <w:r w:rsidRPr="00EC26B5">
        <w:rPr>
          <w:rFonts w:ascii="Times New Roman" w:eastAsia="Times New Roman" w:hAnsi="Times New Roman" w:cs="Times New Roman"/>
          <w:bCs/>
          <w:sz w:val="24"/>
          <w:szCs w:val="24"/>
        </w:rPr>
        <w:t>–</w:t>
      </w:r>
      <w:r w:rsidR="00A37BA3">
        <w:rPr>
          <w:rFonts w:ascii="Times New Roman" w:eastAsia="Times New Roman" w:hAnsi="Times New Roman" w:cs="Times New Roman"/>
          <w:bCs/>
          <w:sz w:val="24"/>
          <w:szCs w:val="24"/>
        </w:rPr>
        <w:t xml:space="preserve"> </w:t>
      </w:r>
      <w:r w:rsidRPr="00EC26B5">
        <w:rPr>
          <w:rFonts w:ascii="Times New Roman" w:eastAsia="Times New Roman" w:hAnsi="Times New Roman" w:cs="Times New Roman"/>
          <w:bCs/>
          <w:sz w:val="24"/>
          <w:szCs w:val="24"/>
        </w:rPr>
        <w:t>1 100 млн. лв. годишно</w:t>
      </w:r>
      <w:r w:rsidRPr="00EC26B5">
        <w:rPr>
          <w:rStyle w:val="FootnoteReference"/>
          <w:rFonts w:ascii="Times New Roman" w:eastAsia="Times New Roman" w:hAnsi="Times New Roman" w:cs="Times New Roman"/>
          <w:bCs/>
          <w:sz w:val="24"/>
          <w:szCs w:val="24"/>
        </w:rPr>
        <w:footnoteReference w:id="57"/>
      </w:r>
      <w:r w:rsidRPr="00EC26B5">
        <w:rPr>
          <w:rFonts w:ascii="Times New Roman" w:eastAsia="Times New Roman" w:hAnsi="Times New Roman" w:cs="Times New Roman"/>
          <w:sz w:val="24"/>
          <w:szCs w:val="24"/>
        </w:rPr>
        <w:t>. Тази стойност представлява горна</w:t>
      </w:r>
      <w:r w:rsidR="00C13AC0">
        <w:rPr>
          <w:rFonts w:ascii="Times New Roman" w:eastAsia="Times New Roman" w:hAnsi="Times New Roman" w:cs="Times New Roman"/>
          <w:sz w:val="24"/>
          <w:szCs w:val="24"/>
        </w:rPr>
        <w:t>та</w:t>
      </w:r>
      <w:r w:rsidRPr="00EC26B5">
        <w:rPr>
          <w:rFonts w:ascii="Times New Roman" w:eastAsia="Times New Roman" w:hAnsi="Times New Roman" w:cs="Times New Roman"/>
          <w:sz w:val="24"/>
          <w:szCs w:val="24"/>
        </w:rPr>
        <w:t xml:space="preserve"> граница на потенциалните ползи при пълно елиминиране на </w:t>
      </w:r>
      <w:r w:rsidR="00C13AC0">
        <w:rPr>
          <w:rFonts w:ascii="Times New Roman" w:eastAsia="Times New Roman" w:hAnsi="Times New Roman" w:cs="Times New Roman"/>
          <w:sz w:val="24"/>
          <w:szCs w:val="24"/>
        </w:rPr>
        <w:t>нелоялни търговски практики</w:t>
      </w:r>
      <w:r w:rsidRPr="00EC26B5">
        <w:rPr>
          <w:rFonts w:ascii="Times New Roman" w:eastAsia="Times New Roman" w:hAnsi="Times New Roman" w:cs="Times New Roman"/>
          <w:sz w:val="24"/>
          <w:szCs w:val="24"/>
        </w:rPr>
        <w:t xml:space="preserve">. </w:t>
      </w:r>
    </w:p>
    <w:p w14:paraId="690D3113" w14:textId="39ABD43A" w:rsidR="00CB0A97" w:rsidRPr="00EC26B5" w:rsidRDefault="00CB0A97" w:rsidP="00CB0A97">
      <w:pPr>
        <w:spacing w:after="0" w:line="240" w:lineRule="auto"/>
        <w:ind w:firstLine="567"/>
        <w:jc w:val="both"/>
        <w:rPr>
          <w:rFonts w:ascii="Times New Roman" w:eastAsia="Times New Roman" w:hAnsi="Times New Roman" w:cs="Times New Roman"/>
          <w:sz w:val="24"/>
          <w:szCs w:val="24"/>
          <w:lang w:val="ru-RU"/>
        </w:rPr>
      </w:pPr>
      <w:r w:rsidRPr="008A426F">
        <w:rPr>
          <w:rFonts w:ascii="Times New Roman" w:eastAsia="Times New Roman" w:hAnsi="Times New Roman" w:cs="Times New Roman"/>
          <w:b/>
          <w:bCs/>
          <w:i/>
          <w:sz w:val="24"/>
          <w:szCs w:val="24"/>
          <w:lang w:val="ru-RU"/>
        </w:rPr>
        <w:t>Компоненти на разходите и ползите</w:t>
      </w:r>
      <w:r w:rsidRPr="005015F3">
        <w:rPr>
          <w:rFonts w:ascii="Times New Roman" w:eastAsia="Times New Roman" w:hAnsi="Times New Roman" w:cs="Times New Roman"/>
          <w:b/>
          <w:i/>
          <w:iCs/>
          <w:sz w:val="24"/>
          <w:szCs w:val="24"/>
          <w:lang w:val="ru-RU"/>
        </w:rPr>
        <w:t>:</w:t>
      </w:r>
      <w:r w:rsidRPr="00EC26B5">
        <w:rPr>
          <w:rFonts w:ascii="Times New Roman" w:eastAsia="Times New Roman" w:hAnsi="Times New Roman" w:cs="Times New Roman"/>
          <w:sz w:val="24"/>
          <w:szCs w:val="24"/>
          <w:lang w:val="ru-RU"/>
        </w:rPr>
        <w:t xml:space="preserve"> </w:t>
      </w:r>
      <w:r w:rsidR="0023795F">
        <w:rPr>
          <w:rFonts w:ascii="Times New Roman" w:eastAsia="Times New Roman" w:hAnsi="Times New Roman" w:cs="Times New Roman"/>
          <w:sz w:val="24"/>
          <w:szCs w:val="24"/>
          <w:lang w:val="ru-RU"/>
        </w:rPr>
        <w:t xml:space="preserve">При </w:t>
      </w:r>
      <w:r w:rsidRPr="00EC26B5">
        <w:rPr>
          <w:rFonts w:ascii="Times New Roman" w:eastAsia="Times New Roman" w:hAnsi="Times New Roman" w:cs="Times New Roman"/>
          <w:sz w:val="24"/>
          <w:szCs w:val="24"/>
          <w:lang w:val="ru-RU"/>
        </w:rPr>
        <w:t xml:space="preserve">варианта „Без действие“ </w:t>
      </w:r>
      <w:r w:rsidRPr="00EC26B5">
        <w:rPr>
          <w:rFonts w:ascii="Times New Roman" w:eastAsia="Times New Roman" w:hAnsi="Times New Roman" w:cs="Times New Roman"/>
          <w:bCs/>
          <w:sz w:val="24"/>
          <w:szCs w:val="24"/>
          <w:lang w:val="ru-RU"/>
        </w:rPr>
        <w:t>не се реализират непосредствени финансови разходи за държавата</w:t>
      </w:r>
      <w:r w:rsidRPr="00EC26B5">
        <w:rPr>
          <w:rFonts w:ascii="Times New Roman" w:eastAsia="Times New Roman" w:hAnsi="Times New Roman" w:cs="Times New Roman"/>
          <w:sz w:val="24"/>
          <w:szCs w:val="24"/>
          <w:lang w:val="ru-RU"/>
        </w:rPr>
        <w:t>, нито</w:t>
      </w:r>
      <w:r>
        <w:rPr>
          <w:rFonts w:ascii="Times New Roman" w:eastAsia="Times New Roman" w:hAnsi="Times New Roman" w:cs="Times New Roman"/>
          <w:sz w:val="24"/>
          <w:szCs w:val="24"/>
          <w:lang w:val="ru-RU"/>
        </w:rPr>
        <w:t xml:space="preserve"> се налагат</w:t>
      </w:r>
      <w:r w:rsidRPr="00EC26B5">
        <w:rPr>
          <w:rFonts w:ascii="Times New Roman" w:eastAsia="Times New Roman" w:hAnsi="Times New Roman" w:cs="Times New Roman"/>
          <w:sz w:val="24"/>
          <w:szCs w:val="24"/>
          <w:lang w:val="ru-RU"/>
        </w:rPr>
        <w:t xml:space="preserve"> нови административни тежести за бизнеса, тъй като не се въвеждат </w:t>
      </w:r>
      <w:r>
        <w:rPr>
          <w:rFonts w:ascii="Times New Roman" w:eastAsia="Times New Roman" w:hAnsi="Times New Roman" w:cs="Times New Roman"/>
          <w:sz w:val="24"/>
          <w:szCs w:val="24"/>
          <w:lang w:val="ru-RU"/>
        </w:rPr>
        <w:t>нови мерки,</w:t>
      </w:r>
      <w:r w:rsidRPr="00EC26B5">
        <w:rPr>
          <w:rFonts w:ascii="Times New Roman" w:eastAsia="Times New Roman" w:hAnsi="Times New Roman" w:cs="Times New Roman"/>
          <w:sz w:val="24"/>
          <w:szCs w:val="24"/>
          <w:lang w:val="ru-RU"/>
        </w:rPr>
        <w:t xml:space="preserve"> закони</w:t>
      </w:r>
      <w:r>
        <w:rPr>
          <w:rFonts w:ascii="Times New Roman" w:eastAsia="Times New Roman" w:hAnsi="Times New Roman" w:cs="Times New Roman"/>
          <w:sz w:val="24"/>
          <w:szCs w:val="24"/>
          <w:lang w:val="ru-RU"/>
        </w:rPr>
        <w:t xml:space="preserve"> или </w:t>
      </w:r>
      <w:r w:rsidRPr="00EC26B5">
        <w:rPr>
          <w:rFonts w:ascii="Times New Roman" w:eastAsia="Times New Roman" w:hAnsi="Times New Roman" w:cs="Times New Roman"/>
          <w:sz w:val="24"/>
          <w:szCs w:val="24"/>
          <w:lang w:val="ru-RU"/>
        </w:rPr>
        <w:t xml:space="preserve">програми. </w:t>
      </w:r>
      <w:r w:rsidRPr="00EC26B5">
        <w:rPr>
          <w:rFonts w:ascii="Times New Roman" w:eastAsia="Times New Roman" w:hAnsi="Times New Roman" w:cs="Times New Roman"/>
          <w:bCs/>
          <w:sz w:val="24"/>
          <w:szCs w:val="24"/>
          <w:lang w:val="ru-RU"/>
        </w:rPr>
        <w:t>Разходите за обществото тук се изразяват в пропуснати ползи</w:t>
      </w:r>
      <w:r w:rsidR="001B7CA8">
        <w:rPr>
          <w:rFonts w:ascii="Times New Roman" w:eastAsia="Times New Roman" w:hAnsi="Times New Roman" w:cs="Times New Roman"/>
          <w:sz w:val="24"/>
          <w:szCs w:val="24"/>
          <w:lang w:val="ru-RU"/>
        </w:rPr>
        <w:t>:</w:t>
      </w:r>
      <w:r w:rsidRPr="00EC26B5">
        <w:rPr>
          <w:rFonts w:ascii="Times New Roman" w:eastAsia="Times New Roman" w:hAnsi="Times New Roman" w:cs="Times New Roman"/>
          <w:sz w:val="24"/>
          <w:szCs w:val="24"/>
          <w:lang w:val="ru-RU"/>
        </w:rPr>
        <w:t xml:space="preserve"> продължаващи ежегодни </w:t>
      </w:r>
      <w:r w:rsidRPr="00EC26B5">
        <w:rPr>
          <w:rFonts w:ascii="Times New Roman" w:eastAsia="Times New Roman" w:hAnsi="Times New Roman" w:cs="Times New Roman"/>
          <w:bCs/>
          <w:sz w:val="24"/>
          <w:szCs w:val="24"/>
          <w:lang w:val="ru-RU"/>
        </w:rPr>
        <w:t>загуби на доход</w:t>
      </w:r>
      <w:r w:rsidRPr="00EC26B5">
        <w:rPr>
          <w:rFonts w:ascii="Times New Roman" w:eastAsia="Times New Roman" w:hAnsi="Times New Roman" w:cs="Times New Roman"/>
          <w:sz w:val="24"/>
          <w:szCs w:val="24"/>
          <w:lang w:val="ru-RU"/>
        </w:rPr>
        <w:t xml:space="preserve"> за земеделските стопани и малки преработватели</w:t>
      </w:r>
      <w:r w:rsidR="001B7CA8">
        <w:rPr>
          <w:rFonts w:ascii="Times New Roman" w:eastAsia="Times New Roman" w:hAnsi="Times New Roman" w:cs="Times New Roman"/>
          <w:sz w:val="24"/>
          <w:szCs w:val="24"/>
          <w:lang w:val="ru-RU"/>
        </w:rPr>
        <w:t>,</w:t>
      </w:r>
      <w:r w:rsidRPr="00EC26B5">
        <w:rPr>
          <w:rFonts w:ascii="Times New Roman" w:eastAsia="Times New Roman" w:hAnsi="Times New Roman" w:cs="Times New Roman"/>
          <w:sz w:val="24"/>
          <w:szCs w:val="24"/>
          <w:lang w:val="ru-RU"/>
        </w:rPr>
        <w:t xml:space="preserve"> поради </w:t>
      </w:r>
      <w:r w:rsidRPr="00EC26B5">
        <w:rPr>
          <w:rFonts w:ascii="Times New Roman" w:eastAsia="Times New Roman" w:hAnsi="Times New Roman" w:cs="Times New Roman"/>
          <w:sz w:val="24"/>
          <w:szCs w:val="24"/>
        </w:rPr>
        <w:t xml:space="preserve">редица последици, породени от </w:t>
      </w:r>
      <w:r w:rsidR="001B7CA8">
        <w:rPr>
          <w:rFonts w:ascii="Times New Roman" w:eastAsia="Times New Roman" w:hAnsi="Times New Roman" w:cs="Times New Roman"/>
          <w:sz w:val="24"/>
          <w:szCs w:val="24"/>
        </w:rPr>
        <w:t>нелоялните търговски практики</w:t>
      </w:r>
      <w:r w:rsidRPr="00EC26B5">
        <w:rPr>
          <w:rFonts w:ascii="Times New Roman" w:eastAsia="Times New Roman" w:hAnsi="Times New Roman" w:cs="Times New Roman"/>
          <w:sz w:val="24"/>
          <w:szCs w:val="24"/>
          <w:lang w:val="ru-RU"/>
        </w:rPr>
        <w:t xml:space="preserve">. Тези </w:t>
      </w:r>
      <w:r w:rsidRPr="00EC26B5">
        <w:rPr>
          <w:rFonts w:ascii="Times New Roman" w:eastAsia="Times New Roman" w:hAnsi="Times New Roman" w:cs="Times New Roman"/>
          <w:bCs/>
          <w:sz w:val="24"/>
          <w:szCs w:val="24"/>
          <w:lang w:val="ru-RU"/>
        </w:rPr>
        <w:t>пропуснати ползи</w:t>
      </w:r>
      <w:r w:rsidRPr="00EC26B5">
        <w:rPr>
          <w:rFonts w:ascii="Times New Roman" w:eastAsia="Times New Roman" w:hAnsi="Times New Roman" w:cs="Times New Roman"/>
          <w:sz w:val="24"/>
          <w:szCs w:val="24"/>
          <w:lang w:val="ru-RU"/>
        </w:rPr>
        <w:t xml:space="preserve"> могат да се разглеждат като </w:t>
      </w:r>
      <w:r w:rsidRPr="00EC26B5">
        <w:rPr>
          <w:rFonts w:ascii="Times New Roman" w:eastAsia="Times New Roman" w:hAnsi="Times New Roman" w:cs="Times New Roman"/>
          <w:bCs/>
          <w:sz w:val="24"/>
          <w:szCs w:val="24"/>
          <w:lang w:val="ru-RU"/>
        </w:rPr>
        <w:t>„разходи на варианта без действие“</w:t>
      </w:r>
      <w:r w:rsidRPr="00EC26B5">
        <w:rPr>
          <w:rFonts w:ascii="Times New Roman" w:eastAsia="Times New Roman" w:hAnsi="Times New Roman" w:cs="Times New Roman"/>
          <w:sz w:val="24"/>
          <w:szCs w:val="24"/>
          <w:lang w:val="ru-RU"/>
        </w:rPr>
        <w:t xml:space="preserve">. На база на оценките, </w:t>
      </w:r>
      <w:r w:rsidRPr="00EC26B5">
        <w:rPr>
          <w:rFonts w:ascii="Times New Roman" w:eastAsia="Times New Roman" w:hAnsi="Times New Roman" w:cs="Times New Roman"/>
          <w:bCs/>
          <w:sz w:val="24"/>
          <w:szCs w:val="24"/>
          <w:lang w:val="ru-RU"/>
        </w:rPr>
        <w:t>реалистично предотвратимата част</w:t>
      </w:r>
      <w:r w:rsidRPr="00EC26B5">
        <w:rPr>
          <w:rFonts w:ascii="Times New Roman" w:eastAsia="Times New Roman" w:hAnsi="Times New Roman" w:cs="Times New Roman"/>
          <w:sz w:val="24"/>
          <w:szCs w:val="24"/>
          <w:lang w:val="ru-RU"/>
        </w:rPr>
        <w:t xml:space="preserve"> от горните загуби е около </w:t>
      </w:r>
      <w:r w:rsidRPr="00EC26B5">
        <w:rPr>
          <w:rFonts w:ascii="Times New Roman" w:eastAsia="Times New Roman" w:hAnsi="Times New Roman" w:cs="Times New Roman"/>
          <w:bCs/>
          <w:sz w:val="24"/>
          <w:szCs w:val="24"/>
          <w:lang w:val="ru-RU"/>
        </w:rPr>
        <w:t>50</w:t>
      </w:r>
      <w:r w:rsidRPr="00EC26B5">
        <w:rPr>
          <w:rFonts w:ascii="Times New Roman" w:eastAsia="Times New Roman" w:hAnsi="Times New Roman" w:cs="Times New Roman"/>
          <w:bCs/>
          <w:sz w:val="24"/>
          <w:szCs w:val="24"/>
        </w:rPr>
        <w:t> </w:t>
      </w:r>
      <w:r w:rsidRPr="00EC26B5">
        <w:rPr>
          <w:rFonts w:ascii="Times New Roman" w:eastAsia="Times New Roman" w:hAnsi="Times New Roman" w:cs="Times New Roman"/>
          <w:bCs/>
          <w:sz w:val="24"/>
          <w:szCs w:val="24"/>
          <w:lang w:val="ru-RU"/>
        </w:rPr>
        <w:t>млн. лв. годишно</w:t>
      </w:r>
      <w:r w:rsidRPr="00EC26B5">
        <w:rPr>
          <w:rStyle w:val="FootnoteReference"/>
          <w:rFonts w:ascii="Times New Roman" w:eastAsia="Times New Roman" w:hAnsi="Times New Roman" w:cs="Times New Roman"/>
          <w:bCs/>
          <w:sz w:val="24"/>
          <w:szCs w:val="24"/>
          <w:lang w:val="ru-RU"/>
        </w:rPr>
        <w:footnoteReference w:id="58"/>
      </w:r>
      <w:r w:rsidRPr="00EC26B5">
        <w:rPr>
          <w:rFonts w:ascii="Times New Roman" w:eastAsia="Times New Roman" w:hAnsi="Times New Roman" w:cs="Times New Roman"/>
          <w:sz w:val="24"/>
          <w:szCs w:val="24"/>
          <w:lang w:val="ru-RU"/>
        </w:rPr>
        <w:t xml:space="preserve">, която би могла да бъде спестена при по-ефективна </w:t>
      </w:r>
      <w:r w:rsidRPr="00EC26B5">
        <w:rPr>
          <w:rFonts w:ascii="Times New Roman" w:eastAsia="Times New Roman" w:hAnsi="Times New Roman" w:cs="Times New Roman"/>
          <w:sz w:val="24"/>
          <w:szCs w:val="24"/>
          <w:lang w:val="ru-RU"/>
        </w:rPr>
        <w:lastRenderedPageBreak/>
        <w:t xml:space="preserve">регулация. Ето защо в анализа </w:t>
      </w:r>
      <w:r>
        <w:rPr>
          <w:rFonts w:ascii="Times New Roman" w:eastAsia="Times New Roman" w:hAnsi="Times New Roman" w:cs="Times New Roman"/>
          <w:sz w:val="24"/>
          <w:szCs w:val="24"/>
          <w:lang w:val="ru-RU"/>
        </w:rPr>
        <w:t xml:space="preserve">се </w:t>
      </w:r>
      <w:r w:rsidRPr="00EC26B5">
        <w:rPr>
          <w:rFonts w:ascii="Times New Roman" w:eastAsia="Times New Roman" w:hAnsi="Times New Roman" w:cs="Times New Roman"/>
          <w:sz w:val="24"/>
          <w:szCs w:val="24"/>
          <w:lang w:val="ru-RU"/>
        </w:rPr>
        <w:t xml:space="preserve">приема, че Вариант 0 води до </w:t>
      </w:r>
      <w:r w:rsidRPr="00EC26B5">
        <w:rPr>
          <w:rFonts w:ascii="Times New Roman" w:eastAsia="Times New Roman" w:hAnsi="Times New Roman" w:cs="Times New Roman"/>
          <w:bCs/>
          <w:sz w:val="24"/>
          <w:szCs w:val="24"/>
          <w:lang w:val="ru-RU"/>
        </w:rPr>
        <w:t>ежегодни обществени загуби в размер на 50</w:t>
      </w:r>
      <w:r w:rsidRPr="00EC26B5">
        <w:rPr>
          <w:rFonts w:ascii="Times New Roman" w:eastAsia="Times New Roman" w:hAnsi="Times New Roman" w:cs="Times New Roman"/>
          <w:bCs/>
          <w:sz w:val="24"/>
          <w:szCs w:val="24"/>
        </w:rPr>
        <w:t> </w:t>
      </w:r>
      <w:r w:rsidRPr="00EC26B5">
        <w:rPr>
          <w:rFonts w:ascii="Times New Roman" w:eastAsia="Times New Roman" w:hAnsi="Times New Roman" w:cs="Times New Roman"/>
          <w:bCs/>
          <w:sz w:val="24"/>
          <w:szCs w:val="24"/>
          <w:lang w:val="ru-RU"/>
        </w:rPr>
        <w:t>000 хил. лв.</w:t>
      </w:r>
      <w:r w:rsidRPr="00EC26B5">
        <w:rPr>
          <w:rFonts w:ascii="Times New Roman" w:eastAsia="Times New Roman" w:hAnsi="Times New Roman" w:cs="Times New Roman"/>
          <w:sz w:val="24"/>
          <w:szCs w:val="24"/>
          <w:lang w:val="ru-RU"/>
        </w:rPr>
        <w:t xml:space="preserve"> (50</w:t>
      </w:r>
      <w:r w:rsidRPr="00EC26B5">
        <w:rPr>
          <w:rFonts w:ascii="Times New Roman" w:eastAsia="Times New Roman" w:hAnsi="Times New Roman" w:cs="Times New Roman"/>
          <w:sz w:val="24"/>
          <w:szCs w:val="24"/>
        </w:rPr>
        <w:t> </w:t>
      </w:r>
      <w:r w:rsidRPr="00EC26B5">
        <w:rPr>
          <w:rFonts w:ascii="Times New Roman" w:eastAsia="Times New Roman" w:hAnsi="Times New Roman" w:cs="Times New Roman"/>
          <w:sz w:val="24"/>
          <w:szCs w:val="24"/>
          <w:lang w:val="ru-RU"/>
        </w:rPr>
        <w:t xml:space="preserve">млн. лв.), докато </w:t>
      </w:r>
      <w:r w:rsidRPr="00EC26B5">
        <w:rPr>
          <w:rFonts w:ascii="Times New Roman" w:eastAsia="Times New Roman" w:hAnsi="Times New Roman" w:cs="Times New Roman"/>
          <w:bCs/>
          <w:sz w:val="24"/>
          <w:szCs w:val="24"/>
          <w:lang w:val="ru-RU"/>
        </w:rPr>
        <w:t>преки ползи няма</w:t>
      </w:r>
      <w:r w:rsidRPr="00EC26B5">
        <w:rPr>
          <w:rFonts w:ascii="Times New Roman" w:eastAsia="Times New Roman" w:hAnsi="Times New Roman" w:cs="Times New Roman"/>
          <w:sz w:val="24"/>
          <w:szCs w:val="24"/>
          <w:lang w:val="ru-RU"/>
        </w:rPr>
        <w:t xml:space="preserve">. Тази стойност количествено отразява </w:t>
      </w:r>
      <w:r w:rsidRPr="00EC26B5">
        <w:rPr>
          <w:rFonts w:ascii="Times New Roman" w:eastAsia="Times New Roman" w:hAnsi="Times New Roman" w:cs="Times New Roman"/>
          <w:bCs/>
          <w:sz w:val="24"/>
          <w:szCs w:val="24"/>
          <w:lang w:val="ru-RU"/>
        </w:rPr>
        <w:t>стойността на проблема</w:t>
      </w:r>
      <w:r w:rsidRPr="00EC26B5">
        <w:rPr>
          <w:rFonts w:ascii="Times New Roman" w:eastAsia="Times New Roman" w:hAnsi="Times New Roman" w:cs="Times New Roman"/>
          <w:sz w:val="24"/>
          <w:szCs w:val="24"/>
          <w:lang w:val="ru-RU"/>
        </w:rPr>
        <w:t>, с който новият закон би могъл да се справи.</w:t>
      </w:r>
    </w:p>
    <w:p w14:paraId="3A2098EB" w14:textId="386B4619" w:rsidR="00CB0A97" w:rsidRDefault="00CB0A97" w:rsidP="00CB0A97">
      <w:pPr>
        <w:spacing w:after="0" w:line="240" w:lineRule="auto"/>
        <w:ind w:firstLine="567"/>
        <w:jc w:val="both"/>
        <w:rPr>
          <w:rFonts w:ascii="Times New Roman" w:eastAsia="Times New Roman" w:hAnsi="Times New Roman" w:cs="Times New Roman"/>
          <w:sz w:val="24"/>
          <w:szCs w:val="24"/>
          <w:lang w:val="ru-RU"/>
        </w:rPr>
      </w:pPr>
      <w:r w:rsidRPr="008C0E40">
        <w:rPr>
          <w:rFonts w:ascii="Times New Roman" w:eastAsia="Times New Roman" w:hAnsi="Times New Roman" w:cs="Times New Roman"/>
          <w:bCs/>
          <w:sz w:val="24"/>
          <w:szCs w:val="24"/>
          <w:lang w:val="ru-RU"/>
        </w:rPr>
        <w:t xml:space="preserve">Таблица </w:t>
      </w:r>
      <w:r w:rsidRPr="008C0E40">
        <w:rPr>
          <w:rFonts w:ascii="Times New Roman" w:eastAsia="Times New Roman" w:hAnsi="Times New Roman" w:cs="Times New Roman"/>
          <w:bCs/>
          <w:sz w:val="24"/>
          <w:szCs w:val="24"/>
        </w:rPr>
        <w:t>1</w:t>
      </w:r>
      <w:r w:rsidR="008C0E40" w:rsidRPr="008C0E40">
        <w:rPr>
          <w:rFonts w:ascii="Times New Roman" w:eastAsia="Times New Roman" w:hAnsi="Times New Roman" w:cs="Times New Roman"/>
          <w:bCs/>
          <w:sz w:val="24"/>
          <w:szCs w:val="24"/>
        </w:rPr>
        <w:t>3</w:t>
      </w:r>
      <w:r w:rsidRPr="00EC26B5">
        <w:rPr>
          <w:rFonts w:ascii="Times New Roman" w:eastAsia="Times New Roman" w:hAnsi="Times New Roman" w:cs="Times New Roman"/>
          <w:sz w:val="24"/>
          <w:szCs w:val="24"/>
          <w:lang w:val="ru-RU"/>
        </w:rPr>
        <w:t xml:space="preserve"> представя остойностените разходи и ползи по години за Вариант 0, както и настоящите им стойности. Видно е, че при запазване на статуквото</w:t>
      </w:r>
      <w:r w:rsidR="001B7CA8">
        <w:rPr>
          <w:rFonts w:ascii="Times New Roman" w:eastAsia="Times New Roman" w:hAnsi="Times New Roman" w:cs="Times New Roman"/>
          <w:sz w:val="24"/>
          <w:szCs w:val="24"/>
          <w:lang w:val="ru-RU"/>
        </w:rPr>
        <w:t>,</w:t>
      </w:r>
      <w:r w:rsidRPr="00EC26B5">
        <w:rPr>
          <w:rFonts w:ascii="Times New Roman" w:eastAsia="Times New Roman" w:hAnsi="Times New Roman" w:cs="Times New Roman"/>
          <w:sz w:val="24"/>
          <w:szCs w:val="24"/>
          <w:lang w:val="ru-RU"/>
        </w:rPr>
        <w:t xml:space="preserve"> обществото търпи значителни нетни загуби. Наличните данни от бюджета на МЗХ потвърждават, че </w:t>
      </w:r>
      <w:r w:rsidRPr="00EC26B5">
        <w:rPr>
          <w:rFonts w:ascii="Times New Roman" w:eastAsia="Times New Roman" w:hAnsi="Times New Roman" w:cs="Times New Roman"/>
          <w:bCs/>
          <w:sz w:val="24"/>
          <w:szCs w:val="24"/>
          <w:lang w:val="ru-RU"/>
        </w:rPr>
        <w:t>не се планират специфични разходи или инвестиции при липса на нови мерки</w:t>
      </w:r>
      <w:r w:rsidRPr="00EC26B5">
        <w:rPr>
          <w:rFonts w:ascii="Times New Roman" w:eastAsia="Times New Roman" w:hAnsi="Times New Roman" w:cs="Times New Roman"/>
          <w:sz w:val="24"/>
          <w:szCs w:val="24"/>
          <w:lang w:val="ru-RU"/>
        </w:rPr>
        <w:t xml:space="preserve">, освен обичайните програми. </w:t>
      </w:r>
      <w:r>
        <w:rPr>
          <w:rFonts w:ascii="Times New Roman" w:eastAsia="Times New Roman" w:hAnsi="Times New Roman" w:cs="Times New Roman"/>
          <w:sz w:val="24"/>
          <w:szCs w:val="24"/>
          <w:lang w:val="ru-RU"/>
        </w:rPr>
        <w:t xml:space="preserve">Една от </w:t>
      </w:r>
      <w:r w:rsidR="007773DD">
        <w:rPr>
          <w:rFonts w:ascii="Times New Roman" w:eastAsia="Times New Roman" w:hAnsi="Times New Roman" w:cs="Times New Roman"/>
          <w:sz w:val="24"/>
          <w:szCs w:val="24"/>
          <w:lang w:val="ru-RU"/>
        </w:rPr>
        <w:t>основните</w:t>
      </w:r>
      <w:r>
        <w:rPr>
          <w:rFonts w:ascii="Times New Roman" w:eastAsia="Times New Roman" w:hAnsi="Times New Roman" w:cs="Times New Roman"/>
          <w:sz w:val="24"/>
          <w:szCs w:val="24"/>
        </w:rPr>
        <w:t xml:space="preserve"> бюджетни</w:t>
      </w:r>
      <w:r w:rsidRPr="00EC26B5">
        <w:rPr>
          <w:rFonts w:ascii="Times New Roman" w:eastAsia="Times New Roman" w:hAnsi="Times New Roman" w:cs="Times New Roman"/>
          <w:sz w:val="24"/>
          <w:szCs w:val="24"/>
          <w:lang w:val="ru-RU"/>
        </w:rPr>
        <w:t xml:space="preserve"> програма „Организация на пазарите и държавни помощи“ на МЗХ за 2025</w:t>
      </w:r>
      <w:r w:rsidRPr="00EC26B5">
        <w:rPr>
          <w:rFonts w:ascii="Times New Roman" w:eastAsia="Times New Roman" w:hAnsi="Times New Roman" w:cs="Times New Roman"/>
          <w:sz w:val="24"/>
          <w:szCs w:val="24"/>
        </w:rPr>
        <w:t> </w:t>
      </w:r>
      <w:r w:rsidRPr="00EC26B5">
        <w:rPr>
          <w:rFonts w:ascii="Times New Roman" w:eastAsia="Times New Roman" w:hAnsi="Times New Roman" w:cs="Times New Roman"/>
          <w:sz w:val="24"/>
          <w:szCs w:val="24"/>
          <w:lang w:val="ru-RU"/>
        </w:rPr>
        <w:t>г.</w:t>
      </w:r>
      <w:r w:rsidRPr="00EC26B5">
        <w:rPr>
          <w:rFonts w:ascii="Times New Roman" w:eastAsia="Times New Roman" w:hAnsi="Times New Roman" w:cs="Times New Roman"/>
          <w:sz w:val="24"/>
          <w:szCs w:val="24"/>
        </w:rPr>
        <w:t>, която е на стойност</w:t>
      </w:r>
      <w:r w:rsidRPr="00EC26B5">
        <w:rPr>
          <w:rFonts w:ascii="Times New Roman" w:eastAsia="Times New Roman" w:hAnsi="Times New Roman" w:cs="Times New Roman"/>
          <w:sz w:val="24"/>
          <w:szCs w:val="24"/>
          <w:lang w:val="ru-RU"/>
        </w:rPr>
        <w:t xml:space="preserve"> </w:t>
      </w:r>
      <w:r w:rsidRPr="00EC26B5">
        <w:rPr>
          <w:rFonts w:ascii="Times New Roman" w:eastAsia="Times New Roman" w:hAnsi="Times New Roman" w:cs="Times New Roman"/>
          <w:bCs/>
          <w:sz w:val="24"/>
          <w:szCs w:val="24"/>
          <w:lang w:val="ru-RU"/>
        </w:rPr>
        <w:t>2</w:t>
      </w:r>
      <w:r w:rsidRPr="00EC26B5">
        <w:rPr>
          <w:rFonts w:ascii="Times New Roman" w:eastAsia="Times New Roman" w:hAnsi="Times New Roman" w:cs="Times New Roman"/>
          <w:bCs/>
          <w:sz w:val="24"/>
          <w:szCs w:val="24"/>
        </w:rPr>
        <w:t> </w:t>
      </w:r>
      <w:r w:rsidRPr="00EC26B5">
        <w:rPr>
          <w:rFonts w:ascii="Times New Roman" w:eastAsia="Times New Roman" w:hAnsi="Times New Roman" w:cs="Times New Roman"/>
          <w:bCs/>
          <w:sz w:val="24"/>
          <w:szCs w:val="24"/>
          <w:lang w:val="ru-RU"/>
        </w:rPr>
        <w:t>403,2 хил. лв.</w:t>
      </w:r>
      <w:r w:rsidRPr="00EC26B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не</w:t>
      </w:r>
      <w:r w:rsidRPr="00EC26B5">
        <w:rPr>
          <w:rFonts w:ascii="Times New Roman" w:eastAsia="Times New Roman" w:hAnsi="Times New Roman" w:cs="Times New Roman"/>
          <w:sz w:val="24"/>
          <w:szCs w:val="24"/>
          <w:lang w:val="ru-RU"/>
        </w:rPr>
        <w:t xml:space="preserve"> предвижда нови дейности по подобряване на веригата на доставки. Следователно, при вариант 0 </w:t>
      </w:r>
      <w:r w:rsidRPr="00EC26B5">
        <w:rPr>
          <w:rFonts w:ascii="Times New Roman" w:eastAsia="Times New Roman" w:hAnsi="Times New Roman" w:cs="Times New Roman"/>
          <w:bCs/>
          <w:sz w:val="24"/>
          <w:szCs w:val="24"/>
          <w:lang w:val="ru-RU"/>
        </w:rPr>
        <w:t>разходите на държавата са 0</w:t>
      </w:r>
      <w:r w:rsidRPr="00EC26B5">
        <w:rPr>
          <w:rFonts w:ascii="Times New Roman" w:eastAsia="Times New Roman" w:hAnsi="Times New Roman" w:cs="Times New Roman"/>
          <w:sz w:val="24"/>
          <w:szCs w:val="24"/>
          <w:lang w:val="ru-RU"/>
        </w:rPr>
        <w:t xml:space="preserve">, но </w:t>
      </w:r>
      <w:r w:rsidRPr="00EC26B5">
        <w:rPr>
          <w:rFonts w:ascii="Times New Roman" w:eastAsia="Times New Roman" w:hAnsi="Times New Roman" w:cs="Times New Roman"/>
          <w:bCs/>
          <w:sz w:val="24"/>
          <w:szCs w:val="24"/>
          <w:lang w:val="ru-RU"/>
        </w:rPr>
        <w:t>загубите за производителите и доставчиците (като пропуснати приходи)</w:t>
      </w:r>
      <w:r w:rsidRPr="00EC26B5">
        <w:rPr>
          <w:rFonts w:ascii="Times New Roman" w:eastAsia="Times New Roman" w:hAnsi="Times New Roman" w:cs="Times New Roman"/>
          <w:sz w:val="24"/>
          <w:szCs w:val="24"/>
          <w:lang w:val="ru-RU"/>
        </w:rPr>
        <w:t xml:space="preserve"> се оценяват на </w:t>
      </w:r>
      <w:r w:rsidRPr="00EC26B5">
        <w:rPr>
          <w:rFonts w:ascii="Times New Roman" w:eastAsia="Times New Roman" w:hAnsi="Times New Roman" w:cs="Times New Roman"/>
          <w:sz w:val="24"/>
          <w:szCs w:val="24"/>
        </w:rPr>
        <w:t xml:space="preserve">около </w:t>
      </w:r>
      <w:r w:rsidRPr="00EC26B5">
        <w:rPr>
          <w:rFonts w:ascii="Times New Roman" w:eastAsia="Times New Roman" w:hAnsi="Times New Roman" w:cs="Times New Roman"/>
          <w:sz w:val="24"/>
          <w:szCs w:val="24"/>
          <w:lang w:val="ru-RU"/>
        </w:rPr>
        <w:t>50</w:t>
      </w:r>
      <w:r w:rsidRPr="00EC26B5">
        <w:rPr>
          <w:rFonts w:ascii="Times New Roman" w:eastAsia="Times New Roman" w:hAnsi="Times New Roman" w:cs="Times New Roman"/>
          <w:sz w:val="24"/>
          <w:szCs w:val="24"/>
        </w:rPr>
        <w:t> </w:t>
      </w:r>
      <w:r w:rsidRPr="00EC26B5">
        <w:rPr>
          <w:rFonts w:ascii="Times New Roman" w:eastAsia="Times New Roman" w:hAnsi="Times New Roman" w:cs="Times New Roman"/>
          <w:sz w:val="24"/>
          <w:szCs w:val="24"/>
          <w:lang w:val="ru-RU"/>
        </w:rPr>
        <w:t>млн. лв. годишно.</w:t>
      </w:r>
    </w:p>
    <w:p w14:paraId="66331D9E" w14:textId="77777777" w:rsidR="005921ED" w:rsidRDefault="005921ED" w:rsidP="00CB0A97">
      <w:pPr>
        <w:spacing w:after="0" w:line="240" w:lineRule="auto"/>
        <w:ind w:firstLine="567"/>
        <w:jc w:val="both"/>
        <w:rPr>
          <w:rFonts w:ascii="Times New Roman" w:eastAsia="Times New Roman" w:hAnsi="Times New Roman" w:cs="Times New Roman"/>
          <w:sz w:val="24"/>
          <w:szCs w:val="24"/>
          <w:lang w:val="ru-RU"/>
        </w:rPr>
      </w:pPr>
    </w:p>
    <w:p w14:paraId="52041422" w14:textId="77777777" w:rsidR="005921ED" w:rsidRDefault="005921ED" w:rsidP="00CB0A97">
      <w:pPr>
        <w:spacing w:after="0" w:line="240" w:lineRule="auto"/>
        <w:ind w:firstLine="567"/>
        <w:jc w:val="both"/>
        <w:rPr>
          <w:rFonts w:ascii="Times New Roman" w:eastAsia="Times New Roman" w:hAnsi="Times New Roman" w:cs="Times New Roman"/>
          <w:sz w:val="24"/>
          <w:szCs w:val="24"/>
          <w:lang w:val="ru-RU"/>
        </w:rPr>
      </w:pPr>
    </w:p>
    <w:p w14:paraId="0F97423F" w14:textId="615FA4B6" w:rsidR="00CB0A97" w:rsidRDefault="00CB0A97" w:rsidP="009F44BC">
      <w:pPr>
        <w:spacing w:after="0" w:line="240" w:lineRule="auto"/>
        <w:ind w:firstLine="567"/>
        <w:jc w:val="both"/>
        <w:rPr>
          <w:rFonts w:ascii="Times New Roman" w:eastAsia="Times New Roman" w:hAnsi="Times New Roman" w:cs="Times New Roman"/>
          <w:b/>
          <w:sz w:val="24"/>
          <w:szCs w:val="24"/>
        </w:rPr>
      </w:pPr>
      <w:r w:rsidRPr="00033AFE">
        <w:rPr>
          <w:rFonts w:ascii="Times New Roman" w:eastAsia="Times New Roman" w:hAnsi="Times New Roman" w:cs="Times New Roman"/>
          <w:b/>
          <w:sz w:val="24"/>
          <w:szCs w:val="24"/>
        </w:rPr>
        <w:t>Таблица</w:t>
      </w:r>
      <w:r w:rsidR="00D2171D">
        <w:rPr>
          <w:rFonts w:ascii="Times New Roman" w:eastAsia="Times New Roman" w:hAnsi="Times New Roman" w:cs="Times New Roman"/>
          <w:b/>
          <w:sz w:val="24"/>
          <w:szCs w:val="24"/>
        </w:rPr>
        <w:t xml:space="preserve"> </w:t>
      </w:r>
      <w:r w:rsidR="00D2171D" w:rsidRPr="00D2171D">
        <w:rPr>
          <w:rFonts w:ascii="Times New Roman" w:eastAsia="Times New Roman" w:hAnsi="Times New Roman" w:cs="Times New Roman"/>
          <w:b/>
          <w:sz w:val="24"/>
          <w:szCs w:val="24"/>
        </w:rPr>
        <w:t>№</w:t>
      </w:r>
      <w:r w:rsidRPr="00033AF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w:t>
      </w:r>
      <w:r w:rsidR="008C0E40">
        <w:rPr>
          <w:rFonts w:ascii="Times New Roman" w:eastAsia="Times New Roman" w:hAnsi="Times New Roman" w:cs="Times New Roman"/>
          <w:b/>
          <w:sz w:val="24"/>
          <w:szCs w:val="24"/>
        </w:rPr>
        <w:t>3</w:t>
      </w:r>
      <w:r w:rsidRPr="00033AFE">
        <w:rPr>
          <w:rFonts w:ascii="Times New Roman" w:eastAsia="Times New Roman" w:hAnsi="Times New Roman" w:cs="Times New Roman"/>
          <w:b/>
          <w:sz w:val="24"/>
          <w:szCs w:val="24"/>
        </w:rPr>
        <w:t xml:space="preserve">. Анализ „разходи–ползи“ на </w:t>
      </w:r>
      <w:r w:rsidR="009F44BC" w:rsidRPr="00033AFE">
        <w:rPr>
          <w:rFonts w:ascii="Times New Roman" w:eastAsia="Times New Roman" w:hAnsi="Times New Roman" w:cs="Times New Roman"/>
          <w:b/>
          <w:bCs/>
          <w:sz w:val="24"/>
          <w:szCs w:val="24"/>
        </w:rPr>
        <w:t xml:space="preserve">Вариант </w:t>
      </w:r>
      <w:r w:rsidRPr="00033AFE">
        <w:rPr>
          <w:rFonts w:ascii="Times New Roman" w:eastAsia="Times New Roman" w:hAnsi="Times New Roman" w:cs="Times New Roman"/>
          <w:b/>
          <w:bCs/>
          <w:sz w:val="24"/>
          <w:szCs w:val="24"/>
        </w:rPr>
        <w:t xml:space="preserve">0 </w:t>
      </w:r>
      <w:r w:rsidRPr="00033AFE">
        <w:rPr>
          <w:rFonts w:ascii="Times New Roman" w:eastAsia="Times New Roman" w:hAnsi="Times New Roman" w:cs="Times New Roman"/>
          <w:b/>
          <w:sz w:val="24"/>
          <w:szCs w:val="24"/>
        </w:rPr>
        <w:t>(хил. лв.)</w:t>
      </w:r>
      <w:r w:rsidR="00364174">
        <w:rPr>
          <w:rStyle w:val="FootnoteReference"/>
          <w:rFonts w:ascii="Times New Roman" w:eastAsia="Times New Roman" w:hAnsi="Times New Roman" w:cs="Times New Roman"/>
          <w:b/>
          <w:sz w:val="24"/>
          <w:szCs w:val="24"/>
        </w:rPr>
        <w:footnoteReference w:id="5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2270"/>
        <w:gridCol w:w="1276"/>
        <w:gridCol w:w="1514"/>
        <w:gridCol w:w="1266"/>
        <w:gridCol w:w="1266"/>
        <w:gridCol w:w="1266"/>
      </w:tblGrid>
      <w:tr w:rsidR="00CB0A97" w:rsidRPr="006F7000" w14:paraId="446CE0C5" w14:textId="77777777" w:rsidTr="00E2571A">
        <w:tc>
          <w:tcPr>
            <w:tcW w:w="431" w:type="dxa"/>
            <w:shd w:val="clear" w:color="auto" w:fill="BDD6EE" w:themeFill="accent1" w:themeFillTint="66"/>
          </w:tcPr>
          <w:p w14:paraId="38D51A51" w14:textId="77777777" w:rsidR="00CB0A97" w:rsidRPr="006F7000" w:rsidRDefault="00CB0A97" w:rsidP="009F44BC">
            <w:pPr>
              <w:rPr>
                <w:rFonts w:ascii="Times New Roman" w:hAnsi="Times New Roman" w:cs="Times New Roman"/>
                <w:sz w:val="20"/>
                <w:szCs w:val="20"/>
              </w:rPr>
            </w:pPr>
            <w:r w:rsidRPr="006F7000">
              <w:rPr>
                <w:rFonts w:ascii="Times New Roman" w:hAnsi="Times New Roman" w:cs="Times New Roman"/>
                <w:sz w:val="20"/>
                <w:szCs w:val="20"/>
              </w:rPr>
              <w:t>№</w:t>
            </w:r>
          </w:p>
        </w:tc>
        <w:tc>
          <w:tcPr>
            <w:tcW w:w="2293" w:type="dxa"/>
            <w:shd w:val="clear" w:color="auto" w:fill="BDD6EE" w:themeFill="accent1" w:themeFillTint="66"/>
          </w:tcPr>
          <w:p w14:paraId="625F6E70" w14:textId="77777777" w:rsidR="00CB0A97" w:rsidRPr="006F7000" w:rsidRDefault="00CB0A97" w:rsidP="009F44BC">
            <w:pPr>
              <w:jc w:val="both"/>
              <w:rPr>
                <w:rFonts w:ascii="Times New Roman" w:hAnsi="Times New Roman" w:cs="Times New Roman"/>
                <w:b/>
                <w:sz w:val="20"/>
                <w:szCs w:val="20"/>
              </w:rPr>
            </w:pPr>
            <w:r w:rsidRPr="006F7000">
              <w:rPr>
                <w:rFonts w:ascii="Times New Roman" w:hAnsi="Times New Roman" w:cs="Times New Roman"/>
                <w:b/>
                <w:sz w:val="20"/>
                <w:szCs w:val="20"/>
              </w:rPr>
              <w:t>Променлива</w:t>
            </w:r>
          </w:p>
        </w:tc>
        <w:tc>
          <w:tcPr>
            <w:tcW w:w="1284" w:type="dxa"/>
            <w:shd w:val="clear" w:color="auto" w:fill="BDD6EE" w:themeFill="accent1" w:themeFillTint="66"/>
          </w:tcPr>
          <w:p w14:paraId="021CB6CD" w14:textId="77777777" w:rsidR="00CB0A97" w:rsidRPr="006F7000" w:rsidRDefault="00CB0A97" w:rsidP="00D94B6E">
            <w:pPr>
              <w:ind w:firstLine="567"/>
              <w:jc w:val="center"/>
              <w:rPr>
                <w:rFonts w:ascii="Times New Roman" w:hAnsi="Times New Roman" w:cs="Times New Roman"/>
                <w:b/>
                <w:sz w:val="20"/>
                <w:szCs w:val="20"/>
              </w:rPr>
            </w:pPr>
            <w:r w:rsidRPr="006F7000">
              <w:rPr>
                <w:rFonts w:ascii="Times New Roman" w:hAnsi="Times New Roman" w:cs="Times New Roman"/>
                <w:b/>
                <w:sz w:val="20"/>
                <w:szCs w:val="20"/>
              </w:rPr>
              <w:t>2025</w:t>
            </w:r>
          </w:p>
        </w:tc>
        <w:tc>
          <w:tcPr>
            <w:tcW w:w="1514" w:type="dxa"/>
            <w:shd w:val="clear" w:color="auto" w:fill="BDD6EE" w:themeFill="accent1" w:themeFillTint="66"/>
          </w:tcPr>
          <w:p w14:paraId="229D9078" w14:textId="77777777" w:rsidR="00CB0A97" w:rsidRPr="006F7000" w:rsidRDefault="00CB0A97" w:rsidP="00D94B6E">
            <w:pPr>
              <w:ind w:firstLine="567"/>
              <w:jc w:val="center"/>
              <w:rPr>
                <w:rFonts w:ascii="Times New Roman" w:hAnsi="Times New Roman" w:cs="Times New Roman"/>
                <w:b/>
                <w:sz w:val="20"/>
                <w:szCs w:val="20"/>
              </w:rPr>
            </w:pPr>
            <w:r w:rsidRPr="006F7000">
              <w:rPr>
                <w:rFonts w:ascii="Times New Roman" w:hAnsi="Times New Roman" w:cs="Times New Roman"/>
                <w:b/>
                <w:sz w:val="20"/>
                <w:szCs w:val="20"/>
              </w:rPr>
              <w:t>2026</w:t>
            </w:r>
          </w:p>
        </w:tc>
        <w:tc>
          <w:tcPr>
            <w:tcW w:w="1276" w:type="dxa"/>
            <w:shd w:val="clear" w:color="auto" w:fill="BDD6EE" w:themeFill="accent1" w:themeFillTint="66"/>
          </w:tcPr>
          <w:p w14:paraId="11BC15B4" w14:textId="77777777" w:rsidR="00CB0A97" w:rsidRPr="006F7000" w:rsidRDefault="00CB0A97" w:rsidP="00D94B6E">
            <w:pPr>
              <w:ind w:firstLine="567"/>
              <w:jc w:val="center"/>
              <w:rPr>
                <w:rFonts w:ascii="Times New Roman" w:hAnsi="Times New Roman" w:cs="Times New Roman"/>
                <w:b/>
                <w:sz w:val="20"/>
                <w:szCs w:val="20"/>
              </w:rPr>
            </w:pPr>
            <w:r w:rsidRPr="006F7000">
              <w:rPr>
                <w:rFonts w:ascii="Times New Roman" w:hAnsi="Times New Roman" w:cs="Times New Roman"/>
                <w:b/>
                <w:sz w:val="20"/>
                <w:szCs w:val="20"/>
              </w:rPr>
              <w:t>2027</w:t>
            </w:r>
          </w:p>
        </w:tc>
        <w:tc>
          <w:tcPr>
            <w:tcW w:w="1276" w:type="dxa"/>
            <w:shd w:val="clear" w:color="auto" w:fill="BDD6EE" w:themeFill="accent1" w:themeFillTint="66"/>
          </w:tcPr>
          <w:p w14:paraId="77995728" w14:textId="77777777" w:rsidR="00CB0A97" w:rsidRPr="006F7000" w:rsidRDefault="00CB0A97" w:rsidP="00D94B6E">
            <w:pPr>
              <w:ind w:firstLine="567"/>
              <w:jc w:val="center"/>
              <w:rPr>
                <w:rFonts w:ascii="Times New Roman" w:hAnsi="Times New Roman" w:cs="Times New Roman"/>
                <w:b/>
                <w:sz w:val="20"/>
                <w:szCs w:val="20"/>
              </w:rPr>
            </w:pPr>
            <w:r w:rsidRPr="006F7000">
              <w:rPr>
                <w:rFonts w:ascii="Times New Roman" w:hAnsi="Times New Roman" w:cs="Times New Roman"/>
                <w:b/>
                <w:sz w:val="20"/>
                <w:szCs w:val="20"/>
              </w:rPr>
              <w:t>2028</w:t>
            </w:r>
          </w:p>
        </w:tc>
        <w:tc>
          <w:tcPr>
            <w:tcW w:w="1276" w:type="dxa"/>
            <w:shd w:val="clear" w:color="auto" w:fill="BDD6EE" w:themeFill="accent1" w:themeFillTint="66"/>
          </w:tcPr>
          <w:p w14:paraId="50B17F48" w14:textId="77777777" w:rsidR="00CB0A97" w:rsidRPr="006F7000" w:rsidRDefault="00CB0A97" w:rsidP="00D94B6E">
            <w:pPr>
              <w:ind w:firstLine="567"/>
              <w:jc w:val="center"/>
              <w:rPr>
                <w:rFonts w:ascii="Times New Roman" w:hAnsi="Times New Roman" w:cs="Times New Roman"/>
                <w:b/>
                <w:sz w:val="20"/>
                <w:szCs w:val="20"/>
              </w:rPr>
            </w:pPr>
            <w:r w:rsidRPr="006F7000">
              <w:rPr>
                <w:rFonts w:ascii="Times New Roman" w:hAnsi="Times New Roman" w:cs="Times New Roman"/>
                <w:b/>
                <w:sz w:val="20"/>
                <w:szCs w:val="20"/>
              </w:rPr>
              <w:t>2029</w:t>
            </w:r>
          </w:p>
        </w:tc>
      </w:tr>
      <w:tr w:rsidR="00CB0A97" w:rsidRPr="006F7000" w14:paraId="569FC59F" w14:textId="77777777" w:rsidTr="00E2571A">
        <w:tc>
          <w:tcPr>
            <w:tcW w:w="431" w:type="dxa"/>
            <w:shd w:val="clear" w:color="auto" w:fill="BDD6EE" w:themeFill="accent1" w:themeFillTint="66"/>
            <w:vAlign w:val="center"/>
          </w:tcPr>
          <w:p w14:paraId="1FF7C9D3" w14:textId="77777777" w:rsidR="00CB0A97" w:rsidRPr="006F7000" w:rsidRDefault="00CB0A97" w:rsidP="009F44BC">
            <w:pPr>
              <w:jc w:val="both"/>
              <w:rPr>
                <w:rFonts w:ascii="Times New Roman" w:eastAsia="Times New Roman" w:hAnsi="Times New Roman" w:cs="Times New Roman"/>
                <w:sz w:val="20"/>
                <w:szCs w:val="20"/>
              </w:rPr>
            </w:pPr>
            <w:r w:rsidRPr="006F7000">
              <w:rPr>
                <w:rFonts w:ascii="Times New Roman" w:eastAsia="Times New Roman" w:hAnsi="Times New Roman" w:cs="Times New Roman"/>
                <w:sz w:val="20"/>
                <w:szCs w:val="20"/>
              </w:rPr>
              <w:t>1.</w:t>
            </w:r>
          </w:p>
        </w:tc>
        <w:tc>
          <w:tcPr>
            <w:tcW w:w="2293" w:type="dxa"/>
            <w:shd w:val="clear" w:color="auto" w:fill="BDD6EE" w:themeFill="accent1" w:themeFillTint="66"/>
            <w:vAlign w:val="center"/>
          </w:tcPr>
          <w:p w14:paraId="0006587B" w14:textId="77777777" w:rsidR="00CB0A97" w:rsidRPr="008523A0" w:rsidRDefault="00CB0A97" w:rsidP="009F44BC">
            <w:pPr>
              <w:jc w:val="both"/>
              <w:rPr>
                <w:rFonts w:ascii="Times New Roman" w:eastAsia="Times New Roman" w:hAnsi="Times New Roman" w:cs="Times New Roman"/>
                <w:sz w:val="20"/>
                <w:szCs w:val="20"/>
                <w:lang w:val="ru-RU"/>
              </w:rPr>
            </w:pPr>
            <w:r w:rsidRPr="008523A0">
              <w:rPr>
                <w:rFonts w:ascii="Times New Roman" w:eastAsia="Times New Roman" w:hAnsi="Times New Roman" w:cs="Times New Roman"/>
                <w:b/>
                <w:bCs/>
                <w:sz w:val="20"/>
                <w:szCs w:val="20"/>
                <w:lang w:val="ru-RU"/>
              </w:rPr>
              <w:t>Съвкупни „разходи“ от запазване на статуквото</w:t>
            </w:r>
            <w:r w:rsidRPr="008523A0">
              <w:rPr>
                <w:rFonts w:ascii="Times New Roman" w:eastAsia="Times New Roman" w:hAnsi="Times New Roman" w:cs="Times New Roman"/>
                <w:sz w:val="20"/>
                <w:szCs w:val="20"/>
                <w:lang w:val="ru-RU"/>
              </w:rPr>
              <w:t xml:space="preserve"> (пропуснати ползи за земеделски производители от нелоялни практики)</w:t>
            </w:r>
          </w:p>
        </w:tc>
        <w:tc>
          <w:tcPr>
            <w:tcW w:w="1284" w:type="dxa"/>
            <w:shd w:val="clear" w:color="auto" w:fill="D9D9D9" w:themeFill="background1" w:themeFillShade="D9"/>
            <w:vAlign w:val="center"/>
          </w:tcPr>
          <w:p w14:paraId="0E7D1C56" w14:textId="77777777" w:rsidR="00CB0A97" w:rsidRPr="006F7000" w:rsidRDefault="00CB0A97" w:rsidP="00D94B6E">
            <w:pPr>
              <w:jc w:val="center"/>
              <w:rPr>
                <w:rFonts w:ascii="Times New Roman" w:eastAsia="Times New Roman" w:hAnsi="Times New Roman" w:cs="Times New Roman"/>
                <w:sz w:val="20"/>
                <w:szCs w:val="20"/>
              </w:rPr>
            </w:pPr>
            <w:r w:rsidRPr="006F7000">
              <w:rPr>
                <w:rFonts w:ascii="Times New Roman" w:eastAsia="Times New Roman" w:hAnsi="Times New Roman" w:cs="Times New Roman"/>
                <w:sz w:val="20"/>
                <w:szCs w:val="20"/>
              </w:rPr>
              <w:t>50 000,0</w:t>
            </w:r>
          </w:p>
        </w:tc>
        <w:tc>
          <w:tcPr>
            <w:tcW w:w="1514" w:type="dxa"/>
            <w:shd w:val="clear" w:color="auto" w:fill="D9D9D9" w:themeFill="background1" w:themeFillShade="D9"/>
            <w:vAlign w:val="center"/>
          </w:tcPr>
          <w:p w14:paraId="70B4C4D1" w14:textId="77777777" w:rsidR="00CB0A97" w:rsidRPr="006F7000" w:rsidRDefault="00CB0A97" w:rsidP="00D94B6E">
            <w:pPr>
              <w:jc w:val="center"/>
              <w:rPr>
                <w:rFonts w:ascii="Times New Roman" w:eastAsia="Times New Roman" w:hAnsi="Times New Roman" w:cs="Times New Roman"/>
                <w:sz w:val="20"/>
                <w:szCs w:val="20"/>
              </w:rPr>
            </w:pPr>
            <w:r w:rsidRPr="006F7000">
              <w:rPr>
                <w:rFonts w:ascii="Times New Roman" w:eastAsia="Times New Roman" w:hAnsi="Times New Roman" w:cs="Times New Roman"/>
                <w:sz w:val="20"/>
                <w:szCs w:val="20"/>
              </w:rPr>
              <w:t>50 000,0</w:t>
            </w:r>
          </w:p>
        </w:tc>
        <w:tc>
          <w:tcPr>
            <w:tcW w:w="1276" w:type="dxa"/>
            <w:shd w:val="clear" w:color="auto" w:fill="D9D9D9" w:themeFill="background1" w:themeFillShade="D9"/>
            <w:vAlign w:val="center"/>
          </w:tcPr>
          <w:p w14:paraId="61EF688C" w14:textId="77777777" w:rsidR="00CB0A97" w:rsidRPr="006F7000" w:rsidRDefault="00CB0A97" w:rsidP="00D94B6E">
            <w:pPr>
              <w:jc w:val="center"/>
              <w:rPr>
                <w:rFonts w:ascii="Times New Roman" w:eastAsia="Times New Roman" w:hAnsi="Times New Roman" w:cs="Times New Roman"/>
                <w:sz w:val="20"/>
                <w:szCs w:val="20"/>
              </w:rPr>
            </w:pPr>
            <w:r w:rsidRPr="006F7000">
              <w:rPr>
                <w:rFonts w:ascii="Times New Roman" w:eastAsia="Times New Roman" w:hAnsi="Times New Roman" w:cs="Times New Roman"/>
                <w:sz w:val="20"/>
                <w:szCs w:val="20"/>
              </w:rPr>
              <w:t>50 000,0</w:t>
            </w:r>
          </w:p>
        </w:tc>
        <w:tc>
          <w:tcPr>
            <w:tcW w:w="1276" w:type="dxa"/>
            <w:shd w:val="clear" w:color="auto" w:fill="D9D9D9" w:themeFill="background1" w:themeFillShade="D9"/>
            <w:vAlign w:val="center"/>
          </w:tcPr>
          <w:p w14:paraId="388ABCC5" w14:textId="77777777" w:rsidR="00CB0A97" w:rsidRPr="006F7000" w:rsidRDefault="00CB0A97" w:rsidP="00D94B6E">
            <w:pPr>
              <w:jc w:val="center"/>
              <w:rPr>
                <w:rFonts w:ascii="Times New Roman" w:eastAsia="Times New Roman" w:hAnsi="Times New Roman" w:cs="Times New Roman"/>
                <w:sz w:val="20"/>
                <w:szCs w:val="20"/>
              </w:rPr>
            </w:pPr>
            <w:r w:rsidRPr="006F7000">
              <w:rPr>
                <w:rFonts w:ascii="Times New Roman" w:eastAsia="Times New Roman" w:hAnsi="Times New Roman" w:cs="Times New Roman"/>
                <w:sz w:val="20"/>
                <w:szCs w:val="20"/>
              </w:rPr>
              <w:t>50 000,0</w:t>
            </w:r>
          </w:p>
        </w:tc>
        <w:tc>
          <w:tcPr>
            <w:tcW w:w="1276" w:type="dxa"/>
            <w:shd w:val="clear" w:color="auto" w:fill="D9D9D9" w:themeFill="background1" w:themeFillShade="D9"/>
            <w:vAlign w:val="center"/>
          </w:tcPr>
          <w:p w14:paraId="3D789959" w14:textId="77777777" w:rsidR="00CB0A97" w:rsidRPr="006F7000" w:rsidRDefault="00CB0A97" w:rsidP="00D94B6E">
            <w:pPr>
              <w:jc w:val="center"/>
              <w:rPr>
                <w:rFonts w:ascii="Times New Roman" w:eastAsia="Times New Roman" w:hAnsi="Times New Roman" w:cs="Times New Roman"/>
                <w:sz w:val="20"/>
                <w:szCs w:val="20"/>
              </w:rPr>
            </w:pPr>
            <w:r w:rsidRPr="006F7000">
              <w:rPr>
                <w:rFonts w:ascii="Times New Roman" w:eastAsia="Times New Roman" w:hAnsi="Times New Roman" w:cs="Times New Roman"/>
                <w:sz w:val="20"/>
                <w:szCs w:val="20"/>
              </w:rPr>
              <w:t>50 000,0</w:t>
            </w:r>
          </w:p>
        </w:tc>
      </w:tr>
      <w:tr w:rsidR="00CB0A97" w:rsidRPr="006F7000" w14:paraId="5E2BB2E4" w14:textId="77777777" w:rsidTr="00E2571A">
        <w:tc>
          <w:tcPr>
            <w:tcW w:w="431" w:type="dxa"/>
            <w:shd w:val="clear" w:color="auto" w:fill="BDD6EE" w:themeFill="accent1" w:themeFillTint="66"/>
            <w:vAlign w:val="center"/>
          </w:tcPr>
          <w:p w14:paraId="4A6D39E1" w14:textId="77777777" w:rsidR="00CB0A97" w:rsidRPr="006F7000" w:rsidRDefault="00CB0A97" w:rsidP="00CB0A97">
            <w:pPr>
              <w:jc w:val="both"/>
              <w:rPr>
                <w:rFonts w:ascii="Times New Roman" w:eastAsia="Times New Roman" w:hAnsi="Times New Roman" w:cs="Times New Roman"/>
                <w:sz w:val="20"/>
                <w:szCs w:val="20"/>
              </w:rPr>
            </w:pPr>
            <w:r w:rsidRPr="006F7000">
              <w:rPr>
                <w:rFonts w:ascii="Times New Roman" w:eastAsia="Times New Roman" w:hAnsi="Times New Roman" w:cs="Times New Roman"/>
                <w:sz w:val="20"/>
                <w:szCs w:val="20"/>
              </w:rPr>
              <w:lastRenderedPageBreak/>
              <w:t>2.</w:t>
            </w:r>
          </w:p>
        </w:tc>
        <w:tc>
          <w:tcPr>
            <w:tcW w:w="2293" w:type="dxa"/>
            <w:shd w:val="clear" w:color="auto" w:fill="BDD6EE" w:themeFill="accent1" w:themeFillTint="66"/>
            <w:vAlign w:val="center"/>
          </w:tcPr>
          <w:p w14:paraId="5B5253C3" w14:textId="77777777" w:rsidR="00CB0A97" w:rsidRPr="008523A0" w:rsidRDefault="00CB0A97" w:rsidP="00CB0A97">
            <w:pPr>
              <w:jc w:val="both"/>
              <w:rPr>
                <w:rFonts w:ascii="Times New Roman" w:eastAsia="Times New Roman" w:hAnsi="Times New Roman" w:cs="Times New Roman"/>
                <w:sz w:val="20"/>
                <w:szCs w:val="20"/>
                <w:lang w:val="ru-RU"/>
              </w:rPr>
            </w:pPr>
            <w:r w:rsidRPr="008523A0">
              <w:rPr>
                <w:rFonts w:ascii="Times New Roman" w:eastAsia="Times New Roman" w:hAnsi="Times New Roman" w:cs="Times New Roman"/>
                <w:b/>
                <w:bCs/>
                <w:sz w:val="20"/>
                <w:szCs w:val="20"/>
                <w:lang w:val="ru-RU"/>
              </w:rPr>
              <w:t>Настояща стойност на „разходите“</w:t>
            </w:r>
            <w:r w:rsidRPr="008523A0">
              <w:rPr>
                <w:rFonts w:ascii="Times New Roman" w:eastAsia="Times New Roman" w:hAnsi="Times New Roman" w:cs="Times New Roman"/>
                <w:sz w:val="20"/>
                <w:szCs w:val="20"/>
                <w:lang w:val="ru-RU"/>
              </w:rPr>
              <w:t xml:space="preserve"> (сконтиран ред 1, </w:t>
            </w:r>
            <w:r w:rsidRPr="006F7000">
              <w:rPr>
                <w:rFonts w:ascii="Times New Roman" w:eastAsia="Times New Roman" w:hAnsi="Times New Roman" w:cs="Times New Roman"/>
                <w:sz w:val="20"/>
                <w:szCs w:val="20"/>
              </w:rPr>
              <w:t>r</w:t>
            </w:r>
            <w:r w:rsidRPr="008523A0">
              <w:rPr>
                <w:rFonts w:ascii="Times New Roman" w:eastAsia="Times New Roman" w:hAnsi="Times New Roman" w:cs="Times New Roman"/>
                <w:sz w:val="20"/>
                <w:szCs w:val="20"/>
                <w:lang w:val="ru-RU"/>
              </w:rPr>
              <w:t>=4%)</w:t>
            </w:r>
          </w:p>
        </w:tc>
        <w:tc>
          <w:tcPr>
            <w:tcW w:w="1284" w:type="dxa"/>
            <w:shd w:val="clear" w:color="auto" w:fill="D9D9D9" w:themeFill="background1" w:themeFillShade="D9"/>
            <w:vAlign w:val="center"/>
          </w:tcPr>
          <w:p w14:paraId="006456AE" w14:textId="77777777" w:rsidR="00CB0A97" w:rsidRPr="006F7000" w:rsidRDefault="00CB0A97" w:rsidP="00D94B6E">
            <w:pPr>
              <w:jc w:val="center"/>
              <w:rPr>
                <w:rFonts w:ascii="Times New Roman" w:eastAsia="Times New Roman" w:hAnsi="Times New Roman" w:cs="Times New Roman"/>
                <w:sz w:val="20"/>
                <w:szCs w:val="20"/>
              </w:rPr>
            </w:pPr>
            <w:r w:rsidRPr="006F7000">
              <w:rPr>
                <w:rFonts w:ascii="Times New Roman" w:eastAsia="Times New Roman" w:hAnsi="Times New Roman" w:cs="Times New Roman"/>
                <w:sz w:val="20"/>
                <w:szCs w:val="20"/>
              </w:rPr>
              <w:t>50 000,0</w:t>
            </w:r>
          </w:p>
        </w:tc>
        <w:tc>
          <w:tcPr>
            <w:tcW w:w="1514" w:type="dxa"/>
            <w:shd w:val="clear" w:color="auto" w:fill="D9D9D9" w:themeFill="background1" w:themeFillShade="D9"/>
            <w:vAlign w:val="center"/>
          </w:tcPr>
          <w:p w14:paraId="245E07D6" w14:textId="77777777" w:rsidR="00CB0A97" w:rsidRPr="006F7000" w:rsidRDefault="00CB0A97" w:rsidP="00D94B6E">
            <w:pPr>
              <w:jc w:val="center"/>
              <w:rPr>
                <w:rFonts w:ascii="Times New Roman" w:eastAsia="Times New Roman" w:hAnsi="Times New Roman" w:cs="Times New Roman"/>
                <w:sz w:val="20"/>
                <w:szCs w:val="20"/>
              </w:rPr>
            </w:pPr>
            <w:r w:rsidRPr="006F7000">
              <w:rPr>
                <w:rFonts w:ascii="Times New Roman" w:eastAsia="Times New Roman" w:hAnsi="Times New Roman" w:cs="Times New Roman"/>
                <w:sz w:val="20"/>
                <w:szCs w:val="20"/>
              </w:rPr>
              <w:t>48 076,9</w:t>
            </w:r>
          </w:p>
        </w:tc>
        <w:tc>
          <w:tcPr>
            <w:tcW w:w="1276" w:type="dxa"/>
            <w:shd w:val="clear" w:color="auto" w:fill="D9D9D9" w:themeFill="background1" w:themeFillShade="D9"/>
            <w:vAlign w:val="center"/>
          </w:tcPr>
          <w:p w14:paraId="465F602E" w14:textId="0C419545" w:rsidR="00CB0A97" w:rsidRPr="006F7000" w:rsidRDefault="00CB0A97" w:rsidP="006208E5">
            <w:pPr>
              <w:jc w:val="center"/>
              <w:rPr>
                <w:rFonts w:ascii="Times New Roman" w:eastAsia="Times New Roman" w:hAnsi="Times New Roman" w:cs="Times New Roman"/>
                <w:sz w:val="20"/>
                <w:szCs w:val="20"/>
              </w:rPr>
            </w:pPr>
            <w:r w:rsidRPr="006F7000">
              <w:rPr>
                <w:rFonts w:ascii="Times New Roman" w:eastAsia="Times New Roman" w:hAnsi="Times New Roman" w:cs="Times New Roman"/>
                <w:sz w:val="20"/>
                <w:szCs w:val="20"/>
              </w:rPr>
              <w:t>46 22</w:t>
            </w:r>
            <w:r w:rsidR="006208E5">
              <w:rPr>
                <w:rFonts w:ascii="Times New Roman" w:eastAsia="Times New Roman" w:hAnsi="Times New Roman" w:cs="Times New Roman"/>
                <w:sz w:val="20"/>
                <w:szCs w:val="20"/>
              </w:rPr>
              <w:t>7</w:t>
            </w:r>
            <w:r w:rsidRPr="006F7000">
              <w:rPr>
                <w:rFonts w:ascii="Times New Roman" w:eastAsia="Times New Roman" w:hAnsi="Times New Roman" w:cs="Times New Roman"/>
                <w:sz w:val="20"/>
                <w:szCs w:val="20"/>
              </w:rPr>
              <w:t>,8</w:t>
            </w:r>
          </w:p>
        </w:tc>
        <w:tc>
          <w:tcPr>
            <w:tcW w:w="1276" w:type="dxa"/>
            <w:shd w:val="clear" w:color="auto" w:fill="D9D9D9" w:themeFill="background1" w:themeFillShade="D9"/>
            <w:vAlign w:val="center"/>
          </w:tcPr>
          <w:p w14:paraId="53F998DB" w14:textId="7FAA433B" w:rsidR="00CB0A97" w:rsidRPr="006F7000" w:rsidRDefault="00CB0A97" w:rsidP="006208E5">
            <w:pPr>
              <w:jc w:val="center"/>
              <w:rPr>
                <w:rFonts w:ascii="Times New Roman" w:eastAsia="Times New Roman" w:hAnsi="Times New Roman" w:cs="Times New Roman"/>
                <w:sz w:val="20"/>
                <w:szCs w:val="20"/>
              </w:rPr>
            </w:pPr>
            <w:r w:rsidRPr="006F7000">
              <w:rPr>
                <w:rFonts w:ascii="Times New Roman" w:eastAsia="Times New Roman" w:hAnsi="Times New Roman" w:cs="Times New Roman"/>
                <w:sz w:val="20"/>
                <w:szCs w:val="20"/>
              </w:rPr>
              <w:t>44 44</w:t>
            </w:r>
            <w:r w:rsidR="006208E5">
              <w:rPr>
                <w:rFonts w:ascii="Times New Roman" w:eastAsia="Times New Roman" w:hAnsi="Times New Roman" w:cs="Times New Roman"/>
                <w:sz w:val="20"/>
                <w:szCs w:val="20"/>
              </w:rPr>
              <w:t>9</w:t>
            </w:r>
            <w:r w:rsidRPr="006F7000">
              <w:rPr>
                <w:rFonts w:ascii="Times New Roman" w:eastAsia="Times New Roman" w:hAnsi="Times New Roman" w:cs="Times New Roman"/>
                <w:sz w:val="20"/>
                <w:szCs w:val="20"/>
              </w:rPr>
              <w:t>,</w:t>
            </w:r>
            <w:r w:rsidR="006208E5">
              <w:rPr>
                <w:rFonts w:ascii="Times New Roman" w:eastAsia="Times New Roman" w:hAnsi="Times New Roman" w:cs="Times New Roman"/>
                <w:sz w:val="20"/>
                <w:szCs w:val="20"/>
              </w:rPr>
              <w:t>8</w:t>
            </w:r>
          </w:p>
        </w:tc>
        <w:tc>
          <w:tcPr>
            <w:tcW w:w="1276" w:type="dxa"/>
            <w:shd w:val="clear" w:color="auto" w:fill="D9D9D9" w:themeFill="background1" w:themeFillShade="D9"/>
            <w:vAlign w:val="center"/>
          </w:tcPr>
          <w:p w14:paraId="2969E2BA" w14:textId="64020B0E" w:rsidR="00CB0A97" w:rsidRPr="006F7000" w:rsidRDefault="00CB0A97" w:rsidP="006208E5">
            <w:pPr>
              <w:jc w:val="center"/>
              <w:rPr>
                <w:rFonts w:ascii="Times New Roman" w:eastAsia="Times New Roman" w:hAnsi="Times New Roman" w:cs="Times New Roman"/>
                <w:sz w:val="20"/>
                <w:szCs w:val="20"/>
              </w:rPr>
            </w:pPr>
            <w:r w:rsidRPr="006F7000">
              <w:rPr>
                <w:rFonts w:ascii="Times New Roman" w:eastAsia="Times New Roman" w:hAnsi="Times New Roman" w:cs="Times New Roman"/>
                <w:sz w:val="20"/>
                <w:szCs w:val="20"/>
              </w:rPr>
              <w:t>4</w:t>
            </w:r>
            <w:r w:rsidR="006208E5">
              <w:rPr>
                <w:rFonts w:ascii="Times New Roman" w:eastAsia="Times New Roman" w:hAnsi="Times New Roman" w:cs="Times New Roman"/>
                <w:sz w:val="20"/>
                <w:szCs w:val="20"/>
              </w:rPr>
              <w:t>2 740,2</w:t>
            </w:r>
          </w:p>
        </w:tc>
      </w:tr>
      <w:tr w:rsidR="00CB0A97" w:rsidRPr="006F7000" w14:paraId="1B8CBC25" w14:textId="77777777" w:rsidTr="00E2571A">
        <w:tc>
          <w:tcPr>
            <w:tcW w:w="431" w:type="dxa"/>
            <w:shd w:val="clear" w:color="auto" w:fill="BDD6EE" w:themeFill="accent1" w:themeFillTint="66"/>
            <w:vAlign w:val="center"/>
          </w:tcPr>
          <w:p w14:paraId="4D7AACF1" w14:textId="77777777" w:rsidR="00CB0A97" w:rsidRPr="006F7000" w:rsidRDefault="00CB0A97" w:rsidP="00CB0A97">
            <w:pPr>
              <w:jc w:val="both"/>
              <w:rPr>
                <w:rFonts w:ascii="Times New Roman" w:eastAsia="Times New Roman" w:hAnsi="Times New Roman" w:cs="Times New Roman"/>
                <w:sz w:val="20"/>
                <w:szCs w:val="20"/>
              </w:rPr>
            </w:pPr>
            <w:r w:rsidRPr="006F7000">
              <w:rPr>
                <w:rFonts w:ascii="Times New Roman" w:eastAsia="Times New Roman" w:hAnsi="Times New Roman" w:cs="Times New Roman"/>
                <w:sz w:val="20"/>
                <w:szCs w:val="20"/>
              </w:rPr>
              <w:t>3.</w:t>
            </w:r>
          </w:p>
        </w:tc>
        <w:tc>
          <w:tcPr>
            <w:tcW w:w="2293" w:type="dxa"/>
            <w:shd w:val="clear" w:color="auto" w:fill="BDD6EE" w:themeFill="accent1" w:themeFillTint="66"/>
            <w:vAlign w:val="center"/>
          </w:tcPr>
          <w:p w14:paraId="76498AC4" w14:textId="77777777" w:rsidR="00CB0A97" w:rsidRPr="006F7000" w:rsidRDefault="00CB0A97" w:rsidP="00CB0A97">
            <w:pPr>
              <w:jc w:val="both"/>
              <w:rPr>
                <w:rFonts w:ascii="Times New Roman" w:eastAsia="Times New Roman" w:hAnsi="Times New Roman" w:cs="Times New Roman"/>
                <w:sz w:val="20"/>
                <w:szCs w:val="20"/>
              </w:rPr>
            </w:pPr>
            <w:r w:rsidRPr="006F7000">
              <w:rPr>
                <w:rFonts w:ascii="Times New Roman" w:eastAsia="Times New Roman" w:hAnsi="Times New Roman" w:cs="Times New Roman"/>
                <w:b/>
                <w:bCs/>
                <w:sz w:val="20"/>
                <w:szCs w:val="20"/>
              </w:rPr>
              <w:t>Съвкупни ползи</w:t>
            </w:r>
          </w:p>
        </w:tc>
        <w:tc>
          <w:tcPr>
            <w:tcW w:w="1284" w:type="dxa"/>
            <w:shd w:val="clear" w:color="auto" w:fill="D9D9D9" w:themeFill="background1" w:themeFillShade="D9"/>
            <w:vAlign w:val="center"/>
          </w:tcPr>
          <w:p w14:paraId="7E5D6CA6" w14:textId="77777777" w:rsidR="00CB0A97" w:rsidRPr="006F7000" w:rsidRDefault="00CB0A97" w:rsidP="00D94B6E">
            <w:pPr>
              <w:jc w:val="center"/>
              <w:rPr>
                <w:rFonts w:ascii="Times New Roman" w:eastAsia="Times New Roman" w:hAnsi="Times New Roman" w:cs="Times New Roman"/>
                <w:sz w:val="20"/>
                <w:szCs w:val="20"/>
              </w:rPr>
            </w:pPr>
            <w:r w:rsidRPr="006F7000">
              <w:rPr>
                <w:rFonts w:ascii="Times New Roman" w:eastAsia="Times New Roman" w:hAnsi="Times New Roman" w:cs="Times New Roman"/>
                <w:sz w:val="20"/>
                <w:szCs w:val="20"/>
              </w:rPr>
              <w:t>0,0</w:t>
            </w:r>
          </w:p>
        </w:tc>
        <w:tc>
          <w:tcPr>
            <w:tcW w:w="1514" w:type="dxa"/>
            <w:shd w:val="clear" w:color="auto" w:fill="D9D9D9" w:themeFill="background1" w:themeFillShade="D9"/>
            <w:vAlign w:val="center"/>
          </w:tcPr>
          <w:p w14:paraId="611E086D" w14:textId="77777777" w:rsidR="00CB0A97" w:rsidRPr="006F7000" w:rsidRDefault="00CB0A97" w:rsidP="00D94B6E">
            <w:pPr>
              <w:jc w:val="center"/>
              <w:rPr>
                <w:rFonts w:ascii="Times New Roman" w:eastAsia="Times New Roman" w:hAnsi="Times New Roman" w:cs="Times New Roman"/>
                <w:sz w:val="20"/>
                <w:szCs w:val="20"/>
              </w:rPr>
            </w:pPr>
            <w:r w:rsidRPr="006F7000">
              <w:rPr>
                <w:rFonts w:ascii="Times New Roman" w:eastAsia="Times New Roman" w:hAnsi="Times New Roman" w:cs="Times New Roman"/>
                <w:sz w:val="20"/>
                <w:szCs w:val="20"/>
              </w:rPr>
              <w:t>0,0</w:t>
            </w:r>
          </w:p>
        </w:tc>
        <w:tc>
          <w:tcPr>
            <w:tcW w:w="1276" w:type="dxa"/>
            <w:shd w:val="clear" w:color="auto" w:fill="D9D9D9" w:themeFill="background1" w:themeFillShade="D9"/>
            <w:vAlign w:val="center"/>
          </w:tcPr>
          <w:p w14:paraId="58361BA2" w14:textId="77777777" w:rsidR="00CB0A97" w:rsidRPr="006F7000" w:rsidRDefault="00CB0A97" w:rsidP="00D94B6E">
            <w:pPr>
              <w:jc w:val="center"/>
              <w:rPr>
                <w:rFonts w:ascii="Times New Roman" w:eastAsia="Times New Roman" w:hAnsi="Times New Roman" w:cs="Times New Roman"/>
                <w:sz w:val="20"/>
                <w:szCs w:val="20"/>
              </w:rPr>
            </w:pPr>
            <w:r w:rsidRPr="006F7000">
              <w:rPr>
                <w:rFonts w:ascii="Times New Roman" w:eastAsia="Times New Roman" w:hAnsi="Times New Roman" w:cs="Times New Roman"/>
                <w:sz w:val="20"/>
                <w:szCs w:val="20"/>
              </w:rPr>
              <w:t>0,0</w:t>
            </w:r>
          </w:p>
        </w:tc>
        <w:tc>
          <w:tcPr>
            <w:tcW w:w="1276" w:type="dxa"/>
            <w:shd w:val="clear" w:color="auto" w:fill="D9D9D9" w:themeFill="background1" w:themeFillShade="D9"/>
            <w:vAlign w:val="center"/>
          </w:tcPr>
          <w:p w14:paraId="2ECEEE1E" w14:textId="77777777" w:rsidR="00CB0A97" w:rsidRPr="006F7000" w:rsidRDefault="00CB0A97" w:rsidP="00D94B6E">
            <w:pPr>
              <w:jc w:val="center"/>
              <w:rPr>
                <w:rFonts w:ascii="Times New Roman" w:eastAsia="Times New Roman" w:hAnsi="Times New Roman" w:cs="Times New Roman"/>
                <w:sz w:val="20"/>
                <w:szCs w:val="20"/>
              </w:rPr>
            </w:pPr>
            <w:r w:rsidRPr="006F7000">
              <w:rPr>
                <w:rFonts w:ascii="Times New Roman" w:eastAsia="Times New Roman" w:hAnsi="Times New Roman" w:cs="Times New Roman"/>
                <w:sz w:val="20"/>
                <w:szCs w:val="20"/>
              </w:rPr>
              <w:t>0,0</w:t>
            </w:r>
          </w:p>
        </w:tc>
        <w:tc>
          <w:tcPr>
            <w:tcW w:w="1276" w:type="dxa"/>
            <w:shd w:val="clear" w:color="auto" w:fill="D9D9D9" w:themeFill="background1" w:themeFillShade="D9"/>
            <w:vAlign w:val="center"/>
          </w:tcPr>
          <w:p w14:paraId="5391CDB0" w14:textId="77777777" w:rsidR="00CB0A97" w:rsidRPr="006F7000" w:rsidRDefault="00CB0A97" w:rsidP="00D94B6E">
            <w:pPr>
              <w:jc w:val="center"/>
              <w:rPr>
                <w:rFonts w:ascii="Times New Roman" w:eastAsia="Times New Roman" w:hAnsi="Times New Roman" w:cs="Times New Roman"/>
                <w:sz w:val="20"/>
                <w:szCs w:val="20"/>
              </w:rPr>
            </w:pPr>
            <w:r w:rsidRPr="006F7000">
              <w:rPr>
                <w:rFonts w:ascii="Times New Roman" w:eastAsia="Times New Roman" w:hAnsi="Times New Roman" w:cs="Times New Roman"/>
                <w:sz w:val="20"/>
                <w:szCs w:val="20"/>
              </w:rPr>
              <w:t>0,0</w:t>
            </w:r>
          </w:p>
        </w:tc>
      </w:tr>
      <w:tr w:rsidR="00CB0A97" w:rsidRPr="006F7000" w14:paraId="214CB681" w14:textId="77777777" w:rsidTr="00E2571A">
        <w:tc>
          <w:tcPr>
            <w:tcW w:w="431" w:type="dxa"/>
            <w:shd w:val="clear" w:color="auto" w:fill="BDD6EE" w:themeFill="accent1" w:themeFillTint="66"/>
            <w:vAlign w:val="center"/>
          </w:tcPr>
          <w:p w14:paraId="011A9DCE" w14:textId="77777777" w:rsidR="00CB0A97" w:rsidRPr="006F7000" w:rsidRDefault="00CB0A97" w:rsidP="00CB0A97">
            <w:pPr>
              <w:jc w:val="both"/>
              <w:rPr>
                <w:rFonts w:ascii="Times New Roman" w:eastAsia="Times New Roman" w:hAnsi="Times New Roman" w:cs="Times New Roman"/>
                <w:sz w:val="20"/>
                <w:szCs w:val="20"/>
              </w:rPr>
            </w:pPr>
            <w:r w:rsidRPr="006F7000">
              <w:rPr>
                <w:rFonts w:ascii="Times New Roman" w:eastAsia="Times New Roman" w:hAnsi="Times New Roman" w:cs="Times New Roman"/>
                <w:sz w:val="20"/>
                <w:szCs w:val="20"/>
              </w:rPr>
              <w:t>4.</w:t>
            </w:r>
          </w:p>
        </w:tc>
        <w:tc>
          <w:tcPr>
            <w:tcW w:w="2293" w:type="dxa"/>
            <w:shd w:val="clear" w:color="auto" w:fill="BDD6EE" w:themeFill="accent1" w:themeFillTint="66"/>
            <w:vAlign w:val="center"/>
          </w:tcPr>
          <w:p w14:paraId="75248A73" w14:textId="77777777" w:rsidR="00CB0A97" w:rsidRPr="008523A0" w:rsidRDefault="00CB0A97" w:rsidP="00CB0A97">
            <w:pPr>
              <w:jc w:val="both"/>
              <w:rPr>
                <w:rFonts w:ascii="Times New Roman" w:eastAsia="Times New Roman" w:hAnsi="Times New Roman" w:cs="Times New Roman"/>
                <w:sz w:val="20"/>
                <w:szCs w:val="20"/>
                <w:lang w:val="ru-RU"/>
              </w:rPr>
            </w:pPr>
            <w:r w:rsidRPr="008523A0">
              <w:rPr>
                <w:rFonts w:ascii="Times New Roman" w:eastAsia="Times New Roman" w:hAnsi="Times New Roman" w:cs="Times New Roman"/>
                <w:b/>
                <w:bCs/>
                <w:sz w:val="20"/>
                <w:szCs w:val="20"/>
                <w:lang w:val="ru-RU"/>
              </w:rPr>
              <w:t>Настояща стойност на ползите</w:t>
            </w:r>
            <w:r w:rsidRPr="008523A0">
              <w:rPr>
                <w:rFonts w:ascii="Times New Roman" w:eastAsia="Times New Roman" w:hAnsi="Times New Roman" w:cs="Times New Roman"/>
                <w:sz w:val="20"/>
                <w:szCs w:val="20"/>
                <w:lang w:val="ru-RU"/>
              </w:rPr>
              <w:t xml:space="preserve"> (сконтиран ред 3, </w:t>
            </w:r>
            <w:r w:rsidRPr="006F7000">
              <w:rPr>
                <w:rFonts w:ascii="Times New Roman" w:eastAsia="Times New Roman" w:hAnsi="Times New Roman" w:cs="Times New Roman"/>
                <w:sz w:val="20"/>
                <w:szCs w:val="20"/>
              </w:rPr>
              <w:t>r</w:t>
            </w:r>
            <w:r w:rsidRPr="008523A0">
              <w:rPr>
                <w:rFonts w:ascii="Times New Roman" w:eastAsia="Times New Roman" w:hAnsi="Times New Roman" w:cs="Times New Roman"/>
                <w:sz w:val="20"/>
                <w:szCs w:val="20"/>
                <w:lang w:val="ru-RU"/>
              </w:rPr>
              <w:t>=4%)</w:t>
            </w:r>
          </w:p>
        </w:tc>
        <w:tc>
          <w:tcPr>
            <w:tcW w:w="1284" w:type="dxa"/>
            <w:shd w:val="clear" w:color="auto" w:fill="D9D9D9" w:themeFill="background1" w:themeFillShade="D9"/>
            <w:vAlign w:val="center"/>
          </w:tcPr>
          <w:p w14:paraId="15E05AD6" w14:textId="77777777" w:rsidR="00CB0A97" w:rsidRPr="006F7000" w:rsidRDefault="00CB0A97" w:rsidP="00D94B6E">
            <w:pPr>
              <w:jc w:val="center"/>
              <w:rPr>
                <w:rFonts w:ascii="Times New Roman" w:eastAsia="Times New Roman" w:hAnsi="Times New Roman" w:cs="Times New Roman"/>
                <w:sz w:val="20"/>
                <w:szCs w:val="20"/>
              </w:rPr>
            </w:pPr>
            <w:r w:rsidRPr="006F7000">
              <w:rPr>
                <w:rFonts w:ascii="Times New Roman" w:eastAsia="Times New Roman" w:hAnsi="Times New Roman" w:cs="Times New Roman"/>
                <w:sz w:val="20"/>
                <w:szCs w:val="20"/>
              </w:rPr>
              <w:t>0,0</w:t>
            </w:r>
          </w:p>
        </w:tc>
        <w:tc>
          <w:tcPr>
            <w:tcW w:w="1514" w:type="dxa"/>
            <w:shd w:val="clear" w:color="auto" w:fill="D9D9D9" w:themeFill="background1" w:themeFillShade="D9"/>
            <w:vAlign w:val="center"/>
          </w:tcPr>
          <w:p w14:paraId="5B0988E6" w14:textId="77777777" w:rsidR="00CB0A97" w:rsidRPr="006F7000" w:rsidRDefault="00CB0A97" w:rsidP="00D94B6E">
            <w:pPr>
              <w:jc w:val="center"/>
              <w:rPr>
                <w:rFonts w:ascii="Times New Roman" w:eastAsia="Times New Roman" w:hAnsi="Times New Roman" w:cs="Times New Roman"/>
                <w:sz w:val="20"/>
                <w:szCs w:val="20"/>
              </w:rPr>
            </w:pPr>
            <w:r w:rsidRPr="006F7000">
              <w:rPr>
                <w:rFonts w:ascii="Times New Roman" w:eastAsia="Times New Roman" w:hAnsi="Times New Roman" w:cs="Times New Roman"/>
                <w:sz w:val="20"/>
                <w:szCs w:val="20"/>
              </w:rPr>
              <w:t>0,0</w:t>
            </w:r>
          </w:p>
        </w:tc>
        <w:tc>
          <w:tcPr>
            <w:tcW w:w="1276" w:type="dxa"/>
            <w:shd w:val="clear" w:color="auto" w:fill="D9D9D9" w:themeFill="background1" w:themeFillShade="D9"/>
            <w:vAlign w:val="center"/>
          </w:tcPr>
          <w:p w14:paraId="17D5D27F" w14:textId="77777777" w:rsidR="00CB0A97" w:rsidRPr="006F7000" w:rsidRDefault="00CB0A97" w:rsidP="00D94B6E">
            <w:pPr>
              <w:jc w:val="center"/>
              <w:rPr>
                <w:rFonts w:ascii="Times New Roman" w:eastAsia="Times New Roman" w:hAnsi="Times New Roman" w:cs="Times New Roman"/>
                <w:sz w:val="20"/>
                <w:szCs w:val="20"/>
              </w:rPr>
            </w:pPr>
            <w:r w:rsidRPr="006F7000">
              <w:rPr>
                <w:rFonts w:ascii="Times New Roman" w:eastAsia="Times New Roman" w:hAnsi="Times New Roman" w:cs="Times New Roman"/>
                <w:sz w:val="20"/>
                <w:szCs w:val="20"/>
              </w:rPr>
              <w:t>0,0</w:t>
            </w:r>
          </w:p>
        </w:tc>
        <w:tc>
          <w:tcPr>
            <w:tcW w:w="1276" w:type="dxa"/>
            <w:shd w:val="clear" w:color="auto" w:fill="D9D9D9" w:themeFill="background1" w:themeFillShade="D9"/>
            <w:vAlign w:val="center"/>
          </w:tcPr>
          <w:p w14:paraId="00F91E0B" w14:textId="77777777" w:rsidR="00CB0A97" w:rsidRPr="006F7000" w:rsidRDefault="00CB0A97" w:rsidP="00D94B6E">
            <w:pPr>
              <w:jc w:val="center"/>
              <w:rPr>
                <w:rFonts w:ascii="Times New Roman" w:eastAsia="Times New Roman" w:hAnsi="Times New Roman" w:cs="Times New Roman"/>
                <w:sz w:val="20"/>
                <w:szCs w:val="20"/>
              </w:rPr>
            </w:pPr>
            <w:r w:rsidRPr="006F7000">
              <w:rPr>
                <w:rFonts w:ascii="Times New Roman" w:eastAsia="Times New Roman" w:hAnsi="Times New Roman" w:cs="Times New Roman"/>
                <w:sz w:val="20"/>
                <w:szCs w:val="20"/>
              </w:rPr>
              <w:t>0,0</w:t>
            </w:r>
          </w:p>
        </w:tc>
        <w:tc>
          <w:tcPr>
            <w:tcW w:w="1276" w:type="dxa"/>
            <w:shd w:val="clear" w:color="auto" w:fill="D9D9D9" w:themeFill="background1" w:themeFillShade="D9"/>
            <w:vAlign w:val="center"/>
          </w:tcPr>
          <w:p w14:paraId="70023F8B" w14:textId="77777777" w:rsidR="00CB0A97" w:rsidRPr="006F7000" w:rsidRDefault="00CB0A97" w:rsidP="00D94B6E">
            <w:pPr>
              <w:jc w:val="center"/>
              <w:rPr>
                <w:rFonts w:ascii="Times New Roman" w:eastAsia="Times New Roman" w:hAnsi="Times New Roman" w:cs="Times New Roman"/>
                <w:sz w:val="20"/>
                <w:szCs w:val="20"/>
              </w:rPr>
            </w:pPr>
            <w:r w:rsidRPr="006F7000">
              <w:rPr>
                <w:rFonts w:ascii="Times New Roman" w:eastAsia="Times New Roman" w:hAnsi="Times New Roman" w:cs="Times New Roman"/>
                <w:sz w:val="20"/>
                <w:szCs w:val="20"/>
              </w:rPr>
              <w:t>0,0</w:t>
            </w:r>
          </w:p>
        </w:tc>
      </w:tr>
      <w:tr w:rsidR="00CB0A97" w:rsidRPr="006F7000" w14:paraId="1133AA64" w14:textId="77777777" w:rsidTr="00E2571A">
        <w:tc>
          <w:tcPr>
            <w:tcW w:w="431" w:type="dxa"/>
            <w:shd w:val="clear" w:color="auto" w:fill="BDD6EE" w:themeFill="accent1" w:themeFillTint="66"/>
            <w:vAlign w:val="center"/>
          </w:tcPr>
          <w:p w14:paraId="17022D63" w14:textId="77777777" w:rsidR="00CB0A97" w:rsidRPr="006F7000" w:rsidRDefault="00CB0A97" w:rsidP="00CB0A97">
            <w:pPr>
              <w:jc w:val="both"/>
              <w:rPr>
                <w:rFonts w:ascii="Times New Roman" w:eastAsia="Times New Roman" w:hAnsi="Times New Roman" w:cs="Times New Roman"/>
                <w:sz w:val="20"/>
                <w:szCs w:val="20"/>
              </w:rPr>
            </w:pPr>
            <w:r w:rsidRPr="006F7000">
              <w:rPr>
                <w:rFonts w:ascii="Times New Roman" w:eastAsia="Times New Roman" w:hAnsi="Times New Roman" w:cs="Times New Roman"/>
                <w:sz w:val="20"/>
                <w:szCs w:val="20"/>
              </w:rPr>
              <w:t>5.</w:t>
            </w:r>
          </w:p>
        </w:tc>
        <w:tc>
          <w:tcPr>
            <w:tcW w:w="2293" w:type="dxa"/>
            <w:shd w:val="clear" w:color="auto" w:fill="BDD6EE" w:themeFill="accent1" w:themeFillTint="66"/>
            <w:vAlign w:val="center"/>
          </w:tcPr>
          <w:p w14:paraId="4993DD1F" w14:textId="77777777" w:rsidR="00CB0A97" w:rsidRPr="006F7000" w:rsidRDefault="00CB0A97" w:rsidP="00CB0A97">
            <w:pPr>
              <w:jc w:val="both"/>
              <w:rPr>
                <w:rFonts w:ascii="Times New Roman" w:eastAsia="Times New Roman" w:hAnsi="Times New Roman" w:cs="Times New Roman"/>
                <w:sz w:val="20"/>
                <w:szCs w:val="20"/>
              </w:rPr>
            </w:pPr>
            <w:r w:rsidRPr="006F7000">
              <w:rPr>
                <w:rFonts w:ascii="Times New Roman" w:eastAsia="Times New Roman" w:hAnsi="Times New Roman" w:cs="Times New Roman"/>
                <w:b/>
                <w:bCs/>
                <w:sz w:val="20"/>
                <w:szCs w:val="20"/>
              </w:rPr>
              <w:t>Нетна настояща стойност (NPV)</w:t>
            </w:r>
          </w:p>
        </w:tc>
        <w:tc>
          <w:tcPr>
            <w:tcW w:w="1284" w:type="dxa"/>
            <w:shd w:val="clear" w:color="auto" w:fill="D9D9D9" w:themeFill="background1" w:themeFillShade="D9"/>
            <w:vAlign w:val="center"/>
          </w:tcPr>
          <w:p w14:paraId="4896C3E8" w14:textId="6820B647" w:rsidR="00CB0A97" w:rsidRPr="006F7000" w:rsidRDefault="006208E5" w:rsidP="00D94B6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-231 494,7</w:t>
            </w:r>
          </w:p>
        </w:tc>
        <w:tc>
          <w:tcPr>
            <w:tcW w:w="1514" w:type="dxa"/>
            <w:shd w:val="clear" w:color="auto" w:fill="D9D9D9" w:themeFill="background1" w:themeFillShade="D9"/>
            <w:vAlign w:val="center"/>
          </w:tcPr>
          <w:p w14:paraId="5AE6665C" w14:textId="77777777" w:rsidR="00CB0A97" w:rsidRPr="006F7000" w:rsidRDefault="00CB0A97" w:rsidP="00D94B6E">
            <w:pPr>
              <w:jc w:val="center"/>
              <w:rPr>
                <w:rFonts w:ascii="Times New Roman" w:eastAsia="Times New Roman" w:hAnsi="Times New Roman" w:cs="Times New Roman"/>
                <w:sz w:val="20"/>
                <w:szCs w:val="20"/>
              </w:rPr>
            </w:pPr>
            <w:r w:rsidRPr="006F7000">
              <w:rPr>
                <w:rFonts w:ascii="Times New Roman" w:eastAsia="Times New Roman" w:hAnsi="Times New Roman" w:cs="Times New Roman"/>
                <w:i/>
                <w:iCs/>
                <w:sz w:val="20"/>
                <w:szCs w:val="20"/>
              </w:rPr>
              <w:t>(отрицателна)</w:t>
            </w:r>
          </w:p>
        </w:tc>
        <w:tc>
          <w:tcPr>
            <w:tcW w:w="1276" w:type="dxa"/>
            <w:shd w:val="clear" w:color="auto" w:fill="D9D9D9" w:themeFill="background1" w:themeFillShade="D9"/>
            <w:vAlign w:val="center"/>
          </w:tcPr>
          <w:p w14:paraId="53F1B169" w14:textId="77777777" w:rsidR="00CB0A97" w:rsidRPr="006F7000" w:rsidRDefault="00CB0A97" w:rsidP="00D94B6E">
            <w:pPr>
              <w:jc w:val="center"/>
              <w:rPr>
                <w:rFonts w:ascii="Times New Roman" w:eastAsia="Times New Roman" w:hAnsi="Times New Roman" w:cs="Times New Roman"/>
                <w:sz w:val="20"/>
                <w:szCs w:val="20"/>
              </w:rPr>
            </w:pPr>
          </w:p>
        </w:tc>
        <w:tc>
          <w:tcPr>
            <w:tcW w:w="1276" w:type="dxa"/>
            <w:shd w:val="clear" w:color="auto" w:fill="D9D9D9" w:themeFill="background1" w:themeFillShade="D9"/>
            <w:vAlign w:val="center"/>
          </w:tcPr>
          <w:p w14:paraId="7A2FE8C0" w14:textId="77777777" w:rsidR="00CB0A97" w:rsidRPr="006F7000" w:rsidRDefault="00CB0A97" w:rsidP="00D94B6E">
            <w:pPr>
              <w:jc w:val="center"/>
              <w:rPr>
                <w:rFonts w:ascii="Times New Roman" w:eastAsia="Times New Roman" w:hAnsi="Times New Roman" w:cs="Times New Roman"/>
                <w:sz w:val="20"/>
                <w:szCs w:val="20"/>
              </w:rPr>
            </w:pPr>
          </w:p>
        </w:tc>
        <w:tc>
          <w:tcPr>
            <w:tcW w:w="1276" w:type="dxa"/>
            <w:shd w:val="clear" w:color="auto" w:fill="D9D9D9" w:themeFill="background1" w:themeFillShade="D9"/>
            <w:vAlign w:val="center"/>
          </w:tcPr>
          <w:p w14:paraId="1B010543" w14:textId="77777777" w:rsidR="00CB0A97" w:rsidRPr="006F7000" w:rsidRDefault="00CB0A97" w:rsidP="00D94B6E">
            <w:pPr>
              <w:jc w:val="center"/>
              <w:rPr>
                <w:rFonts w:ascii="Times New Roman" w:eastAsia="Times New Roman" w:hAnsi="Times New Roman" w:cs="Times New Roman"/>
                <w:sz w:val="20"/>
                <w:szCs w:val="20"/>
              </w:rPr>
            </w:pPr>
          </w:p>
        </w:tc>
      </w:tr>
    </w:tbl>
    <w:p w14:paraId="0FE733BD" w14:textId="3353116C" w:rsidR="00CB0A97" w:rsidRDefault="00CB0A97" w:rsidP="00CB0A97">
      <w:pPr>
        <w:spacing w:beforeAutospacing="1" w:after="100" w:afterAutospacing="1" w:line="240" w:lineRule="auto"/>
        <w:ind w:firstLine="567"/>
        <w:jc w:val="both"/>
        <w:rPr>
          <w:rFonts w:ascii="Times New Roman" w:eastAsia="Times New Roman" w:hAnsi="Times New Roman" w:cs="Times New Roman"/>
          <w:sz w:val="24"/>
          <w:szCs w:val="24"/>
        </w:rPr>
      </w:pPr>
      <w:r w:rsidRPr="008A426F">
        <w:rPr>
          <w:rFonts w:ascii="Times New Roman" w:eastAsia="Times New Roman" w:hAnsi="Times New Roman" w:cs="Times New Roman"/>
          <w:b/>
          <w:bCs/>
          <w:i/>
          <w:sz w:val="24"/>
          <w:szCs w:val="24"/>
          <w:lang w:val="ru-RU"/>
        </w:rPr>
        <w:t>Извод</w:t>
      </w:r>
      <w:r>
        <w:rPr>
          <w:rFonts w:ascii="Times New Roman" w:eastAsia="Times New Roman" w:hAnsi="Times New Roman" w:cs="Times New Roman"/>
          <w:b/>
          <w:bCs/>
          <w:i/>
          <w:sz w:val="24"/>
          <w:szCs w:val="24"/>
          <w:lang w:val="ru-RU"/>
        </w:rPr>
        <w:t>и от анализа ползи-разходи на</w:t>
      </w:r>
      <w:r w:rsidRPr="008A426F">
        <w:rPr>
          <w:rFonts w:ascii="Times New Roman" w:eastAsia="Times New Roman" w:hAnsi="Times New Roman" w:cs="Times New Roman"/>
          <w:b/>
          <w:bCs/>
          <w:i/>
          <w:sz w:val="24"/>
          <w:szCs w:val="24"/>
          <w:lang w:val="ru-RU"/>
        </w:rPr>
        <w:t xml:space="preserve"> Вариант 0:</w:t>
      </w:r>
      <w:r w:rsidRPr="008523A0">
        <w:rPr>
          <w:rFonts w:ascii="Times New Roman" w:eastAsia="Times New Roman" w:hAnsi="Times New Roman" w:cs="Times New Roman"/>
          <w:sz w:val="24"/>
          <w:szCs w:val="24"/>
          <w:lang w:val="ru-RU"/>
        </w:rPr>
        <w:t xml:space="preserve"> </w:t>
      </w:r>
      <w:r w:rsidRPr="008A426F">
        <w:rPr>
          <w:rFonts w:ascii="Times New Roman" w:eastAsia="Times New Roman" w:hAnsi="Times New Roman" w:cs="Times New Roman"/>
          <w:bCs/>
          <w:sz w:val="24"/>
          <w:szCs w:val="24"/>
          <w:lang w:val="ru-RU"/>
        </w:rPr>
        <w:t>Нетната настояща стойност е силно отрицателна</w:t>
      </w:r>
      <w:r w:rsidRPr="008A426F">
        <w:rPr>
          <w:rFonts w:ascii="Times New Roman" w:eastAsia="Times New Roman" w:hAnsi="Times New Roman" w:cs="Times New Roman"/>
          <w:sz w:val="24"/>
          <w:szCs w:val="24"/>
          <w:lang w:val="ru-RU"/>
        </w:rPr>
        <w:t>, а анюализираната стойност на ползите (0) е много по-малка от анюализираната „разходна“</w:t>
      </w:r>
      <w:r w:rsidRPr="008A426F">
        <w:rPr>
          <w:rFonts w:ascii="Times New Roman" w:eastAsia="Times New Roman" w:hAnsi="Times New Roman" w:cs="Times New Roman"/>
          <w:sz w:val="24"/>
          <w:szCs w:val="24"/>
        </w:rPr>
        <w:t xml:space="preserve"> </w:t>
      </w:r>
      <w:r w:rsidRPr="008A426F">
        <w:rPr>
          <w:rFonts w:ascii="Times New Roman" w:eastAsia="Times New Roman" w:hAnsi="Times New Roman" w:cs="Times New Roman"/>
          <w:sz w:val="24"/>
          <w:szCs w:val="24"/>
          <w:lang w:val="ru-RU"/>
        </w:rPr>
        <w:t xml:space="preserve">стойност (пропуснати ползи). При 4% дисконтов процент, </w:t>
      </w:r>
      <w:r w:rsidRPr="008A426F">
        <w:rPr>
          <w:rFonts w:ascii="Times New Roman" w:eastAsia="Times New Roman" w:hAnsi="Times New Roman" w:cs="Times New Roman"/>
          <w:bCs/>
          <w:sz w:val="24"/>
          <w:szCs w:val="24"/>
          <w:lang w:val="ru-RU"/>
        </w:rPr>
        <w:t>анюализираните разходи</w:t>
      </w:r>
      <w:r w:rsidRPr="008A426F">
        <w:rPr>
          <w:rFonts w:ascii="Times New Roman" w:eastAsia="Times New Roman" w:hAnsi="Times New Roman" w:cs="Times New Roman"/>
          <w:sz w:val="24"/>
          <w:szCs w:val="24"/>
          <w:lang w:val="ru-RU"/>
        </w:rPr>
        <w:t xml:space="preserve"> за обществото при този вариант се изчисляват на около </w:t>
      </w:r>
      <w:r w:rsidRPr="008A426F">
        <w:rPr>
          <w:rFonts w:ascii="Times New Roman" w:eastAsia="Times New Roman" w:hAnsi="Times New Roman" w:cs="Times New Roman"/>
          <w:bCs/>
          <w:sz w:val="24"/>
          <w:szCs w:val="24"/>
          <w:lang w:val="ru-RU"/>
        </w:rPr>
        <w:t>5</w:t>
      </w:r>
      <w:r w:rsidR="00A37BA3">
        <w:rPr>
          <w:rFonts w:ascii="Times New Roman" w:eastAsia="Times New Roman" w:hAnsi="Times New Roman" w:cs="Times New Roman"/>
          <w:bCs/>
          <w:sz w:val="24"/>
          <w:szCs w:val="24"/>
          <w:lang w:val="ru-RU"/>
        </w:rPr>
        <w:t>2</w:t>
      </w:r>
      <w:r w:rsidRPr="008A426F">
        <w:rPr>
          <w:rFonts w:ascii="Times New Roman" w:eastAsia="Times New Roman" w:hAnsi="Times New Roman" w:cs="Times New Roman"/>
          <w:bCs/>
          <w:sz w:val="24"/>
          <w:szCs w:val="24"/>
        </w:rPr>
        <w:t> </w:t>
      </w:r>
      <w:r w:rsidR="00A37BA3">
        <w:rPr>
          <w:rFonts w:ascii="Times New Roman" w:eastAsia="Times New Roman" w:hAnsi="Times New Roman" w:cs="Times New Roman"/>
          <w:bCs/>
          <w:sz w:val="24"/>
          <w:szCs w:val="24"/>
        </w:rPr>
        <w:t>000</w:t>
      </w:r>
      <w:r w:rsidRPr="008A426F">
        <w:rPr>
          <w:rFonts w:ascii="Times New Roman" w:eastAsia="Times New Roman" w:hAnsi="Times New Roman" w:cs="Times New Roman"/>
          <w:bCs/>
          <w:sz w:val="24"/>
          <w:szCs w:val="24"/>
          <w:lang w:val="ru-RU"/>
        </w:rPr>
        <w:t xml:space="preserve"> хил. лв. годишно</w:t>
      </w:r>
      <w:r w:rsidRPr="008A426F">
        <w:rPr>
          <w:rFonts w:ascii="Times New Roman" w:eastAsia="Times New Roman" w:hAnsi="Times New Roman" w:cs="Times New Roman"/>
          <w:sz w:val="24"/>
          <w:szCs w:val="24"/>
          <w:lang w:val="ru-RU"/>
        </w:rPr>
        <w:t xml:space="preserve">, докато </w:t>
      </w:r>
      <w:r w:rsidRPr="008A426F">
        <w:rPr>
          <w:rFonts w:ascii="Times New Roman" w:eastAsia="Times New Roman" w:hAnsi="Times New Roman" w:cs="Times New Roman"/>
          <w:bCs/>
          <w:sz w:val="24"/>
          <w:szCs w:val="24"/>
          <w:lang w:val="ru-RU"/>
        </w:rPr>
        <w:t>анюализираните ползи</w:t>
      </w:r>
      <w:r w:rsidRPr="008A426F">
        <w:rPr>
          <w:rFonts w:ascii="Times New Roman" w:eastAsia="Times New Roman" w:hAnsi="Times New Roman" w:cs="Times New Roman"/>
          <w:sz w:val="24"/>
          <w:szCs w:val="24"/>
          <w:lang w:val="ru-RU"/>
        </w:rPr>
        <w:t xml:space="preserve"> са нула. </w:t>
      </w:r>
      <w:r w:rsidRPr="008A426F">
        <w:rPr>
          <w:rFonts w:ascii="Times New Roman" w:eastAsia="Times New Roman" w:hAnsi="Times New Roman" w:cs="Times New Roman"/>
          <w:bCs/>
          <w:sz w:val="24"/>
          <w:szCs w:val="24"/>
          <w:lang w:val="ru-RU"/>
        </w:rPr>
        <w:t xml:space="preserve">Коефициентът </w:t>
      </w:r>
      <w:r w:rsidRPr="008A426F">
        <w:rPr>
          <w:rFonts w:ascii="Times New Roman" w:eastAsia="Times New Roman" w:hAnsi="Times New Roman" w:cs="Times New Roman"/>
          <w:bCs/>
          <w:sz w:val="24"/>
          <w:szCs w:val="24"/>
        </w:rPr>
        <w:t>AVB</w:t>
      </w:r>
      <w:r w:rsidRPr="008A426F">
        <w:rPr>
          <w:rFonts w:ascii="Times New Roman" w:eastAsia="Times New Roman" w:hAnsi="Times New Roman" w:cs="Times New Roman"/>
          <w:bCs/>
          <w:sz w:val="24"/>
          <w:szCs w:val="24"/>
          <w:lang w:val="ru-RU"/>
        </w:rPr>
        <w:t>/</w:t>
      </w:r>
      <w:r w:rsidRPr="008A426F">
        <w:rPr>
          <w:rFonts w:ascii="Times New Roman" w:eastAsia="Times New Roman" w:hAnsi="Times New Roman" w:cs="Times New Roman"/>
          <w:bCs/>
          <w:sz w:val="24"/>
          <w:szCs w:val="24"/>
        </w:rPr>
        <w:t>AVC</w:t>
      </w:r>
      <w:r w:rsidRPr="008A426F">
        <w:rPr>
          <w:rFonts w:ascii="Times New Roman" w:eastAsia="Times New Roman" w:hAnsi="Times New Roman" w:cs="Times New Roman"/>
          <w:bCs/>
          <w:sz w:val="24"/>
          <w:szCs w:val="24"/>
          <w:lang w:val="ru-RU"/>
        </w:rPr>
        <w:t xml:space="preserve"> </w:t>
      </w:r>
      <w:r w:rsidRPr="008A426F">
        <w:rPr>
          <w:rFonts w:ascii="Cambria Math" w:eastAsia="Times New Roman" w:hAnsi="Cambria Math" w:cs="Cambria Math"/>
          <w:bCs/>
          <w:sz w:val="24"/>
          <w:szCs w:val="24"/>
          <w:lang w:val="ru-RU"/>
        </w:rPr>
        <w:t>≪</w:t>
      </w:r>
      <w:r w:rsidRPr="008A426F">
        <w:rPr>
          <w:rFonts w:ascii="Times New Roman" w:eastAsia="Times New Roman" w:hAnsi="Times New Roman" w:cs="Times New Roman"/>
          <w:bCs/>
          <w:sz w:val="24"/>
          <w:szCs w:val="24"/>
          <w:lang w:val="ru-RU"/>
        </w:rPr>
        <w:t xml:space="preserve"> 1</w:t>
      </w:r>
      <w:r w:rsidRPr="008A426F">
        <w:rPr>
          <w:rFonts w:ascii="Times New Roman" w:eastAsia="Times New Roman" w:hAnsi="Times New Roman" w:cs="Times New Roman"/>
          <w:sz w:val="24"/>
          <w:szCs w:val="24"/>
          <w:lang w:val="ru-RU"/>
        </w:rPr>
        <w:t xml:space="preserve"> (практически 0), което означава, че запазването на статуквото е икономически неефективно и социално нежелателно. Тези резултати потвърж</w:t>
      </w:r>
      <w:r>
        <w:rPr>
          <w:rFonts w:ascii="Times New Roman" w:eastAsia="Times New Roman" w:hAnsi="Times New Roman" w:cs="Times New Roman"/>
          <w:sz w:val="24"/>
          <w:szCs w:val="24"/>
          <w:lang w:val="ru-RU"/>
        </w:rPr>
        <w:t>дават</w:t>
      </w:r>
      <w:r w:rsidR="00D94B6E">
        <w:rPr>
          <w:rFonts w:ascii="Times New Roman" w:eastAsia="Times New Roman" w:hAnsi="Times New Roman" w:cs="Times New Roman"/>
          <w:sz w:val="24"/>
          <w:szCs w:val="24"/>
          <w:lang w:val="ru-RU"/>
        </w:rPr>
        <w:t>, че</w:t>
      </w:r>
      <w:r w:rsidRPr="008A426F">
        <w:rPr>
          <w:rFonts w:ascii="Times New Roman" w:eastAsia="Times New Roman" w:hAnsi="Times New Roman" w:cs="Times New Roman"/>
          <w:sz w:val="24"/>
          <w:szCs w:val="24"/>
          <w:lang w:val="ru-RU"/>
        </w:rPr>
        <w:t xml:space="preserve"> </w:t>
      </w:r>
      <w:r w:rsidR="00D94B6E">
        <w:rPr>
          <w:rFonts w:ascii="Times New Roman" w:eastAsia="Times New Roman" w:hAnsi="Times New Roman" w:cs="Times New Roman"/>
          <w:sz w:val="24"/>
          <w:szCs w:val="24"/>
          <w:lang w:val="ru-RU"/>
        </w:rPr>
        <w:t>В</w:t>
      </w:r>
      <w:r w:rsidRPr="008A426F">
        <w:rPr>
          <w:rFonts w:ascii="Times New Roman" w:eastAsia="Times New Roman" w:hAnsi="Times New Roman" w:cs="Times New Roman"/>
          <w:sz w:val="24"/>
          <w:szCs w:val="24"/>
          <w:lang w:val="ru-RU"/>
        </w:rPr>
        <w:t xml:space="preserve">ариант 0 „Без действие“ </w:t>
      </w:r>
      <w:r w:rsidRPr="008A426F">
        <w:rPr>
          <w:rFonts w:ascii="Times New Roman" w:eastAsia="Times New Roman" w:hAnsi="Times New Roman" w:cs="Times New Roman"/>
          <w:bCs/>
          <w:sz w:val="24"/>
          <w:szCs w:val="24"/>
          <w:lang w:val="ru-RU"/>
        </w:rPr>
        <w:t>не е атрактивен</w:t>
      </w:r>
      <w:r w:rsidRPr="008A426F">
        <w:rPr>
          <w:rFonts w:ascii="Times New Roman" w:eastAsia="Times New Roman" w:hAnsi="Times New Roman" w:cs="Times New Roman"/>
          <w:sz w:val="24"/>
          <w:szCs w:val="24"/>
          <w:lang w:val="ru-RU"/>
        </w:rPr>
        <w:t>, тъй като води</w:t>
      </w:r>
      <w:r w:rsidRPr="008523A0">
        <w:rPr>
          <w:rFonts w:ascii="Times New Roman" w:eastAsia="Times New Roman" w:hAnsi="Times New Roman" w:cs="Times New Roman"/>
          <w:sz w:val="24"/>
          <w:szCs w:val="24"/>
          <w:lang w:val="ru-RU"/>
        </w:rPr>
        <w:t xml:space="preserve"> до значими загуби</w:t>
      </w:r>
      <w:r w:rsidRPr="008A1F6F">
        <w:rPr>
          <w:rFonts w:ascii="Times New Roman" w:eastAsia="Times New Roman" w:hAnsi="Times New Roman" w:cs="Times New Roman"/>
          <w:sz w:val="24"/>
          <w:szCs w:val="24"/>
        </w:rPr>
        <w:t xml:space="preserve"> от съществуващото състояние.</w:t>
      </w:r>
    </w:p>
    <w:p w14:paraId="33B8984D" w14:textId="77777777" w:rsidR="00CB0A97" w:rsidRPr="009550CE" w:rsidRDefault="00CB0A97" w:rsidP="00CB0A97">
      <w:pPr>
        <w:spacing w:after="0" w:line="240" w:lineRule="auto"/>
        <w:ind w:firstLine="567"/>
        <w:jc w:val="both"/>
        <w:rPr>
          <w:rFonts w:ascii="Times New Roman" w:eastAsia="Times New Roman" w:hAnsi="Times New Roman" w:cs="Times New Roman"/>
          <w:b/>
          <w:sz w:val="24"/>
          <w:szCs w:val="24"/>
        </w:rPr>
      </w:pPr>
      <w:r w:rsidRPr="009550CE">
        <w:rPr>
          <w:rFonts w:ascii="Times New Roman" w:eastAsia="Times New Roman" w:hAnsi="Times New Roman" w:cs="Times New Roman"/>
          <w:b/>
          <w:sz w:val="24"/>
          <w:szCs w:val="24"/>
        </w:rPr>
        <w:t>Вариант 1: „Нерегулаторен“</w:t>
      </w:r>
    </w:p>
    <w:p w14:paraId="4BB7961E" w14:textId="7A1FC88D" w:rsidR="00CB0A97" w:rsidRDefault="00CB0A97" w:rsidP="00CB0A97">
      <w:pPr>
        <w:spacing w:after="0" w:line="240" w:lineRule="auto"/>
        <w:ind w:firstLine="567"/>
        <w:jc w:val="both"/>
        <w:rPr>
          <w:rFonts w:ascii="Times New Roman" w:eastAsia="Times New Roman" w:hAnsi="Times New Roman" w:cs="Times New Roman"/>
          <w:sz w:val="24"/>
          <w:szCs w:val="24"/>
        </w:rPr>
      </w:pPr>
      <w:r w:rsidRPr="008A426F">
        <w:rPr>
          <w:rFonts w:ascii="Times New Roman" w:eastAsia="Times New Roman" w:hAnsi="Times New Roman" w:cs="Times New Roman"/>
          <w:b/>
          <w:bCs/>
          <w:i/>
          <w:sz w:val="24"/>
          <w:szCs w:val="24"/>
        </w:rPr>
        <w:t>Описание на варианта:</w:t>
      </w:r>
      <w:r w:rsidRPr="008A1F6F">
        <w:rPr>
          <w:rFonts w:ascii="Times New Roman" w:eastAsia="Times New Roman" w:hAnsi="Times New Roman" w:cs="Times New Roman"/>
          <w:sz w:val="24"/>
          <w:szCs w:val="24"/>
        </w:rPr>
        <w:t xml:space="preserve"> </w:t>
      </w:r>
      <w:r w:rsidRPr="008A426F">
        <w:rPr>
          <w:rFonts w:ascii="Times New Roman" w:eastAsia="Times New Roman" w:hAnsi="Times New Roman" w:cs="Times New Roman"/>
          <w:bCs/>
          <w:sz w:val="24"/>
          <w:szCs w:val="24"/>
        </w:rPr>
        <w:t>Вариант 1</w:t>
      </w:r>
      <w:r w:rsidRPr="008A426F">
        <w:rPr>
          <w:rFonts w:ascii="Times New Roman" w:eastAsia="Times New Roman" w:hAnsi="Times New Roman" w:cs="Times New Roman"/>
          <w:sz w:val="24"/>
          <w:szCs w:val="24"/>
        </w:rPr>
        <w:t xml:space="preserve"> предвижда </w:t>
      </w:r>
      <w:r w:rsidRPr="008A426F">
        <w:rPr>
          <w:rFonts w:ascii="Times New Roman" w:eastAsia="Times New Roman" w:hAnsi="Times New Roman" w:cs="Times New Roman"/>
          <w:bCs/>
          <w:sz w:val="24"/>
          <w:szCs w:val="24"/>
        </w:rPr>
        <w:t>доброволен подход</w:t>
      </w:r>
      <w:r>
        <w:rPr>
          <w:rFonts w:ascii="Times New Roman" w:eastAsia="Times New Roman" w:hAnsi="Times New Roman" w:cs="Times New Roman"/>
          <w:sz w:val="24"/>
          <w:szCs w:val="24"/>
        </w:rPr>
        <w:t>, при който</w:t>
      </w:r>
      <w:r w:rsidRPr="008A426F">
        <w:rPr>
          <w:rFonts w:ascii="Times New Roman" w:eastAsia="Times New Roman" w:hAnsi="Times New Roman" w:cs="Times New Roman"/>
          <w:sz w:val="24"/>
          <w:szCs w:val="24"/>
        </w:rPr>
        <w:t xml:space="preserve"> вместо приемане на закон, заинтересованите страни (големи търговски вериги, преработватели, производители) се приканват да спазват доброволни </w:t>
      </w:r>
      <w:r w:rsidR="00D94B6E" w:rsidRPr="008A426F">
        <w:rPr>
          <w:rFonts w:ascii="Times New Roman" w:eastAsia="Times New Roman" w:hAnsi="Times New Roman" w:cs="Times New Roman"/>
          <w:sz w:val="24"/>
          <w:szCs w:val="24"/>
        </w:rPr>
        <w:t xml:space="preserve">споразумения </w:t>
      </w:r>
      <w:r w:rsidRPr="008A426F">
        <w:rPr>
          <w:rFonts w:ascii="Times New Roman" w:eastAsia="Times New Roman" w:hAnsi="Times New Roman" w:cs="Times New Roman"/>
          <w:sz w:val="24"/>
          <w:szCs w:val="24"/>
        </w:rPr>
        <w:t>етични кодекси и</w:t>
      </w:r>
      <w:r w:rsidR="00D94B6E">
        <w:rPr>
          <w:rFonts w:ascii="Times New Roman" w:eastAsia="Times New Roman" w:hAnsi="Times New Roman" w:cs="Times New Roman"/>
          <w:sz w:val="24"/>
          <w:szCs w:val="24"/>
        </w:rPr>
        <w:t>ли кодекси</w:t>
      </w:r>
      <w:r w:rsidRPr="008A426F">
        <w:rPr>
          <w:rFonts w:ascii="Times New Roman" w:eastAsia="Times New Roman" w:hAnsi="Times New Roman" w:cs="Times New Roman"/>
          <w:sz w:val="24"/>
          <w:szCs w:val="24"/>
        </w:rPr>
        <w:t xml:space="preserve"> за добри търговски практики. </w:t>
      </w:r>
      <w:r w:rsidR="00D94B6E">
        <w:rPr>
          <w:rFonts w:ascii="Times New Roman" w:eastAsia="Times New Roman" w:hAnsi="Times New Roman" w:cs="Times New Roman"/>
          <w:sz w:val="24"/>
          <w:szCs w:val="24"/>
        </w:rPr>
        <w:t>При тях д</w:t>
      </w:r>
      <w:r w:rsidRPr="008A426F">
        <w:rPr>
          <w:rFonts w:ascii="Times New Roman" w:eastAsia="Times New Roman" w:hAnsi="Times New Roman" w:cs="Times New Roman"/>
          <w:sz w:val="24"/>
          <w:szCs w:val="24"/>
        </w:rPr>
        <w:t xml:space="preserve">ържавата може да играе подпомагаща роля чрез информационни кампании и платформи за диалог, но </w:t>
      </w:r>
      <w:r w:rsidRPr="008A426F">
        <w:rPr>
          <w:rFonts w:ascii="Times New Roman" w:eastAsia="Times New Roman" w:hAnsi="Times New Roman" w:cs="Times New Roman"/>
          <w:bCs/>
          <w:sz w:val="24"/>
          <w:szCs w:val="24"/>
        </w:rPr>
        <w:t>не въвежда задължителни правила</w:t>
      </w:r>
      <w:r w:rsidRPr="008A426F">
        <w:rPr>
          <w:rFonts w:ascii="Times New Roman" w:eastAsia="Times New Roman" w:hAnsi="Times New Roman" w:cs="Times New Roman"/>
          <w:sz w:val="24"/>
          <w:szCs w:val="24"/>
        </w:rPr>
        <w:t xml:space="preserve">. Този подход разчита на саморегулация и морален ангажимент, поради което </w:t>
      </w:r>
      <w:r w:rsidRPr="008A426F">
        <w:rPr>
          <w:rFonts w:ascii="Times New Roman" w:eastAsia="Times New Roman" w:hAnsi="Times New Roman" w:cs="Times New Roman"/>
          <w:bCs/>
          <w:sz w:val="24"/>
          <w:szCs w:val="24"/>
        </w:rPr>
        <w:t>преките административни разходи</w:t>
      </w:r>
      <w:r w:rsidRPr="008A426F">
        <w:rPr>
          <w:rFonts w:ascii="Times New Roman" w:eastAsia="Times New Roman" w:hAnsi="Times New Roman" w:cs="Times New Roman"/>
          <w:sz w:val="24"/>
          <w:szCs w:val="24"/>
        </w:rPr>
        <w:t xml:space="preserve"> са минимални. </w:t>
      </w:r>
      <w:r>
        <w:rPr>
          <w:rFonts w:ascii="Times New Roman" w:eastAsia="Times New Roman" w:hAnsi="Times New Roman" w:cs="Times New Roman"/>
          <w:sz w:val="24"/>
          <w:szCs w:val="24"/>
        </w:rPr>
        <w:t>Държавата</w:t>
      </w:r>
      <w:r w:rsidRPr="008A426F">
        <w:rPr>
          <w:rFonts w:ascii="Times New Roman" w:eastAsia="Times New Roman" w:hAnsi="Times New Roman" w:cs="Times New Roman"/>
          <w:sz w:val="24"/>
          <w:szCs w:val="24"/>
        </w:rPr>
        <w:t xml:space="preserve"> няма да създава нови структури или регистри, нито да извършва активен контрол</w:t>
      </w:r>
      <w:r w:rsidR="001B7CA8">
        <w:rPr>
          <w:rFonts w:ascii="Times New Roman" w:eastAsia="Times New Roman" w:hAnsi="Times New Roman" w:cs="Times New Roman"/>
          <w:sz w:val="24"/>
          <w:szCs w:val="24"/>
        </w:rPr>
        <w:t>.</w:t>
      </w:r>
      <w:r w:rsidRPr="008A426F">
        <w:rPr>
          <w:rFonts w:ascii="Times New Roman" w:eastAsia="Times New Roman" w:hAnsi="Times New Roman" w:cs="Times New Roman"/>
          <w:sz w:val="24"/>
          <w:szCs w:val="24"/>
        </w:rPr>
        <w:t xml:space="preserve"> </w:t>
      </w:r>
      <w:r w:rsidR="001B7CA8">
        <w:rPr>
          <w:rFonts w:ascii="Times New Roman" w:eastAsia="Times New Roman" w:hAnsi="Times New Roman" w:cs="Times New Roman"/>
          <w:sz w:val="24"/>
          <w:szCs w:val="24"/>
        </w:rPr>
        <w:t>Е</w:t>
      </w:r>
      <w:r w:rsidRPr="008A426F">
        <w:rPr>
          <w:rFonts w:ascii="Times New Roman" w:eastAsia="Times New Roman" w:hAnsi="Times New Roman" w:cs="Times New Roman"/>
          <w:sz w:val="24"/>
          <w:szCs w:val="24"/>
        </w:rPr>
        <w:t>вентуалните разходи се изчерпват с организиране на срещи, изготвяне на кодекс</w:t>
      </w:r>
      <w:r w:rsidR="00D94B6E">
        <w:rPr>
          <w:rFonts w:ascii="Times New Roman" w:eastAsia="Times New Roman" w:hAnsi="Times New Roman" w:cs="Times New Roman"/>
          <w:sz w:val="24"/>
          <w:szCs w:val="24"/>
        </w:rPr>
        <w:t>и</w:t>
      </w:r>
      <w:r w:rsidRPr="008A426F">
        <w:rPr>
          <w:rFonts w:ascii="Times New Roman" w:eastAsia="Times New Roman" w:hAnsi="Times New Roman" w:cs="Times New Roman"/>
          <w:sz w:val="24"/>
          <w:szCs w:val="24"/>
        </w:rPr>
        <w:t xml:space="preserve"> и публичност.</w:t>
      </w:r>
    </w:p>
    <w:p w14:paraId="5D06D610" w14:textId="49BB00A6" w:rsidR="00CB0A97" w:rsidRDefault="00CB0A97" w:rsidP="00CB0A97">
      <w:pPr>
        <w:spacing w:after="0" w:line="240" w:lineRule="auto"/>
        <w:ind w:firstLine="567"/>
        <w:jc w:val="both"/>
        <w:rPr>
          <w:rFonts w:ascii="Times New Roman" w:eastAsia="Times New Roman" w:hAnsi="Times New Roman" w:cs="Times New Roman"/>
          <w:sz w:val="24"/>
          <w:szCs w:val="24"/>
          <w:lang w:val="ru-RU"/>
        </w:rPr>
      </w:pPr>
      <w:r w:rsidRPr="008A426F">
        <w:rPr>
          <w:rFonts w:ascii="Times New Roman" w:eastAsia="Times New Roman" w:hAnsi="Times New Roman" w:cs="Times New Roman"/>
          <w:b/>
          <w:bCs/>
          <w:i/>
          <w:sz w:val="24"/>
          <w:szCs w:val="24"/>
        </w:rPr>
        <w:t>Компоненти на разходите:</w:t>
      </w:r>
      <w:r w:rsidRPr="00004D34">
        <w:rPr>
          <w:rFonts w:ascii="Times New Roman" w:eastAsia="Times New Roman" w:hAnsi="Times New Roman" w:cs="Times New Roman"/>
          <w:sz w:val="24"/>
          <w:szCs w:val="24"/>
        </w:rPr>
        <w:t xml:space="preserve"> </w:t>
      </w:r>
      <w:r w:rsidR="00D94B6E">
        <w:rPr>
          <w:rFonts w:ascii="Times New Roman" w:eastAsia="Times New Roman" w:hAnsi="Times New Roman" w:cs="Times New Roman"/>
          <w:sz w:val="24"/>
          <w:szCs w:val="24"/>
        </w:rPr>
        <w:t>т</w:t>
      </w:r>
      <w:r w:rsidR="00D94B6E" w:rsidRPr="008A426F">
        <w:rPr>
          <w:rFonts w:ascii="Times New Roman" w:eastAsia="Times New Roman" w:hAnsi="Times New Roman" w:cs="Times New Roman"/>
          <w:bCs/>
          <w:sz w:val="24"/>
          <w:szCs w:val="24"/>
        </w:rPr>
        <w:t xml:space="preserve">ози </w:t>
      </w:r>
      <w:r w:rsidRPr="008A426F">
        <w:rPr>
          <w:rFonts w:ascii="Times New Roman" w:eastAsia="Times New Roman" w:hAnsi="Times New Roman" w:cs="Times New Roman"/>
          <w:bCs/>
          <w:sz w:val="24"/>
          <w:szCs w:val="24"/>
        </w:rPr>
        <w:t>вариант практически не натоварва бюджета на МЗХ с допълнителни разходи</w:t>
      </w:r>
      <w:r w:rsidR="001B7CA8">
        <w:rPr>
          <w:rFonts w:ascii="Times New Roman" w:eastAsia="Times New Roman" w:hAnsi="Times New Roman" w:cs="Times New Roman"/>
          <w:sz w:val="24"/>
          <w:szCs w:val="24"/>
        </w:rPr>
        <w:t>. О</w:t>
      </w:r>
      <w:r w:rsidRPr="008A426F">
        <w:rPr>
          <w:rFonts w:ascii="Times New Roman" w:eastAsia="Times New Roman" w:hAnsi="Times New Roman" w:cs="Times New Roman"/>
          <w:sz w:val="24"/>
          <w:szCs w:val="24"/>
        </w:rPr>
        <w:t xml:space="preserve">чаква се </w:t>
      </w:r>
      <w:r w:rsidRPr="008A426F">
        <w:rPr>
          <w:rFonts w:ascii="Times New Roman" w:eastAsia="Times New Roman" w:hAnsi="Times New Roman" w:cs="Times New Roman"/>
          <w:bCs/>
          <w:sz w:val="24"/>
          <w:szCs w:val="24"/>
        </w:rPr>
        <w:t>около 0 лв. регулаторни разходи</w:t>
      </w:r>
      <w:r w:rsidRPr="008A426F">
        <w:rPr>
          <w:rFonts w:ascii="Times New Roman" w:eastAsia="Times New Roman" w:hAnsi="Times New Roman" w:cs="Times New Roman"/>
          <w:sz w:val="24"/>
          <w:szCs w:val="24"/>
        </w:rPr>
        <w:t xml:space="preserve">. </w:t>
      </w:r>
      <w:r w:rsidRPr="008A426F">
        <w:rPr>
          <w:rFonts w:ascii="Times New Roman" w:eastAsia="Times New Roman" w:hAnsi="Times New Roman" w:cs="Times New Roman"/>
          <w:sz w:val="24"/>
          <w:szCs w:val="24"/>
          <w:lang w:val="ru-RU"/>
        </w:rPr>
        <w:t>В бюджета за 2024</w:t>
      </w:r>
      <w:r w:rsidRPr="008A426F">
        <w:rPr>
          <w:rFonts w:ascii="Times New Roman" w:eastAsia="Times New Roman" w:hAnsi="Times New Roman" w:cs="Times New Roman"/>
          <w:sz w:val="24"/>
          <w:szCs w:val="24"/>
        </w:rPr>
        <w:t> </w:t>
      </w:r>
      <w:r w:rsidRPr="008A426F">
        <w:rPr>
          <w:rFonts w:ascii="Times New Roman" w:eastAsia="Times New Roman" w:hAnsi="Times New Roman" w:cs="Times New Roman"/>
          <w:sz w:val="24"/>
          <w:szCs w:val="24"/>
          <w:lang w:val="ru-RU"/>
        </w:rPr>
        <w:t>г. и прогнозата за 2025</w:t>
      </w:r>
      <w:r w:rsidRPr="008A426F">
        <w:rPr>
          <w:rFonts w:ascii="Times New Roman" w:eastAsia="Times New Roman" w:hAnsi="Times New Roman" w:cs="Times New Roman"/>
          <w:sz w:val="24"/>
          <w:szCs w:val="24"/>
        </w:rPr>
        <w:t> </w:t>
      </w:r>
      <w:r w:rsidRPr="008A426F">
        <w:rPr>
          <w:rFonts w:ascii="Times New Roman" w:eastAsia="Times New Roman" w:hAnsi="Times New Roman" w:cs="Times New Roman"/>
          <w:sz w:val="24"/>
          <w:szCs w:val="24"/>
          <w:lang w:val="ru-RU"/>
        </w:rPr>
        <w:t xml:space="preserve">г. няма заложени средства за прилагане на доброволни мерки, извън обичайните дейности на министерството. Може да се приеме, че </w:t>
      </w:r>
      <w:r w:rsidRPr="008A426F">
        <w:rPr>
          <w:rFonts w:ascii="Times New Roman" w:eastAsia="Times New Roman" w:hAnsi="Times New Roman" w:cs="Times New Roman"/>
          <w:bCs/>
          <w:sz w:val="24"/>
          <w:szCs w:val="24"/>
          <w:lang w:val="ru-RU"/>
        </w:rPr>
        <w:t>единствените разходи</w:t>
      </w:r>
      <w:r w:rsidRPr="008A426F">
        <w:rPr>
          <w:rFonts w:ascii="Times New Roman" w:eastAsia="Times New Roman" w:hAnsi="Times New Roman" w:cs="Times New Roman"/>
          <w:sz w:val="24"/>
          <w:szCs w:val="24"/>
          <w:lang w:val="ru-RU"/>
        </w:rPr>
        <w:t xml:space="preserve"> са </w:t>
      </w:r>
      <w:r w:rsidRPr="008A426F">
        <w:rPr>
          <w:rFonts w:ascii="Times New Roman" w:eastAsia="Times New Roman" w:hAnsi="Times New Roman" w:cs="Times New Roman"/>
          <w:bCs/>
          <w:sz w:val="24"/>
          <w:szCs w:val="24"/>
          <w:lang w:val="ru-RU"/>
        </w:rPr>
        <w:t>малки (неколкостотин часа труд на експерти)</w:t>
      </w:r>
      <w:r w:rsidRPr="008A426F">
        <w:rPr>
          <w:rFonts w:ascii="Times New Roman" w:eastAsia="Times New Roman" w:hAnsi="Times New Roman" w:cs="Times New Roman"/>
          <w:sz w:val="24"/>
          <w:szCs w:val="24"/>
          <w:lang w:val="ru-RU"/>
        </w:rPr>
        <w:t xml:space="preserve"> за изготвяне и популяризиране на доброволни насоки, което </w:t>
      </w:r>
      <w:r w:rsidRPr="008A426F">
        <w:rPr>
          <w:rFonts w:ascii="Times New Roman" w:eastAsia="Times New Roman" w:hAnsi="Times New Roman" w:cs="Times New Roman"/>
          <w:bCs/>
          <w:sz w:val="24"/>
          <w:szCs w:val="24"/>
          <w:lang w:val="ru-RU"/>
        </w:rPr>
        <w:t>финансово е пренебрежимо малко</w:t>
      </w:r>
      <w:r w:rsidRPr="008A426F">
        <w:rPr>
          <w:rFonts w:ascii="Times New Roman" w:eastAsia="Times New Roman" w:hAnsi="Times New Roman" w:cs="Times New Roman"/>
          <w:sz w:val="24"/>
          <w:szCs w:val="24"/>
          <w:lang w:val="ru-RU"/>
        </w:rPr>
        <w:t xml:space="preserve"> (под 0,1% от бюджета на МЗХ). В </w:t>
      </w:r>
      <w:r>
        <w:rPr>
          <w:rFonts w:ascii="Times New Roman" w:eastAsia="Times New Roman" w:hAnsi="Times New Roman" w:cs="Times New Roman"/>
          <w:sz w:val="24"/>
          <w:szCs w:val="24"/>
          <w:lang w:val="ru-RU"/>
        </w:rPr>
        <w:t>използвания</w:t>
      </w:r>
      <w:r w:rsidRPr="008A426F">
        <w:rPr>
          <w:rFonts w:ascii="Times New Roman" w:eastAsia="Times New Roman" w:hAnsi="Times New Roman" w:cs="Times New Roman"/>
          <w:sz w:val="24"/>
          <w:szCs w:val="24"/>
          <w:lang w:val="ru-RU"/>
        </w:rPr>
        <w:t xml:space="preserve"> количествен модел тези разходи се закръглят към </w:t>
      </w:r>
      <w:r w:rsidRPr="008A426F">
        <w:rPr>
          <w:rFonts w:ascii="Times New Roman" w:eastAsia="Times New Roman" w:hAnsi="Times New Roman" w:cs="Times New Roman"/>
          <w:bCs/>
          <w:sz w:val="24"/>
          <w:szCs w:val="24"/>
          <w:lang w:val="ru-RU"/>
        </w:rPr>
        <w:t>0 хил. лв. ежегодно</w:t>
      </w:r>
      <w:r w:rsidRPr="008A426F">
        <w:rPr>
          <w:rFonts w:ascii="Times New Roman" w:eastAsia="Times New Roman" w:hAnsi="Times New Roman" w:cs="Times New Roman"/>
          <w:sz w:val="24"/>
          <w:szCs w:val="24"/>
          <w:lang w:val="ru-RU"/>
        </w:rPr>
        <w:t xml:space="preserve"> (за 2025</w:t>
      </w:r>
      <w:r w:rsidR="00A37BA3">
        <w:rPr>
          <w:rFonts w:ascii="Times New Roman" w:eastAsia="Times New Roman" w:hAnsi="Times New Roman" w:cs="Times New Roman"/>
          <w:sz w:val="24"/>
          <w:szCs w:val="24"/>
          <w:lang w:val="ru-RU"/>
        </w:rPr>
        <w:t xml:space="preserve"> </w:t>
      </w:r>
      <w:r w:rsidRPr="008A426F">
        <w:rPr>
          <w:rFonts w:ascii="Times New Roman" w:eastAsia="Times New Roman" w:hAnsi="Times New Roman" w:cs="Times New Roman"/>
          <w:sz w:val="24"/>
          <w:szCs w:val="24"/>
          <w:lang w:val="ru-RU"/>
        </w:rPr>
        <w:t>–</w:t>
      </w:r>
      <w:r w:rsidR="00A37BA3">
        <w:rPr>
          <w:rFonts w:ascii="Times New Roman" w:eastAsia="Times New Roman" w:hAnsi="Times New Roman" w:cs="Times New Roman"/>
          <w:sz w:val="24"/>
          <w:szCs w:val="24"/>
          <w:lang w:val="ru-RU"/>
        </w:rPr>
        <w:t xml:space="preserve"> </w:t>
      </w:r>
      <w:r w:rsidRPr="008A426F">
        <w:rPr>
          <w:rFonts w:ascii="Times New Roman" w:eastAsia="Times New Roman" w:hAnsi="Times New Roman" w:cs="Times New Roman"/>
          <w:sz w:val="24"/>
          <w:szCs w:val="24"/>
          <w:lang w:val="ru-RU"/>
        </w:rPr>
        <w:t>2029</w:t>
      </w:r>
      <w:r w:rsidR="00A37BA3">
        <w:rPr>
          <w:rFonts w:ascii="Times New Roman" w:eastAsia="Times New Roman" w:hAnsi="Times New Roman" w:cs="Times New Roman"/>
          <w:sz w:val="24"/>
          <w:szCs w:val="24"/>
          <w:lang w:val="ru-RU"/>
        </w:rPr>
        <w:t xml:space="preserve"> г.</w:t>
      </w:r>
      <w:r w:rsidRPr="008A426F">
        <w:rPr>
          <w:rFonts w:ascii="Times New Roman" w:eastAsia="Times New Roman" w:hAnsi="Times New Roman" w:cs="Times New Roman"/>
          <w:sz w:val="24"/>
          <w:szCs w:val="24"/>
          <w:lang w:val="ru-RU"/>
        </w:rPr>
        <w:t xml:space="preserve">), т.е. </w:t>
      </w:r>
      <w:r w:rsidRPr="008A426F">
        <w:rPr>
          <w:rFonts w:ascii="Times New Roman" w:eastAsia="Times New Roman" w:hAnsi="Times New Roman" w:cs="Times New Roman"/>
          <w:bCs/>
          <w:sz w:val="24"/>
          <w:szCs w:val="24"/>
        </w:rPr>
        <w:t>AVC</w:t>
      </w:r>
      <w:r w:rsidRPr="008A426F">
        <w:rPr>
          <w:rFonts w:ascii="Times New Roman" w:eastAsia="Times New Roman" w:hAnsi="Times New Roman" w:cs="Times New Roman"/>
          <w:bCs/>
          <w:sz w:val="24"/>
          <w:szCs w:val="24"/>
          <w:lang w:val="ru-RU"/>
        </w:rPr>
        <w:t xml:space="preserve"> </w:t>
      </w:r>
      <w:r w:rsidRPr="008A426F">
        <w:rPr>
          <w:rFonts w:ascii="Times New Roman" w:eastAsia="Times New Roman" w:hAnsi="Times New Roman" w:cs="Times New Roman"/>
          <w:bCs/>
          <w:sz w:val="24"/>
          <w:szCs w:val="24"/>
        </w:rPr>
        <w:t>=</w:t>
      </w:r>
      <w:r w:rsidRPr="008A426F">
        <w:rPr>
          <w:rFonts w:ascii="Times New Roman" w:eastAsia="Times New Roman" w:hAnsi="Times New Roman" w:cs="Times New Roman"/>
          <w:bCs/>
          <w:sz w:val="24"/>
          <w:szCs w:val="24"/>
          <w:lang w:val="ru-RU"/>
        </w:rPr>
        <w:t xml:space="preserve"> 0</w:t>
      </w:r>
      <w:r w:rsidRPr="008A426F">
        <w:rPr>
          <w:rFonts w:ascii="Times New Roman" w:eastAsia="Times New Roman" w:hAnsi="Times New Roman" w:cs="Times New Roman"/>
          <w:sz w:val="24"/>
          <w:szCs w:val="24"/>
          <w:lang w:val="ru-RU"/>
        </w:rPr>
        <w:t xml:space="preserve"> за </w:t>
      </w:r>
      <w:r w:rsidR="00D94B6E" w:rsidRPr="008A426F">
        <w:rPr>
          <w:rFonts w:ascii="Times New Roman" w:eastAsia="Times New Roman" w:hAnsi="Times New Roman" w:cs="Times New Roman"/>
          <w:sz w:val="24"/>
          <w:szCs w:val="24"/>
          <w:lang w:val="ru-RU"/>
        </w:rPr>
        <w:t>Вариант</w:t>
      </w:r>
      <w:r w:rsidR="00D94B6E" w:rsidRPr="008A426F">
        <w:rPr>
          <w:rFonts w:ascii="Times New Roman" w:eastAsia="Times New Roman" w:hAnsi="Times New Roman" w:cs="Times New Roman"/>
          <w:sz w:val="24"/>
          <w:szCs w:val="24"/>
        </w:rPr>
        <w:t> </w:t>
      </w:r>
      <w:r w:rsidRPr="008A426F">
        <w:rPr>
          <w:rFonts w:ascii="Times New Roman" w:eastAsia="Times New Roman" w:hAnsi="Times New Roman" w:cs="Times New Roman"/>
          <w:sz w:val="24"/>
          <w:szCs w:val="24"/>
          <w:lang w:val="ru-RU"/>
        </w:rPr>
        <w:t>1.</w:t>
      </w:r>
    </w:p>
    <w:p w14:paraId="6A4F037E" w14:textId="69428665" w:rsidR="00CB0A97" w:rsidRDefault="00CB0A97" w:rsidP="00CB0A97">
      <w:pPr>
        <w:spacing w:after="0" w:line="240" w:lineRule="auto"/>
        <w:ind w:firstLine="567"/>
        <w:jc w:val="both"/>
        <w:rPr>
          <w:rFonts w:ascii="Times New Roman" w:eastAsia="Times New Roman" w:hAnsi="Times New Roman" w:cs="Times New Roman"/>
          <w:sz w:val="24"/>
          <w:szCs w:val="24"/>
          <w:lang w:val="ru-RU"/>
        </w:rPr>
      </w:pPr>
      <w:r w:rsidRPr="008A426F">
        <w:rPr>
          <w:rFonts w:ascii="Times New Roman" w:eastAsia="Times New Roman" w:hAnsi="Times New Roman" w:cs="Times New Roman"/>
          <w:b/>
          <w:bCs/>
          <w:i/>
          <w:sz w:val="24"/>
          <w:szCs w:val="24"/>
          <w:lang w:val="ru-RU"/>
        </w:rPr>
        <w:t>Компоненти на ползите:</w:t>
      </w:r>
      <w:r w:rsidRPr="008523A0">
        <w:rPr>
          <w:rFonts w:ascii="Times New Roman" w:eastAsia="Times New Roman" w:hAnsi="Times New Roman" w:cs="Times New Roman"/>
          <w:sz w:val="24"/>
          <w:szCs w:val="24"/>
          <w:lang w:val="ru-RU"/>
        </w:rPr>
        <w:t xml:space="preserve"> Ползите при доброволния подход са </w:t>
      </w:r>
      <w:r w:rsidRPr="008A426F">
        <w:rPr>
          <w:rFonts w:ascii="Times New Roman" w:eastAsia="Times New Roman" w:hAnsi="Times New Roman" w:cs="Times New Roman"/>
          <w:bCs/>
          <w:sz w:val="24"/>
          <w:szCs w:val="24"/>
          <w:lang w:val="ru-RU"/>
        </w:rPr>
        <w:t>несигурни и по-скоро ограничени</w:t>
      </w:r>
      <w:r w:rsidRPr="008A426F">
        <w:rPr>
          <w:rFonts w:ascii="Times New Roman" w:eastAsia="Times New Roman" w:hAnsi="Times New Roman" w:cs="Times New Roman"/>
          <w:sz w:val="24"/>
          <w:szCs w:val="24"/>
          <w:lang w:val="ru-RU"/>
        </w:rPr>
        <w:t xml:space="preserve">. Поради липса на задължителност, ефектът зависи от добрата воля на големите търговци. Очаква се </w:t>
      </w:r>
      <w:r w:rsidRPr="008A426F">
        <w:rPr>
          <w:rFonts w:ascii="Times New Roman" w:eastAsia="Times New Roman" w:hAnsi="Times New Roman" w:cs="Times New Roman"/>
          <w:bCs/>
          <w:sz w:val="24"/>
          <w:szCs w:val="24"/>
          <w:lang w:val="ru-RU"/>
        </w:rPr>
        <w:t>частично подобрение</w:t>
      </w:r>
      <w:r w:rsidRPr="008A426F">
        <w:rPr>
          <w:rFonts w:ascii="Times New Roman" w:eastAsia="Times New Roman" w:hAnsi="Times New Roman" w:cs="Times New Roman"/>
          <w:sz w:val="24"/>
          <w:szCs w:val="24"/>
          <w:lang w:val="ru-RU"/>
        </w:rPr>
        <w:t xml:space="preserve"> в някои взаимоотношения</w:t>
      </w:r>
      <w:r w:rsidR="00D94B6E">
        <w:rPr>
          <w:rFonts w:ascii="Times New Roman" w:eastAsia="Times New Roman" w:hAnsi="Times New Roman" w:cs="Times New Roman"/>
          <w:sz w:val="24"/>
          <w:szCs w:val="24"/>
          <w:lang w:val="ru-RU"/>
        </w:rPr>
        <w:t>.</w:t>
      </w:r>
      <w:r w:rsidRPr="008A426F">
        <w:rPr>
          <w:rFonts w:ascii="Times New Roman" w:eastAsia="Times New Roman" w:hAnsi="Times New Roman" w:cs="Times New Roman"/>
          <w:sz w:val="24"/>
          <w:szCs w:val="24"/>
          <w:lang w:val="ru-RU"/>
        </w:rPr>
        <w:t xml:space="preserve"> </w:t>
      </w:r>
      <w:r w:rsidR="00D94B6E">
        <w:rPr>
          <w:rFonts w:ascii="Times New Roman" w:eastAsia="Times New Roman" w:hAnsi="Times New Roman" w:cs="Times New Roman"/>
          <w:sz w:val="24"/>
          <w:szCs w:val="24"/>
          <w:lang w:val="ru-RU"/>
        </w:rPr>
        <w:lastRenderedPageBreak/>
        <w:t>Н</w:t>
      </w:r>
      <w:r w:rsidRPr="008A426F">
        <w:rPr>
          <w:rFonts w:ascii="Times New Roman" w:eastAsia="Times New Roman" w:hAnsi="Times New Roman" w:cs="Times New Roman"/>
          <w:sz w:val="24"/>
          <w:szCs w:val="24"/>
          <w:lang w:val="ru-RU"/>
        </w:rPr>
        <w:t xml:space="preserve">апример, отделни вериги биха могли доброволно да съкратят срока на плащане към доставчици или да избягват някои нелоялни практики. </w:t>
      </w:r>
      <w:r w:rsidRPr="008A426F">
        <w:rPr>
          <w:rFonts w:ascii="Times New Roman" w:eastAsia="Times New Roman" w:hAnsi="Times New Roman" w:cs="Times New Roman"/>
          <w:bCs/>
          <w:sz w:val="24"/>
          <w:szCs w:val="24"/>
          <w:lang w:val="ru-RU"/>
        </w:rPr>
        <w:t>Качествени ползи</w:t>
      </w:r>
      <w:r w:rsidRPr="008A426F">
        <w:rPr>
          <w:rFonts w:ascii="Times New Roman" w:eastAsia="Times New Roman" w:hAnsi="Times New Roman" w:cs="Times New Roman"/>
          <w:sz w:val="24"/>
          <w:szCs w:val="24"/>
          <w:lang w:val="ru-RU"/>
        </w:rPr>
        <w:t xml:space="preserve"> биха били </w:t>
      </w:r>
      <w:r w:rsidRPr="008A426F">
        <w:rPr>
          <w:rFonts w:ascii="Times New Roman" w:eastAsia="Times New Roman" w:hAnsi="Times New Roman" w:cs="Times New Roman"/>
          <w:bCs/>
          <w:sz w:val="24"/>
          <w:szCs w:val="24"/>
          <w:lang w:val="ru-RU"/>
        </w:rPr>
        <w:t>повишено доверие и диалог</w:t>
      </w:r>
      <w:r w:rsidRPr="008A426F">
        <w:rPr>
          <w:rFonts w:ascii="Times New Roman" w:eastAsia="Times New Roman" w:hAnsi="Times New Roman" w:cs="Times New Roman"/>
          <w:sz w:val="24"/>
          <w:szCs w:val="24"/>
          <w:lang w:val="ru-RU"/>
        </w:rPr>
        <w:t xml:space="preserve"> между участниците</w:t>
      </w:r>
      <w:r>
        <w:rPr>
          <w:rFonts w:ascii="Times New Roman" w:eastAsia="Times New Roman" w:hAnsi="Times New Roman" w:cs="Times New Roman"/>
          <w:sz w:val="24"/>
          <w:szCs w:val="24"/>
          <w:lang w:val="ru-RU"/>
        </w:rPr>
        <w:t xml:space="preserve"> по веригата на доставки</w:t>
      </w:r>
      <w:r w:rsidRPr="008A426F">
        <w:rPr>
          <w:rFonts w:ascii="Times New Roman" w:eastAsia="Times New Roman" w:hAnsi="Times New Roman" w:cs="Times New Roman"/>
          <w:sz w:val="24"/>
          <w:szCs w:val="24"/>
          <w:lang w:val="ru-RU"/>
        </w:rPr>
        <w:t>. Количествено обаче е реалистично да се предположи</w:t>
      </w:r>
      <w:r>
        <w:rPr>
          <w:rFonts w:ascii="Times New Roman" w:eastAsia="Times New Roman" w:hAnsi="Times New Roman" w:cs="Times New Roman"/>
          <w:sz w:val="24"/>
          <w:szCs w:val="24"/>
          <w:lang w:val="ru-RU"/>
        </w:rPr>
        <w:t>, че</w:t>
      </w:r>
      <w:r w:rsidRPr="008A426F">
        <w:rPr>
          <w:rFonts w:ascii="Times New Roman" w:eastAsia="Times New Roman" w:hAnsi="Times New Roman" w:cs="Times New Roman"/>
          <w:sz w:val="24"/>
          <w:szCs w:val="24"/>
          <w:lang w:val="ru-RU"/>
        </w:rPr>
        <w:t xml:space="preserve"> </w:t>
      </w:r>
      <w:r w:rsidRPr="008A426F">
        <w:rPr>
          <w:rFonts w:ascii="Times New Roman" w:eastAsia="Times New Roman" w:hAnsi="Times New Roman" w:cs="Times New Roman"/>
          <w:bCs/>
          <w:sz w:val="24"/>
          <w:szCs w:val="24"/>
          <w:lang w:val="ru-RU"/>
        </w:rPr>
        <w:t>само малък дял от потенциалните ползи</w:t>
      </w:r>
      <w:r w:rsidRPr="008A426F">
        <w:rPr>
          <w:rFonts w:ascii="Times New Roman" w:eastAsia="Times New Roman" w:hAnsi="Times New Roman" w:cs="Times New Roman"/>
          <w:sz w:val="24"/>
          <w:szCs w:val="24"/>
          <w:lang w:val="ru-RU"/>
        </w:rPr>
        <w:t xml:space="preserve"> на един закон</w:t>
      </w:r>
      <w:r>
        <w:rPr>
          <w:rFonts w:ascii="Times New Roman" w:eastAsia="Times New Roman" w:hAnsi="Times New Roman" w:cs="Times New Roman"/>
          <w:sz w:val="24"/>
          <w:szCs w:val="24"/>
          <w:lang w:val="ru-RU"/>
        </w:rPr>
        <w:t xml:space="preserve"> биха </w:t>
      </w:r>
      <w:r w:rsidR="001B7CA8">
        <w:rPr>
          <w:rFonts w:ascii="Times New Roman" w:eastAsia="Times New Roman" w:hAnsi="Times New Roman" w:cs="Times New Roman"/>
          <w:sz w:val="24"/>
          <w:szCs w:val="24"/>
          <w:lang w:val="ru-RU"/>
        </w:rPr>
        <w:t>с</w:t>
      </w:r>
      <w:r>
        <w:rPr>
          <w:rFonts w:ascii="Times New Roman" w:eastAsia="Times New Roman" w:hAnsi="Times New Roman" w:cs="Times New Roman"/>
          <w:sz w:val="24"/>
          <w:szCs w:val="24"/>
          <w:lang w:val="ru-RU"/>
        </w:rPr>
        <w:t>е постигнали</w:t>
      </w:r>
      <w:r w:rsidRPr="008A426F">
        <w:rPr>
          <w:rFonts w:ascii="Times New Roman" w:eastAsia="Times New Roman" w:hAnsi="Times New Roman" w:cs="Times New Roman"/>
          <w:sz w:val="24"/>
          <w:szCs w:val="24"/>
          <w:lang w:val="ru-RU"/>
        </w:rPr>
        <w:t xml:space="preserve">. Ако </w:t>
      </w:r>
      <w:r w:rsidR="00D94B6E">
        <w:rPr>
          <w:rFonts w:ascii="Times New Roman" w:eastAsia="Times New Roman" w:hAnsi="Times New Roman" w:cs="Times New Roman"/>
          <w:sz w:val="24"/>
          <w:szCs w:val="24"/>
          <w:lang w:val="ru-RU"/>
        </w:rPr>
        <w:t xml:space="preserve">се </w:t>
      </w:r>
      <w:r w:rsidRPr="008A426F">
        <w:rPr>
          <w:rFonts w:ascii="Times New Roman" w:eastAsia="Times New Roman" w:hAnsi="Times New Roman" w:cs="Times New Roman"/>
          <w:sz w:val="24"/>
          <w:szCs w:val="24"/>
          <w:lang w:val="ru-RU"/>
        </w:rPr>
        <w:t xml:space="preserve">приеме, че доброволните мерки постигат около </w:t>
      </w:r>
      <w:r w:rsidRPr="008A426F">
        <w:rPr>
          <w:rFonts w:ascii="Times New Roman" w:eastAsia="Times New Roman" w:hAnsi="Times New Roman" w:cs="Times New Roman"/>
          <w:bCs/>
          <w:sz w:val="24"/>
          <w:szCs w:val="24"/>
          <w:lang w:val="ru-RU"/>
        </w:rPr>
        <w:t>10% от ефекта</w:t>
      </w:r>
      <w:r w:rsidRPr="008A426F">
        <w:rPr>
          <w:rFonts w:ascii="Times New Roman" w:eastAsia="Times New Roman" w:hAnsi="Times New Roman" w:cs="Times New Roman"/>
          <w:sz w:val="24"/>
          <w:szCs w:val="24"/>
          <w:lang w:val="ru-RU"/>
        </w:rPr>
        <w:t xml:space="preserve">, който би имала </w:t>
      </w:r>
      <w:r w:rsidR="00D94B6E">
        <w:rPr>
          <w:rFonts w:ascii="Times New Roman" w:eastAsia="Times New Roman" w:hAnsi="Times New Roman" w:cs="Times New Roman"/>
          <w:sz w:val="24"/>
          <w:szCs w:val="24"/>
          <w:lang w:val="ru-RU"/>
        </w:rPr>
        <w:t xml:space="preserve">една </w:t>
      </w:r>
      <w:r w:rsidRPr="008A426F">
        <w:rPr>
          <w:rFonts w:ascii="Times New Roman" w:eastAsia="Times New Roman" w:hAnsi="Times New Roman" w:cs="Times New Roman"/>
          <w:sz w:val="24"/>
          <w:szCs w:val="24"/>
          <w:lang w:val="ru-RU"/>
        </w:rPr>
        <w:t xml:space="preserve">цялостна специална регулация, то това се равнява на приблизително </w:t>
      </w:r>
      <w:r w:rsidRPr="008A426F">
        <w:rPr>
          <w:rFonts w:ascii="Times New Roman" w:eastAsia="Times New Roman" w:hAnsi="Times New Roman" w:cs="Times New Roman"/>
          <w:bCs/>
          <w:sz w:val="24"/>
          <w:szCs w:val="24"/>
          <w:lang w:val="ru-RU"/>
        </w:rPr>
        <w:t>5</w:t>
      </w:r>
      <w:r w:rsidRPr="008A426F">
        <w:rPr>
          <w:rFonts w:ascii="Times New Roman" w:eastAsia="Times New Roman" w:hAnsi="Times New Roman" w:cs="Times New Roman"/>
          <w:bCs/>
          <w:sz w:val="24"/>
          <w:szCs w:val="24"/>
        </w:rPr>
        <w:t> </w:t>
      </w:r>
      <w:r w:rsidRPr="008A426F">
        <w:rPr>
          <w:rFonts w:ascii="Times New Roman" w:eastAsia="Times New Roman" w:hAnsi="Times New Roman" w:cs="Times New Roman"/>
          <w:bCs/>
          <w:sz w:val="24"/>
          <w:szCs w:val="24"/>
          <w:lang w:val="ru-RU"/>
        </w:rPr>
        <w:t>млн. лв. годишно</w:t>
      </w:r>
      <w:r w:rsidRPr="008A426F">
        <w:rPr>
          <w:rFonts w:ascii="Times New Roman" w:eastAsia="Times New Roman" w:hAnsi="Times New Roman" w:cs="Times New Roman"/>
          <w:sz w:val="24"/>
          <w:szCs w:val="24"/>
          <w:lang w:val="ru-RU"/>
        </w:rPr>
        <w:t xml:space="preserve"> подобрени условия за производителите (10% от </w:t>
      </w:r>
      <w:r w:rsidRPr="008A426F">
        <w:rPr>
          <w:rFonts w:ascii="Times New Roman" w:eastAsia="Times New Roman" w:hAnsi="Times New Roman" w:cs="Times New Roman"/>
          <w:sz w:val="24"/>
          <w:szCs w:val="24"/>
        </w:rPr>
        <w:t xml:space="preserve">около </w:t>
      </w:r>
      <w:r w:rsidRPr="008A426F">
        <w:rPr>
          <w:rFonts w:ascii="Times New Roman" w:eastAsia="Times New Roman" w:hAnsi="Times New Roman" w:cs="Times New Roman"/>
          <w:sz w:val="24"/>
          <w:szCs w:val="24"/>
          <w:lang w:val="ru-RU"/>
        </w:rPr>
        <w:t>50</w:t>
      </w:r>
      <w:r w:rsidRPr="008A426F">
        <w:rPr>
          <w:rFonts w:ascii="Times New Roman" w:eastAsia="Times New Roman" w:hAnsi="Times New Roman" w:cs="Times New Roman"/>
          <w:sz w:val="24"/>
          <w:szCs w:val="24"/>
        </w:rPr>
        <w:t> </w:t>
      </w:r>
      <w:r w:rsidRPr="008A426F">
        <w:rPr>
          <w:rFonts w:ascii="Times New Roman" w:eastAsia="Times New Roman" w:hAnsi="Times New Roman" w:cs="Times New Roman"/>
          <w:sz w:val="24"/>
          <w:szCs w:val="24"/>
          <w:lang w:val="ru-RU"/>
        </w:rPr>
        <w:t>млн. лв./год., които Вариант</w:t>
      </w:r>
      <w:r w:rsidRPr="008A426F">
        <w:rPr>
          <w:rFonts w:ascii="Times New Roman" w:eastAsia="Times New Roman" w:hAnsi="Times New Roman" w:cs="Times New Roman"/>
          <w:sz w:val="24"/>
          <w:szCs w:val="24"/>
        </w:rPr>
        <w:t> </w:t>
      </w:r>
      <w:r w:rsidRPr="008A426F">
        <w:rPr>
          <w:rFonts w:ascii="Times New Roman" w:eastAsia="Times New Roman" w:hAnsi="Times New Roman" w:cs="Times New Roman"/>
          <w:sz w:val="24"/>
          <w:szCs w:val="24"/>
          <w:lang w:val="ru-RU"/>
        </w:rPr>
        <w:t xml:space="preserve">3 би могъл да донесе като допълнителен доход). В отсъствие на по-точни данни, </w:t>
      </w:r>
      <w:r>
        <w:rPr>
          <w:rFonts w:ascii="Times New Roman" w:eastAsia="Times New Roman" w:hAnsi="Times New Roman" w:cs="Times New Roman"/>
          <w:sz w:val="24"/>
          <w:szCs w:val="24"/>
          <w:lang w:val="ru-RU"/>
        </w:rPr>
        <w:t xml:space="preserve">може да се </w:t>
      </w:r>
      <w:r w:rsidRPr="008A426F">
        <w:rPr>
          <w:rFonts w:ascii="Times New Roman" w:eastAsia="Times New Roman" w:hAnsi="Times New Roman" w:cs="Times New Roman"/>
          <w:bCs/>
          <w:sz w:val="24"/>
          <w:szCs w:val="24"/>
          <w:lang w:val="ru-RU"/>
        </w:rPr>
        <w:t>приеме</w:t>
      </w:r>
      <w:r>
        <w:rPr>
          <w:rFonts w:ascii="Times New Roman" w:eastAsia="Times New Roman" w:hAnsi="Times New Roman" w:cs="Times New Roman"/>
          <w:bCs/>
          <w:sz w:val="24"/>
          <w:szCs w:val="24"/>
          <w:lang w:val="ru-RU"/>
        </w:rPr>
        <w:t>, че се очакват</w:t>
      </w:r>
      <w:r w:rsidRPr="008A426F">
        <w:rPr>
          <w:rFonts w:ascii="Times New Roman" w:eastAsia="Times New Roman" w:hAnsi="Times New Roman" w:cs="Times New Roman"/>
          <w:bCs/>
          <w:sz w:val="24"/>
          <w:szCs w:val="24"/>
          <w:lang w:val="ru-RU"/>
        </w:rPr>
        <w:t xml:space="preserve"> 5</w:t>
      </w:r>
      <w:r w:rsidRPr="008A426F">
        <w:rPr>
          <w:rFonts w:ascii="Times New Roman" w:eastAsia="Times New Roman" w:hAnsi="Times New Roman" w:cs="Times New Roman"/>
          <w:bCs/>
          <w:sz w:val="24"/>
          <w:szCs w:val="24"/>
        </w:rPr>
        <w:t> </w:t>
      </w:r>
      <w:r w:rsidRPr="008A426F">
        <w:rPr>
          <w:rFonts w:ascii="Times New Roman" w:eastAsia="Times New Roman" w:hAnsi="Times New Roman" w:cs="Times New Roman"/>
          <w:bCs/>
          <w:sz w:val="24"/>
          <w:szCs w:val="24"/>
          <w:lang w:val="ru-RU"/>
        </w:rPr>
        <w:t>000 хил. лв. годишни ползи</w:t>
      </w:r>
      <w:r w:rsidRPr="008A426F">
        <w:rPr>
          <w:rFonts w:ascii="Times New Roman" w:eastAsia="Times New Roman" w:hAnsi="Times New Roman" w:cs="Times New Roman"/>
          <w:sz w:val="24"/>
          <w:szCs w:val="24"/>
          <w:lang w:val="ru-RU"/>
        </w:rPr>
        <w:t xml:space="preserve"> от нерегулаторния вариант, започвайки от 2025</w:t>
      </w:r>
      <w:r w:rsidRPr="008A426F">
        <w:rPr>
          <w:rFonts w:ascii="Times New Roman" w:eastAsia="Times New Roman" w:hAnsi="Times New Roman" w:cs="Times New Roman"/>
          <w:sz w:val="24"/>
          <w:szCs w:val="24"/>
        </w:rPr>
        <w:t> </w:t>
      </w:r>
      <w:r w:rsidRPr="008A426F">
        <w:rPr>
          <w:rFonts w:ascii="Times New Roman" w:eastAsia="Times New Roman" w:hAnsi="Times New Roman" w:cs="Times New Roman"/>
          <w:sz w:val="24"/>
          <w:szCs w:val="24"/>
          <w:lang w:val="ru-RU"/>
        </w:rPr>
        <w:t>г. (възможно е реално ефектът да се прояви с малко закъснение, но за опростяване се разглежда период 2025</w:t>
      </w:r>
      <w:r w:rsidR="006208E5">
        <w:rPr>
          <w:rFonts w:ascii="Times New Roman" w:eastAsia="Times New Roman" w:hAnsi="Times New Roman" w:cs="Times New Roman"/>
          <w:sz w:val="24"/>
          <w:szCs w:val="24"/>
          <w:lang w:val="ru-RU"/>
        </w:rPr>
        <w:t xml:space="preserve"> </w:t>
      </w:r>
      <w:r w:rsidRPr="008A426F">
        <w:rPr>
          <w:rFonts w:ascii="Times New Roman" w:eastAsia="Times New Roman" w:hAnsi="Times New Roman" w:cs="Times New Roman"/>
          <w:sz w:val="24"/>
          <w:szCs w:val="24"/>
          <w:lang w:val="ru-RU"/>
        </w:rPr>
        <w:t>–</w:t>
      </w:r>
      <w:r w:rsidR="006208E5">
        <w:rPr>
          <w:rFonts w:ascii="Times New Roman" w:eastAsia="Times New Roman" w:hAnsi="Times New Roman" w:cs="Times New Roman"/>
          <w:sz w:val="24"/>
          <w:szCs w:val="24"/>
          <w:lang w:val="ru-RU"/>
        </w:rPr>
        <w:t xml:space="preserve"> </w:t>
      </w:r>
      <w:r w:rsidRPr="008A426F">
        <w:rPr>
          <w:rFonts w:ascii="Times New Roman" w:eastAsia="Times New Roman" w:hAnsi="Times New Roman" w:cs="Times New Roman"/>
          <w:sz w:val="24"/>
          <w:szCs w:val="24"/>
          <w:lang w:val="ru-RU"/>
        </w:rPr>
        <w:t>2029</w:t>
      </w:r>
      <w:r w:rsidR="006208E5">
        <w:rPr>
          <w:rFonts w:ascii="Times New Roman" w:eastAsia="Times New Roman" w:hAnsi="Times New Roman" w:cs="Times New Roman"/>
          <w:sz w:val="24"/>
          <w:szCs w:val="24"/>
          <w:lang w:val="ru-RU"/>
        </w:rPr>
        <w:t xml:space="preserve"> г.</w:t>
      </w:r>
      <w:r w:rsidRPr="008A426F">
        <w:rPr>
          <w:rFonts w:ascii="Times New Roman" w:eastAsia="Times New Roman" w:hAnsi="Times New Roman" w:cs="Times New Roman"/>
          <w:sz w:val="24"/>
          <w:szCs w:val="24"/>
          <w:lang w:val="ru-RU"/>
        </w:rPr>
        <w:t xml:space="preserve"> с еднакви годишни ползи).</w:t>
      </w:r>
    </w:p>
    <w:p w14:paraId="7445F740" w14:textId="5A2E684E" w:rsidR="00CB0A97" w:rsidRDefault="00CB0A97" w:rsidP="00CB0A97">
      <w:pPr>
        <w:spacing w:after="0" w:line="240" w:lineRule="auto"/>
        <w:ind w:firstLine="567"/>
        <w:jc w:val="both"/>
        <w:rPr>
          <w:rFonts w:ascii="Times New Roman" w:eastAsia="Times New Roman" w:hAnsi="Times New Roman" w:cs="Times New Roman"/>
          <w:sz w:val="24"/>
          <w:szCs w:val="24"/>
          <w:lang w:val="ru-RU"/>
        </w:rPr>
      </w:pPr>
      <w:r w:rsidRPr="008A426F">
        <w:rPr>
          <w:rFonts w:ascii="Times New Roman" w:eastAsia="Times New Roman" w:hAnsi="Times New Roman" w:cs="Times New Roman"/>
          <w:b/>
          <w:bCs/>
          <w:i/>
          <w:sz w:val="24"/>
          <w:szCs w:val="24"/>
          <w:lang w:val="ru-RU"/>
        </w:rPr>
        <w:t>Калкулация на настоящите стойности:</w:t>
      </w:r>
      <w:r w:rsidRPr="008523A0">
        <w:rPr>
          <w:rFonts w:ascii="Times New Roman" w:eastAsia="Times New Roman" w:hAnsi="Times New Roman" w:cs="Times New Roman"/>
          <w:sz w:val="24"/>
          <w:szCs w:val="24"/>
          <w:lang w:val="ru-RU"/>
        </w:rPr>
        <w:t xml:space="preserve"> За всяка година до 2029 ползите се дисконтират с 4% </w:t>
      </w:r>
      <w:r w:rsidRPr="008A1F6F">
        <w:rPr>
          <w:rFonts w:ascii="Times New Roman" w:eastAsia="Times New Roman" w:hAnsi="Times New Roman" w:cs="Times New Roman"/>
          <w:sz w:val="24"/>
          <w:szCs w:val="24"/>
        </w:rPr>
        <w:t>(</w:t>
      </w:r>
      <w:r w:rsidRPr="008523A0">
        <w:rPr>
          <w:rFonts w:ascii="Times New Roman" w:eastAsia="Times New Roman" w:hAnsi="Times New Roman" w:cs="Times New Roman"/>
          <w:sz w:val="24"/>
          <w:szCs w:val="24"/>
          <w:lang w:val="ru-RU"/>
        </w:rPr>
        <w:t>Таблица</w:t>
      </w:r>
      <w:r w:rsidRPr="008A1F6F">
        <w:rPr>
          <w:rFonts w:ascii="Times New Roman" w:eastAsia="Times New Roman" w:hAnsi="Times New Roman" w:cs="Times New Roman"/>
          <w:sz w:val="24"/>
          <w:szCs w:val="24"/>
        </w:rPr>
        <w:t> </w:t>
      </w:r>
      <w:r w:rsidR="00D94B6E">
        <w:rPr>
          <w:rFonts w:ascii="Times New Roman" w:eastAsia="Times New Roman" w:hAnsi="Times New Roman" w:cs="Times New Roman"/>
          <w:sz w:val="24"/>
          <w:szCs w:val="24"/>
        </w:rPr>
        <w:t>1</w:t>
      </w:r>
      <w:r w:rsidR="008C0E40">
        <w:rPr>
          <w:rFonts w:ascii="Times New Roman" w:eastAsia="Times New Roman" w:hAnsi="Times New Roman" w:cs="Times New Roman"/>
          <w:sz w:val="24"/>
          <w:szCs w:val="24"/>
        </w:rPr>
        <w:t>4</w:t>
      </w:r>
      <w:r w:rsidRPr="008523A0">
        <w:rPr>
          <w:rFonts w:ascii="Times New Roman" w:eastAsia="Times New Roman" w:hAnsi="Times New Roman" w:cs="Times New Roman"/>
          <w:sz w:val="24"/>
          <w:szCs w:val="24"/>
          <w:lang w:val="ru-RU"/>
        </w:rPr>
        <w:t xml:space="preserve"> показва потоците по години</w:t>
      </w:r>
      <w:r w:rsidRPr="008A1F6F">
        <w:rPr>
          <w:rFonts w:ascii="Times New Roman" w:eastAsia="Times New Roman" w:hAnsi="Times New Roman" w:cs="Times New Roman"/>
          <w:sz w:val="24"/>
          <w:szCs w:val="24"/>
        </w:rPr>
        <w:t>)</w:t>
      </w:r>
      <w:r w:rsidRPr="008523A0">
        <w:rPr>
          <w:rFonts w:ascii="Times New Roman" w:eastAsia="Times New Roman" w:hAnsi="Times New Roman" w:cs="Times New Roman"/>
          <w:sz w:val="24"/>
          <w:szCs w:val="24"/>
          <w:lang w:val="ru-RU"/>
        </w:rPr>
        <w:t>. Например, ползата през 2026</w:t>
      </w:r>
      <w:r w:rsidRPr="008A1F6F">
        <w:rPr>
          <w:rFonts w:ascii="Times New Roman" w:eastAsia="Times New Roman" w:hAnsi="Times New Roman" w:cs="Times New Roman"/>
          <w:sz w:val="24"/>
          <w:szCs w:val="24"/>
        </w:rPr>
        <w:t> </w:t>
      </w:r>
      <w:r w:rsidRPr="008523A0">
        <w:rPr>
          <w:rFonts w:ascii="Times New Roman" w:eastAsia="Times New Roman" w:hAnsi="Times New Roman" w:cs="Times New Roman"/>
          <w:sz w:val="24"/>
          <w:szCs w:val="24"/>
          <w:lang w:val="ru-RU"/>
        </w:rPr>
        <w:t>г. (5</w:t>
      </w:r>
      <w:r w:rsidRPr="008A1F6F">
        <w:rPr>
          <w:rFonts w:ascii="Times New Roman" w:eastAsia="Times New Roman" w:hAnsi="Times New Roman" w:cs="Times New Roman"/>
          <w:sz w:val="24"/>
          <w:szCs w:val="24"/>
        </w:rPr>
        <w:t> </w:t>
      </w:r>
      <w:r w:rsidRPr="008523A0">
        <w:rPr>
          <w:rFonts w:ascii="Times New Roman" w:eastAsia="Times New Roman" w:hAnsi="Times New Roman" w:cs="Times New Roman"/>
          <w:sz w:val="24"/>
          <w:szCs w:val="24"/>
          <w:lang w:val="ru-RU"/>
        </w:rPr>
        <w:t>000 хил. лв.) има настояща стойност 4</w:t>
      </w:r>
      <w:r w:rsidRPr="008A1F6F">
        <w:rPr>
          <w:rFonts w:ascii="Times New Roman" w:eastAsia="Times New Roman" w:hAnsi="Times New Roman" w:cs="Times New Roman"/>
          <w:sz w:val="24"/>
          <w:szCs w:val="24"/>
        </w:rPr>
        <w:t> </w:t>
      </w:r>
      <w:r w:rsidRPr="008523A0">
        <w:rPr>
          <w:rFonts w:ascii="Times New Roman" w:eastAsia="Times New Roman" w:hAnsi="Times New Roman" w:cs="Times New Roman"/>
          <w:sz w:val="24"/>
          <w:szCs w:val="24"/>
          <w:lang w:val="ru-RU"/>
        </w:rPr>
        <w:t>807.7 хил. лв. при дисконтиране (5</w:t>
      </w:r>
      <w:r w:rsidRPr="008A1F6F">
        <w:rPr>
          <w:rFonts w:ascii="Times New Roman" w:eastAsia="Times New Roman" w:hAnsi="Times New Roman" w:cs="Times New Roman"/>
          <w:sz w:val="24"/>
          <w:szCs w:val="24"/>
        </w:rPr>
        <w:t> </w:t>
      </w:r>
      <w:r w:rsidRPr="008523A0">
        <w:rPr>
          <w:rFonts w:ascii="Times New Roman" w:eastAsia="Times New Roman" w:hAnsi="Times New Roman" w:cs="Times New Roman"/>
          <w:sz w:val="24"/>
          <w:szCs w:val="24"/>
          <w:lang w:val="ru-RU"/>
        </w:rPr>
        <w:t>000/(1+0,04)^1), през 2027</w:t>
      </w:r>
      <w:r w:rsidRPr="008A1F6F">
        <w:rPr>
          <w:rFonts w:ascii="Times New Roman" w:eastAsia="Times New Roman" w:hAnsi="Times New Roman" w:cs="Times New Roman"/>
          <w:sz w:val="24"/>
          <w:szCs w:val="24"/>
        </w:rPr>
        <w:t> </w:t>
      </w:r>
      <w:r w:rsidRPr="008523A0">
        <w:rPr>
          <w:rFonts w:ascii="Times New Roman" w:eastAsia="Times New Roman" w:hAnsi="Times New Roman" w:cs="Times New Roman"/>
          <w:sz w:val="24"/>
          <w:szCs w:val="24"/>
          <w:lang w:val="ru-RU"/>
        </w:rPr>
        <w:t>г. – 4</w:t>
      </w:r>
      <w:r w:rsidRPr="008A1F6F">
        <w:rPr>
          <w:rFonts w:ascii="Times New Roman" w:eastAsia="Times New Roman" w:hAnsi="Times New Roman" w:cs="Times New Roman"/>
          <w:sz w:val="24"/>
          <w:szCs w:val="24"/>
        </w:rPr>
        <w:t> </w:t>
      </w:r>
      <w:r w:rsidRPr="008523A0">
        <w:rPr>
          <w:rFonts w:ascii="Times New Roman" w:eastAsia="Times New Roman" w:hAnsi="Times New Roman" w:cs="Times New Roman"/>
          <w:sz w:val="24"/>
          <w:szCs w:val="24"/>
          <w:lang w:val="ru-RU"/>
        </w:rPr>
        <w:t>6</w:t>
      </w:r>
      <w:r w:rsidR="00A37BA3">
        <w:rPr>
          <w:rFonts w:ascii="Times New Roman" w:eastAsia="Times New Roman" w:hAnsi="Times New Roman" w:cs="Times New Roman"/>
          <w:sz w:val="24"/>
          <w:szCs w:val="24"/>
          <w:lang w:val="ru-RU"/>
        </w:rPr>
        <w:t>22</w:t>
      </w:r>
      <w:r w:rsidRPr="008523A0">
        <w:rPr>
          <w:rFonts w:ascii="Times New Roman" w:eastAsia="Times New Roman" w:hAnsi="Times New Roman" w:cs="Times New Roman"/>
          <w:sz w:val="24"/>
          <w:szCs w:val="24"/>
          <w:lang w:val="ru-RU"/>
        </w:rPr>
        <w:t>.8 хил. лв. (делене на (1,04)^2) и т.н. Сумарната настояща стойност на ползите (</w:t>
      </w:r>
      <w:r w:rsidRPr="008A1F6F">
        <w:rPr>
          <w:rFonts w:ascii="Times New Roman" w:eastAsia="Times New Roman" w:hAnsi="Times New Roman" w:cs="Times New Roman"/>
          <w:sz w:val="24"/>
          <w:szCs w:val="24"/>
        </w:rPr>
        <w:t>NPV</w:t>
      </w:r>
      <w:r w:rsidRPr="008523A0">
        <w:rPr>
          <w:rFonts w:ascii="Times New Roman" w:eastAsia="Times New Roman" w:hAnsi="Times New Roman" w:cs="Times New Roman"/>
          <w:sz w:val="24"/>
          <w:szCs w:val="24"/>
          <w:lang w:val="ru-RU"/>
        </w:rPr>
        <w:t xml:space="preserve">, тъй като разходите са нулеви) се получава около </w:t>
      </w:r>
      <w:r w:rsidRPr="008A426F">
        <w:rPr>
          <w:rFonts w:ascii="Times New Roman" w:eastAsia="Times New Roman" w:hAnsi="Times New Roman" w:cs="Times New Roman"/>
          <w:bCs/>
          <w:sz w:val="24"/>
          <w:szCs w:val="24"/>
          <w:lang w:val="ru-RU"/>
        </w:rPr>
        <w:t>23</w:t>
      </w:r>
      <w:r w:rsidRPr="008A426F">
        <w:rPr>
          <w:rFonts w:ascii="Times New Roman" w:eastAsia="Times New Roman" w:hAnsi="Times New Roman" w:cs="Times New Roman"/>
          <w:bCs/>
          <w:sz w:val="24"/>
          <w:szCs w:val="24"/>
        </w:rPr>
        <w:t> </w:t>
      </w:r>
      <w:r w:rsidRPr="008A426F">
        <w:rPr>
          <w:rFonts w:ascii="Times New Roman" w:eastAsia="Times New Roman" w:hAnsi="Times New Roman" w:cs="Times New Roman"/>
          <w:bCs/>
          <w:sz w:val="24"/>
          <w:szCs w:val="24"/>
          <w:lang w:val="ru-RU"/>
        </w:rPr>
        <w:t>150 хил. лв.</w:t>
      </w:r>
      <w:r w:rsidRPr="008523A0">
        <w:rPr>
          <w:rFonts w:ascii="Times New Roman" w:eastAsia="Times New Roman" w:hAnsi="Times New Roman" w:cs="Times New Roman"/>
          <w:sz w:val="24"/>
          <w:szCs w:val="24"/>
          <w:lang w:val="ru-RU"/>
        </w:rPr>
        <w:t xml:space="preserve"> за периода. Това съответства на значително по-малка стойност спрямо Вариант</w:t>
      </w:r>
      <w:r w:rsidRPr="008A1F6F">
        <w:rPr>
          <w:rFonts w:ascii="Times New Roman" w:eastAsia="Times New Roman" w:hAnsi="Times New Roman" w:cs="Times New Roman"/>
          <w:sz w:val="24"/>
          <w:szCs w:val="24"/>
        </w:rPr>
        <w:t> </w:t>
      </w:r>
      <w:r w:rsidRPr="008523A0">
        <w:rPr>
          <w:rFonts w:ascii="Times New Roman" w:eastAsia="Times New Roman" w:hAnsi="Times New Roman" w:cs="Times New Roman"/>
          <w:sz w:val="24"/>
          <w:szCs w:val="24"/>
          <w:lang w:val="ru-RU"/>
        </w:rPr>
        <w:t>3, но все пак положителна.</w:t>
      </w:r>
    </w:p>
    <w:p w14:paraId="6542CABE" w14:textId="77777777" w:rsidR="005015F3" w:rsidRDefault="005015F3" w:rsidP="00CB0A97">
      <w:pPr>
        <w:spacing w:after="0" w:line="240" w:lineRule="auto"/>
        <w:ind w:firstLine="567"/>
        <w:jc w:val="both"/>
        <w:rPr>
          <w:rFonts w:ascii="Times New Roman" w:eastAsia="Times New Roman" w:hAnsi="Times New Roman" w:cs="Times New Roman"/>
          <w:sz w:val="24"/>
          <w:szCs w:val="24"/>
          <w:lang w:val="ru-RU"/>
        </w:rPr>
      </w:pPr>
    </w:p>
    <w:p w14:paraId="4E68BF80" w14:textId="77777777" w:rsidR="005015F3" w:rsidRDefault="005015F3" w:rsidP="00CB0A97">
      <w:pPr>
        <w:spacing w:after="0" w:line="240" w:lineRule="auto"/>
        <w:ind w:firstLine="567"/>
        <w:jc w:val="both"/>
        <w:rPr>
          <w:rFonts w:ascii="Times New Roman" w:eastAsia="Times New Roman" w:hAnsi="Times New Roman" w:cs="Times New Roman"/>
          <w:sz w:val="24"/>
          <w:szCs w:val="24"/>
          <w:lang w:val="ru-RU"/>
        </w:rPr>
      </w:pPr>
    </w:p>
    <w:p w14:paraId="23878198" w14:textId="77777777" w:rsidR="005015F3" w:rsidRDefault="005015F3" w:rsidP="00CB0A97">
      <w:pPr>
        <w:spacing w:after="0" w:line="240" w:lineRule="auto"/>
        <w:ind w:firstLine="567"/>
        <w:jc w:val="both"/>
        <w:rPr>
          <w:rFonts w:ascii="Times New Roman" w:eastAsia="Times New Roman" w:hAnsi="Times New Roman" w:cs="Times New Roman"/>
          <w:sz w:val="24"/>
          <w:szCs w:val="24"/>
          <w:lang w:val="ru-RU"/>
        </w:rPr>
      </w:pPr>
    </w:p>
    <w:p w14:paraId="208373DF" w14:textId="77777777" w:rsidR="005015F3" w:rsidRDefault="005015F3" w:rsidP="00CB0A97">
      <w:pPr>
        <w:spacing w:after="0" w:line="240" w:lineRule="auto"/>
        <w:ind w:firstLine="567"/>
        <w:jc w:val="both"/>
        <w:rPr>
          <w:rFonts w:ascii="Times New Roman" w:eastAsia="Times New Roman" w:hAnsi="Times New Roman" w:cs="Times New Roman"/>
          <w:sz w:val="24"/>
          <w:szCs w:val="24"/>
          <w:lang w:val="ru-RU"/>
        </w:rPr>
      </w:pPr>
    </w:p>
    <w:p w14:paraId="6E00E8B5" w14:textId="77777777" w:rsidR="005015F3" w:rsidRDefault="005015F3" w:rsidP="00CB0A97">
      <w:pPr>
        <w:spacing w:after="0" w:line="240" w:lineRule="auto"/>
        <w:ind w:firstLine="567"/>
        <w:jc w:val="both"/>
        <w:rPr>
          <w:rFonts w:ascii="Times New Roman" w:eastAsia="Times New Roman" w:hAnsi="Times New Roman" w:cs="Times New Roman"/>
          <w:sz w:val="24"/>
          <w:szCs w:val="24"/>
          <w:lang w:val="ru-RU"/>
        </w:rPr>
      </w:pPr>
    </w:p>
    <w:p w14:paraId="33EC5886" w14:textId="77777777" w:rsidR="005015F3" w:rsidRDefault="005015F3" w:rsidP="00CB0A97">
      <w:pPr>
        <w:spacing w:after="0" w:line="240" w:lineRule="auto"/>
        <w:ind w:firstLine="567"/>
        <w:jc w:val="both"/>
        <w:rPr>
          <w:rFonts w:ascii="Times New Roman" w:eastAsia="Times New Roman" w:hAnsi="Times New Roman" w:cs="Times New Roman"/>
          <w:sz w:val="24"/>
          <w:szCs w:val="24"/>
          <w:lang w:val="ru-RU"/>
        </w:rPr>
      </w:pPr>
    </w:p>
    <w:p w14:paraId="3B2B4378" w14:textId="3FEB02F1" w:rsidR="00CB0A97" w:rsidRDefault="00CB0A97" w:rsidP="00E2571A">
      <w:pPr>
        <w:spacing w:after="0" w:line="240" w:lineRule="auto"/>
        <w:ind w:firstLine="567"/>
        <w:jc w:val="both"/>
        <w:rPr>
          <w:rFonts w:ascii="Times New Roman" w:eastAsia="Times New Roman" w:hAnsi="Times New Roman" w:cs="Times New Roman"/>
          <w:b/>
          <w:sz w:val="24"/>
          <w:szCs w:val="24"/>
          <w:lang w:val="ru-RU"/>
        </w:rPr>
      </w:pPr>
      <w:r w:rsidRPr="008523A0">
        <w:rPr>
          <w:rFonts w:ascii="Times New Roman" w:eastAsia="Times New Roman" w:hAnsi="Times New Roman" w:cs="Times New Roman"/>
          <w:b/>
          <w:sz w:val="24"/>
          <w:szCs w:val="24"/>
          <w:lang w:val="ru-RU"/>
        </w:rPr>
        <w:t>Таблица</w:t>
      </w:r>
      <w:r w:rsidR="00D2171D">
        <w:rPr>
          <w:rFonts w:ascii="Times New Roman" w:eastAsia="Times New Roman" w:hAnsi="Times New Roman" w:cs="Times New Roman"/>
          <w:b/>
          <w:sz w:val="24"/>
          <w:szCs w:val="24"/>
          <w:lang w:val="ru-RU"/>
        </w:rPr>
        <w:t xml:space="preserve"> </w:t>
      </w:r>
      <w:r w:rsidR="00D2171D" w:rsidRPr="00D2171D">
        <w:rPr>
          <w:rFonts w:ascii="Times New Roman" w:eastAsia="Times New Roman" w:hAnsi="Times New Roman" w:cs="Times New Roman"/>
          <w:b/>
          <w:sz w:val="24"/>
          <w:szCs w:val="24"/>
        </w:rPr>
        <w:t>№</w:t>
      </w:r>
      <w:r w:rsidRPr="008523A0">
        <w:rPr>
          <w:rFonts w:ascii="Times New Roman" w:eastAsia="Times New Roman" w:hAnsi="Times New Roman" w:cs="Times New Roman"/>
          <w:b/>
          <w:sz w:val="24"/>
          <w:szCs w:val="24"/>
          <w:lang w:val="ru-RU"/>
        </w:rPr>
        <w:t xml:space="preserve"> </w:t>
      </w:r>
      <w:r w:rsidR="00E2571A">
        <w:rPr>
          <w:rFonts w:ascii="Times New Roman" w:eastAsia="Times New Roman" w:hAnsi="Times New Roman" w:cs="Times New Roman"/>
          <w:b/>
          <w:sz w:val="24"/>
          <w:szCs w:val="24"/>
          <w:lang w:val="ru-RU"/>
        </w:rPr>
        <w:t>1</w:t>
      </w:r>
      <w:r w:rsidR="008C0E40">
        <w:rPr>
          <w:rFonts w:ascii="Times New Roman" w:eastAsia="Times New Roman" w:hAnsi="Times New Roman" w:cs="Times New Roman"/>
          <w:b/>
          <w:sz w:val="24"/>
          <w:szCs w:val="24"/>
          <w:lang w:val="ru-RU"/>
        </w:rPr>
        <w:t>4</w:t>
      </w:r>
      <w:r w:rsidRPr="008523A0">
        <w:rPr>
          <w:rFonts w:ascii="Times New Roman" w:eastAsia="Times New Roman" w:hAnsi="Times New Roman" w:cs="Times New Roman"/>
          <w:b/>
          <w:sz w:val="24"/>
          <w:szCs w:val="24"/>
          <w:lang w:val="ru-RU"/>
        </w:rPr>
        <w:t>. Анализ „разходи–ползи“</w:t>
      </w:r>
      <w:r>
        <w:rPr>
          <w:rFonts w:ascii="Times New Roman" w:eastAsia="Times New Roman" w:hAnsi="Times New Roman" w:cs="Times New Roman"/>
          <w:b/>
          <w:sz w:val="24"/>
          <w:szCs w:val="24"/>
        </w:rPr>
        <w:t xml:space="preserve"> </w:t>
      </w:r>
      <w:r w:rsidRPr="008523A0">
        <w:rPr>
          <w:rFonts w:ascii="Times New Roman" w:eastAsia="Times New Roman" w:hAnsi="Times New Roman" w:cs="Times New Roman"/>
          <w:b/>
          <w:sz w:val="24"/>
          <w:szCs w:val="24"/>
          <w:lang w:val="ru-RU"/>
        </w:rPr>
        <w:t xml:space="preserve">на </w:t>
      </w:r>
      <w:r w:rsidRPr="008523A0">
        <w:rPr>
          <w:rFonts w:ascii="Times New Roman" w:eastAsia="Times New Roman" w:hAnsi="Times New Roman" w:cs="Times New Roman"/>
          <w:b/>
          <w:bCs/>
          <w:sz w:val="24"/>
          <w:szCs w:val="24"/>
          <w:lang w:val="ru-RU"/>
        </w:rPr>
        <w:t>Вариант 1</w:t>
      </w:r>
      <w:r w:rsidRPr="008523A0">
        <w:rPr>
          <w:rFonts w:ascii="Times New Roman" w:eastAsia="Times New Roman" w:hAnsi="Times New Roman" w:cs="Times New Roman"/>
          <w:b/>
          <w:sz w:val="24"/>
          <w:szCs w:val="24"/>
          <w:lang w:val="ru-RU"/>
        </w:rPr>
        <w:t xml:space="preserve"> (хил. лв.)</w:t>
      </w:r>
      <w:r w:rsidR="00364174">
        <w:rPr>
          <w:rStyle w:val="FootnoteReference"/>
          <w:rFonts w:ascii="Times New Roman" w:eastAsia="Times New Roman" w:hAnsi="Times New Roman" w:cs="Times New Roman"/>
          <w:b/>
          <w:sz w:val="24"/>
          <w:szCs w:val="24"/>
          <w:lang w:val="ru-RU"/>
        </w:rPr>
        <w:footnoteReference w:id="60"/>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1929"/>
        <w:gridCol w:w="1484"/>
        <w:gridCol w:w="1665"/>
        <w:gridCol w:w="1417"/>
        <w:gridCol w:w="1418"/>
        <w:gridCol w:w="1417"/>
      </w:tblGrid>
      <w:tr w:rsidR="00D9463F" w14:paraId="54A20142" w14:textId="77777777" w:rsidTr="00D9463F">
        <w:tc>
          <w:tcPr>
            <w:tcW w:w="446" w:type="dxa"/>
            <w:shd w:val="clear" w:color="auto" w:fill="BDD6EE" w:themeFill="accent1" w:themeFillTint="66"/>
            <w:vAlign w:val="center"/>
          </w:tcPr>
          <w:p w14:paraId="3ECC7C78" w14:textId="77777777" w:rsidR="00D9463F" w:rsidRPr="00BD7124" w:rsidRDefault="00D9463F" w:rsidP="00D9463F">
            <w:pPr>
              <w:ind w:firstLine="29"/>
              <w:jc w:val="both"/>
              <w:rPr>
                <w:rFonts w:ascii="Times New Roman" w:eastAsia="Times New Roman" w:hAnsi="Times New Roman" w:cs="Times New Roman"/>
                <w:b/>
                <w:bCs/>
                <w:sz w:val="20"/>
                <w:szCs w:val="20"/>
              </w:rPr>
            </w:pPr>
            <w:r w:rsidRPr="00BD7124">
              <w:rPr>
                <w:rFonts w:ascii="Times New Roman" w:eastAsia="Times New Roman" w:hAnsi="Times New Roman" w:cs="Times New Roman"/>
                <w:b/>
                <w:bCs/>
                <w:sz w:val="20"/>
                <w:szCs w:val="20"/>
              </w:rPr>
              <w:t>№</w:t>
            </w:r>
          </w:p>
        </w:tc>
        <w:tc>
          <w:tcPr>
            <w:tcW w:w="1929" w:type="dxa"/>
            <w:shd w:val="clear" w:color="auto" w:fill="BDD6EE" w:themeFill="accent1" w:themeFillTint="66"/>
            <w:vAlign w:val="center"/>
          </w:tcPr>
          <w:p w14:paraId="45CFE3E8" w14:textId="77777777" w:rsidR="00D9463F" w:rsidRPr="00BD7124" w:rsidRDefault="00D9463F" w:rsidP="00D9463F">
            <w:pPr>
              <w:ind w:firstLine="29"/>
              <w:jc w:val="both"/>
              <w:rPr>
                <w:rFonts w:ascii="Times New Roman" w:eastAsia="Times New Roman" w:hAnsi="Times New Roman" w:cs="Times New Roman"/>
                <w:b/>
                <w:bCs/>
                <w:sz w:val="20"/>
                <w:szCs w:val="20"/>
              </w:rPr>
            </w:pPr>
            <w:r w:rsidRPr="00BD7124">
              <w:rPr>
                <w:rFonts w:ascii="Times New Roman" w:eastAsia="Times New Roman" w:hAnsi="Times New Roman" w:cs="Times New Roman"/>
                <w:b/>
                <w:bCs/>
                <w:sz w:val="20"/>
                <w:szCs w:val="20"/>
              </w:rPr>
              <w:t>Променлива</w:t>
            </w:r>
          </w:p>
        </w:tc>
        <w:tc>
          <w:tcPr>
            <w:tcW w:w="1484" w:type="dxa"/>
            <w:shd w:val="clear" w:color="auto" w:fill="BDD6EE" w:themeFill="accent1" w:themeFillTint="66"/>
            <w:vAlign w:val="center"/>
          </w:tcPr>
          <w:p w14:paraId="53670CBA" w14:textId="77777777" w:rsidR="00D9463F" w:rsidRPr="00BD7124" w:rsidRDefault="00D9463F" w:rsidP="00D9463F">
            <w:pPr>
              <w:ind w:firstLine="567"/>
              <w:jc w:val="center"/>
              <w:rPr>
                <w:rFonts w:ascii="Times New Roman" w:eastAsia="Times New Roman" w:hAnsi="Times New Roman" w:cs="Times New Roman"/>
                <w:b/>
                <w:bCs/>
                <w:sz w:val="20"/>
                <w:szCs w:val="20"/>
              </w:rPr>
            </w:pPr>
            <w:r w:rsidRPr="00BD7124">
              <w:rPr>
                <w:rFonts w:ascii="Times New Roman" w:eastAsia="Times New Roman" w:hAnsi="Times New Roman" w:cs="Times New Roman"/>
                <w:b/>
                <w:bCs/>
                <w:sz w:val="20"/>
                <w:szCs w:val="20"/>
              </w:rPr>
              <w:t>2025</w:t>
            </w:r>
          </w:p>
        </w:tc>
        <w:tc>
          <w:tcPr>
            <w:tcW w:w="1665" w:type="dxa"/>
            <w:shd w:val="clear" w:color="auto" w:fill="BDD6EE" w:themeFill="accent1" w:themeFillTint="66"/>
            <w:vAlign w:val="center"/>
          </w:tcPr>
          <w:p w14:paraId="3360266B" w14:textId="77777777" w:rsidR="00D9463F" w:rsidRPr="00BD7124" w:rsidRDefault="00D9463F" w:rsidP="00D9463F">
            <w:pPr>
              <w:ind w:firstLine="567"/>
              <w:jc w:val="center"/>
              <w:rPr>
                <w:rFonts w:ascii="Times New Roman" w:eastAsia="Times New Roman" w:hAnsi="Times New Roman" w:cs="Times New Roman"/>
                <w:b/>
                <w:bCs/>
                <w:sz w:val="20"/>
                <w:szCs w:val="20"/>
              </w:rPr>
            </w:pPr>
            <w:r w:rsidRPr="00BD7124">
              <w:rPr>
                <w:rFonts w:ascii="Times New Roman" w:eastAsia="Times New Roman" w:hAnsi="Times New Roman" w:cs="Times New Roman"/>
                <w:b/>
                <w:bCs/>
                <w:sz w:val="20"/>
                <w:szCs w:val="20"/>
              </w:rPr>
              <w:t>2026</w:t>
            </w:r>
          </w:p>
        </w:tc>
        <w:tc>
          <w:tcPr>
            <w:tcW w:w="1417" w:type="dxa"/>
            <w:shd w:val="clear" w:color="auto" w:fill="BDD6EE" w:themeFill="accent1" w:themeFillTint="66"/>
            <w:vAlign w:val="center"/>
          </w:tcPr>
          <w:p w14:paraId="0AAEB177" w14:textId="77777777" w:rsidR="00D9463F" w:rsidRPr="00BD7124" w:rsidRDefault="00D9463F" w:rsidP="00D9463F">
            <w:pPr>
              <w:ind w:firstLine="567"/>
              <w:jc w:val="center"/>
              <w:rPr>
                <w:rFonts w:ascii="Times New Roman" w:eastAsia="Times New Roman" w:hAnsi="Times New Roman" w:cs="Times New Roman"/>
                <w:b/>
                <w:bCs/>
                <w:sz w:val="20"/>
                <w:szCs w:val="20"/>
              </w:rPr>
            </w:pPr>
            <w:r w:rsidRPr="00BD7124">
              <w:rPr>
                <w:rFonts w:ascii="Times New Roman" w:eastAsia="Times New Roman" w:hAnsi="Times New Roman" w:cs="Times New Roman"/>
                <w:b/>
                <w:bCs/>
                <w:sz w:val="20"/>
                <w:szCs w:val="20"/>
              </w:rPr>
              <w:t>2027</w:t>
            </w:r>
          </w:p>
        </w:tc>
        <w:tc>
          <w:tcPr>
            <w:tcW w:w="1418" w:type="dxa"/>
            <w:shd w:val="clear" w:color="auto" w:fill="BDD6EE" w:themeFill="accent1" w:themeFillTint="66"/>
            <w:vAlign w:val="center"/>
          </w:tcPr>
          <w:p w14:paraId="6ADAC67E" w14:textId="77777777" w:rsidR="00D9463F" w:rsidRPr="00BD7124" w:rsidRDefault="00D9463F" w:rsidP="00D9463F">
            <w:pPr>
              <w:ind w:firstLine="567"/>
              <w:jc w:val="center"/>
              <w:rPr>
                <w:rFonts w:ascii="Times New Roman" w:eastAsia="Times New Roman" w:hAnsi="Times New Roman" w:cs="Times New Roman"/>
                <w:b/>
                <w:bCs/>
                <w:sz w:val="20"/>
                <w:szCs w:val="20"/>
              </w:rPr>
            </w:pPr>
            <w:r w:rsidRPr="00BD7124">
              <w:rPr>
                <w:rFonts w:ascii="Times New Roman" w:eastAsia="Times New Roman" w:hAnsi="Times New Roman" w:cs="Times New Roman"/>
                <w:b/>
                <w:bCs/>
                <w:sz w:val="20"/>
                <w:szCs w:val="20"/>
              </w:rPr>
              <w:t>2028</w:t>
            </w:r>
          </w:p>
        </w:tc>
        <w:tc>
          <w:tcPr>
            <w:tcW w:w="1417" w:type="dxa"/>
            <w:shd w:val="clear" w:color="auto" w:fill="BDD6EE" w:themeFill="accent1" w:themeFillTint="66"/>
            <w:vAlign w:val="center"/>
          </w:tcPr>
          <w:p w14:paraId="65FDCCAD" w14:textId="77777777" w:rsidR="00D9463F" w:rsidRPr="00BD7124" w:rsidRDefault="00D9463F" w:rsidP="00D9463F">
            <w:pPr>
              <w:ind w:firstLine="567"/>
              <w:jc w:val="center"/>
              <w:rPr>
                <w:rFonts w:ascii="Times New Roman" w:eastAsia="Times New Roman" w:hAnsi="Times New Roman" w:cs="Times New Roman"/>
                <w:b/>
                <w:bCs/>
                <w:sz w:val="20"/>
                <w:szCs w:val="20"/>
              </w:rPr>
            </w:pPr>
            <w:r w:rsidRPr="00BD7124">
              <w:rPr>
                <w:rFonts w:ascii="Times New Roman" w:eastAsia="Times New Roman" w:hAnsi="Times New Roman" w:cs="Times New Roman"/>
                <w:b/>
                <w:bCs/>
                <w:sz w:val="20"/>
                <w:szCs w:val="20"/>
              </w:rPr>
              <w:t>2029</w:t>
            </w:r>
          </w:p>
        </w:tc>
      </w:tr>
      <w:tr w:rsidR="00D9463F" w14:paraId="325D12A1" w14:textId="77777777" w:rsidTr="00D9463F">
        <w:tc>
          <w:tcPr>
            <w:tcW w:w="446" w:type="dxa"/>
            <w:shd w:val="clear" w:color="auto" w:fill="BDD6EE" w:themeFill="accent1" w:themeFillTint="66"/>
            <w:vAlign w:val="center"/>
          </w:tcPr>
          <w:p w14:paraId="661716D8" w14:textId="77777777" w:rsidR="00D9463F" w:rsidRPr="00BD7124" w:rsidRDefault="00D9463F" w:rsidP="00D9463F">
            <w:pPr>
              <w:ind w:firstLine="29"/>
              <w:jc w:val="both"/>
              <w:rPr>
                <w:rFonts w:ascii="Times New Roman" w:eastAsia="Times New Roman" w:hAnsi="Times New Roman" w:cs="Times New Roman"/>
                <w:sz w:val="20"/>
                <w:szCs w:val="20"/>
              </w:rPr>
            </w:pPr>
            <w:r w:rsidRPr="00BD7124">
              <w:rPr>
                <w:rFonts w:ascii="Times New Roman" w:eastAsia="Times New Roman" w:hAnsi="Times New Roman" w:cs="Times New Roman"/>
                <w:sz w:val="20"/>
                <w:szCs w:val="20"/>
              </w:rPr>
              <w:t>1.</w:t>
            </w:r>
          </w:p>
        </w:tc>
        <w:tc>
          <w:tcPr>
            <w:tcW w:w="1929" w:type="dxa"/>
            <w:shd w:val="clear" w:color="auto" w:fill="BDD6EE" w:themeFill="accent1" w:themeFillTint="66"/>
            <w:vAlign w:val="center"/>
          </w:tcPr>
          <w:p w14:paraId="1ED43C74" w14:textId="77777777" w:rsidR="00D9463F" w:rsidRPr="008523A0" w:rsidRDefault="00D9463F" w:rsidP="00D9463F">
            <w:pPr>
              <w:jc w:val="both"/>
              <w:rPr>
                <w:rFonts w:ascii="Times New Roman" w:eastAsia="Times New Roman" w:hAnsi="Times New Roman" w:cs="Times New Roman"/>
                <w:sz w:val="20"/>
                <w:szCs w:val="20"/>
                <w:lang w:val="ru-RU"/>
              </w:rPr>
            </w:pPr>
            <w:r w:rsidRPr="008523A0">
              <w:rPr>
                <w:rFonts w:ascii="Times New Roman" w:eastAsia="Times New Roman" w:hAnsi="Times New Roman" w:cs="Times New Roman"/>
                <w:b/>
                <w:bCs/>
                <w:sz w:val="20"/>
                <w:szCs w:val="20"/>
                <w:lang w:val="ru-RU"/>
              </w:rPr>
              <w:t>Съвкупни регулаторни разходи</w:t>
            </w:r>
            <w:r w:rsidRPr="008523A0">
              <w:rPr>
                <w:rFonts w:ascii="Times New Roman" w:eastAsia="Times New Roman" w:hAnsi="Times New Roman" w:cs="Times New Roman"/>
                <w:sz w:val="20"/>
                <w:szCs w:val="20"/>
                <w:lang w:val="ru-RU"/>
              </w:rPr>
              <w:t xml:space="preserve"> (нови разходи за МЗХ и бизнеса)</w:t>
            </w:r>
          </w:p>
        </w:tc>
        <w:tc>
          <w:tcPr>
            <w:tcW w:w="1484" w:type="dxa"/>
            <w:shd w:val="clear" w:color="auto" w:fill="E7E6E6" w:themeFill="background2"/>
            <w:vAlign w:val="center"/>
          </w:tcPr>
          <w:p w14:paraId="4F1FFBC4" w14:textId="77777777" w:rsidR="00D9463F" w:rsidRPr="00BD7124" w:rsidRDefault="00D9463F" w:rsidP="00D9463F">
            <w:pPr>
              <w:ind w:firstLine="567"/>
              <w:jc w:val="center"/>
              <w:rPr>
                <w:rFonts w:ascii="Times New Roman" w:eastAsia="Times New Roman" w:hAnsi="Times New Roman" w:cs="Times New Roman"/>
                <w:sz w:val="20"/>
                <w:szCs w:val="20"/>
              </w:rPr>
            </w:pPr>
            <w:r w:rsidRPr="00BD7124">
              <w:rPr>
                <w:rFonts w:ascii="Times New Roman" w:eastAsia="Times New Roman" w:hAnsi="Times New Roman" w:cs="Times New Roman"/>
                <w:sz w:val="20"/>
                <w:szCs w:val="20"/>
              </w:rPr>
              <w:t>0,0</w:t>
            </w:r>
          </w:p>
        </w:tc>
        <w:tc>
          <w:tcPr>
            <w:tcW w:w="1665" w:type="dxa"/>
            <w:shd w:val="clear" w:color="auto" w:fill="E7E6E6" w:themeFill="background2"/>
            <w:vAlign w:val="center"/>
          </w:tcPr>
          <w:p w14:paraId="190A6EF0" w14:textId="77777777" w:rsidR="00D9463F" w:rsidRPr="00BD7124" w:rsidRDefault="00D9463F" w:rsidP="00D9463F">
            <w:pPr>
              <w:ind w:firstLine="567"/>
              <w:jc w:val="center"/>
              <w:rPr>
                <w:rFonts w:ascii="Times New Roman" w:eastAsia="Times New Roman" w:hAnsi="Times New Roman" w:cs="Times New Roman"/>
                <w:sz w:val="20"/>
                <w:szCs w:val="20"/>
              </w:rPr>
            </w:pPr>
            <w:r w:rsidRPr="00BD7124">
              <w:rPr>
                <w:rFonts w:ascii="Times New Roman" w:eastAsia="Times New Roman" w:hAnsi="Times New Roman" w:cs="Times New Roman"/>
                <w:sz w:val="20"/>
                <w:szCs w:val="20"/>
              </w:rPr>
              <w:t>0,0</w:t>
            </w:r>
          </w:p>
        </w:tc>
        <w:tc>
          <w:tcPr>
            <w:tcW w:w="1417" w:type="dxa"/>
            <w:shd w:val="clear" w:color="auto" w:fill="E7E6E6" w:themeFill="background2"/>
            <w:vAlign w:val="center"/>
          </w:tcPr>
          <w:p w14:paraId="404EB3C5" w14:textId="77777777" w:rsidR="00D9463F" w:rsidRPr="00BD7124" w:rsidRDefault="00D9463F" w:rsidP="00D9463F">
            <w:pPr>
              <w:ind w:firstLine="567"/>
              <w:jc w:val="center"/>
              <w:rPr>
                <w:rFonts w:ascii="Times New Roman" w:eastAsia="Times New Roman" w:hAnsi="Times New Roman" w:cs="Times New Roman"/>
                <w:sz w:val="20"/>
                <w:szCs w:val="20"/>
              </w:rPr>
            </w:pPr>
            <w:r w:rsidRPr="00BD7124">
              <w:rPr>
                <w:rFonts w:ascii="Times New Roman" w:eastAsia="Times New Roman" w:hAnsi="Times New Roman" w:cs="Times New Roman"/>
                <w:sz w:val="20"/>
                <w:szCs w:val="20"/>
              </w:rPr>
              <w:t>0,0</w:t>
            </w:r>
          </w:p>
        </w:tc>
        <w:tc>
          <w:tcPr>
            <w:tcW w:w="1418" w:type="dxa"/>
            <w:shd w:val="clear" w:color="auto" w:fill="E7E6E6" w:themeFill="background2"/>
            <w:vAlign w:val="center"/>
          </w:tcPr>
          <w:p w14:paraId="26536A74" w14:textId="77777777" w:rsidR="00D9463F" w:rsidRPr="00BD7124" w:rsidRDefault="00D9463F" w:rsidP="00D9463F">
            <w:pPr>
              <w:ind w:firstLine="567"/>
              <w:jc w:val="center"/>
              <w:rPr>
                <w:rFonts w:ascii="Times New Roman" w:eastAsia="Times New Roman" w:hAnsi="Times New Roman" w:cs="Times New Roman"/>
                <w:sz w:val="20"/>
                <w:szCs w:val="20"/>
              </w:rPr>
            </w:pPr>
            <w:r w:rsidRPr="00BD7124">
              <w:rPr>
                <w:rFonts w:ascii="Times New Roman" w:eastAsia="Times New Roman" w:hAnsi="Times New Roman" w:cs="Times New Roman"/>
                <w:sz w:val="20"/>
                <w:szCs w:val="20"/>
              </w:rPr>
              <w:t>0,0</w:t>
            </w:r>
          </w:p>
        </w:tc>
        <w:tc>
          <w:tcPr>
            <w:tcW w:w="1417" w:type="dxa"/>
            <w:shd w:val="clear" w:color="auto" w:fill="E7E6E6" w:themeFill="background2"/>
            <w:vAlign w:val="center"/>
          </w:tcPr>
          <w:p w14:paraId="6927AE78" w14:textId="77777777" w:rsidR="00D9463F" w:rsidRPr="00BD7124" w:rsidRDefault="00D9463F" w:rsidP="00D9463F">
            <w:pPr>
              <w:ind w:firstLine="567"/>
              <w:jc w:val="center"/>
              <w:rPr>
                <w:rFonts w:ascii="Times New Roman" w:eastAsia="Times New Roman" w:hAnsi="Times New Roman" w:cs="Times New Roman"/>
                <w:sz w:val="20"/>
                <w:szCs w:val="20"/>
              </w:rPr>
            </w:pPr>
            <w:r w:rsidRPr="00BD7124">
              <w:rPr>
                <w:rFonts w:ascii="Times New Roman" w:eastAsia="Times New Roman" w:hAnsi="Times New Roman" w:cs="Times New Roman"/>
                <w:sz w:val="20"/>
                <w:szCs w:val="20"/>
              </w:rPr>
              <w:t>0,0</w:t>
            </w:r>
          </w:p>
        </w:tc>
      </w:tr>
      <w:tr w:rsidR="00D9463F" w14:paraId="29A4A9B2" w14:textId="77777777" w:rsidTr="00D9463F">
        <w:tc>
          <w:tcPr>
            <w:tcW w:w="446" w:type="dxa"/>
            <w:shd w:val="clear" w:color="auto" w:fill="BDD6EE" w:themeFill="accent1" w:themeFillTint="66"/>
            <w:vAlign w:val="center"/>
          </w:tcPr>
          <w:p w14:paraId="37A06695" w14:textId="77777777" w:rsidR="00D9463F" w:rsidRPr="00BD7124" w:rsidRDefault="00D9463F" w:rsidP="00D9463F">
            <w:pPr>
              <w:ind w:firstLine="29"/>
              <w:jc w:val="both"/>
              <w:rPr>
                <w:rFonts w:ascii="Times New Roman" w:eastAsia="Times New Roman" w:hAnsi="Times New Roman" w:cs="Times New Roman"/>
                <w:sz w:val="20"/>
                <w:szCs w:val="20"/>
              </w:rPr>
            </w:pPr>
            <w:r w:rsidRPr="00BD7124">
              <w:rPr>
                <w:rFonts w:ascii="Times New Roman" w:eastAsia="Times New Roman" w:hAnsi="Times New Roman" w:cs="Times New Roman"/>
                <w:sz w:val="20"/>
                <w:szCs w:val="20"/>
              </w:rPr>
              <w:t>2.</w:t>
            </w:r>
          </w:p>
        </w:tc>
        <w:tc>
          <w:tcPr>
            <w:tcW w:w="1929" w:type="dxa"/>
            <w:shd w:val="clear" w:color="auto" w:fill="BDD6EE" w:themeFill="accent1" w:themeFillTint="66"/>
            <w:vAlign w:val="center"/>
          </w:tcPr>
          <w:p w14:paraId="1F8C2F88" w14:textId="77777777" w:rsidR="00D9463F" w:rsidRPr="008523A0" w:rsidRDefault="00D9463F" w:rsidP="00D9463F">
            <w:pPr>
              <w:ind w:firstLine="29"/>
              <w:jc w:val="both"/>
              <w:rPr>
                <w:rFonts w:ascii="Times New Roman" w:eastAsia="Times New Roman" w:hAnsi="Times New Roman" w:cs="Times New Roman"/>
                <w:sz w:val="20"/>
                <w:szCs w:val="20"/>
                <w:lang w:val="ru-RU"/>
              </w:rPr>
            </w:pPr>
            <w:r w:rsidRPr="008523A0">
              <w:rPr>
                <w:rFonts w:ascii="Times New Roman" w:eastAsia="Times New Roman" w:hAnsi="Times New Roman" w:cs="Times New Roman"/>
                <w:b/>
                <w:bCs/>
                <w:sz w:val="20"/>
                <w:szCs w:val="20"/>
                <w:lang w:val="ru-RU"/>
              </w:rPr>
              <w:t>Настояща стойност на разходите</w:t>
            </w:r>
            <w:r w:rsidRPr="008523A0">
              <w:rPr>
                <w:rFonts w:ascii="Times New Roman" w:eastAsia="Times New Roman" w:hAnsi="Times New Roman" w:cs="Times New Roman"/>
                <w:sz w:val="20"/>
                <w:szCs w:val="20"/>
                <w:lang w:val="ru-RU"/>
              </w:rPr>
              <w:t xml:space="preserve"> (сконтиран р.1, </w:t>
            </w:r>
            <w:r w:rsidRPr="00BD7124">
              <w:rPr>
                <w:rFonts w:ascii="Times New Roman" w:eastAsia="Times New Roman" w:hAnsi="Times New Roman" w:cs="Times New Roman"/>
                <w:sz w:val="20"/>
                <w:szCs w:val="20"/>
              </w:rPr>
              <w:t>r</w:t>
            </w:r>
            <w:r w:rsidRPr="008523A0">
              <w:rPr>
                <w:rFonts w:ascii="Times New Roman" w:eastAsia="Times New Roman" w:hAnsi="Times New Roman" w:cs="Times New Roman"/>
                <w:sz w:val="20"/>
                <w:szCs w:val="20"/>
                <w:lang w:val="ru-RU"/>
              </w:rPr>
              <w:t>=4%)</w:t>
            </w:r>
          </w:p>
        </w:tc>
        <w:tc>
          <w:tcPr>
            <w:tcW w:w="1484" w:type="dxa"/>
            <w:shd w:val="clear" w:color="auto" w:fill="E7E6E6" w:themeFill="background2"/>
            <w:vAlign w:val="center"/>
          </w:tcPr>
          <w:p w14:paraId="6008403B" w14:textId="77777777" w:rsidR="00D9463F" w:rsidRPr="00BD7124" w:rsidRDefault="00D9463F" w:rsidP="00D9463F">
            <w:pPr>
              <w:ind w:firstLine="567"/>
              <w:jc w:val="center"/>
              <w:rPr>
                <w:rFonts w:ascii="Times New Roman" w:eastAsia="Times New Roman" w:hAnsi="Times New Roman" w:cs="Times New Roman"/>
                <w:sz w:val="20"/>
                <w:szCs w:val="20"/>
              </w:rPr>
            </w:pPr>
            <w:r w:rsidRPr="00BD7124">
              <w:rPr>
                <w:rFonts w:ascii="Times New Roman" w:eastAsia="Times New Roman" w:hAnsi="Times New Roman" w:cs="Times New Roman"/>
                <w:sz w:val="20"/>
                <w:szCs w:val="20"/>
              </w:rPr>
              <w:t>0,0</w:t>
            </w:r>
          </w:p>
        </w:tc>
        <w:tc>
          <w:tcPr>
            <w:tcW w:w="1665" w:type="dxa"/>
            <w:shd w:val="clear" w:color="auto" w:fill="E7E6E6" w:themeFill="background2"/>
            <w:vAlign w:val="center"/>
          </w:tcPr>
          <w:p w14:paraId="379510BE" w14:textId="77777777" w:rsidR="00D9463F" w:rsidRPr="00BD7124" w:rsidRDefault="00D9463F" w:rsidP="00D9463F">
            <w:pPr>
              <w:ind w:firstLine="567"/>
              <w:jc w:val="center"/>
              <w:rPr>
                <w:rFonts w:ascii="Times New Roman" w:eastAsia="Times New Roman" w:hAnsi="Times New Roman" w:cs="Times New Roman"/>
                <w:sz w:val="20"/>
                <w:szCs w:val="20"/>
              </w:rPr>
            </w:pPr>
            <w:r w:rsidRPr="00BD7124">
              <w:rPr>
                <w:rFonts w:ascii="Times New Roman" w:eastAsia="Times New Roman" w:hAnsi="Times New Roman" w:cs="Times New Roman"/>
                <w:sz w:val="20"/>
                <w:szCs w:val="20"/>
              </w:rPr>
              <w:t>0,0</w:t>
            </w:r>
          </w:p>
        </w:tc>
        <w:tc>
          <w:tcPr>
            <w:tcW w:w="1417" w:type="dxa"/>
            <w:shd w:val="clear" w:color="auto" w:fill="E7E6E6" w:themeFill="background2"/>
            <w:vAlign w:val="center"/>
          </w:tcPr>
          <w:p w14:paraId="6CB025C8" w14:textId="77777777" w:rsidR="00D9463F" w:rsidRPr="00BD7124" w:rsidRDefault="00D9463F" w:rsidP="00D9463F">
            <w:pPr>
              <w:ind w:firstLine="567"/>
              <w:jc w:val="center"/>
              <w:rPr>
                <w:rFonts w:ascii="Times New Roman" w:eastAsia="Times New Roman" w:hAnsi="Times New Roman" w:cs="Times New Roman"/>
                <w:sz w:val="20"/>
                <w:szCs w:val="20"/>
              </w:rPr>
            </w:pPr>
            <w:r w:rsidRPr="00BD7124">
              <w:rPr>
                <w:rFonts w:ascii="Times New Roman" w:eastAsia="Times New Roman" w:hAnsi="Times New Roman" w:cs="Times New Roman"/>
                <w:sz w:val="20"/>
                <w:szCs w:val="20"/>
              </w:rPr>
              <w:t>0,0</w:t>
            </w:r>
          </w:p>
        </w:tc>
        <w:tc>
          <w:tcPr>
            <w:tcW w:w="1418" w:type="dxa"/>
            <w:shd w:val="clear" w:color="auto" w:fill="E7E6E6" w:themeFill="background2"/>
            <w:vAlign w:val="center"/>
          </w:tcPr>
          <w:p w14:paraId="3CA664EA" w14:textId="77777777" w:rsidR="00D9463F" w:rsidRPr="00BD7124" w:rsidRDefault="00D9463F" w:rsidP="00D9463F">
            <w:pPr>
              <w:ind w:firstLine="567"/>
              <w:jc w:val="center"/>
              <w:rPr>
                <w:rFonts w:ascii="Times New Roman" w:eastAsia="Times New Roman" w:hAnsi="Times New Roman" w:cs="Times New Roman"/>
                <w:sz w:val="20"/>
                <w:szCs w:val="20"/>
              </w:rPr>
            </w:pPr>
            <w:r w:rsidRPr="00BD7124">
              <w:rPr>
                <w:rFonts w:ascii="Times New Roman" w:eastAsia="Times New Roman" w:hAnsi="Times New Roman" w:cs="Times New Roman"/>
                <w:sz w:val="20"/>
                <w:szCs w:val="20"/>
              </w:rPr>
              <w:t>0,0</w:t>
            </w:r>
          </w:p>
        </w:tc>
        <w:tc>
          <w:tcPr>
            <w:tcW w:w="1417" w:type="dxa"/>
            <w:shd w:val="clear" w:color="auto" w:fill="E7E6E6" w:themeFill="background2"/>
            <w:vAlign w:val="center"/>
          </w:tcPr>
          <w:p w14:paraId="567A3734" w14:textId="77777777" w:rsidR="00D9463F" w:rsidRPr="00BD7124" w:rsidRDefault="00D9463F" w:rsidP="00D9463F">
            <w:pPr>
              <w:ind w:firstLine="567"/>
              <w:jc w:val="center"/>
              <w:rPr>
                <w:rFonts w:ascii="Times New Roman" w:eastAsia="Times New Roman" w:hAnsi="Times New Roman" w:cs="Times New Roman"/>
                <w:sz w:val="20"/>
                <w:szCs w:val="20"/>
              </w:rPr>
            </w:pPr>
            <w:r w:rsidRPr="00BD7124">
              <w:rPr>
                <w:rFonts w:ascii="Times New Roman" w:eastAsia="Times New Roman" w:hAnsi="Times New Roman" w:cs="Times New Roman"/>
                <w:sz w:val="20"/>
                <w:szCs w:val="20"/>
              </w:rPr>
              <w:t>0,0</w:t>
            </w:r>
          </w:p>
        </w:tc>
      </w:tr>
      <w:tr w:rsidR="00D9463F" w14:paraId="5AA523F5" w14:textId="77777777" w:rsidTr="00D9463F">
        <w:tc>
          <w:tcPr>
            <w:tcW w:w="446" w:type="dxa"/>
            <w:shd w:val="clear" w:color="auto" w:fill="BDD6EE" w:themeFill="accent1" w:themeFillTint="66"/>
            <w:vAlign w:val="center"/>
          </w:tcPr>
          <w:p w14:paraId="2D0EE968" w14:textId="77777777" w:rsidR="00D9463F" w:rsidRPr="00BD7124" w:rsidRDefault="00D9463F" w:rsidP="00D9463F">
            <w:pPr>
              <w:ind w:firstLine="29"/>
              <w:jc w:val="both"/>
              <w:rPr>
                <w:rFonts w:ascii="Times New Roman" w:eastAsia="Times New Roman" w:hAnsi="Times New Roman" w:cs="Times New Roman"/>
                <w:sz w:val="20"/>
                <w:szCs w:val="20"/>
              </w:rPr>
            </w:pPr>
            <w:r w:rsidRPr="00BD7124">
              <w:rPr>
                <w:rFonts w:ascii="Times New Roman" w:eastAsia="Times New Roman" w:hAnsi="Times New Roman" w:cs="Times New Roman"/>
                <w:sz w:val="20"/>
                <w:szCs w:val="20"/>
              </w:rPr>
              <w:t>3.</w:t>
            </w:r>
          </w:p>
        </w:tc>
        <w:tc>
          <w:tcPr>
            <w:tcW w:w="1929" w:type="dxa"/>
            <w:shd w:val="clear" w:color="auto" w:fill="BDD6EE" w:themeFill="accent1" w:themeFillTint="66"/>
            <w:vAlign w:val="center"/>
          </w:tcPr>
          <w:p w14:paraId="301D0928" w14:textId="77777777" w:rsidR="00D9463F" w:rsidRPr="008523A0" w:rsidRDefault="00D9463F" w:rsidP="00D9463F">
            <w:pPr>
              <w:jc w:val="both"/>
              <w:rPr>
                <w:rFonts w:ascii="Times New Roman" w:eastAsia="Times New Roman" w:hAnsi="Times New Roman" w:cs="Times New Roman"/>
                <w:sz w:val="20"/>
                <w:szCs w:val="20"/>
                <w:lang w:val="ru-RU"/>
              </w:rPr>
            </w:pPr>
            <w:r w:rsidRPr="00BD7124">
              <w:rPr>
                <w:rFonts w:ascii="Times New Roman" w:eastAsia="Times New Roman" w:hAnsi="Times New Roman" w:cs="Times New Roman"/>
                <w:b/>
                <w:bCs/>
                <w:sz w:val="20"/>
                <w:szCs w:val="20"/>
              </w:rPr>
              <w:t>Регулаторни п</w:t>
            </w:r>
            <w:r w:rsidRPr="008523A0">
              <w:rPr>
                <w:rFonts w:ascii="Times New Roman" w:eastAsia="Times New Roman" w:hAnsi="Times New Roman" w:cs="Times New Roman"/>
                <w:b/>
                <w:bCs/>
                <w:sz w:val="20"/>
                <w:szCs w:val="20"/>
                <w:lang w:val="ru-RU"/>
              </w:rPr>
              <w:t>олзи</w:t>
            </w:r>
            <w:r w:rsidRPr="008523A0">
              <w:rPr>
                <w:rFonts w:ascii="Times New Roman" w:eastAsia="Times New Roman" w:hAnsi="Times New Roman" w:cs="Times New Roman"/>
                <w:sz w:val="20"/>
                <w:szCs w:val="20"/>
                <w:lang w:val="ru-RU"/>
              </w:rPr>
              <w:t xml:space="preserve"> (доброволно намаляване на </w:t>
            </w:r>
            <w:r>
              <w:rPr>
                <w:rFonts w:ascii="Times New Roman" w:eastAsia="Times New Roman" w:hAnsi="Times New Roman" w:cs="Times New Roman"/>
                <w:sz w:val="20"/>
                <w:szCs w:val="20"/>
                <w:lang w:val="ru-RU"/>
              </w:rPr>
              <w:lastRenderedPageBreak/>
              <w:t>нелоялните търговски практики</w:t>
            </w:r>
            <w:r w:rsidRPr="008523A0">
              <w:rPr>
                <w:rFonts w:ascii="Times New Roman" w:eastAsia="Times New Roman" w:hAnsi="Times New Roman" w:cs="Times New Roman"/>
                <w:sz w:val="20"/>
                <w:szCs w:val="20"/>
                <w:lang w:val="ru-RU"/>
              </w:rPr>
              <w:t>, по-добри условия за доставчици)</w:t>
            </w:r>
          </w:p>
        </w:tc>
        <w:tc>
          <w:tcPr>
            <w:tcW w:w="1484" w:type="dxa"/>
            <w:shd w:val="clear" w:color="auto" w:fill="E7E6E6" w:themeFill="background2"/>
            <w:vAlign w:val="center"/>
          </w:tcPr>
          <w:p w14:paraId="64F51D38" w14:textId="77777777" w:rsidR="00D9463F" w:rsidRPr="00BD7124" w:rsidRDefault="00D9463F" w:rsidP="00D9463F">
            <w:pPr>
              <w:ind w:firstLine="567"/>
              <w:jc w:val="center"/>
              <w:rPr>
                <w:rFonts w:ascii="Times New Roman" w:eastAsia="Times New Roman" w:hAnsi="Times New Roman" w:cs="Times New Roman"/>
                <w:sz w:val="20"/>
                <w:szCs w:val="20"/>
              </w:rPr>
            </w:pPr>
            <w:r w:rsidRPr="00BD7124">
              <w:rPr>
                <w:rFonts w:ascii="Times New Roman" w:eastAsia="Times New Roman" w:hAnsi="Times New Roman" w:cs="Times New Roman"/>
                <w:sz w:val="20"/>
                <w:szCs w:val="20"/>
              </w:rPr>
              <w:lastRenderedPageBreak/>
              <w:t>5 000,0</w:t>
            </w:r>
          </w:p>
        </w:tc>
        <w:tc>
          <w:tcPr>
            <w:tcW w:w="1665" w:type="dxa"/>
            <w:shd w:val="clear" w:color="auto" w:fill="E7E6E6" w:themeFill="background2"/>
            <w:vAlign w:val="center"/>
          </w:tcPr>
          <w:p w14:paraId="2A6ED772" w14:textId="77777777" w:rsidR="00D9463F" w:rsidRPr="00BD7124" w:rsidRDefault="00D9463F" w:rsidP="00D9463F">
            <w:pPr>
              <w:ind w:firstLine="567"/>
              <w:jc w:val="center"/>
              <w:rPr>
                <w:rFonts w:ascii="Times New Roman" w:eastAsia="Times New Roman" w:hAnsi="Times New Roman" w:cs="Times New Roman"/>
                <w:sz w:val="20"/>
                <w:szCs w:val="20"/>
              </w:rPr>
            </w:pPr>
            <w:r w:rsidRPr="00BD7124">
              <w:rPr>
                <w:rFonts w:ascii="Times New Roman" w:eastAsia="Times New Roman" w:hAnsi="Times New Roman" w:cs="Times New Roman"/>
                <w:sz w:val="20"/>
                <w:szCs w:val="20"/>
              </w:rPr>
              <w:t>5 000,0</w:t>
            </w:r>
          </w:p>
        </w:tc>
        <w:tc>
          <w:tcPr>
            <w:tcW w:w="1417" w:type="dxa"/>
            <w:shd w:val="clear" w:color="auto" w:fill="E7E6E6" w:themeFill="background2"/>
            <w:vAlign w:val="center"/>
          </w:tcPr>
          <w:p w14:paraId="794BEBAE" w14:textId="77777777" w:rsidR="00D9463F" w:rsidRPr="00BD7124" w:rsidRDefault="00D9463F" w:rsidP="00D9463F">
            <w:pPr>
              <w:ind w:firstLine="567"/>
              <w:jc w:val="center"/>
              <w:rPr>
                <w:rFonts w:ascii="Times New Roman" w:eastAsia="Times New Roman" w:hAnsi="Times New Roman" w:cs="Times New Roman"/>
                <w:sz w:val="20"/>
                <w:szCs w:val="20"/>
              </w:rPr>
            </w:pPr>
            <w:r w:rsidRPr="00BD7124">
              <w:rPr>
                <w:rFonts w:ascii="Times New Roman" w:eastAsia="Times New Roman" w:hAnsi="Times New Roman" w:cs="Times New Roman"/>
                <w:sz w:val="20"/>
                <w:szCs w:val="20"/>
              </w:rPr>
              <w:t>5 000,0</w:t>
            </w:r>
          </w:p>
        </w:tc>
        <w:tc>
          <w:tcPr>
            <w:tcW w:w="1418" w:type="dxa"/>
            <w:shd w:val="clear" w:color="auto" w:fill="E7E6E6" w:themeFill="background2"/>
            <w:vAlign w:val="center"/>
          </w:tcPr>
          <w:p w14:paraId="709D660C" w14:textId="77777777" w:rsidR="00D9463F" w:rsidRPr="00BD7124" w:rsidRDefault="00D9463F" w:rsidP="00D9463F">
            <w:pPr>
              <w:ind w:firstLine="567"/>
              <w:jc w:val="center"/>
              <w:rPr>
                <w:rFonts w:ascii="Times New Roman" w:eastAsia="Times New Roman" w:hAnsi="Times New Roman" w:cs="Times New Roman"/>
                <w:sz w:val="20"/>
                <w:szCs w:val="20"/>
              </w:rPr>
            </w:pPr>
            <w:r w:rsidRPr="00BD7124">
              <w:rPr>
                <w:rFonts w:ascii="Times New Roman" w:eastAsia="Times New Roman" w:hAnsi="Times New Roman" w:cs="Times New Roman"/>
                <w:sz w:val="20"/>
                <w:szCs w:val="20"/>
              </w:rPr>
              <w:t>5 000,0</w:t>
            </w:r>
          </w:p>
        </w:tc>
        <w:tc>
          <w:tcPr>
            <w:tcW w:w="1417" w:type="dxa"/>
            <w:shd w:val="clear" w:color="auto" w:fill="E7E6E6" w:themeFill="background2"/>
            <w:vAlign w:val="center"/>
          </w:tcPr>
          <w:p w14:paraId="6160D3AB" w14:textId="77777777" w:rsidR="00D9463F" w:rsidRPr="00BD7124" w:rsidRDefault="00D9463F" w:rsidP="00D9463F">
            <w:pPr>
              <w:ind w:firstLine="567"/>
              <w:jc w:val="center"/>
              <w:rPr>
                <w:rFonts w:ascii="Times New Roman" w:eastAsia="Times New Roman" w:hAnsi="Times New Roman" w:cs="Times New Roman"/>
                <w:sz w:val="20"/>
                <w:szCs w:val="20"/>
              </w:rPr>
            </w:pPr>
            <w:r w:rsidRPr="00BD7124">
              <w:rPr>
                <w:rFonts w:ascii="Times New Roman" w:eastAsia="Times New Roman" w:hAnsi="Times New Roman" w:cs="Times New Roman"/>
                <w:sz w:val="20"/>
                <w:szCs w:val="20"/>
              </w:rPr>
              <w:t>5 000,0</w:t>
            </w:r>
          </w:p>
        </w:tc>
      </w:tr>
      <w:tr w:rsidR="00D9463F" w14:paraId="51BDF70C" w14:textId="77777777" w:rsidTr="00D9463F">
        <w:tc>
          <w:tcPr>
            <w:tcW w:w="446" w:type="dxa"/>
            <w:shd w:val="clear" w:color="auto" w:fill="BDD6EE" w:themeFill="accent1" w:themeFillTint="66"/>
            <w:vAlign w:val="center"/>
          </w:tcPr>
          <w:p w14:paraId="0C6149DF" w14:textId="77777777" w:rsidR="00D9463F" w:rsidRPr="00BD7124" w:rsidRDefault="00D9463F" w:rsidP="00D9463F">
            <w:pPr>
              <w:ind w:firstLine="29"/>
              <w:jc w:val="both"/>
              <w:rPr>
                <w:rFonts w:ascii="Times New Roman" w:eastAsia="Times New Roman" w:hAnsi="Times New Roman" w:cs="Times New Roman"/>
                <w:sz w:val="20"/>
                <w:szCs w:val="20"/>
              </w:rPr>
            </w:pPr>
            <w:r w:rsidRPr="00BD7124">
              <w:rPr>
                <w:rFonts w:ascii="Times New Roman" w:eastAsia="Times New Roman" w:hAnsi="Times New Roman" w:cs="Times New Roman"/>
                <w:sz w:val="20"/>
                <w:szCs w:val="20"/>
              </w:rPr>
              <w:t>4.</w:t>
            </w:r>
          </w:p>
        </w:tc>
        <w:tc>
          <w:tcPr>
            <w:tcW w:w="1929" w:type="dxa"/>
            <w:shd w:val="clear" w:color="auto" w:fill="BDD6EE" w:themeFill="accent1" w:themeFillTint="66"/>
            <w:vAlign w:val="center"/>
          </w:tcPr>
          <w:p w14:paraId="0B5B97A7" w14:textId="77777777" w:rsidR="00D9463F" w:rsidRPr="008523A0" w:rsidRDefault="00D9463F" w:rsidP="00D9463F">
            <w:pPr>
              <w:ind w:firstLine="29"/>
              <w:jc w:val="both"/>
              <w:rPr>
                <w:rFonts w:ascii="Times New Roman" w:eastAsia="Times New Roman" w:hAnsi="Times New Roman" w:cs="Times New Roman"/>
                <w:sz w:val="20"/>
                <w:szCs w:val="20"/>
                <w:lang w:val="ru-RU"/>
              </w:rPr>
            </w:pPr>
            <w:r w:rsidRPr="008523A0">
              <w:rPr>
                <w:rFonts w:ascii="Times New Roman" w:eastAsia="Times New Roman" w:hAnsi="Times New Roman" w:cs="Times New Roman"/>
                <w:b/>
                <w:bCs/>
                <w:sz w:val="20"/>
                <w:szCs w:val="20"/>
                <w:lang w:val="ru-RU"/>
              </w:rPr>
              <w:t xml:space="preserve">Настояща стойност на </w:t>
            </w:r>
            <w:r w:rsidRPr="00BD7124">
              <w:rPr>
                <w:rFonts w:ascii="Times New Roman" w:eastAsia="Times New Roman" w:hAnsi="Times New Roman" w:cs="Times New Roman"/>
                <w:b/>
                <w:bCs/>
                <w:sz w:val="20"/>
                <w:szCs w:val="20"/>
              </w:rPr>
              <w:t xml:space="preserve">регулаторните </w:t>
            </w:r>
            <w:r w:rsidRPr="008523A0">
              <w:rPr>
                <w:rFonts w:ascii="Times New Roman" w:eastAsia="Times New Roman" w:hAnsi="Times New Roman" w:cs="Times New Roman"/>
                <w:b/>
                <w:bCs/>
                <w:sz w:val="20"/>
                <w:szCs w:val="20"/>
                <w:lang w:val="ru-RU"/>
              </w:rPr>
              <w:t>ползи</w:t>
            </w:r>
            <w:r w:rsidRPr="008523A0">
              <w:rPr>
                <w:rFonts w:ascii="Times New Roman" w:eastAsia="Times New Roman" w:hAnsi="Times New Roman" w:cs="Times New Roman"/>
                <w:sz w:val="20"/>
                <w:szCs w:val="20"/>
                <w:lang w:val="ru-RU"/>
              </w:rPr>
              <w:t xml:space="preserve"> (сконтиран р.3, </w:t>
            </w:r>
            <w:r w:rsidRPr="00BD7124">
              <w:rPr>
                <w:rFonts w:ascii="Times New Roman" w:eastAsia="Times New Roman" w:hAnsi="Times New Roman" w:cs="Times New Roman"/>
                <w:sz w:val="20"/>
                <w:szCs w:val="20"/>
              </w:rPr>
              <w:t>r</w:t>
            </w:r>
            <w:r w:rsidRPr="008523A0">
              <w:rPr>
                <w:rFonts w:ascii="Times New Roman" w:eastAsia="Times New Roman" w:hAnsi="Times New Roman" w:cs="Times New Roman"/>
                <w:sz w:val="20"/>
                <w:szCs w:val="20"/>
                <w:lang w:val="ru-RU"/>
              </w:rPr>
              <w:t>=4%)</w:t>
            </w:r>
          </w:p>
        </w:tc>
        <w:tc>
          <w:tcPr>
            <w:tcW w:w="1484" w:type="dxa"/>
            <w:shd w:val="clear" w:color="auto" w:fill="E7E6E6" w:themeFill="background2"/>
            <w:vAlign w:val="center"/>
          </w:tcPr>
          <w:p w14:paraId="53D59884" w14:textId="77777777" w:rsidR="00D9463F" w:rsidRPr="00BD7124" w:rsidRDefault="00D9463F" w:rsidP="00D9463F">
            <w:pPr>
              <w:ind w:firstLine="567"/>
              <w:jc w:val="center"/>
              <w:rPr>
                <w:rFonts w:ascii="Times New Roman" w:eastAsia="Times New Roman" w:hAnsi="Times New Roman" w:cs="Times New Roman"/>
                <w:sz w:val="20"/>
                <w:szCs w:val="20"/>
              </w:rPr>
            </w:pPr>
            <w:r w:rsidRPr="00BD7124">
              <w:rPr>
                <w:rFonts w:ascii="Times New Roman" w:eastAsia="Times New Roman" w:hAnsi="Times New Roman" w:cs="Times New Roman"/>
                <w:sz w:val="20"/>
                <w:szCs w:val="20"/>
              </w:rPr>
              <w:t>5 000,0</w:t>
            </w:r>
          </w:p>
        </w:tc>
        <w:tc>
          <w:tcPr>
            <w:tcW w:w="1665" w:type="dxa"/>
            <w:shd w:val="clear" w:color="auto" w:fill="E7E6E6" w:themeFill="background2"/>
            <w:vAlign w:val="center"/>
          </w:tcPr>
          <w:p w14:paraId="4448D84B" w14:textId="77777777" w:rsidR="00D9463F" w:rsidRPr="00BD7124" w:rsidRDefault="00D9463F" w:rsidP="00D9463F">
            <w:pPr>
              <w:ind w:firstLine="567"/>
              <w:jc w:val="center"/>
              <w:rPr>
                <w:rFonts w:ascii="Times New Roman" w:eastAsia="Times New Roman" w:hAnsi="Times New Roman" w:cs="Times New Roman"/>
                <w:sz w:val="20"/>
                <w:szCs w:val="20"/>
              </w:rPr>
            </w:pPr>
            <w:r w:rsidRPr="00BD7124">
              <w:rPr>
                <w:rFonts w:ascii="Times New Roman" w:eastAsia="Times New Roman" w:hAnsi="Times New Roman" w:cs="Times New Roman"/>
                <w:sz w:val="20"/>
                <w:szCs w:val="20"/>
              </w:rPr>
              <w:t>4 807,7</w:t>
            </w:r>
          </w:p>
        </w:tc>
        <w:tc>
          <w:tcPr>
            <w:tcW w:w="1417" w:type="dxa"/>
            <w:shd w:val="clear" w:color="auto" w:fill="E7E6E6" w:themeFill="background2"/>
            <w:vAlign w:val="center"/>
          </w:tcPr>
          <w:p w14:paraId="399E9501" w14:textId="77777777" w:rsidR="00D9463F" w:rsidRPr="00BD7124" w:rsidRDefault="00D9463F" w:rsidP="00D9463F">
            <w:pPr>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4 622</w:t>
            </w:r>
            <w:r w:rsidRPr="00BD7124">
              <w:rPr>
                <w:rFonts w:ascii="Times New Roman" w:eastAsia="Times New Roman" w:hAnsi="Times New Roman" w:cs="Times New Roman"/>
                <w:sz w:val="20"/>
                <w:szCs w:val="20"/>
              </w:rPr>
              <w:t>,8</w:t>
            </w:r>
          </w:p>
        </w:tc>
        <w:tc>
          <w:tcPr>
            <w:tcW w:w="1418" w:type="dxa"/>
            <w:shd w:val="clear" w:color="auto" w:fill="E7E6E6" w:themeFill="background2"/>
            <w:vAlign w:val="center"/>
          </w:tcPr>
          <w:p w14:paraId="13C72673" w14:textId="77777777" w:rsidR="00D9463F" w:rsidRPr="00BD7124" w:rsidRDefault="00D9463F" w:rsidP="00D9463F">
            <w:pPr>
              <w:ind w:firstLine="567"/>
              <w:jc w:val="center"/>
              <w:rPr>
                <w:rFonts w:ascii="Times New Roman" w:eastAsia="Times New Roman" w:hAnsi="Times New Roman" w:cs="Times New Roman"/>
                <w:sz w:val="20"/>
                <w:szCs w:val="20"/>
              </w:rPr>
            </w:pPr>
            <w:r w:rsidRPr="00BD7124">
              <w:rPr>
                <w:rFonts w:ascii="Times New Roman" w:eastAsia="Times New Roman" w:hAnsi="Times New Roman" w:cs="Times New Roman"/>
                <w:sz w:val="20"/>
                <w:szCs w:val="20"/>
              </w:rPr>
              <w:t>4 44</w:t>
            </w:r>
            <w:r>
              <w:rPr>
                <w:rFonts w:ascii="Times New Roman" w:eastAsia="Times New Roman" w:hAnsi="Times New Roman" w:cs="Times New Roman"/>
                <w:sz w:val="20"/>
                <w:szCs w:val="20"/>
              </w:rPr>
              <w:t>5</w:t>
            </w:r>
            <w:r w:rsidRPr="00BD7124">
              <w:rPr>
                <w:rFonts w:ascii="Times New Roman" w:eastAsia="Times New Roman" w:hAnsi="Times New Roman" w:cs="Times New Roman"/>
                <w:sz w:val="20"/>
                <w:szCs w:val="20"/>
              </w:rPr>
              <w:t>,</w:t>
            </w:r>
            <w:r>
              <w:rPr>
                <w:rFonts w:ascii="Times New Roman" w:eastAsia="Times New Roman" w:hAnsi="Times New Roman" w:cs="Times New Roman"/>
                <w:sz w:val="20"/>
                <w:szCs w:val="20"/>
              </w:rPr>
              <w:t>0</w:t>
            </w:r>
          </w:p>
        </w:tc>
        <w:tc>
          <w:tcPr>
            <w:tcW w:w="1417" w:type="dxa"/>
            <w:shd w:val="clear" w:color="auto" w:fill="E7E6E6" w:themeFill="background2"/>
            <w:vAlign w:val="center"/>
          </w:tcPr>
          <w:p w14:paraId="5A1AD082" w14:textId="77777777" w:rsidR="00D9463F" w:rsidRPr="00BD7124" w:rsidRDefault="00D9463F" w:rsidP="00D9463F">
            <w:pPr>
              <w:ind w:firstLine="567"/>
              <w:jc w:val="center"/>
              <w:rPr>
                <w:rFonts w:ascii="Times New Roman" w:eastAsia="Times New Roman" w:hAnsi="Times New Roman" w:cs="Times New Roman"/>
                <w:sz w:val="20"/>
                <w:szCs w:val="20"/>
              </w:rPr>
            </w:pPr>
            <w:r w:rsidRPr="00BD7124">
              <w:rPr>
                <w:rFonts w:ascii="Times New Roman" w:eastAsia="Times New Roman" w:hAnsi="Times New Roman" w:cs="Times New Roman"/>
                <w:sz w:val="20"/>
                <w:szCs w:val="20"/>
              </w:rPr>
              <w:t>4</w:t>
            </w:r>
            <w:r>
              <w:rPr>
                <w:rFonts w:ascii="Times New Roman" w:eastAsia="Times New Roman" w:hAnsi="Times New Roman" w:cs="Times New Roman"/>
                <w:sz w:val="20"/>
                <w:szCs w:val="20"/>
              </w:rPr>
              <w:t> 274</w:t>
            </w:r>
            <w:r w:rsidRPr="00BD7124">
              <w:rPr>
                <w:rFonts w:ascii="Times New Roman" w:eastAsia="Times New Roman" w:hAnsi="Times New Roman" w:cs="Times New Roman"/>
                <w:sz w:val="20"/>
                <w:szCs w:val="20"/>
              </w:rPr>
              <w:t>,</w:t>
            </w:r>
            <w:r>
              <w:rPr>
                <w:rFonts w:ascii="Times New Roman" w:eastAsia="Times New Roman" w:hAnsi="Times New Roman" w:cs="Times New Roman"/>
                <w:sz w:val="20"/>
                <w:szCs w:val="20"/>
              </w:rPr>
              <w:t>0</w:t>
            </w:r>
          </w:p>
        </w:tc>
      </w:tr>
      <w:tr w:rsidR="00D9463F" w14:paraId="6124DE80" w14:textId="77777777" w:rsidTr="00D9463F">
        <w:tc>
          <w:tcPr>
            <w:tcW w:w="446" w:type="dxa"/>
            <w:shd w:val="clear" w:color="auto" w:fill="BDD6EE" w:themeFill="accent1" w:themeFillTint="66"/>
            <w:vAlign w:val="center"/>
          </w:tcPr>
          <w:p w14:paraId="7FBB6FCE" w14:textId="77777777" w:rsidR="00D9463F" w:rsidRPr="00BD7124" w:rsidRDefault="00D9463F" w:rsidP="00D9463F">
            <w:pPr>
              <w:ind w:firstLine="29"/>
              <w:jc w:val="both"/>
              <w:rPr>
                <w:rFonts w:ascii="Times New Roman" w:eastAsia="Times New Roman" w:hAnsi="Times New Roman" w:cs="Times New Roman"/>
                <w:sz w:val="20"/>
                <w:szCs w:val="20"/>
              </w:rPr>
            </w:pPr>
            <w:r w:rsidRPr="00BD7124">
              <w:rPr>
                <w:rFonts w:ascii="Times New Roman" w:eastAsia="Times New Roman" w:hAnsi="Times New Roman" w:cs="Times New Roman"/>
                <w:sz w:val="20"/>
                <w:szCs w:val="20"/>
              </w:rPr>
              <w:t>5.</w:t>
            </w:r>
          </w:p>
        </w:tc>
        <w:tc>
          <w:tcPr>
            <w:tcW w:w="1929" w:type="dxa"/>
            <w:shd w:val="clear" w:color="auto" w:fill="BDD6EE" w:themeFill="accent1" w:themeFillTint="66"/>
            <w:vAlign w:val="center"/>
          </w:tcPr>
          <w:p w14:paraId="54BD39FB" w14:textId="77777777" w:rsidR="00D9463F" w:rsidRPr="00BD7124" w:rsidRDefault="00D9463F" w:rsidP="00D9463F">
            <w:pPr>
              <w:ind w:firstLine="29"/>
              <w:jc w:val="both"/>
              <w:rPr>
                <w:rFonts w:ascii="Times New Roman" w:eastAsia="Times New Roman" w:hAnsi="Times New Roman" w:cs="Times New Roman"/>
                <w:sz w:val="20"/>
                <w:szCs w:val="20"/>
              </w:rPr>
            </w:pPr>
            <w:r w:rsidRPr="00BD7124">
              <w:rPr>
                <w:rFonts w:ascii="Times New Roman" w:eastAsia="Times New Roman" w:hAnsi="Times New Roman" w:cs="Times New Roman"/>
                <w:b/>
                <w:bCs/>
                <w:sz w:val="20"/>
                <w:szCs w:val="20"/>
              </w:rPr>
              <w:t>Нетна настояща стойност (NPV)</w:t>
            </w:r>
          </w:p>
        </w:tc>
        <w:tc>
          <w:tcPr>
            <w:tcW w:w="1484" w:type="dxa"/>
            <w:shd w:val="clear" w:color="auto" w:fill="E7E6E6" w:themeFill="background2"/>
            <w:vAlign w:val="center"/>
          </w:tcPr>
          <w:p w14:paraId="7A662DAB" w14:textId="77777777" w:rsidR="00D9463F" w:rsidRPr="00BD7124" w:rsidRDefault="00D9463F" w:rsidP="00D9463F">
            <w:pPr>
              <w:ind w:firstLine="567"/>
              <w:jc w:val="center"/>
              <w:rPr>
                <w:rFonts w:ascii="Times New Roman" w:eastAsia="Times New Roman" w:hAnsi="Times New Roman" w:cs="Times New Roman"/>
                <w:sz w:val="20"/>
                <w:szCs w:val="20"/>
              </w:rPr>
            </w:pPr>
            <w:r w:rsidRPr="00BD7124">
              <w:rPr>
                <w:rFonts w:ascii="Times New Roman" w:eastAsia="Times New Roman" w:hAnsi="Times New Roman" w:cs="Times New Roman"/>
                <w:sz w:val="20"/>
                <w:szCs w:val="20"/>
              </w:rPr>
              <w:t>23 1</w:t>
            </w:r>
            <w:r>
              <w:rPr>
                <w:rFonts w:ascii="Times New Roman" w:eastAsia="Times New Roman" w:hAnsi="Times New Roman" w:cs="Times New Roman"/>
                <w:sz w:val="20"/>
                <w:szCs w:val="20"/>
              </w:rPr>
              <w:t>49</w:t>
            </w:r>
            <w:r w:rsidRPr="00BD7124">
              <w:rPr>
                <w:rFonts w:ascii="Times New Roman" w:eastAsia="Times New Roman" w:hAnsi="Times New Roman" w:cs="Times New Roman"/>
                <w:sz w:val="20"/>
                <w:szCs w:val="20"/>
              </w:rPr>
              <w:t>,</w:t>
            </w:r>
            <w:r>
              <w:rPr>
                <w:rFonts w:ascii="Times New Roman" w:eastAsia="Times New Roman" w:hAnsi="Times New Roman" w:cs="Times New Roman"/>
                <w:sz w:val="20"/>
                <w:szCs w:val="20"/>
              </w:rPr>
              <w:t>5</w:t>
            </w:r>
          </w:p>
        </w:tc>
        <w:tc>
          <w:tcPr>
            <w:tcW w:w="1665" w:type="dxa"/>
            <w:shd w:val="clear" w:color="auto" w:fill="E7E6E6" w:themeFill="background2"/>
            <w:vAlign w:val="center"/>
          </w:tcPr>
          <w:p w14:paraId="3CF2F102" w14:textId="77777777" w:rsidR="00D9463F" w:rsidRPr="00BD7124" w:rsidRDefault="00D9463F" w:rsidP="00D9463F">
            <w:pPr>
              <w:jc w:val="center"/>
              <w:rPr>
                <w:rFonts w:ascii="Times New Roman" w:eastAsia="Times New Roman" w:hAnsi="Times New Roman" w:cs="Times New Roman"/>
                <w:sz w:val="20"/>
                <w:szCs w:val="20"/>
              </w:rPr>
            </w:pPr>
            <w:r w:rsidRPr="00BD7124">
              <w:rPr>
                <w:rFonts w:ascii="Times New Roman" w:eastAsia="Times New Roman" w:hAnsi="Times New Roman" w:cs="Times New Roman"/>
                <w:i/>
                <w:iCs/>
                <w:sz w:val="20"/>
                <w:szCs w:val="20"/>
              </w:rPr>
              <w:t>(положителна)</w:t>
            </w:r>
          </w:p>
        </w:tc>
        <w:tc>
          <w:tcPr>
            <w:tcW w:w="1417" w:type="dxa"/>
            <w:shd w:val="clear" w:color="auto" w:fill="E7E6E6" w:themeFill="background2"/>
            <w:vAlign w:val="center"/>
          </w:tcPr>
          <w:p w14:paraId="4F14A52E" w14:textId="77777777" w:rsidR="00D9463F" w:rsidRPr="00BD7124" w:rsidRDefault="00D9463F" w:rsidP="00D9463F">
            <w:pPr>
              <w:ind w:firstLine="567"/>
              <w:jc w:val="center"/>
              <w:rPr>
                <w:rFonts w:ascii="Times New Roman" w:eastAsia="Times New Roman" w:hAnsi="Times New Roman" w:cs="Times New Roman"/>
                <w:sz w:val="20"/>
                <w:szCs w:val="20"/>
              </w:rPr>
            </w:pPr>
          </w:p>
        </w:tc>
        <w:tc>
          <w:tcPr>
            <w:tcW w:w="1418" w:type="dxa"/>
            <w:shd w:val="clear" w:color="auto" w:fill="E7E6E6" w:themeFill="background2"/>
            <w:vAlign w:val="center"/>
          </w:tcPr>
          <w:p w14:paraId="6611AC2D" w14:textId="77777777" w:rsidR="00D9463F" w:rsidRPr="00BD7124" w:rsidRDefault="00D9463F" w:rsidP="00D9463F">
            <w:pPr>
              <w:ind w:firstLine="567"/>
              <w:jc w:val="center"/>
              <w:rPr>
                <w:rFonts w:ascii="Times New Roman" w:eastAsia="Times New Roman" w:hAnsi="Times New Roman" w:cs="Times New Roman"/>
                <w:sz w:val="20"/>
                <w:szCs w:val="20"/>
              </w:rPr>
            </w:pPr>
          </w:p>
        </w:tc>
        <w:tc>
          <w:tcPr>
            <w:tcW w:w="1417" w:type="dxa"/>
            <w:shd w:val="clear" w:color="auto" w:fill="E7E6E6" w:themeFill="background2"/>
            <w:vAlign w:val="center"/>
          </w:tcPr>
          <w:p w14:paraId="4F072BB7" w14:textId="77777777" w:rsidR="00D9463F" w:rsidRPr="00BD7124" w:rsidRDefault="00D9463F" w:rsidP="00D9463F">
            <w:pPr>
              <w:ind w:firstLine="567"/>
              <w:jc w:val="center"/>
              <w:rPr>
                <w:rFonts w:ascii="Times New Roman" w:eastAsia="Times New Roman" w:hAnsi="Times New Roman" w:cs="Times New Roman"/>
                <w:sz w:val="20"/>
                <w:szCs w:val="20"/>
              </w:rPr>
            </w:pPr>
          </w:p>
        </w:tc>
      </w:tr>
    </w:tbl>
    <w:p w14:paraId="43146D93" w14:textId="3AD97940" w:rsidR="00CB0A97" w:rsidRDefault="00CB0A97" w:rsidP="00CB0A97">
      <w:pPr>
        <w:spacing w:beforeAutospacing="1" w:after="100" w:afterAutospacing="1" w:line="240" w:lineRule="auto"/>
        <w:ind w:firstLine="567"/>
        <w:jc w:val="both"/>
        <w:rPr>
          <w:rFonts w:ascii="Times New Roman" w:eastAsia="Times New Roman" w:hAnsi="Times New Roman" w:cs="Times New Roman"/>
          <w:sz w:val="24"/>
          <w:szCs w:val="24"/>
          <w:lang w:val="ru-RU"/>
        </w:rPr>
      </w:pPr>
      <w:r w:rsidRPr="008A426F">
        <w:rPr>
          <w:rFonts w:ascii="Times New Roman" w:eastAsia="Times New Roman" w:hAnsi="Times New Roman" w:cs="Times New Roman"/>
          <w:b/>
          <w:bCs/>
          <w:i/>
          <w:sz w:val="24"/>
          <w:szCs w:val="24"/>
          <w:lang w:val="ru-RU"/>
        </w:rPr>
        <w:t>Извод</w:t>
      </w:r>
      <w:r>
        <w:rPr>
          <w:rFonts w:ascii="Times New Roman" w:eastAsia="Times New Roman" w:hAnsi="Times New Roman" w:cs="Times New Roman"/>
          <w:b/>
          <w:bCs/>
          <w:i/>
          <w:sz w:val="24"/>
          <w:szCs w:val="24"/>
          <w:lang w:val="ru-RU"/>
        </w:rPr>
        <w:t>и от анализа ползи-разходи на</w:t>
      </w:r>
      <w:r w:rsidRPr="008523A0">
        <w:rPr>
          <w:rFonts w:ascii="Times New Roman" w:eastAsia="Times New Roman" w:hAnsi="Times New Roman" w:cs="Times New Roman"/>
          <w:b/>
          <w:bCs/>
          <w:sz w:val="24"/>
          <w:szCs w:val="24"/>
          <w:lang w:val="ru-RU"/>
        </w:rPr>
        <w:t xml:space="preserve"> </w:t>
      </w:r>
      <w:r w:rsidRPr="008A426F">
        <w:rPr>
          <w:rFonts w:ascii="Times New Roman" w:eastAsia="Times New Roman" w:hAnsi="Times New Roman" w:cs="Times New Roman"/>
          <w:b/>
          <w:bCs/>
          <w:i/>
          <w:sz w:val="24"/>
          <w:szCs w:val="24"/>
          <w:lang w:val="ru-RU"/>
        </w:rPr>
        <w:t>Вариант 1:</w:t>
      </w:r>
      <w:r w:rsidRPr="008523A0">
        <w:rPr>
          <w:rFonts w:ascii="Times New Roman" w:eastAsia="Times New Roman" w:hAnsi="Times New Roman" w:cs="Times New Roman"/>
          <w:sz w:val="24"/>
          <w:szCs w:val="24"/>
          <w:lang w:val="ru-RU"/>
        </w:rPr>
        <w:t xml:space="preserve"> </w:t>
      </w:r>
      <w:r w:rsidR="00D94B6E" w:rsidRPr="008A426F">
        <w:rPr>
          <w:rFonts w:ascii="Times New Roman" w:eastAsia="Times New Roman" w:hAnsi="Times New Roman" w:cs="Times New Roman"/>
          <w:bCs/>
          <w:sz w:val="24"/>
          <w:szCs w:val="24"/>
          <w:lang w:val="ru-RU"/>
        </w:rPr>
        <w:t xml:space="preserve">нетната </w:t>
      </w:r>
      <w:r w:rsidRPr="008A426F">
        <w:rPr>
          <w:rFonts w:ascii="Times New Roman" w:eastAsia="Times New Roman" w:hAnsi="Times New Roman" w:cs="Times New Roman"/>
          <w:bCs/>
          <w:sz w:val="24"/>
          <w:szCs w:val="24"/>
          <w:lang w:val="ru-RU"/>
        </w:rPr>
        <w:t>настояща стойност е положителна (</w:t>
      </w:r>
      <w:r w:rsidRPr="008A426F">
        <w:rPr>
          <w:rFonts w:ascii="Times New Roman" w:eastAsia="Times New Roman" w:hAnsi="Times New Roman" w:cs="Times New Roman"/>
          <w:bCs/>
          <w:sz w:val="24"/>
          <w:szCs w:val="24"/>
        </w:rPr>
        <w:t xml:space="preserve">около </w:t>
      </w:r>
      <w:r w:rsidRPr="008A426F">
        <w:rPr>
          <w:rFonts w:ascii="Times New Roman" w:eastAsia="Times New Roman" w:hAnsi="Times New Roman" w:cs="Times New Roman"/>
          <w:bCs/>
          <w:sz w:val="24"/>
          <w:szCs w:val="24"/>
          <w:lang w:val="ru-RU"/>
        </w:rPr>
        <w:t>23,</w:t>
      </w:r>
      <w:r w:rsidR="00D9463F">
        <w:rPr>
          <w:rFonts w:ascii="Times New Roman" w:eastAsia="Times New Roman" w:hAnsi="Times New Roman" w:cs="Times New Roman"/>
          <w:bCs/>
          <w:sz w:val="24"/>
          <w:szCs w:val="24"/>
          <w:lang w:val="ru-RU"/>
        </w:rPr>
        <w:t>1</w:t>
      </w:r>
      <w:r w:rsidRPr="008A426F">
        <w:rPr>
          <w:rFonts w:ascii="Times New Roman" w:eastAsia="Times New Roman" w:hAnsi="Times New Roman" w:cs="Times New Roman"/>
          <w:bCs/>
          <w:sz w:val="24"/>
          <w:szCs w:val="24"/>
          <w:lang w:val="ru-RU"/>
        </w:rPr>
        <w:t xml:space="preserve"> млн. лв.)</w:t>
      </w:r>
      <w:r w:rsidRPr="008A426F">
        <w:rPr>
          <w:rFonts w:ascii="Times New Roman" w:eastAsia="Times New Roman" w:hAnsi="Times New Roman" w:cs="Times New Roman"/>
          <w:sz w:val="24"/>
          <w:szCs w:val="24"/>
          <w:lang w:val="ru-RU"/>
        </w:rPr>
        <w:t xml:space="preserve">, макар и скромна по размер. </w:t>
      </w:r>
      <w:r w:rsidRPr="008A426F">
        <w:rPr>
          <w:rFonts w:ascii="Times New Roman" w:eastAsia="Times New Roman" w:hAnsi="Times New Roman" w:cs="Times New Roman"/>
          <w:bCs/>
          <w:sz w:val="24"/>
          <w:szCs w:val="24"/>
          <w:lang w:val="ru-RU"/>
        </w:rPr>
        <w:t>Анюализираната стойност на ползите (</w:t>
      </w:r>
      <w:r w:rsidRPr="008A426F">
        <w:rPr>
          <w:rFonts w:ascii="Times New Roman" w:eastAsia="Times New Roman" w:hAnsi="Times New Roman" w:cs="Times New Roman"/>
          <w:bCs/>
          <w:sz w:val="24"/>
          <w:szCs w:val="24"/>
        </w:rPr>
        <w:t>AVB</w:t>
      </w:r>
      <w:r w:rsidRPr="008A426F">
        <w:rPr>
          <w:rFonts w:ascii="Times New Roman" w:eastAsia="Times New Roman" w:hAnsi="Times New Roman" w:cs="Times New Roman"/>
          <w:bCs/>
          <w:sz w:val="24"/>
          <w:szCs w:val="24"/>
          <w:lang w:val="ru-RU"/>
        </w:rPr>
        <w:t>)</w:t>
      </w:r>
      <w:r w:rsidRPr="008A426F">
        <w:rPr>
          <w:rFonts w:ascii="Times New Roman" w:eastAsia="Times New Roman" w:hAnsi="Times New Roman" w:cs="Times New Roman"/>
          <w:sz w:val="24"/>
          <w:szCs w:val="24"/>
          <w:lang w:val="ru-RU"/>
        </w:rPr>
        <w:t xml:space="preserve"> при </w:t>
      </w:r>
      <w:r w:rsidRPr="008A426F">
        <w:rPr>
          <w:rFonts w:ascii="Times New Roman" w:eastAsia="Times New Roman" w:hAnsi="Times New Roman" w:cs="Times New Roman"/>
          <w:sz w:val="24"/>
          <w:szCs w:val="24"/>
        </w:rPr>
        <w:t>r</w:t>
      </w:r>
      <w:r w:rsidRPr="008A426F">
        <w:rPr>
          <w:rFonts w:ascii="Times New Roman" w:eastAsia="Times New Roman" w:hAnsi="Times New Roman" w:cs="Times New Roman"/>
          <w:sz w:val="24"/>
          <w:szCs w:val="24"/>
          <w:lang w:val="ru-RU"/>
        </w:rPr>
        <w:t>=4% за 5</w:t>
      </w:r>
      <w:r w:rsidRPr="008A426F">
        <w:rPr>
          <w:rFonts w:ascii="Times New Roman" w:eastAsia="Times New Roman" w:hAnsi="Times New Roman" w:cs="Times New Roman"/>
          <w:sz w:val="24"/>
          <w:szCs w:val="24"/>
        </w:rPr>
        <w:t> </w:t>
      </w:r>
      <w:r w:rsidRPr="008A426F">
        <w:rPr>
          <w:rFonts w:ascii="Times New Roman" w:eastAsia="Times New Roman" w:hAnsi="Times New Roman" w:cs="Times New Roman"/>
          <w:sz w:val="24"/>
          <w:szCs w:val="24"/>
          <w:lang w:val="ru-RU"/>
        </w:rPr>
        <w:t xml:space="preserve">години е приблизително </w:t>
      </w:r>
      <w:r w:rsidRPr="008A426F">
        <w:rPr>
          <w:rFonts w:ascii="Times New Roman" w:eastAsia="Times New Roman" w:hAnsi="Times New Roman" w:cs="Times New Roman"/>
          <w:bCs/>
          <w:sz w:val="24"/>
          <w:szCs w:val="24"/>
          <w:lang w:val="ru-RU"/>
        </w:rPr>
        <w:t>5</w:t>
      </w:r>
      <w:r w:rsidRPr="008A426F">
        <w:rPr>
          <w:rFonts w:ascii="Times New Roman" w:eastAsia="Times New Roman" w:hAnsi="Times New Roman" w:cs="Times New Roman"/>
          <w:bCs/>
          <w:sz w:val="24"/>
          <w:szCs w:val="24"/>
        </w:rPr>
        <w:t> </w:t>
      </w:r>
      <w:r w:rsidRPr="008A426F">
        <w:rPr>
          <w:rFonts w:ascii="Times New Roman" w:eastAsia="Times New Roman" w:hAnsi="Times New Roman" w:cs="Times New Roman"/>
          <w:bCs/>
          <w:sz w:val="24"/>
          <w:szCs w:val="24"/>
          <w:lang w:val="ru-RU"/>
        </w:rPr>
        <w:t>203 хил. лв. годишно</w:t>
      </w:r>
      <w:r w:rsidRPr="008A426F">
        <w:rPr>
          <w:rFonts w:ascii="Times New Roman" w:eastAsia="Times New Roman" w:hAnsi="Times New Roman" w:cs="Times New Roman"/>
          <w:sz w:val="24"/>
          <w:szCs w:val="24"/>
          <w:lang w:val="ru-RU"/>
        </w:rPr>
        <w:t xml:space="preserve">, докато </w:t>
      </w:r>
      <w:r w:rsidRPr="008A426F">
        <w:rPr>
          <w:rFonts w:ascii="Times New Roman" w:eastAsia="Times New Roman" w:hAnsi="Times New Roman" w:cs="Times New Roman"/>
          <w:bCs/>
          <w:sz w:val="24"/>
          <w:szCs w:val="24"/>
          <w:lang w:val="ru-RU"/>
        </w:rPr>
        <w:t>анюализираните разходи (</w:t>
      </w:r>
      <w:r w:rsidRPr="008A426F">
        <w:rPr>
          <w:rFonts w:ascii="Times New Roman" w:eastAsia="Times New Roman" w:hAnsi="Times New Roman" w:cs="Times New Roman"/>
          <w:bCs/>
          <w:sz w:val="24"/>
          <w:szCs w:val="24"/>
        </w:rPr>
        <w:t>AVC</w:t>
      </w:r>
      <w:r w:rsidRPr="008A426F">
        <w:rPr>
          <w:rFonts w:ascii="Times New Roman" w:eastAsia="Times New Roman" w:hAnsi="Times New Roman" w:cs="Times New Roman"/>
          <w:bCs/>
          <w:sz w:val="24"/>
          <w:szCs w:val="24"/>
          <w:lang w:val="ru-RU"/>
        </w:rPr>
        <w:t>)</w:t>
      </w:r>
      <w:r w:rsidRPr="008A426F">
        <w:rPr>
          <w:rFonts w:ascii="Times New Roman" w:eastAsia="Times New Roman" w:hAnsi="Times New Roman" w:cs="Times New Roman"/>
          <w:sz w:val="24"/>
          <w:szCs w:val="24"/>
          <w:lang w:val="ru-RU"/>
        </w:rPr>
        <w:t xml:space="preserve"> са практически </w:t>
      </w:r>
      <w:r w:rsidRPr="008A426F">
        <w:rPr>
          <w:rFonts w:ascii="Times New Roman" w:eastAsia="Times New Roman" w:hAnsi="Times New Roman" w:cs="Times New Roman"/>
          <w:bCs/>
          <w:sz w:val="24"/>
          <w:szCs w:val="24"/>
          <w:lang w:val="ru-RU"/>
        </w:rPr>
        <w:t>0 хил. лв.</w:t>
      </w:r>
      <w:r w:rsidRPr="008A426F">
        <w:rPr>
          <w:rFonts w:ascii="Times New Roman" w:eastAsia="Times New Roman" w:hAnsi="Times New Roman" w:cs="Times New Roman"/>
          <w:sz w:val="24"/>
          <w:szCs w:val="24"/>
          <w:lang w:val="ru-RU"/>
        </w:rPr>
        <w:t xml:space="preserve"> Това означава изключително висок коефициент на ефективност </w:t>
      </w:r>
      <w:r w:rsidRPr="008A426F">
        <w:rPr>
          <w:rFonts w:ascii="Times New Roman" w:eastAsia="Times New Roman" w:hAnsi="Times New Roman" w:cs="Times New Roman"/>
          <w:bCs/>
          <w:sz w:val="24"/>
          <w:szCs w:val="24"/>
        </w:rPr>
        <w:t>AVB</w:t>
      </w:r>
      <w:r w:rsidRPr="008A426F">
        <w:rPr>
          <w:rFonts w:ascii="Times New Roman" w:eastAsia="Times New Roman" w:hAnsi="Times New Roman" w:cs="Times New Roman"/>
          <w:bCs/>
          <w:sz w:val="24"/>
          <w:szCs w:val="24"/>
          <w:lang w:val="ru-RU"/>
        </w:rPr>
        <w:t>/</w:t>
      </w:r>
      <w:r w:rsidRPr="008A426F">
        <w:rPr>
          <w:rFonts w:ascii="Times New Roman" w:eastAsia="Times New Roman" w:hAnsi="Times New Roman" w:cs="Times New Roman"/>
          <w:bCs/>
          <w:sz w:val="24"/>
          <w:szCs w:val="24"/>
        </w:rPr>
        <w:t>AVC</w:t>
      </w:r>
      <w:r w:rsidRPr="008A426F">
        <w:rPr>
          <w:rFonts w:ascii="Times New Roman" w:eastAsia="Times New Roman" w:hAnsi="Times New Roman" w:cs="Times New Roman"/>
          <w:bCs/>
          <w:sz w:val="24"/>
          <w:szCs w:val="24"/>
          <w:lang w:val="ru-RU"/>
        </w:rPr>
        <w:t xml:space="preserve"> → ∞</w:t>
      </w:r>
      <w:r w:rsidRPr="008A426F">
        <w:rPr>
          <w:rFonts w:ascii="Times New Roman" w:eastAsia="Times New Roman" w:hAnsi="Times New Roman" w:cs="Times New Roman"/>
          <w:sz w:val="24"/>
          <w:szCs w:val="24"/>
          <w:lang w:val="ru-RU"/>
        </w:rPr>
        <w:t xml:space="preserve"> (ползи без разходи). На пръв поглед доброволният подход изглежда много ефективен</w:t>
      </w:r>
      <w:r>
        <w:rPr>
          <w:rFonts w:ascii="Times New Roman" w:eastAsia="Times New Roman" w:hAnsi="Times New Roman" w:cs="Times New Roman"/>
          <w:sz w:val="24"/>
          <w:szCs w:val="24"/>
          <w:lang w:val="ru-RU"/>
        </w:rPr>
        <w:t xml:space="preserve"> и ефикасен</w:t>
      </w:r>
      <w:r w:rsidRPr="008A426F">
        <w:rPr>
          <w:rFonts w:ascii="Times New Roman" w:eastAsia="Times New Roman" w:hAnsi="Times New Roman" w:cs="Times New Roman"/>
          <w:sz w:val="24"/>
          <w:szCs w:val="24"/>
          <w:lang w:val="ru-RU"/>
        </w:rPr>
        <w:t xml:space="preserve"> (ползите значително превишават разходите). </w:t>
      </w:r>
      <w:r w:rsidRPr="008A426F">
        <w:rPr>
          <w:rFonts w:ascii="Times New Roman" w:eastAsia="Times New Roman" w:hAnsi="Times New Roman" w:cs="Times New Roman"/>
          <w:bCs/>
          <w:sz w:val="24"/>
          <w:szCs w:val="24"/>
          <w:lang w:val="ru-RU"/>
        </w:rPr>
        <w:t>Абсолютният размер на ползите обаче е малък</w:t>
      </w:r>
      <w:r w:rsidRPr="008A426F">
        <w:rPr>
          <w:rFonts w:ascii="Times New Roman" w:eastAsia="Times New Roman" w:hAnsi="Times New Roman" w:cs="Times New Roman"/>
          <w:sz w:val="24"/>
          <w:szCs w:val="24"/>
          <w:lang w:val="ru-RU"/>
        </w:rPr>
        <w:t>, т.е. Вариант</w:t>
      </w:r>
      <w:r w:rsidRPr="008A426F">
        <w:rPr>
          <w:rFonts w:ascii="Times New Roman" w:eastAsia="Times New Roman" w:hAnsi="Times New Roman" w:cs="Times New Roman"/>
          <w:sz w:val="24"/>
          <w:szCs w:val="24"/>
        </w:rPr>
        <w:t> </w:t>
      </w:r>
      <w:r w:rsidRPr="008A426F">
        <w:rPr>
          <w:rFonts w:ascii="Times New Roman" w:eastAsia="Times New Roman" w:hAnsi="Times New Roman" w:cs="Times New Roman"/>
          <w:sz w:val="24"/>
          <w:szCs w:val="24"/>
          <w:lang w:val="ru-RU"/>
        </w:rPr>
        <w:t xml:space="preserve">1 допринася минимално към решаване на проблема. Въпреки високото си съотношение полза/разход, </w:t>
      </w:r>
      <w:r w:rsidRPr="008A426F">
        <w:rPr>
          <w:rFonts w:ascii="Times New Roman" w:eastAsia="Times New Roman" w:hAnsi="Times New Roman" w:cs="Times New Roman"/>
          <w:bCs/>
          <w:sz w:val="24"/>
          <w:szCs w:val="24"/>
          <w:lang w:val="ru-RU"/>
        </w:rPr>
        <w:t>Вариант 1 не постига съществени резултати</w:t>
      </w:r>
      <w:r w:rsidRPr="008A426F">
        <w:rPr>
          <w:rFonts w:ascii="Times New Roman" w:eastAsia="Times New Roman" w:hAnsi="Times New Roman" w:cs="Times New Roman"/>
          <w:sz w:val="24"/>
          <w:szCs w:val="24"/>
          <w:lang w:val="ru-RU"/>
        </w:rPr>
        <w:t xml:space="preserve"> и се оценява </w:t>
      </w:r>
      <w:r w:rsidRPr="008A426F">
        <w:rPr>
          <w:rFonts w:ascii="Times New Roman" w:eastAsia="Times New Roman" w:hAnsi="Times New Roman" w:cs="Times New Roman"/>
          <w:bCs/>
          <w:sz w:val="24"/>
          <w:szCs w:val="24"/>
          <w:lang w:val="ru-RU"/>
        </w:rPr>
        <w:t>с ниска ефективност в абсолютен план</w:t>
      </w:r>
      <w:r w:rsidRPr="008A426F">
        <w:rPr>
          <w:rFonts w:ascii="Times New Roman" w:eastAsia="Times New Roman" w:hAnsi="Times New Roman" w:cs="Times New Roman"/>
          <w:sz w:val="24"/>
          <w:szCs w:val="24"/>
          <w:lang w:val="ru-RU"/>
        </w:rPr>
        <w:t xml:space="preserve"> (подобрява ситуацията незначително).</w:t>
      </w:r>
    </w:p>
    <w:p w14:paraId="351DC00B" w14:textId="77777777" w:rsidR="00CB0A97" w:rsidRPr="008523A0" w:rsidRDefault="00CB0A97" w:rsidP="00CB0A97">
      <w:pPr>
        <w:spacing w:after="0" w:line="240" w:lineRule="auto"/>
        <w:ind w:firstLine="567"/>
        <w:jc w:val="both"/>
        <w:rPr>
          <w:rFonts w:ascii="Times New Roman" w:eastAsia="Times New Roman" w:hAnsi="Times New Roman" w:cs="Times New Roman"/>
          <w:b/>
          <w:sz w:val="24"/>
          <w:szCs w:val="24"/>
          <w:lang w:val="ru-RU"/>
        </w:rPr>
      </w:pPr>
      <w:r w:rsidRPr="008523A0">
        <w:rPr>
          <w:rFonts w:ascii="Times New Roman" w:eastAsia="Times New Roman" w:hAnsi="Times New Roman" w:cs="Times New Roman"/>
          <w:b/>
          <w:sz w:val="24"/>
          <w:szCs w:val="24"/>
          <w:lang w:val="ru-RU"/>
        </w:rPr>
        <w:t>Вариант 2: „Регулаторен - промени в действащата правна уредба“</w:t>
      </w:r>
    </w:p>
    <w:p w14:paraId="515D38A5" w14:textId="6F95FD79" w:rsidR="00CB0A97" w:rsidRDefault="00CB0A97" w:rsidP="00CB0A97">
      <w:pPr>
        <w:spacing w:after="0" w:line="240" w:lineRule="auto"/>
        <w:ind w:firstLine="567"/>
        <w:jc w:val="both"/>
        <w:rPr>
          <w:rFonts w:ascii="Times New Roman" w:eastAsia="Times New Roman" w:hAnsi="Times New Roman" w:cs="Times New Roman"/>
          <w:sz w:val="24"/>
          <w:szCs w:val="24"/>
          <w:lang w:val="ru-RU"/>
        </w:rPr>
      </w:pPr>
      <w:r w:rsidRPr="008A426F">
        <w:rPr>
          <w:rFonts w:ascii="Times New Roman" w:eastAsia="Times New Roman" w:hAnsi="Times New Roman" w:cs="Times New Roman"/>
          <w:b/>
          <w:bCs/>
          <w:i/>
          <w:sz w:val="24"/>
          <w:szCs w:val="24"/>
          <w:lang w:val="ru-RU"/>
        </w:rPr>
        <w:t>Описание на варианта:</w:t>
      </w:r>
      <w:r w:rsidRPr="008523A0">
        <w:rPr>
          <w:rFonts w:ascii="Times New Roman" w:eastAsia="Times New Roman" w:hAnsi="Times New Roman" w:cs="Times New Roman"/>
          <w:sz w:val="24"/>
          <w:szCs w:val="24"/>
          <w:lang w:val="ru-RU"/>
        </w:rPr>
        <w:t xml:space="preserve"> </w:t>
      </w:r>
      <w:r w:rsidRPr="008A426F">
        <w:rPr>
          <w:rFonts w:ascii="Times New Roman" w:eastAsia="Times New Roman" w:hAnsi="Times New Roman" w:cs="Times New Roman"/>
          <w:bCs/>
          <w:sz w:val="24"/>
          <w:szCs w:val="24"/>
          <w:lang w:val="ru-RU"/>
        </w:rPr>
        <w:t>Вариант</w:t>
      </w:r>
      <w:r w:rsidRPr="008A426F">
        <w:rPr>
          <w:rFonts w:ascii="Times New Roman" w:eastAsia="Times New Roman" w:hAnsi="Times New Roman" w:cs="Times New Roman"/>
          <w:bCs/>
          <w:sz w:val="24"/>
          <w:szCs w:val="24"/>
        </w:rPr>
        <w:t> </w:t>
      </w:r>
      <w:r w:rsidRPr="008A426F">
        <w:rPr>
          <w:rFonts w:ascii="Times New Roman" w:eastAsia="Times New Roman" w:hAnsi="Times New Roman" w:cs="Times New Roman"/>
          <w:bCs/>
          <w:sz w:val="24"/>
          <w:szCs w:val="24"/>
          <w:lang w:val="ru-RU"/>
        </w:rPr>
        <w:t>2</w:t>
      </w:r>
      <w:r w:rsidRPr="008A426F">
        <w:rPr>
          <w:rFonts w:ascii="Times New Roman" w:eastAsia="Times New Roman" w:hAnsi="Times New Roman" w:cs="Times New Roman"/>
          <w:sz w:val="24"/>
          <w:szCs w:val="24"/>
          <w:lang w:val="ru-RU"/>
        </w:rPr>
        <w:t xml:space="preserve"> предполага </w:t>
      </w:r>
      <w:r w:rsidRPr="008A426F">
        <w:rPr>
          <w:rFonts w:ascii="Times New Roman" w:eastAsia="Times New Roman" w:hAnsi="Times New Roman" w:cs="Times New Roman"/>
          <w:bCs/>
          <w:sz w:val="24"/>
          <w:szCs w:val="24"/>
          <w:lang w:val="ru-RU"/>
        </w:rPr>
        <w:t>ограничена регулаторна намеса</w:t>
      </w:r>
      <w:r w:rsidRPr="008A426F">
        <w:rPr>
          <w:rFonts w:ascii="Times New Roman" w:eastAsia="Times New Roman" w:hAnsi="Times New Roman" w:cs="Times New Roman"/>
          <w:sz w:val="24"/>
          <w:szCs w:val="24"/>
          <w:lang w:val="ru-RU"/>
        </w:rPr>
        <w:t xml:space="preserve"> чрез изменения и допълнения в с</w:t>
      </w:r>
      <w:r>
        <w:rPr>
          <w:rFonts w:ascii="Times New Roman" w:eastAsia="Times New Roman" w:hAnsi="Times New Roman" w:cs="Times New Roman"/>
          <w:sz w:val="24"/>
          <w:szCs w:val="24"/>
          <w:lang w:val="ru-RU"/>
        </w:rPr>
        <w:t>ъществуващата нормативна рамка</w:t>
      </w:r>
      <w:r w:rsidR="00A37BA3">
        <w:rPr>
          <w:rFonts w:ascii="Times New Roman" w:eastAsia="Times New Roman" w:hAnsi="Times New Roman" w:cs="Times New Roman"/>
          <w:sz w:val="24"/>
          <w:szCs w:val="24"/>
          <w:lang w:val="ru-RU"/>
        </w:rPr>
        <w:t>.</w:t>
      </w:r>
      <w:r w:rsidRPr="008A426F">
        <w:rPr>
          <w:rFonts w:ascii="Times New Roman" w:eastAsia="Times New Roman" w:hAnsi="Times New Roman" w:cs="Times New Roman"/>
          <w:sz w:val="24"/>
          <w:szCs w:val="24"/>
          <w:lang w:val="ru-RU"/>
        </w:rPr>
        <w:t xml:space="preserve"> </w:t>
      </w:r>
      <w:r w:rsidRPr="008A426F">
        <w:rPr>
          <w:rFonts w:ascii="Times New Roman" w:eastAsia="Times New Roman" w:hAnsi="Times New Roman" w:cs="Times New Roman"/>
          <w:sz w:val="24"/>
          <w:szCs w:val="24"/>
        </w:rPr>
        <w:t xml:space="preserve">По този начин </w:t>
      </w:r>
      <w:r w:rsidRPr="008A426F">
        <w:rPr>
          <w:rFonts w:ascii="Times New Roman" w:eastAsia="Times New Roman" w:hAnsi="Times New Roman" w:cs="Times New Roman"/>
          <w:sz w:val="24"/>
          <w:szCs w:val="24"/>
          <w:lang w:val="ru-RU"/>
        </w:rPr>
        <w:t>биха се забранили изрично някои</w:t>
      </w:r>
      <w:r w:rsidR="00C13AC0">
        <w:rPr>
          <w:rFonts w:ascii="Times New Roman" w:eastAsia="Times New Roman" w:hAnsi="Times New Roman" w:cs="Times New Roman"/>
          <w:sz w:val="24"/>
          <w:szCs w:val="24"/>
          <w:lang w:val="ru-RU"/>
        </w:rPr>
        <w:t xml:space="preserve"> </w:t>
      </w:r>
      <w:bookmarkStart w:id="33" w:name="_Hlk197484639"/>
      <w:r w:rsidR="00C13AC0">
        <w:rPr>
          <w:rFonts w:ascii="Times New Roman" w:eastAsia="Times New Roman" w:hAnsi="Times New Roman" w:cs="Times New Roman"/>
          <w:sz w:val="24"/>
          <w:szCs w:val="24"/>
          <w:lang w:val="ru-RU"/>
        </w:rPr>
        <w:t>нелоялни търговски практики</w:t>
      </w:r>
      <w:bookmarkEnd w:id="33"/>
      <w:r w:rsidRPr="008A426F">
        <w:rPr>
          <w:rFonts w:ascii="Times New Roman" w:eastAsia="Times New Roman" w:hAnsi="Times New Roman" w:cs="Times New Roman"/>
          <w:sz w:val="24"/>
          <w:szCs w:val="24"/>
          <w:lang w:val="ru-RU"/>
        </w:rPr>
        <w:t xml:space="preserve"> (забавени плащания, внезапни анулации на поръчки, едностранни промени в договори), което частично подобрява положението на доставчиците. </w:t>
      </w:r>
      <w:r w:rsidRPr="008A426F">
        <w:rPr>
          <w:rFonts w:ascii="Times New Roman" w:eastAsia="Times New Roman" w:hAnsi="Times New Roman" w:cs="Times New Roman"/>
          <w:bCs/>
          <w:sz w:val="24"/>
          <w:szCs w:val="24"/>
          <w:lang w:val="ru-RU"/>
        </w:rPr>
        <w:t>Обхватът на намесата е по-тесен</w:t>
      </w:r>
      <w:r w:rsidRPr="008A426F">
        <w:rPr>
          <w:rFonts w:ascii="Times New Roman" w:eastAsia="Times New Roman" w:hAnsi="Times New Roman" w:cs="Times New Roman"/>
          <w:sz w:val="24"/>
          <w:szCs w:val="24"/>
          <w:lang w:val="ru-RU"/>
        </w:rPr>
        <w:t xml:space="preserve"> в сравнение с Вариант</w:t>
      </w:r>
      <w:r w:rsidRPr="008A426F">
        <w:rPr>
          <w:rFonts w:ascii="Times New Roman" w:eastAsia="Times New Roman" w:hAnsi="Times New Roman" w:cs="Times New Roman"/>
          <w:sz w:val="24"/>
          <w:szCs w:val="24"/>
        </w:rPr>
        <w:t> </w:t>
      </w:r>
      <w:r w:rsidRPr="008A426F">
        <w:rPr>
          <w:rFonts w:ascii="Times New Roman" w:eastAsia="Times New Roman" w:hAnsi="Times New Roman" w:cs="Times New Roman"/>
          <w:sz w:val="24"/>
          <w:szCs w:val="24"/>
          <w:lang w:val="ru-RU"/>
        </w:rPr>
        <w:t xml:space="preserve">3, тъй като не въвежда всички мерки (липсват квоти за местни продукти, тавани на надценки и др. по-крайни интервенции). Предимството е, че </w:t>
      </w:r>
      <w:r w:rsidRPr="008A426F">
        <w:rPr>
          <w:rFonts w:ascii="Times New Roman" w:eastAsia="Times New Roman" w:hAnsi="Times New Roman" w:cs="Times New Roman"/>
          <w:bCs/>
          <w:sz w:val="24"/>
          <w:szCs w:val="24"/>
          <w:lang w:val="ru-RU"/>
        </w:rPr>
        <w:t>административната тежест и разходи са по-ниски</w:t>
      </w:r>
      <w:r w:rsidRPr="008A426F">
        <w:rPr>
          <w:rFonts w:ascii="Times New Roman" w:eastAsia="Times New Roman" w:hAnsi="Times New Roman" w:cs="Times New Roman"/>
          <w:sz w:val="24"/>
          <w:szCs w:val="24"/>
          <w:lang w:val="ru-RU"/>
        </w:rPr>
        <w:t xml:space="preserve"> от тези при цялостен нов закон.</w:t>
      </w:r>
    </w:p>
    <w:p w14:paraId="0052E9D6" w14:textId="35829A0B" w:rsidR="00CB0A97" w:rsidRDefault="00CB0A97" w:rsidP="00CB0A97">
      <w:pPr>
        <w:spacing w:after="0" w:line="240" w:lineRule="auto"/>
        <w:ind w:firstLine="567"/>
        <w:jc w:val="both"/>
        <w:rPr>
          <w:rFonts w:ascii="Times New Roman" w:eastAsia="Times New Roman" w:hAnsi="Times New Roman" w:cs="Times New Roman"/>
          <w:sz w:val="24"/>
          <w:szCs w:val="24"/>
          <w:lang w:val="ru-RU"/>
        </w:rPr>
      </w:pPr>
      <w:r w:rsidRPr="008A426F">
        <w:rPr>
          <w:rFonts w:ascii="Times New Roman" w:eastAsia="Times New Roman" w:hAnsi="Times New Roman" w:cs="Times New Roman"/>
          <w:b/>
          <w:bCs/>
          <w:i/>
          <w:sz w:val="24"/>
          <w:szCs w:val="24"/>
          <w:lang w:val="ru-RU"/>
        </w:rPr>
        <w:t>Компоненти на разходите:</w:t>
      </w:r>
      <w:r w:rsidRPr="008523A0">
        <w:rPr>
          <w:rFonts w:ascii="Times New Roman" w:eastAsia="Times New Roman" w:hAnsi="Times New Roman" w:cs="Times New Roman"/>
          <w:sz w:val="24"/>
          <w:szCs w:val="24"/>
          <w:lang w:val="ru-RU"/>
        </w:rPr>
        <w:t xml:space="preserve"> </w:t>
      </w:r>
      <w:r w:rsidRPr="008A426F">
        <w:rPr>
          <w:rFonts w:ascii="Times New Roman" w:eastAsia="Times New Roman" w:hAnsi="Times New Roman" w:cs="Times New Roman"/>
          <w:sz w:val="24"/>
          <w:szCs w:val="24"/>
          <w:lang w:val="ru-RU"/>
        </w:rPr>
        <w:t>Изпълнението на Вариант</w:t>
      </w:r>
      <w:r w:rsidRPr="008A426F">
        <w:rPr>
          <w:rFonts w:ascii="Times New Roman" w:eastAsia="Times New Roman" w:hAnsi="Times New Roman" w:cs="Times New Roman"/>
          <w:sz w:val="24"/>
          <w:szCs w:val="24"/>
        </w:rPr>
        <w:t> </w:t>
      </w:r>
      <w:r w:rsidRPr="008A426F">
        <w:rPr>
          <w:rFonts w:ascii="Times New Roman" w:eastAsia="Times New Roman" w:hAnsi="Times New Roman" w:cs="Times New Roman"/>
          <w:sz w:val="24"/>
          <w:szCs w:val="24"/>
          <w:lang w:val="ru-RU"/>
        </w:rPr>
        <w:t xml:space="preserve">2 изисква </w:t>
      </w:r>
      <w:r w:rsidRPr="008A426F">
        <w:rPr>
          <w:rFonts w:ascii="Times New Roman" w:eastAsia="Times New Roman" w:hAnsi="Times New Roman" w:cs="Times New Roman"/>
          <w:bCs/>
          <w:sz w:val="24"/>
          <w:szCs w:val="24"/>
          <w:lang w:val="ru-RU"/>
        </w:rPr>
        <w:t>еднократни разходи по разработване и приемане на законодателните изменения</w:t>
      </w:r>
      <w:r w:rsidRPr="008A426F">
        <w:rPr>
          <w:rFonts w:ascii="Times New Roman" w:eastAsia="Times New Roman" w:hAnsi="Times New Roman" w:cs="Times New Roman"/>
          <w:sz w:val="24"/>
          <w:szCs w:val="24"/>
          <w:lang w:val="ru-RU"/>
        </w:rPr>
        <w:t xml:space="preserve">, както и </w:t>
      </w:r>
      <w:r w:rsidRPr="008A426F">
        <w:rPr>
          <w:rFonts w:ascii="Times New Roman" w:eastAsia="Times New Roman" w:hAnsi="Times New Roman" w:cs="Times New Roman"/>
          <w:bCs/>
          <w:sz w:val="24"/>
          <w:szCs w:val="24"/>
          <w:lang w:val="ru-RU"/>
        </w:rPr>
        <w:t>минимални текущи разходи по прилагането им</w:t>
      </w:r>
      <w:r w:rsidRPr="008A426F">
        <w:rPr>
          <w:rFonts w:ascii="Times New Roman" w:eastAsia="Times New Roman" w:hAnsi="Times New Roman" w:cs="Times New Roman"/>
          <w:sz w:val="24"/>
          <w:szCs w:val="24"/>
          <w:lang w:val="ru-RU"/>
        </w:rPr>
        <w:t xml:space="preserve">. Предполага се, че </w:t>
      </w:r>
      <w:r w:rsidRPr="008A426F">
        <w:rPr>
          <w:rFonts w:ascii="Times New Roman" w:eastAsia="Times New Roman" w:hAnsi="Times New Roman" w:cs="Times New Roman"/>
          <w:bCs/>
          <w:sz w:val="24"/>
          <w:szCs w:val="24"/>
          <w:lang w:val="ru-RU"/>
        </w:rPr>
        <w:t>съществуващ</w:t>
      </w:r>
      <w:r w:rsidR="001B7CA8">
        <w:rPr>
          <w:rFonts w:ascii="Times New Roman" w:eastAsia="Times New Roman" w:hAnsi="Times New Roman" w:cs="Times New Roman"/>
          <w:bCs/>
          <w:sz w:val="24"/>
          <w:szCs w:val="24"/>
          <w:lang w:val="ru-RU"/>
        </w:rPr>
        <w:t>ият</w:t>
      </w:r>
      <w:r w:rsidRPr="008A426F">
        <w:rPr>
          <w:rFonts w:ascii="Times New Roman" w:eastAsia="Times New Roman" w:hAnsi="Times New Roman" w:cs="Times New Roman"/>
          <w:bCs/>
          <w:sz w:val="24"/>
          <w:szCs w:val="24"/>
          <w:lang w:val="ru-RU"/>
        </w:rPr>
        <w:t xml:space="preserve"> административен капацитет</w:t>
      </w:r>
      <w:r w:rsidRPr="008A426F">
        <w:rPr>
          <w:rFonts w:ascii="Times New Roman" w:eastAsia="Times New Roman" w:hAnsi="Times New Roman" w:cs="Times New Roman"/>
          <w:sz w:val="24"/>
          <w:szCs w:val="24"/>
          <w:lang w:val="ru-RU"/>
        </w:rPr>
        <w:t xml:space="preserve"> (напр</w:t>
      </w:r>
      <w:r w:rsidR="00D94B6E">
        <w:rPr>
          <w:rFonts w:ascii="Times New Roman" w:eastAsia="Times New Roman" w:hAnsi="Times New Roman" w:cs="Times New Roman"/>
          <w:sz w:val="24"/>
          <w:szCs w:val="24"/>
          <w:lang w:val="ru-RU"/>
        </w:rPr>
        <w:t>имер</w:t>
      </w:r>
      <w:r w:rsidR="00DF1B7A">
        <w:rPr>
          <w:rFonts w:ascii="Times New Roman" w:eastAsia="Times New Roman" w:hAnsi="Times New Roman" w:cs="Times New Roman"/>
          <w:sz w:val="24"/>
          <w:szCs w:val="24"/>
          <w:lang w:val="ru-RU"/>
        </w:rPr>
        <w:t>,</w:t>
      </w:r>
      <w:r w:rsidRPr="008A426F">
        <w:rPr>
          <w:rFonts w:ascii="Times New Roman" w:eastAsia="Times New Roman" w:hAnsi="Times New Roman" w:cs="Times New Roman"/>
          <w:sz w:val="24"/>
          <w:szCs w:val="24"/>
          <w:lang w:val="ru-RU"/>
        </w:rPr>
        <w:t xml:space="preserve"> в МЗХ или контролни органи като </w:t>
      </w:r>
      <w:r w:rsidR="00DF1B7A" w:rsidRPr="008A426F">
        <w:rPr>
          <w:rFonts w:ascii="Times New Roman" w:eastAsia="Times New Roman" w:hAnsi="Times New Roman" w:cs="Times New Roman"/>
          <w:sz w:val="24"/>
          <w:szCs w:val="24"/>
          <w:lang w:val="ru-RU"/>
        </w:rPr>
        <w:t>КЗ</w:t>
      </w:r>
      <w:r w:rsidR="00DF1B7A">
        <w:rPr>
          <w:rFonts w:ascii="Times New Roman" w:eastAsia="Times New Roman" w:hAnsi="Times New Roman" w:cs="Times New Roman"/>
          <w:sz w:val="24"/>
          <w:szCs w:val="24"/>
          <w:lang w:val="ru-RU"/>
        </w:rPr>
        <w:t>К</w:t>
      </w:r>
      <w:r w:rsidRPr="008A426F">
        <w:rPr>
          <w:rFonts w:ascii="Times New Roman" w:eastAsia="Times New Roman" w:hAnsi="Times New Roman" w:cs="Times New Roman"/>
          <w:sz w:val="24"/>
          <w:szCs w:val="24"/>
          <w:lang w:val="ru-RU"/>
        </w:rPr>
        <w:t xml:space="preserve">) ще поеме задачата да наблюдава спазването на новите </w:t>
      </w:r>
      <w:r>
        <w:rPr>
          <w:rFonts w:ascii="Times New Roman" w:eastAsia="Times New Roman" w:hAnsi="Times New Roman" w:cs="Times New Roman"/>
          <w:sz w:val="24"/>
          <w:szCs w:val="24"/>
          <w:lang w:val="ru-RU"/>
        </w:rPr>
        <w:t>правила</w:t>
      </w:r>
      <w:r w:rsidRPr="008A426F">
        <w:rPr>
          <w:rFonts w:ascii="Times New Roman" w:eastAsia="Times New Roman" w:hAnsi="Times New Roman" w:cs="Times New Roman"/>
          <w:sz w:val="24"/>
          <w:szCs w:val="24"/>
          <w:lang w:val="ru-RU"/>
        </w:rPr>
        <w:t xml:space="preserve">, </w:t>
      </w:r>
      <w:r w:rsidRPr="008A426F">
        <w:rPr>
          <w:rFonts w:ascii="Times New Roman" w:eastAsia="Times New Roman" w:hAnsi="Times New Roman" w:cs="Times New Roman"/>
          <w:bCs/>
          <w:sz w:val="24"/>
          <w:szCs w:val="24"/>
          <w:lang w:val="ru-RU"/>
        </w:rPr>
        <w:t>без съществено увеличаване на бюджета</w:t>
      </w:r>
      <w:r w:rsidRPr="008A426F">
        <w:rPr>
          <w:rFonts w:ascii="Times New Roman" w:eastAsia="Times New Roman" w:hAnsi="Times New Roman" w:cs="Times New Roman"/>
          <w:sz w:val="24"/>
          <w:szCs w:val="24"/>
          <w:lang w:val="ru-RU"/>
        </w:rPr>
        <w:t xml:space="preserve">. Всъщност, анализът показва, че </w:t>
      </w:r>
      <w:r w:rsidRPr="008A426F">
        <w:rPr>
          <w:rFonts w:ascii="Times New Roman" w:eastAsia="Times New Roman" w:hAnsi="Times New Roman" w:cs="Times New Roman"/>
          <w:bCs/>
          <w:sz w:val="24"/>
          <w:szCs w:val="24"/>
          <w:lang w:val="ru-RU"/>
        </w:rPr>
        <w:t>Вариант 2 би могъл дори да доведе до нетни спестявания</w:t>
      </w:r>
      <w:r w:rsidRPr="008A426F">
        <w:rPr>
          <w:rFonts w:ascii="Times New Roman" w:eastAsia="Times New Roman" w:hAnsi="Times New Roman" w:cs="Times New Roman"/>
          <w:sz w:val="24"/>
          <w:szCs w:val="24"/>
          <w:lang w:val="ru-RU"/>
        </w:rPr>
        <w:t xml:space="preserve"> за бизнеса и администрацията. Оттук може да се заключи, че </w:t>
      </w:r>
      <w:r w:rsidRPr="008A426F">
        <w:rPr>
          <w:rFonts w:ascii="Times New Roman" w:eastAsia="Times New Roman" w:hAnsi="Times New Roman" w:cs="Times New Roman"/>
          <w:bCs/>
          <w:sz w:val="24"/>
          <w:szCs w:val="24"/>
          <w:lang w:val="ru-RU"/>
        </w:rPr>
        <w:t>прилагането на този вариант може да се вмести в съществуващия ресурс</w:t>
      </w:r>
      <w:r w:rsidRPr="008A426F">
        <w:rPr>
          <w:rFonts w:ascii="Times New Roman" w:eastAsia="Times New Roman" w:hAnsi="Times New Roman" w:cs="Times New Roman"/>
          <w:sz w:val="24"/>
          <w:szCs w:val="24"/>
          <w:lang w:val="ru-RU"/>
        </w:rPr>
        <w:t xml:space="preserve">. Затова в </w:t>
      </w:r>
      <w:r>
        <w:rPr>
          <w:rFonts w:ascii="Times New Roman" w:eastAsia="Times New Roman" w:hAnsi="Times New Roman" w:cs="Times New Roman"/>
          <w:sz w:val="24"/>
          <w:szCs w:val="24"/>
          <w:lang w:val="ru-RU"/>
        </w:rPr>
        <w:t xml:space="preserve">използвания </w:t>
      </w:r>
      <w:r w:rsidRPr="008A426F">
        <w:rPr>
          <w:rFonts w:ascii="Times New Roman" w:eastAsia="Times New Roman" w:hAnsi="Times New Roman" w:cs="Times New Roman"/>
          <w:sz w:val="24"/>
          <w:szCs w:val="24"/>
          <w:lang w:val="ru-RU"/>
        </w:rPr>
        <w:t>количествен модел</w:t>
      </w:r>
      <w:r>
        <w:rPr>
          <w:rFonts w:ascii="Times New Roman" w:eastAsia="Times New Roman" w:hAnsi="Times New Roman" w:cs="Times New Roman"/>
          <w:sz w:val="24"/>
          <w:szCs w:val="24"/>
          <w:lang w:val="ru-RU"/>
        </w:rPr>
        <w:t xml:space="preserve"> може да се</w:t>
      </w:r>
      <w:r w:rsidRPr="008A426F">
        <w:rPr>
          <w:rFonts w:ascii="Times New Roman" w:eastAsia="Times New Roman" w:hAnsi="Times New Roman" w:cs="Times New Roman"/>
          <w:sz w:val="24"/>
          <w:szCs w:val="24"/>
          <w:lang w:val="ru-RU"/>
        </w:rPr>
        <w:t xml:space="preserve"> </w:t>
      </w:r>
      <w:r w:rsidRPr="008A426F">
        <w:rPr>
          <w:rFonts w:ascii="Times New Roman" w:eastAsia="Times New Roman" w:hAnsi="Times New Roman" w:cs="Times New Roman"/>
          <w:bCs/>
          <w:sz w:val="24"/>
          <w:szCs w:val="24"/>
          <w:lang w:val="ru-RU"/>
        </w:rPr>
        <w:t>приемаме</w:t>
      </w:r>
      <w:r>
        <w:rPr>
          <w:rFonts w:ascii="Times New Roman" w:eastAsia="Times New Roman" w:hAnsi="Times New Roman" w:cs="Times New Roman"/>
          <w:bCs/>
          <w:sz w:val="24"/>
          <w:szCs w:val="24"/>
          <w:lang w:val="ru-RU"/>
        </w:rPr>
        <w:t>, че</w:t>
      </w:r>
      <w:r w:rsidRPr="008A426F">
        <w:rPr>
          <w:rFonts w:ascii="Times New Roman" w:eastAsia="Times New Roman" w:hAnsi="Times New Roman" w:cs="Times New Roman"/>
          <w:bCs/>
          <w:sz w:val="24"/>
          <w:szCs w:val="24"/>
          <w:lang w:val="ru-RU"/>
        </w:rPr>
        <w:t xml:space="preserve"> регулаторните разходи по </w:t>
      </w:r>
      <w:r w:rsidRPr="008A426F">
        <w:rPr>
          <w:rFonts w:ascii="Times New Roman" w:eastAsia="Times New Roman" w:hAnsi="Times New Roman" w:cs="Times New Roman"/>
          <w:bCs/>
          <w:sz w:val="24"/>
          <w:szCs w:val="24"/>
          <w:lang w:val="ru-RU"/>
        </w:rPr>
        <w:lastRenderedPageBreak/>
        <w:t>Вариант</w:t>
      </w:r>
      <w:r w:rsidRPr="008A426F">
        <w:rPr>
          <w:rFonts w:ascii="Times New Roman" w:eastAsia="Times New Roman" w:hAnsi="Times New Roman" w:cs="Times New Roman"/>
          <w:bCs/>
          <w:sz w:val="24"/>
          <w:szCs w:val="24"/>
        </w:rPr>
        <w:t> </w:t>
      </w:r>
      <w:r w:rsidRPr="008A426F">
        <w:rPr>
          <w:rFonts w:ascii="Times New Roman" w:eastAsia="Times New Roman" w:hAnsi="Times New Roman" w:cs="Times New Roman"/>
          <w:bCs/>
          <w:sz w:val="24"/>
          <w:szCs w:val="24"/>
          <w:lang w:val="ru-RU"/>
        </w:rPr>
        <w:t>2 за незначителни (≈0)</w:t>
      </w:r>
      <w:r w:rsidRPr="008A426F">
        <w:rPr>
          <w:rFonts w:ascii="Times New Roman" w:eastAsia="Times New Roman" w:hAnsi="Times New Roman" w:cs="Times New Roman"/>
          <w:sz w:val="24"/>
          <w:szCs w:val="24"/>
          <w:lang w:val="ru-RU"/>
        </w:rPr>
        <w:t>. Дори да има малък допълнителен ресурс (например</w:t>
      </w:r>
      <w:r w:rsidR="00DF1B7A">
        <w:rPr>
          <w:rFonts w:ascii="Times New Roman" w:eastAsia="Times New Roman" w:hAnsi="Times New Roman" w:cs="Times New Roman"/>
          <w:sz w:val="24"/>
          <w:szCs w:val="24"/>
          <w:lang w:val="ru-RU"/>
        </w:rPr>
        <w:t>,</w:t>
      </w:r>
      <w:r w:rsidRPr="008A426F">
        <w:rPr>
          <w:rFonts w:ascii="Times New Roman" w:eastAsia="Times New Roman" w:hAnsi="Times New Roman" w:cs="Times New Roman"/>
          <w:sz w:val="24"/>
          <w:szCs w:val="24"/>
          <w:lang w:val="ru-RU"/>
        </w:rPr>
        <w:t xml:space="preserve"> за обучение на персонала или информационна кампания към операторите), той би бил еднократен и под 0,5</w:t>
      </w:r>
      <w:r w:rsidRPr="008A426F">
        <w:rPr>
          <w:rFonts w:ascii="Times New Roman" w:eastAsia="Times New Roman" w:hAnsi="Times New Roman" w:cs="Times New Roman"/>
          <w:sz w:val="24"/>
          <w:szCs w:val="24"/>
        </w:rPr>
        <w:t> </w:t>
      </w:r>
      <w:r w:rsidRPr="008A426F">
        <w:rPr>
          <w:rFonts w:ascii="Times New Roman" w:eastAsia="Times New Roman" w:hAnsi="Times New Roman" w:cs="Times New Roman"/>
          <w:sz w:val="24"/>
          <w:szCs w:val="24"/>
          <w:lang w:val="ru-RU"/>
        </w:rPr>
        <w:t xml:space="preserve">млн. лв., което е незначително на годишна база. За консервативност може да се приеме близко до </w:t>
      </w:r>
      <w:r w:rsidRPr="008A426F">
        <w:rPr>
          <w:rFonts w:ascii="Times New Roman" w:eastAsia="Times New Roman" w:hAnsi="Times New Roman" w:cs="Times New Roman"/>
          <w:bCs/>
          <w:sz w:val="24"/>
          <w:szCs w:val="24"/>
          <w:lang w:val="ru-RU"/>
        </w:rPr>
        <w:t>0 хил. лв./годишно</w:t>
      </w:r>
      <w:r w:rsidRPr="008A426F">
        <w:rPr>
          <w:rFonts w:ascii="Times New Roman" w:eastAsia="Times New Roman" w:hAnsi="Times New Roman" w:cs="Times New Roman"/>
          <w:sz w:val="24"/>
          <w:szCs w:val="24"/>
          <w:lang w:val="ru-RU"/>
        </w:rPr>
        <w:t xml:space="preserve"> нови разходи 2025</w:t>
      </w:r>
      <w:r w:rsidR="00964D83">
        <w:rPr>
          <w:rFonts w:ascii="Times New Roman" w:eastAsia="Times New Roman" w:hAnsi="Times New Roman" w:cs="Times New Roman"/>
          <w:sz w:val="24"/>
          <w:szCs w:val="24"/>
          <w:lang w:val="ru-RU"/>
        </w:rPr>
        <w:t xml:space="preserve"> </w:t>
      </w:r>
      <w:r w:rsidRPr="008A426F">
        <w:rPr>
          <w:rFonts w:ascii="Times New Roman" w:eastAsia="Times New Roman" w:hAnsi="Times New Roman" w:cs="Times New Roman"/>
          <w:sz w:val="24"/>
          <w:szCs w:val="24"/>
          <w:lang w:val="ru-RU"/>
        </w:rPr>
        <w:t>–</w:t>
      </w:r>
      <w:r w:rsidR="00964D83">
        <w:rPr>
          <w:rFonts w:ascii="Times New Roman" w:eastAsia="Times New Roman" w:hAnsi="Times New Roman" w:cs="Times New Roman"/>
          <w:sz w:val="24"/>
          <w:szCs w:val="24"/>
          <w:lang w:val="ru-RU"/>
        </w:rPr>
        <w:t xml:space="preserve"> </w:t>
      </w:r>
      <w:r w:rsidRPr="008A426F">
        <w:rPr>
          <w:rFonts w:ascii="Times New Roman" w:eastAsia="Times New Roman" w:hAnsi="Times New Roman" w:cs="Times New Roman"/>
          <w:sz w:val="24"/>
          <w:szCs w:val="24"/>
          <w:lang w:val="ru-RU"/>
        </w:rPr>
        <w:t>2029</w:t>
      </w:r>
      <w:r w:rsidR="00964D83">
        <w:rPr>
          <w:rFonts w:ascii="Times New Roman" w:eastAsia="Times New Roman" w:hAnsi="Times New Roman" w:cs="Times New Roman"/>
          <w:sz w:val="24"/>
          <w:szCs w:val="24"/>
          <w:lang w:val="ru-RU"/>
        </w:rPr>
        <w:t xml:space="preserve"> г</w:t>
      </w:r>
      <w:r w:rsidRPr="008A426F">
        <w:rPr>
          <w:rFonts w:ascii="Times New Roman" w:eastAsia="Times New Roman" w:hAnsi="Times New Roman" w:cs="Times New Roman"/>
          <w:sz w:val="24"/>
          <w:szCs w:val="24"/>
          <w:lang w:val="ru-RU"/>
        </w:rPr>
        <w:t>.</w:t>
      </w:r>
    </w:p>
    <w:p w14:paraId="07E16CB2" w14:textId="77777777" w:rsidR="00CB0A97" w:rsidRPr="00C27396" w:rsidRDefault="00CB0A97" w:rsidP="00CB0A97">
      <w:pPr>
        <w:spacing w:after="0" w:line="240" w:lineRule="auto"/>
        <w:ind w:firstLine="567"/>
        <w:jc w:val="both"/>
        <w:rPr>
          <w:rFonts w:ascii="Times New Roman" w:eastAsia="Times New Roman" w:hAnsi="Times New Roman" w:cs="Times New Roman"/>
          <w:sz w:val="24"/>
          <w:szCs w:val="24"/>
          <w:lang w:val="ru-RU"/>
        </w:rPr>
      </w:pPr>
      <w:r w:rsidRPr="00C27396">
        <w:rPr>
          <w:rFonts w:ascii="Times New Roman" w:eastAsia="Times New Roman" w:hAnsi="Times New Roman" w:cs="Times New Roman"/>
          <w:b/>
          <w:bCs/>
          <w:i/>
          <w:sz w:val="24"/>
          <w:szCs w:val="24"/>
          <w:lang w:val="ru-RU"/>
        </w:rPr>
        <w:t>Компоненти на ползите:</w:t>
      </w:r>
      <w:r w:rsidRPr="008523A0">
        <w:rPr>
          <w:rFonts w:ascii="Times New Roman" w:eastAsia="Times New Roman" w:hAnsi="Times New Roman" w:cs="Times New Roman"/>
          <w:sz w:val="24"/>
          <w:szCs w:val="24"/>
          <w:lang w:val="ru-RU"/>
        </w:rPr>
        <w:t xml:space="preserve"> Вариант</w:t>
      </w:r>
      <w:r w:rsidRPr="008A1F6F">
        <w:rPr>
          <w:rFonts w:ascii="Times New Roman" w:eastAsia="Times New Roman" w:hAnsi="Times New Roman" w:cs="Times New Roman"/>
          <w:sz w:val="24"/>
          <w:szCs w:val="24"/>
        </w:rPr>
        <w:t> </w:t>
      </w:r>
      <w:r w:rsidRPr="008523A0">
        <w:rPr>
          <w:rFonts w:ascii="Times New Roman" w:eastAsia="Times New Roman" w:hAnsi="Times New Roman" w:cs="Times New Roman"/>
          <w:sz w:val="24"/>
          <w:szCs w:val="24"/>
          <w:lang w:val="ru-RU"/>
        </w:rPr>
        <w:t xml:space="preserve">2 </w:t>
      </w:r>
      <w:r w:rsidRPr="00C27396">
        <w:rPr>
          <w:rFonts w:ascii="Times New Roman" w:eastAsia="Times New Roman" w:hAnsi="Times New Roman" w:cs="Times New Roman"/>
          <w:bCs/>
          <w:sz w:val="24"/>
          <w:szCs w:val="24"/>
          <w:lang w:val="ru-RU"/>
        </w:rPr>
        <w:t>адресира частично проблема с нелоялните търговски практики</w:t>
      </w:r>
      <w:r w:rsidRPr="00C27396">
        <w:rPr>
          <w:rFonts w:ascii="Times New Roman" w:eastAsia="Times New Roman" w:hAnsi="Times New Roman" w:cs="Times New Roman"/>
          <w:sz w:val="24"/>
          <w:szCs w:val="24"/>
          <w:lang w:val="ru-RU"/>
        </w:rPr>
        <w:t>. Очакваните ползи включват:</w:t>
      </w:r>
    </w:p>
    <w:p w14:paraId="6E1393BF" w14:textId="67150597" w:rsidR="00CB0A97" w:rsidRDefault="00CB0A97" w:rsidP="00CB0A97">
      <w:pPr>
        <w:spacing w:after="0" w:line="240" w:lineRule="auto"/>
        <w:ind w:firstLine="56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2C702F">
        <w:rPr>
          <w:rFonts w:ascii="Times New Roman" w:eastAsia="Times New Roman" w:hAnsi="Times New Roman" w:cs="Times New Roman"/>
          <w:i/>
          <w:sz w:val="24"/>
          <w:szCs w:val="24"/>
          <w:lang w:val="ru-RU"/>
        </w:rPr>
        <w:t>п</w:t>
      </w:r>
      <w:r w:rsidRPr="002C702F">
        <w:rPr>
          <w:rFonts w:ascii="Times New Roman" w:eastAsia="Times New Roman" w:hAnsi="Times New Roman" w:cs="Times New Roman"/>
          <w:bCs/>
          <w:i/>
          <w:sz w:val="24"/>
          <w:szCs w:val="24"/>
          <w:lang w:val="ru-RU"/>
        </w:rPr>
        <w:t>о-добри търговски условия за доставчиците</w:t>
      </w:r>
      <w:r w:rsidRPr="00C27396">
        <w:rPr>
          <w:rFonts w:ascii="Times New Roman" w:eastAsia="Times New Roman" w:hAnsi="Times New Roman" w:cs="Times New Roman"/>
          <w:sz w:val="24"/>
          <w:szCs w:val="24"/>
          <w:lang w:val="ru-RU"/>
        </w:rPr>
        <w:t xml:space="preserve"> (фермери, малки преработватели) в резултат от забраната на най-вредните </w:t>
      </w:r>
      <w:r w:rsidR="00C96F04">
        <w:rPr>
          <w:rFonts w:ascii="Times New Roman" w:eastAsia="Times New Roman" w:hAnsi="Times New Roman" w:cs="Times New Roman"/>
          <w:sz w:val="24"/>
          <w:szCs w:val="24"/>
          <w:lang w:val="ru-RU"/>
        </w:rPr>
        <w:t>нелоялни търговски практики</w:t>
      </w:r>
      <w:r w:rsidRPr="00C27396">
        <w:rPr>
          <w:rFonts w:ascii="Times New Roman" w:eastAsia="Times New Roman" w:hAnsi="Times New Roman" w:cs="Times New Roman"/>
          <w:sz w:val="24"/>
          <w:szCs w:val="24"/>
          <w:lang w:val="ru-RU"/>
        </w:rPr>
        <w:t xml:space="preserve">. Това значи, че </w:t>
      </w:r>
      <w:r w:rsidR="00C96F04" w:rsidRPr="00C96F04">
        <w:rPr>
          <w:rFonts w:ascii="Times New Roman" w:eastAsia="Times New Roman" w:hAnsi="Times New Roman" w:cs="Times New Roman"/>
          <w:sz w:val="24"/>
          <w:szCs w:val="24"/>
          <w:lang w:val="ru-RU"/>
        </w:rPr>
        <w:t xml:space="preserve">ще бъдат избегнати </w:t>
      </w:r>
      <w:r w:rsidRPr="00C27396">
        <w:rPr>
          <w:rFonts w:ascii="Times New Roman" w:eastAsia="Times New Roman" w:hAnsi="Times New Roman" w:cs="Times New Roman"/>
          <w:sz w:val="24"/>
          <w:szCs w:val="24"/>
          <w:lang w:val="ru-RU"/>
        </w:rPr>
        <w:t>определена част от предходните загуби (описани при Вариант</w:t>
      </w:r>
      <w:r w:rsidRPr="00C27396">
        <w:rPr>
          <w:rFonts w:ascii="Times New Roman" w:eastAsia="Times New Roman" w:hAnsi="Times New Roman" w:cs="Times New Roman"/>
          <w:sz w:val="24"/>
          <w:szCs w:val="24"/>
        </w:rPr>
        <w:t> </w:t>
      </w:r>
      <w:r w:rsidRPr="00C27396">
        <w:rPr>
          <w:rFonts w:ascii="Times New Roman" w:eastAsia="Times New Roman" w:hAnsi="Times New Roman" w:cs="Times New Roman"/>
          <w:sz w:val="24"/>
          <w:szCs w:val="24"/>
          <w:lang w:val="ru-RU"/>
        </w:rPr>
        <w:t>0): напр</w:t>
      </w:r>
      <w:r w:rsidR="00C96F04">
        <w:rPr>
          <w:rFonts w:ascii="Times New Roman" w:eastAsia="Times New Roman" w:hAnsi="Times New Roman" w:cs="Times New Roman"/>
          <w:sz w:val="24"/>
          <w:szCs w:val="24"/>
          <w:lang w:val="ru-RU"/>
        </w:rPr>
        <w:t>имер,</w:t>
      </w:r>
      <w:r w:rsidR="00C96F04" w:rsidRPr="00C27396">
        <w:rPr>
          <w:rFonts w:ascii="Times New Roman" w:eastAsia="Times New Roman" w:hAnsi="Times New Roman" w:cs="Times New Roman"/>
          <w:sz w:val="24"/>
          <w:szCs w:val="24"/>
          <w:lang w:val="ru-RU"/>
        </w:rPr>
        <w:t xml:space="preserve"> </w:t>
      </w:r>
      <w:r w:rsidRPr="00C27396">
        <w:rPr>
          <w:rFonts w:ascii="Times New Roman" w:eastAsia="Times New Roman" w:hAnsi="Times New Roman" w:cs="Times New Roman"/>
          <w:sz w:val="24"/>
          <w:szCs w:val="24"/>
          <w:lang w:val="ru-RU"/>
        </w:rPr>
        <w:t>по-бързо плащане за продукцията, по-малко случаи на отказ в последния момент и др.</w:t>
      </w:r>
      <w:r>
        <w:rPr>
          <w:rFonts w:ascii="Times New Roman" w:eastAsia="Times New Roman" w:hAnsi="Times New Roman" w:cs="Times New Roman"/>
          <w:sz w:val="24"/>
          <w:szCs w:val="24"/>
          <w:lang w:val="ru-RU"/>
        </w:rPr>
        <w:t>;</w:t>
      </w:r>
    </w:p>
    <w:p w14:paraId="0017FF9E" w14:textId="77777777" w:rsidR="00CB0A97" w:rsidRDefault="00CB0A97" w:rsidP="00CB0A97">
      <w:pPr>
        <w:spacing w:after="0" w:line="240" w:lineRule="auto"/>
        <w:ind w:firstLine="56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2C702F">
        <w:rPr>
          <w:rFonts w:ascii="Times New Roman" w:eastAsia="Times New Roman" w:hAnsi="Times New Roman" w:cs="Times New Roman"/>
          <w:i/>
          <w:sz w:val="24"/>
          <w:szCs w:val="24"/>
          <w:lang w:val="ru-RU"/>
        </w:rPr>
        <w:t>п</w:t>
      </w:r>
      <w:r w:rsidRPr="002C702F">
        <w:rPr>
          <w:rFonts w:ascii="Times New Roman" w:eastAsia="Times New Roman" w:hAnsi="Times New Roman" w:cs="Times New Roman"/>
          <w:bCs/>
          <w:i/>
          <w:sz w:val="24"/>
          <w:szCs w:val="24"/>
          <w:lang w:val="ru-RU"/>
        </w:rPr>
        <w:t>овишена предвидимост и сигурност</w:t>
      </w:r>
      <w:r w:rsidRPr="002C702F">
        <w:rPr>
          <w:rFonts w:ascii="Times New Roman" w:eastAsia="Times New Roman" w:hAnsi="Times New Roman" w:cs="Times New Roman"/>
          <w:i/>
          <w:sz w:val="24"/>
          <w:szCs w:val="24"/>
          <w:lang w:val="ru-RU"/>
        </w:rPr>
        <w:t xml:space="preserve"> в отношенията по веригата</w:t>
      </w:r>
      <w:r w:rsidRPr="00C27396">
        <w:rPr>
          <w:rFonts w:ascii="Times New Roman" w:eastAsia="Times New Roman" w:hAnsi="Times New Roman" w:cs="Times New Roman"/>
          <w:sz w:val="24"/>
          <w:szCs w:val="24"/>
          <w:lang w:val="ru-RU"/>
        </w:rPr>
        <w:t>, което може да стимулира малките производители да инвестират и произвеждат повече, знаейки че са по-защитени.</w:t>
      </w:r>
    </w:p>
    <w:p w14:paraId="33B5F0B2" w14:textId="2005447D" w:rsidR="00CB0A97" w:rsidRDefault="00CB0A97" w:rsidP="00CB0A97">
      <w:pPr>
        <w:spacing w:after="0" w:line="240" w:lineRule="auto"/>
        <w:ind w:firstLine="567"/>
        <w:jc w:val="both"/>
        <w:rPr>
          <w:rFonts w:ascii="Times New Roman" w:eastAsia="Times New Roman" w:hAnsi="Times New Roman" w:cs="Times New Roman"/>
          <w:sz w:val="24"/>
          <w:szCs w:val="24"/>
          <w:lang w:val="ru-RU"/>
        </w:rPr>
      </w:pPr>
      <w:r w:rsidRPr="008523A0">
        <w:rPr>
          <w:rFonts w:ascii="Times New Roman" w:eastAsia="Times New Roman" w:hAnsi="Times New Roman" w:cs="Times New Roman"/>
          <w:sz w:val="24"/>
          <w:szCs w:val="24"/>
          <w:lang w:val="ru-RU"/>
        </w:rPr>
        <w:t xml:space="preserve">Макар ползите да са осезаеми, </w:t>
      </w:r>
      <w:r w:rsidRPr="00C27396">
        <w:rPr>
          <w:rFonts w:ascii="Times New Roman" w:eastAsia="Times New Roman" w:hAnsi="Times New Roman" w:cs="Times New Roman"/>
          <w:bCs/>
          <w:sz w:val="24"/>
          <w:szCs w:val="24"/>
          <w:lang w:val="ru-RU"/>
        </w:rPr>
        <w:t>те са по-ограничени от максимално възможните</w:t>
      </w:r>
      <w:r w:rsidRPr="00C27396">
        <w:rPr>
          <w:rFonts w:ascii="Times New Roman" w:eastAsia="Times New Roman" w:hAnsi="Times New Roman" w:cs="Times New Roman"/>
          <w:sz w:val="24"/>
          <w:szCs w:val="24"/>
          <w:lang w:val="ru-RU"/>
        </w:rPr>
        <w:t>. Големите купувачи вероятно ще намерят начин да заобиколят</w:t>
      </w:r>
      <w:r w:rsidRPr="008523A0">
        <w:rPr>
          <w:rFonts w:ascii="Times New Roman" w:eastAsia="Times New Roman" w:hAnsi="Times New Roman" w:cs="Times New Roman"/>
          <w:sz w:val="24"/>
          <w:szCs w:val="24"/>
          <w:lang w:val="ru-RU"/>
        </w:rPr>
        <w:t xml:space="preserve"> част от новите забрани, или ще приложат други практики, които не са обхванати (регулаторен „ефект на </w:t>
      </w:r>
      <w:r>
        <w:rPr>
          <w:rFonts w:ascii="Times New Roman" w:eastAsia="Times New Roman" w:hAnsi="Times New Roman" w:cs="Times New Roman"/>
          <w:sz w:val="24"/>
          <w:szCs w:val="24"/>
          <w:lang w:val="ru-RU"/>
        </w:rPr>
        <w:t>празнотите</w:t>
      </w:r>
      <w:r w:rsidRPr="008523A0">
        <w:rPr>
          <w:rFonts w:ascii="Times New Roman" w:eastAsia="Times New Roman" w:hAnsi="Times New Roman" w:cs="Times New Roman"/>
          <w:sz w:val="24"/>
          <w:szCs w:val="24"/>
          <w:lang w:val="ru-RU"/>
        </w:rPr>
        <w:t>“)</w:t>
      </w:r>
      <w:r w:rsidRPr="008A1F6F">
        <w:rPr>
          <w:rFonts w:ascii="Times New Roman" w:eastAsia="Times New Roman" w:hAnsi="Times New Roman" w:cs="Times New Roman"/>
          <w:sz w:val="24"/>
          <w:szCs w:val="24"/>
        </w:rPr>
        <w:t>.</w:t>
      </w:r>
      <w:r w:rsidRPr="008523A0">
        <w:rPr>
          <w:rFonts w:ascii="Times New Roman" w:eastAsia="Times New Roman" w:hAnsi="Times New Roman" w:cs="Times New Roman"/>
          <w:sz w:val="24"/>
          <w:szCs w:val="24"/>
          <w:lang w:val="ru-RU"/>
        </w:rPr>
        <w:t xml:space="preserve"> </w:t>
      </w:r>
      <w:r w:rsidRPr="008A1F6F">
        <w:rPr>
          <w:rFonts w:ascii="Times New Roman" w:eastAsia="Times New Roman" w:hAnsi="Times New Roman" w:cs="Times New Roman"/>
          <w:sz w:val="24"/>
          <w:szCs w:val="24"/>
        </w:rPr>
        <w:t xml:space="preserve">Практиката </w:t>
      </w:r>
      <w:r w:rsidRPr="008523A0">
        <w:rPr>
          <w:rFonts w:ascii="Times New Roman" w:eastAsia="Times New Roman" w:hAnsi="Times New Roman" w:cs="Times New Roman"/>
          <w:sz w:val="24"/>
          <w:szCs w:val="24"/>
          <w:lang w:val="ru-RU"/>
        </w:rPr>
        <w:t xml:space="preserve">показва, </w:t>
      </w:r>
      <w:r w:rsidRPr="00C27396">
        <w:rPr>
          <w:rFonts w:ascii="Times New Roman" w:eastAsia="Times New Roman" w:hAnsi="Times New Roman" w:cs="Times New Roman"/>
          <w:sz w:val="24"/>
          <w:szCs w:val="24"/>
          <w:lang w:val="ru-RU"/>
        </w:rPr>
        <w:t xml:space="preserve">че </w:t>
      </w:r>
      <w:r w:rsidRPr="00C27396">
        <w:rPr>
          <w:rFonts w:ascii="Times New Roman" w:eastAsia="Times New Roman" w:hAnsi="Times New Roman" w:cs="Times New Roman"/>
          <w:bCs/>
          <w:sz w:val="24"/>
          <w:szCs w:val="24"/>
          <w:lang w:val="ru-RU"/>
        </w:rPr>
        <w:t>постепенните реформи често не успяват да решат изцяло проблема</w:t>
      </w:r>
      <w:r w:rsidRPr="00C27396">
        <w:rPr>
          <w:rFonts w:ascii="Times New Roman" w:eastAsia="Times New Roman" w:hAnsi="Times New Roman" w:cs="Times New Roman"/>
          <w:sz w:val="24"/>
          <w:szCs w:val="24"/>
          <w:lang w:val="ru-RU"/>
        </w:rPr>
        <w:t>. Затова може да се прогнозира, че Вариант</w:t>
      </w:r>
      <w:r w:rsidRPr="00C27396">
        <w:rPr>
          <w:rFonts w:ascii="Times New Roman" w:eastAsia="Times New Roman" w:hAnsi="Times New Roman" w:cs="Times New Roman"/>
          <w:sz w:val="24"/>
          <w:szCs w:val="24"/>
        </w:rPr>
        <w:t> </w:t>
      </w:r>
      <w:r w:rsidRPr="00C27396">
        <w:rPr>
          <w:rFonts w:ascii="Times New Roman" w:eastAsia="Times New Roman" w:hAnsi="Times New Roman" w:cs="Times New Roman"/>
          <w:sz w:val="24"/>
          <w:szCs w:val="24"/>
          <w:lang w:val="ru-RU"/>
        </w:rPr>
        <w:t xml:space="preserve">2 ще реализира </w:t>
      </w:r>
      <w:r w:rsidRPr="00C27396">
        <w:rPr>
          <w:rFonts w:ascii="Times New Roman" w:eastAsia="Times New Roman" w:hAnsi="Times New Roman" w:cs="Times New Roman"/>
          <w:bCs/>
          <w:sz w:val="24"/>
          <w:szCs w:val="24"/>
          <w:lang w:val="ru-RU"/>
        </w:rPr>
        <w:t>значително по-малки годишни ползи</w:t>
      </w:r>
      <w:r w:rsidRPr="00C27396">
        <w:rPr>
          <w:rFonts w:ascii="Times New Roman" w:eastAsia="Times New Roman" w:hAnsi="Times New Roman" w:cs="Times New Roman"/>
          <w:sz w:val="24"/>
          <w:szCs w:val="24"/>
          <w:lang w:val="ru-RU"/>
        </w:rPr>
        <w:t xml:space="preserve"> от Вариант</w:t>
      </w:r>
      <w:r w:rsidRPr="00C27396">
        <w:rPr>
          <w:rFonts w:ascii="Times New Roman" w:eastAsia="Times New Roman" w:hAnsi="Times New Roman" w:cs="Times New Roman"/>
          <w:sz w:val="24"/>
          <w:szCs w:val="24"/>
        </w:rPr>
        <w:t> </w:t>
      </w:r>
      <w:r w:rsidRPr="00C27396">
        <w:rPr>
          <w:rFonts w:ascii="Times New Roman" w:eastAsia="Times New Roman" w:hAnsi="Times New Roman" w:cs="Times New Roman"/>
          <w:sz w:val="24"/>
          <w:szCs w:val="24"/>
          <w:lang w:val="ru-RU"/>
        </w:rPr>
        <w:t xml:space="preserve">3. </w:t>
      </w:r>
      <w:r w:rsidRPr="008523A0">
        <w:rPr>
          <w:rFonts w:ascii="Times New Roman" w:eastAsia="Times New Roman" w:hAnsi="Times New Roman" w:cs="Times New Roman"/>
          <w:sz w:val="24"/>
          <w:szCs w:val="24"/>
          <w:lang w:val="ru-RU"/>
        </w:rPr>
        <w:t xml:space="preserve">Ако </w:t>
      </w:r>
      <w:r>
        <w:rPr>
          <w:rFonts w:ascii="Times New Roman" w:eastAsia="Times New Roman" w:hAnsi="Times New Roman" w:cs="Times New Roman"/>
          <w:sz w:val="24"/>
          <w:szCs w:val="24"/>
          <w:lang w:val="ru-RU"/>
        </w:rPr>
        <w:t>се приеме</w:t>
      </w:r>
      <w:r w:rsidRPr="008523A0">
        <w:rPr>
          <w:rFonts w:ascii="Times New Roman" w:eastAsia="Times New Roman" w:hAnsi="Times New Roman" w:cs="Times New Roman"/>
          <w:sz w:val="24"/>
          <w:szCs w:val="24"/>
          <w:lang w:val="ru-RU"/>
        </w:rPr>
        <w:t xml:space="preserve">, </w:t>
      </w:r>
      <w:r w:rsidRPr="00C27396">
        <w:rPr>
          <w:rFonts w:ascii="Times New Roman" w:eastAsia="Times New Roman" w:hAnsi="Times New Roman" w:cs="Times New Roman"/>
          <w:sz w:val="24"/>
          <w:szCs w:val="24"/>
          <w:lang w:val="ru-RU"/>
        </w:rPr>
        <w:t xml:space="preserve">че </w:t>
      </w:r>
      <w:r w:rsidRPr="00C27396">
        <w:rPr>
          <w:rFonts w:ascii="Times New Roman" w:eastAsia="Times New Roman" w:hAnsi="Times New Roman" w:cs="Times New Roman"/>
          <w:bCs/>
          <w:sz w:val="24"/>
          <w:szCs w:val="24"/>
          <w:lang w:val="ru-RU"/>
        </w:rPr>
        <w:t>около 40%</w:t>
      </w:r>
      <w:r w:rsidRPr="00C27396">
        <w:rPr>
          <w:rFonts w:ascii="Times New Roman" w:eastAsia="Times New Roman" w:hAnsi="Times New Roman" w:cs="Times New Roman"/>
          <w:sz w:val="24"/>
          <w:szCs w:val="24"/>
          <w:lang w:val="ru-RU"/>
        </w:rPr>
        <w:t xml:space="preserve"> от реалистичния</w:t>
      </w:r>
      <w:r w:rsidRPr="008523A0">
        <w:rPr>
          <w:rFonts w:ascii="Times New Roman" w:eastAsia="Times New Roman" w:hAnsi="Times New Roman" w:cs="Times New Roman"/>
          <w:sz w:val="24"/>
          <w:szCs w:val="24"/>
          <w:lang w:val="ru-RU"/>
        </w:rPr>
        <w:t xml:space="preserve"> максимум (50</w:t>
      </w:r>
      <w:r w:rsidRPr="008A1F6F">
        <w:rPr>
          <w:rFonts w:ascii="Times New Roman" w:eastAsia="Times New Roman" w:hAnsi="Times New Roman" w:cs="Times New Roman"/>
          <w:sz w:val="24"/>
          <w:szCs w:val="24"/>
        </w:rPr>
        <w:t> </w:t>
      </w:r>
      <w:r w:rsidRPr="008523A0">
        <w:rPr>
          <w:rFonts w:ascii="Times New Roman" w:eastAsia="Times New Roman" w:hAnsi="Times New Roman" w:cs="Times New Roman"/>
          <w:sz w:val="24"/>
          <w:szCs w:val="24"/>
          <w:lang w:val="ru-RU"/>
        </w:rPr>
        <w:t xml:space="preserve">млн. лв./год.) може да се постигне с частични промени, това би дало около </w:t>
      </w:r>
      <w:r w:rsidRPr="00C27396">
        <w:rPr>
          <w:rFonts w:ascii="Times New Roman" w:eastAsia="Times New Roman" w:hAnsi="Times New Roman" w:cs="Times New Roman"/>
          <w:bCs/>
          <w:sz w:val="24"/>
          <w:szCs w:val="24"/>
          <w:lang w:val="ru-RU"/>
        </w:rPr>
        <w:t>20</w:t>
      </w:r>
      <w:r w:rsidRPr="00C27396">
        <w:rPr>
          <w:rFonts w:ascii="Times New Roman" w:eastAsia="Times New Roman" w:hAnsi="Times New Roman" w:cs="Times New Roman"/>
          <w:bCs/>
          <w:sz w:val="24"/>
          <w:szCs w:val="24"/>
        </w:rPr>
        <w:t> </w:t>
      </w:r>
      <w:r w:rsidRPr="00C27396">
        <w:rPr>
          <w:rFonts w:ascii="Times New Roman" w:eastAsia="Times New Roman" w:hAnsi="Times New Roman" w:cs="Times New Roman"/>
          <w:bCs/>
          <w:sz w:val="24"/>
          <w:szCs w:val="24"/>
          <w:lang w:val="ru-RU"/>
        </w:rPr>
        <w:t>млн. лв. годишно ползи</w:t>
      </w:r>
      <w:r w:rsidRPr="00C27396">
        <w:rPr>
          <w:rFonts w:ascii="Times New Roman" w:eastAsia="Times New Roman" w:hAnsi="Times New Roman" w:cs="Times New Roman"/>
          <w:sz w:val="24"/>
          <w:szCs w:val="24"/>
          <w:lang w:val="ru-RU"/>
        </w:rPr>
        <w:t xml:space="preserve"> за </w:t>
      </w:r>
      <w:r>
        <w:rPr>
          <w:rFonts w:ascii="Times New Roman" w:eastAsia="Times New Roman" w:hAnsi="Times New Roman" w:cs="Times New Roman"/>
          <w:sz w:val="24"/>
          <w:szCs w:val="24"/>
          <w:lang w:val="ru-RU"/>
        </w:rPr>
        <w:t xml:space="preserve">производителите и </w:t>
      </w:r>
      <w:r w:rsidRPr="00C27396">
        <w:rPr>
          <w:rFonts w:ascii="Times New Roman" w:eastAsia="Times New Roman" w:hAnsi="Times New Roman" w:cs="Times New Roman"/>
          <w:sz w:val="24"/>
          <w:szCs w:val="24"/>
          <w:lang w:val="ru-RU"/>
        </w:rPr>
        <w:t xml:space="preserve">доставчиците. Тази стойност е приблизителна </w:t>
      </w:r>
      <w:r w:rsidR="00C96F04">
        <w:rPr>
          <w:rFonts w:ascii="Times New Roman" w:eastAsia="Times New Roman" w:hAnsi="Times New Roman" w:cs="Times New Roman"/>
          <w:sz w:val="24"/>
          <w:szCs w:val="24"/>
          <w:lang w:val="ru-RU"/>
        </w:rPr>
        <w:t>и</w:t>
      </w:r>
      <w:r w:rsidR="00C96F04" w:rsidRPr="00C27396">
        <w:rPr>
          <w:rFonts w:ascii="Times New Roman" w:eastAsia="Times New Roman" w:hAnsi="Times New Roman" w:cs="Times New Roman"/>
          <w:sz w:val="24"/>
          <w:szCs w:val="24"/>
          <w:lang w:val="ru-RU"/>
        </w:rPr>
        <w:t xml:space="preserve"> </w:t>
      </w:r>
      <w:r w:rsidRPr="00C27396">
        <w:rPr>
          <w:rFonts w:ascii="Times New Roman" w:eastAsia="Times New Roman" w:hAnsi="Times New Roman" w:cs="Times New Roman"/>
          <w:sz w:val="24"/>
          <w:szCs w:val="24"/>
          <w:lang w:val="ru-RU"/>
        </w:rPr>
        <w:t>отчита, че Вариант</w:t>
      </w:r>
      <w:r w:rsidRPr="00C27396">
        <w:rPr>
          <w:rFonts w:ascii="Times New Roman" w:eastAsia="Times New Roman" w:hAnsi="Times New Roman" w:cs="Times New Roman"/>
          <w:sz w:val="24"/>
          <w:szCs w:val="24"/>
        </w:rPr>
        <w:t> </w:t>
      </w:r>
      <w:r w:rsidRPr="00C27396">
        <w:rPr>
          <w:rFonts w:ascii="Times New Roman" w:eastAsia="Times New Roman" w:hAnsi="Times New Roman" w:cs="Times New Roman"/>
          <w:sz w:val="24"/>
          <w:szCs w:val="24"/>
          <w:lang w:val="ru-RU"/>
        </w:rPr>
        <w:t>2 адресира са</w:t>
      </w:r>
      <w:r w:rsidRPr="008523A0">
        <w:rPr>
          <w:rFonts w:ascii="Times New Roman" w:eastAsia="Times New Roman" w:hAnsi="Times New Roman" w:cs="Times New Roman"/>
          <w:sz w:val="24"/>
          <w:szCs w:val="24"/>
          <w:lang w:val="ru-RU"/>
        </w:rPr>
        <w:t>м</w:t>
      </w:r>
      <w:r>
        <w:rPr>
          <w:rFonts w:ascii="Times New Roman" w:eastAsia="Times New Roman" w:hAnsi="Times New Roman" w:cs="Times New Roman"/>
          <w:sz w:val="24"/>
          <w:szCs w:val="24"/>
          <w:lang w:val="ru-RU"/>
        </w:rPr>
        <w:t xml:space="preserve">о определени </w:t>
      </w:r>
      <w:r w:rsidR="00C13AC0" w:rsidRPr="00C13AC0">
        <w:rPr>
          <w:rFonts w:ascii="Times New Roman" w:eastAsia="Times New Roman" w:hAnsi="Times New Roman" w:cs="Times New Roman"/>
          <w:sz w:val="24"/>
          <w:szCs w:val="24"/>
          <w:lang w:val="ru-RU"/>
        </w:rPr>
        <w:t>нелоялни търговски практики</w:t>
      </w:r>
      <w:r>
        <w:rPr>
          <w:rFonts w:ascii="Times New Roman" w:eastAsia="Times New Roman" w:hAnsi="Times New Roman" w:cs="Times New Roman"/>
          <w:sz w:val="24"/>
          <w:szCs w:val="24"/>
          <w:lang w:val="ru-RU"/>
        </w:rPr>
        <w:t xml:space="preserve"> и оставя други.</w:t>
      </w:r>
      <w:r w:rsidRPr="008523A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И</w:t>
      </w:r>
      <w:r w:rsidRPr="008523A0">
        <w:rPr>
          <w:rFonts w:ascii="Times New Roman" w:eastAsia="Times New Roman" w:hAnsi="Times New Roman" w:cs="Times New Roman"/>
          <w:sz w:val="24"/>
          <w:szCs w:val="24"/>
          <w:lang w:val="ru-RU"/>
        </w:rPr>
        <w:t xml:space="preserve">збраният процент отразява умерено положителния, но непълен ефект, коментиран в анализа. В анализа по-долу е използвана стойност </w:t>
      </w:r>
      <w:r w:rsidRPr="00C27396">
        <w:rPr>
          <w:rFonts w:ascii="Times New Roman" w:eastAsia="Times New Roman" w:hAnsi="Times New Roman" w:cs="Times New Roman"/>
          <w:bCs/>
          <w:sz w:val="24"/>
          <w:szCs w:val="24"/>
          <w:lang w:val="ru-RU"/>
        </w:rPr>
        <w:t>20</w:t>
      </w:r>
      <w:r w:rsidRPr="00C27396">
        <w:rPr>
          <w:rFonts w:ascii="Times New Roman" w:eastAsia="Times New Roman" w:hAnsi="Times New Roman" w:cs="Times New Roman"/>
          <w:bCs/>
          <w:sz w:val="24"/>
          <w:szCs w:val="24"/>
        </w:rPr>
        <w:t> </w:t>
      </w:r>
      <w:r w:rsidRPr="00C27396">
        <w:rPr>
          <w:rFonts w:ascii="Times New Roman" w:eastAsia="Times New Roman" w:hAnsi="Times New Roman" w:cs="Times New Roman"/>
          <w:bCs/>
          <w:sz w:val="24"/>
          <w:szCs w:val="24"/>
          <w:lang w:val="ru-RU"/>
        </w:rPr>
        <w:t>000 хил. лв. годишно</w:t>
      </w:r>
      <w:r w:rsidRPr="00C27396">
        <w:rPr>
          <w:rFonts w:ascii="Times New Roman" w:eastAsia="Times New Roman" w:hAnsi="Times New Roman" w:cs="Times New Roman"/>
          <w:sz w:val="24"/>
          <w:szCs w:val="24"/>
          <w:lang w:val="ru-RU"/>
        </w:rPr>
        <w:t xml:space="preserve"> допълнителни</w:t>
      </w:r>
      <w:r w:rsidRPr="008523A0">
        <w:rPr>
          <w:rFonts w:ascii="Times New Roman" w:eastAsia="Times New Roman" w:hAnsi="Times New Roman" w:cs="Times New Roman"/>
          <w:sz w:val="24"/>
          <w:szCs w:val="24"/>
          <w:lang w:val="ru-RU"/>
        </w:rPr>
        <w:t xml:space="preserve"> приходи/спестени загуби за фермерите и малките фирми през 2025</w:t>
      </w:r>
      <w:r w:rsidR="00964D83">
        <w:rPr>
          <w:rFonts w:ascii="Times New Roman" w:eastAsia="Times New Roman" w:hAnsi="Times New Roman" w:cs="Times New Roman"/>
          <w:sz w:val="24"/>
          <w:szCs w:val="24"/>
          <w:lang w:val="ru-RU"/>
        </w:rPr>
        <w:t xml:space="preserve"> </w:t>
      </w:r>
      <w:r w:rsidRPr="008523A0">
        <w:rPr>
          <w:rFonts w:ascii="Times New Roman" w:eastAsia="Times New Roman" w:hAnsi="Times New Roman" w:cs="Times New Roman"/>
          <w:sz w:val="24"/>
          <w:szCs w:val="24"/>
          <w:lang w:val="ru-RU"/>
        </w:rPr>
        <w:t>–</w:t>
      </w:r>
      <w:r w:rsidR="00964D83">
        <w:rPr>
          <w:rFonts w:ascii="Times New Roman" w:eastAsia="Times New Roman" w:hAnsi="Times New Roman" w:cs="Times New Roman"/>
          <w:sz w:val="24"/>
          <w:szCs w:val="24"/>
          <w:lang w:val="ru-RU"/>
        </w:rPr>
        <w:t xml:space="preserve"> </w:t>
      </w:r>
      <w:r w:rsidRPr="008523A0">
        <w:rPr>
          <w:rFonts w:ascii="Times New Roman" w:eastAsia="Times New Roman" w:hAnsi="Times New Roman" w:cs="Times New Roman"/>
          <w:sz w:val="24"/>
          <w:szCs w:val="24"/>
          <w:lang w:val="ru-RU"/>
        </w:rPr>
        <w:t>2029</w:t>
      </w:r>
      <w:r w:rsidR="00964D83">
        <w:rPr>
          <w:rFonts w:ascii="Times New Roman" w:eastAsia="Times New Roman" w:hAnsi="Times New Roman" w:cs="Times New Roman"/>
          <w:sz w:val="24"/>
          <w:szCs w:val="24"/>
          <w:lang w:val="ru-RU"/>
        </w:rPr>
        <w:t xml:space="preserve"> г</w:t>
      </w:r>
      <w:r w:rsidRPr="008523A0">
        <w:rPr>
          <w:rFonts w:ascii="Times New Roman" w:eastAsia="Times New Roman" w:hAnsi="Times New Roman" w:cs="Times New Roman"/>
          <w:sz w:val="24"/>
          <w:szCs w:val="24"/>
          <w:lang w:val="ru-RU"/>
        </w:rPr>
        <w:t>.</w:t>
      </w:r>
    </w:p>
    <w:p w14:paraId="65DF9B27" w14:textId="70DB607C" w:rsidR="00CB0A97" w:rsidRDefault="00CB0A97" w:rsidP="00CB0A97">
      <w:pPr>
        <w:spacing w:after="0" w:line="240" w:lineRule="auto"/>
        <w:ind w:firstLine="567"/>
        <w:jc w:val="both"/>
        <w:rPr>
          <w:rFonts w:ascii="Times New Roman" w:eastAsia="Times New Roman" w:hAnsi="Times New Roman" w:cs="Times New Roman"/>
          <w:sz w:val="24"/>
          <w:szCs w:val="24"/>
          <w:lang w:val="ru-RU"/>
        </w:rPr>
      </w:pPr>
      <w:r w:rsidRPr="00C27396">
        <w:rPr>
          <w:rFonts w:ascii="Times New Roman" w:eastAsia="Times New Roman" w:hAnsi="Times New Roman" w:cs="Times New Roman"/>
          <w:b/>
          <w:bCs/>
          <w:i/>
          <w:sz w:val="24"/>
          <w:szCs w:val="24"/>
          <w:lang w:val="ru-RU"/>
        </w:rPr>
        <w:t xml:space="preserve">Настоящи стойности и </w:t>
      </w:r>
      <w:r w:rsidRPr="00C27396">
        <w:rPr>
          <w:rFonts w:ascii="Times New Roman" w:eastAsia="Times New Roman" w:hAnsi="Times New Roman" w:cs="Times New Roman"/>
          <w:b/>
          <w:bCs/>
          <w:i/>
          <w:sz w:val="24"/>
          <w:szCs w:val="24"/>
        </w:rPr>
        <w:t>NPV</w:t>
      </w:r>
      <w:r w:rsidRPr="00C27396">
        <w:rPr>
          <w:rFonts w:ascii="Times New Roman" w:eastAsia="Times New Roman" w:hAnsi="Times New Roman" w:cs="Times New Roman"/>
          <w:b/>
          <w:bCs/>
          <w:i/>
          <w:sz w:val="24"/>
          <w:szCs w:val="24"/>
          <w:lang w:val="ru-RU"/>
        </w:rPr>
        <w:t>:</w:t>
      </w:r>
      <w:r w:rsidRPr="008523A0">
        <w:rPr>
          <w:rFonts w:ascii="Times New Roman" w:eastAsia="Times New Roman" w:hAnsi="Times New Roman" w:cs="Times New Roman"/>
          <w:sz w:val="24"/>
          <w:szCs w:val="24"/>
          <w:lang w:val="ru-RU"/>
        </w:rPr>
        <w:t xml:space="preserve"> Дисконтирането на ежегодните ползи (20</w:t>
      </w:r>
      <w:r w:rsidRPr="008A1F6F">
        <w:rPr>
          <w:rFonts w:ascii="Times New Roman" w:eastAsia="Times New Roman" w:hAnsi="Times New Roman" w:cs="Times New Roman"/>
          <w:sz w:val="24"/>
          <w:szCs w:val="24"/>
        </w:rPr>
        <w:t> </w:t>
      </w:r>
      <w:r w:rsidRPr="008523A0">
        <w:rPr>
          <w:rFonts w:ascii="Times New Roman" w:eastAsia="Times New Roman" w:hAnsi="Times New Roman" w:cs="Times New Roman"/>
          <w:sz w:val="24"/>
          <w:szCs w:val="24"/>
          <w:lang w:val="ru-RU"/>
        </w:rPr>
        <w:t xml:space="preserve">000 хил. лв.) с 4% дава сумарна настояща стойност около </w:t>
      </w:r>
      <w:r w:rsidRPr="008A1F6F">
        <w:rPr>
          <w:rFonts w:ascii="Times New Roman" w:eastAsia="Times New Roman" w:hAnsi="Times New Roman" w:cs="Times New Roman"/>
          <w:sz w:val="24"/>
          <w:szCs w:val="24"/>
        </w:rPr>
        <w:t xml:space="preserve"> </w:t>
      </w:r>
      <w:r w:rsidRPr="00C27396">
        <w:rPr>
          <w:rFonts w:ascii="Times New Roman" w:eastAsia="Times New Roman" w:hAnsi="Times New Roman" w:cs="Times New Roman"/>
          <w:bCs/>
          <w:sz w:val="24"/>
          <w:szCs w:val="24"/>
          <w:lang w:val="ru-RU"/>
        </w:rPr>
        <w:t>92</w:t>
      </w:r>
      <w:r w:rsidRPr="00C27396">
        <w:rPr>
          <w:rFonts w:ascii="Times New Roman" w:eastAsia="Times New Roman" w:hAnsi="Times New Roman" w:cs="Times New Roman"/>
          <w:bCs/>
          <w:sz w:val="24"/>
          <w:szCs w:val="24"/>
        </w:rPr>
        <w:t> </w:t>
      </w:r>
      <w:r w:rsidRPr="00C27396">
        <w:rPr>
          <w:rFonts w:ascii="Times New Roman" w:eastAsia="Times New Roman" w:hAnsi="Times New Roman" w:cs="Times New Roman"/>
          <w:bCs/>
          <w:sz w:val="24"/>
          <w:szCs w:val="24"/>
          <w:lang w:val="ru-RU"/>
        </w:rPr>
        <w:t>59</w:t>
      </w:r>
      <w:r w:rsidR="00A37BA3">
        <w:rPr>
          <w:rFonts w:ascii="Times New Roman" w:eastAsia="Times New Roman" w:hAnsi="Times New Roman" w:cs="Times New Roman"/>
          <w:bCs/>
          <w:sz w:val="24"/>
          <w:szCs w:val="24"/>
          <w:lang w:val="ru-RU"/>
        </w:rPr>
        <w:t>7</w:t>
      </w:r>
      <w:r w:rsidRPr="00C27396">
        <w:rPr>
          <w:rFonts w:ascii="Times New Roman" w:eastAsia="Times New Roman" w:hAnsi="Times New Roman" w:cs="Times New Roman"/>
          <w:bCs/>
          <w:sz w:val="24"/>
          <w:szCs w:val="24"/>
          <w:lang w:val="ru-RU"/>
        </w:rPr>
        <w:t xml:space="preserve"> хил. лв.</w:t>
      </w:r>
      <w:r w:rsidRPr="00C27396">
        <w:rPr>
          <w:rFonts w:ascii="Times New Roman" w:eastAsia="Times New Roman" w:hAnsi="Times New Roman" w:cs="Times New Roman"/>
          <w:sz w:val="24"/>
          <w:szCs w:val="24"/>
          <w:lang w:val="ru-RU"/>
        </w:rPr>
        <w:t xml:space="preserve"> за петгодишния период. Тъй като разходите са пренебрежими, нетната настояща стойност </w:t>
      </w:r>
      <w:r w:rsidRPr="00C27396">
        <w:rPr>
          <w:rFonts w:ascii="Times New Roman" w:eastAsia="Times New Roman" w:hAnsi="Times New Roman" w:cs="Times New Roman"/>
          <w:sz w:val="24"/>
          <w:szCs w:val="24"/>
        </w:rPr>
        <w:t>NPV</w:t>
      </w:r>
      <w:r w:rsidRPr="00C27396">
        <w:rPr>
          <w:rFonts w:ascii="Times New Roman" w:eastAsia="Times New Roman" w:hAnsi="Times New Roman" w:cs="Times New Roman"/>
          <w:sz w:val="24"/>
          <w:szCs w:val="24"/>
          <w:lang w:val="ru-RU"/>
        </w:rPr>
        <w:t xml:space="preserve"> ≈ </w:t>
      </w:r>
      <w:r w:rsidRPr="00C27396">
        <w:rPr>
          <w:rFonts w:ascii="Times New Roman" w:eastAsia="Times New Roman" w:hAnsi="Times New Roman" w:cs="Times New Roman"/>
          <w:bCs/>
          <w:sz w:val="24"/>
          <w:szCs w:val="24"/>
          <w:lang w:val="ru-RU"/>
        </w:rPr>
        <w:t>+92,6 млн. лв.</w:t>
      </w:r>
      <w:r w:rsidRPr="00C27396">
        <w:rPr>
          <w:rFonts w:ascii="Times New Roman" w:eastAsia="Times New Roman" w:hAnsi="Times New Roman" w:cs="Times New Roman"/>
          <w:sz w:val="24"/>
          <w:szCs w:val="24"/>
          <w:lang w:val="ru-RU"/>
        </w:rPr>
        <w:t xml:space="preserve"> Таблица</w:t>
      </w:r>
      <w:r w:rsidRPr="00C27396">
        <w:rPr>
          <w:rFonts w:ascii="Times New Roman" w:eastAsia="Times New Roman" w:hAnsi="Times New Roman" w:cs="Times New Roman"/>
          <w:sz w:val="24"/>
          <w:szCs w:val="24"/>
        </w:rPr>
        <w:t> </w:t>
      </w:r>
      <w:r w:rsidR="003D685C">
        <w:rPr>
          <w:rFonts w:ascii="Times New Roman" w:eastAsia="Times New Roman" w:hAnsi="Times New Roman" w:cs="Times New Roman"/>
          <w:sz w:val="24"/>
          <w:szCs w:val="24"/>
        </w:rPr>
        <w:t>1</w:t>
      </w:r>
      <w:r w:rsidR="008C0E40">
        <w:rPr>
          <w:rFonts w:ascii="Times New Roman" w:eastAsia="Times New Roman" w:hAnsi="Times New Roman" w:cs="Times New Roman"/>
          <w:sz w:val="24"/>
          <w:szCs w:val="24"/>
        </w:rPr>
        <w:t>5</w:t>
      </w:r>
      <w:r w:rsidRPr="00C27396">
        <w:rPr>
          <w:rFonts w:ascii="Times New Roman" w:eastAsia="Times New Roman" w:hAnsi="Times New Roman" w:cs="Times New Roman"/>
          <w:sz w:val="24"/>
          <w:szCs w:val="24"/>
          <w:lang w:val="ru-RU"/>
        </w:rPr>
        <w:t xml:space="preserve"> показва подробния разчет по години.</w:t>
      </w:r>
    </w:p>
    <w:p w14:paraId="48A79F3B" w14:textId="77777777" w:rsidR="00E2571A" w:rsidRPr="00C27396" w:rsidRDefault="00E2571A" w:rsidP="00CB0A97">
      <w:pPr>
        <w:spacing w:after="0" w:line="240" w:lineRule="auto"/>
        <w:ind w:firstLine="567"/>
        <w:jc w:val="both"/>
        <w:rPr>
          <w:rFonts w:ascii="Times New Roman" w:eastAsia="Times New Roman" w:hAnsi="Times New Roman" w:cs="Times New Roman"/>
          <w:sz w:val="24"/>
          <w:szCs w:val="24"/>
          <w:lang w:val="ru-RU"/>
        </w:rPr>
      </w:pPr>
    </w:p>
    <w:p w14:paraId="4E502160" w14:textId="579B0C45" w:rsidR="00CB0A97" w:rsidRPr="008523A0" w:rsidRDefault="00CB0A97" w:rsidP="00E2571A">
      <w:pPr>
        <w:spacing w:after="0" w:line="240" w:lineRule="auto"/>
        <w:ind w:firstLine="567"/>
        <w:jc w:val="both"/>
        <w:rPr>
          <w:rFonts w:ascii="Times New Roman" w:eastAsia="Times New Roman" w:hAnsi="Times New Roman" w:cs="Times New Roman"/>
          <w:b/>
          <w:sz w:val="24"/>
          <w:szCs w:val="24"/>
          <w:lang w:val="ru-RU"/>
        </w:rPr>
      </w:pPr>
      <w:r w:rsidRPr="008523A0">
        <w:rPr>
          <w:rFonts w:ascii="Times New Roman" w:eastAsia="Times New Roman" w:hAnsi="Times New Roman" w:cs="Times New Roman"/>
          <w:b/>
          <w:sz w:val="24"/>
          <w:szCs w:val="24"/>
          <w:lang w:val="ru-RU"/>
        </w:rPr>
        <w:t>Таблица</w:t>
      </w:r>
      <w:r w:rsidR="00D2171D">
        <w:rPr>
          <w:rFonts w:ascii="Times New Roman" w:eastAsia="Times New Roman" w:hAnsi="Times New Roman" w:cs="Times New Roman"/>
          <w:b/>
          <w:sz w:val="24"/>
          <w:szCs w:val="24"/>
          <w:lang w:val="ru-RU"/>
        </w:rPr>
        <w:t xml:space="preserve"> </w:t>
      </w:r>
      <w:r w:rsidR="00D2171D" w:rsidRPr="00D2171D">
        <w:rPr>
          <w:rFonts w:ascii="Times New Roman" w:eastAsia="Times New Roman" w:hAnsi="Times New Roman" w:cs="Times New Roman"/>
          <w:b/>
          <w:sz w:val="24"/>
          <w:szCs w:val="24"/>
        </w:rPr>
        <w:t>№</w:t>
      </w:r>
      <w:r w:rsidRPr="008523A0">
        <w:rPr>
          <w:rFonts w:ascii="Times New Roman" w:eastAsia="Times New Roman" w:hAnsi="Times New Roman" w:cs="Times New Roman"/>
          <w:b/>
          <w:sz w:val="24"/>
          <w:szCs w:val="24"/>
          <w:lang w:val="ru-RU"/>
        </w:rPr>
        <w:t xml:space="preserve"> </w:t>
      </w:r>
      <w:r w:rsidR="00E2571A">
        <w:rPr>
          <w:rFonts w:ascii="Times New Roman" w:eastAsia="Times New Roman" w:hAnsi="Times New Roman" w:cs="Times New Roman"/>
          <w:b/>
          <w:sz w:val="24"/>
          <w:szCs w:val="24"/>
          <w:lang w:val="ru-RU"/>
        </w:rPr>
        <w:t>1</w:t>
      </w:r>
      <w:r w:rsidR="008C0E40">
        <w:rPr>
          <w:rFonts w:ascii="Times New Roman" w:eastAsia="Times New Roman" w:hAnsi="Times New Roman" w:cs="Times New Roman"/>
          <w:b/>
          <w:sz w:val="24"/>
          <w:szCs w:val="24"/>
          <w:lang w:val="ru-RU"/>
        </w:rPr>
        <w:t>5</w:t>
      </w:r>
      <w:r w:rsidRPr="008523A0">
        <w:rPr>
          <w:rFonts w:ascii="Times New Roman" w:eastAsia="Times New Roman" w:hAnsi="Times New Roman" w:cs="Times New Roman"/>
          <w:b/>
          <w:sz w:val="24"/>
          <w:szCs w:val="24"/>
          <w:lang w:val="ru-RU"/>
        </w:rPr>
        <w:t xml:space="preserve">. Анализ „разходи–ползи“ на </w:t>
      </w:r>
      <w:r w:rsidR="00E2571A" w:rsidRPr="008523A0">
        <w:rPr>
          <w:rFonts w:ascii="Times New Roman" w:eastAsia="Times New Roman" w:hAnsi="Times New Roman" w:cs="Times New Roman"/>
          <w:b/>
          <w:bCs/>
          <w:sz w:val="24"/>
          <w:szCs w:val="24"/>
          <w:lang w:val="ru-RU"/>
        </w:rPr>
        <w:t xml:space="preserve">Вариант </w:t>
      </w:r>
      <w:r w:rsidRPr="008523A0">
        <w:rPr>
          <w:rFonts w:ascii="Times New Roman" w:eastAsia="Times New Roman" w:hAnsi="Times New Roman" w:cs="Times New Roman"/>
          <w:b/>
          <w:bCs/>
          <w:sz w:val="24"/>
          <w:szCs w:val="24"/>
          <w:lang w:val="ru-RU"/>
        </w:rPr>
        <w:t>2</w:t>
      </w:r>
      <w:r w:rsidR="009F44BC">
        <w:rPr>
          <w:rFonts w:ascii="Times New Roman" w:eastAsia="Times New Roman" w:hAnsi="Times New Roman" w:cs="Times New Roman"/>
          <w:b/>
          <w:bCs/>
          <w:sz w:val="24"/>
          <w:szCs w:val="24"/>
          <w:lang w:val="ru-RU"/>
        </w:rPr>
        <w:t xml:space="preserve"> </w:t>
      </w:r>
      <w:r w:rsidRPr="008523A0">
        <w:rPr>
          <w:rFonts w:ascii="Times New Roman" w:eastAsia="Times New Roman" w:hAnsi="Times New Roman" w:cs="Times New Roman"/>
          <w:b/>
          <w:sz w:val="24"/>
          <w:szCs w:val="24"/>
          <w:lang w:val="ru-RU"/>
        </w:rPr>
        <w:t>(хил. лв.)</w:t>
      </w:r>
      <w:r w:rsidR="00364174">
        <w:rPr>
          <w:rStyle w:val="FootnoteReference"/>
          <w:rFonts w:ascii="Times New Roman" w:eastAsia="Times New Roman" w:hAnsi="Times New Roman" w:cs="Times New Roman"/>
          <w:b/>
          <w:sz w:val="24"/>
          <w:szCs w:val="24"/>
          <w:lang w:val="ru-RU"/>
        </w:rPr>
        <w:footnoteReference w:id="6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316"/>
        <w:gridCol w:w="1244"/>
        <w:gridCol w:w="1543"/>
        <w:gridCol w:w="1244"/>
        <w:gridCol w:w="1244"/>
        <w:gridCol w:w="1244"/>
      </w:tblGrid>
      <w:tr w:rsidR="00CB0A97" w:rsidRPr="00765759" w14:paraId="2C112241" w14:textId="77777777" w:rsidTr="00E2571A">
        <w:tc>
          <w:tcPr>
            <w:tcW w:w="459" w:type="dxa"/>
            <w:shd w:val="clear" w:color="auto" w:fill="BDD6EE" w:themeFill="accent1" w:themeFillTint="66"/>
            <w:vAlign w:val="center"/>
          </w:tcPr>
          <w:p w14:paraId="731D4387" w14:textId="77777777" w:rsidR="00CB0A97" w:rsidRPr="00765759" w:rsidRDefault="00CB0A97" w:rsidP="00E2571A">
            <w:pPr>
              <w:ind w:firstLine="29"/>
              <w:jc w:val="both"/>
              <w:rPr>
                <w:rFonts w:ascii="Times New Roman" w:eastAsia="Times New Roman" w:hAnsi="Times New Roman" w:cs="Times New Roman"/>
                <w:b/>
                <w:bCs/>
                <w:sz w:val="20"/>
                <w:szCs w:val="20"/>
              </w:rPr>
            </w:pPr>
            <w:r w:rsidRPr="00765759">
              <w:rPr>
                <w:rFonts w:ascii="Times New Roman" w:eastAsia="Times New Roman" w:hAnsi="Times New Roman" w:cs="Times New Roman"/>
                <w:b/>
                <w:bCs/>
                <w:sz w:val="20"/>
                <w:szCs w:val="20"/>
              </w:rPr>
              <w:t>№</w:t>
            </w:r>
          </w:p>
        </w:tc>
        <w:tc>
          <w:tcPr>
            <w:tcW w:w="2441" w:type="dxa"/>
            <w:shd w:val="clear" w:color="auto" w:fill="BDD6EE" w:themeFill="accent1" w:themeFillTint="66"/>
            <w:vAlign w:val="center"/>
          </w:tcPr>
          <w:p w14:paraId="44B48236" w14:textId="77777777" w:rsidR="00CB0A97" w:rsidRPr="00765759" w:rsidRDefault="00CB0A97" w:rsidP="00E2571A">
            <w:pPr>
              <w:ind w:firstLine="29"/>
              <w:jc w:val="both"/>
              <w:rPr>
                <w:rFonts w:ascii="Times New Roman" w:eastAsia="Times New Roman" w:hAnsi="Times New Roman" w:cs="Times New Roman"/>
                <w:b/>
                <w:bCs/>
                <w:sz w:val="20"/>
                <w:szCs w:val="20"/>
              </w:rPr>
            </w:pPr>
            <w:r w:rsidRPr="00765759">
              <w:rPr>
                <w:rFonts w:ascii="Times New Roman" w:eastAsia="Times New Roman" w:hAnsi="Times New Roman" w:cs="Times New Roman"/>
                <w:b/>
                <w:bCs/>
                <w:sz w:val="20"/>
                <w:szCs w:val="20"/>
              </w:rPr>
              <w:t>Променлива</w:t>
            </w:r>
          </w:p>
        </w:tc>
        <w:tc>
          <w:tcPr>
            <w:tcW w:w="1290" w:type="dxa"/>
            <w:shd w:val="clear" w:color="auto" w:fill="BDD6EE" w:themeFill="accent1" w:themeFillTint="66"/>
            <w:vAlign w:val="center"/>
          </w:tcPr>
          <w:p w14:paraId="5BF4284F" w14:textId="77777777" w:rsidR="00CB0A97" w:rsidRPr="00765759" w:rsidRDefault="00CB0A97" w:rsidP="00E2571A">
            <w:pPr>
              <w:ind w:firstLine="29"/>
              <w:jc w:val="both"/>
              <w:rPr>
                <w:rFonts w:ascii="Times New Roman" w:eastAsia="Times New Roman" w:hAnsi="Times New Roman" w:cs="Times New Roman"/>
                <w:b/>
                <w:bCs/>
                <w:sz w:val="20"/>
                <w:szCs w:val="20"/>
              </w:rPr>
            </w:pPr>
            <w:r w:rsidRPr="00765759">
              <w:rPr>
                <w:rFonts w:ascii="Times New Roman" w:eastAsia="Times New Roman" w:hAnsi="Times New Roman" w:cs="Times New Roman"/>
                <w:b/>
                <w:bCs/>
                <w:sz w:val="20"/>
                <w:szCs w:val="20"/>
              </w:rPr>
              <w:t>2025</w:t>
            </w:r>
          </w:p>
        </w:tc>
        <w:tc>
          <w:tcPr>
            <w:tcW w:w="1290" w:type="dxa"/>
            <w:shd w:val="clear" w:color="auto" w:fill="BDD6EE" w:themeFill="accent1" w:themeFillTint="66"/>
            <w:vAlign w:val="center"/>
          </w:tcPr>
          <w:p w14:paraId="40BB3E9C" w14:textId="77777777" w:rsidR="00CB0A97" w:rsidRPr="00765759" w:rsidRDefault="00CB0A97" w:rsidP="00E2571A">
            <w:pPr>
              <w:ind w:firstLine="29"/>
              <w:jc w:val="both"/>
              <w:rPr>
                <w:rFonts w:ascii="Times New Roman" w:eastAsia="Times New Roman" w:hAnsi="Times New Roman" w:cs="Times New Roman"/>
                <w:b/>
                <w:bCs/>
                <w:sz w:val="20"/>
                <w:szCs w:val="20"/>
              </w:rPr>
            </w:pPr>
            <w:r w:rsidRPr="00765759">
              <w:rPr>
                <w:rFonts w:ascii="Times New Roman" w:eastAsia="Times New Roman" w:hAnsi="Times New Roman" w:cs="Times New Roman"/>
                <w:b/>
                <w:bCs/>
                <w:sz w:val="20"/>
                <w:szCs w:val="20"/>
              </w:rPr>
              <w:t>2026</w:t>
            </w:r>
          </w:p>
        </w:tc>
        <w:tc>
          <w:tcPr>
            <w:tcW w:w="1290" w:type="dxa"/>
            <w:shd w:val="clear" w:color="auto" w:fill="BDD6EE" w:themeFill="accent1" w:themeFillTint="66"/>
            <w:vAlign w:val="center"/>
          </w:tcPr>
          <w:p w14:paraId="6A5DAD54" w14:textId="77777777" w:rsidR="00CB0A97" w:rsidRPr="00765759" w:rsidRDefault="00CB0A97" w:rsidP="00E2571A">
            <w:pPr>
              <w:ind w:firstLine="29"/>
              <w:jc w:val="both"/>
              <w:rPr>
                <w:rFonts w:ascii="Times New Roman" w:eastAsia="Times New Roman" w:hAnsi="Times New Roman" w:cs="Times New Roman"/>
                <w:b/>
                <w:bCs/>
                <w:sz w:val="20"/>
                <w:szCs w:val="20"/>
              </w:rPr>
            </w:pPr>
            <w:r w:rsidRPr="00765759">
              <w:rPr>
                <w:rFonts w:ascii="Times New Roman" w:eastAsia="Times New Roman" w:hAnsi="Times New Roman" w:cs="Times New Roman"/>
                <w:b/>
                <w:bCs/>
                <w:sz w:val="20"/>
                <w:szCs w:val="20"/>
              </w:rPr>
              <w:t>2027</w:t>
            </w:r>
          </w:p>
        </w:tc>
        <w:tc>
          <w:tcPr>
            <w:tcW w:w="1290" w:type="dxa"/>
            <w:shd w:val="clear" w:color="auto" w:fill="BDD6EE" w:themeFill="accent1" w:themeFillTint="66"/>
            <w:vAlign w:val="center"/>
          </w:tcPr>
          <w:p w14:paraId="26CF545F" w14:textId="77777777" w:rsidR="00CB0A97" w:rsidRPr="00765759" w:rsidRDefault="00CB0A97" w:rsidP="00E2571A">
            <w:pPr>
              <w:ind w:firstLine="29"/>
              <w:jc w:val="both"/>
              <w:rPr>
                <w:rFonts w:ascii="Times New Roman" w:eastAsia="Times New Roman" w:hAnsi="Times New Roman" w:cs="Times New Roman"/>
                <w:b/>
                <w:bCs/>
                <w:sz w:val="20"/>
                <w:szCs w:val="20"/>
              </w:rPr>
            </w:pPr>
            <w:r w:rsidRPr="00765759">
              <w:rPr>
                <w:rFonts w:ascii="Times New Roman" w:eastAsia="Times New Roman" w:hAnsi="Times New Roman" w:cs="Times New Roman"/>
                <w:b/>
                <w:bCs/>
                <w:sz w:val="20"/>
                <w:szCs w:val="20"/>
              </w:rPr>
              <w:t>2028</w:t>
            </w:r>
          </w:p>
        </w:tc>
        <w:tc>
          <w:tcPr>
            <w:tcW w:w="1290" w:type="dxa"/>
            <w:shd w:val="clear" w:color="auto" w:fill="BDD6EE" w:themeFill="accent1" w:themeFillTint="66"/>
            <w:vAlign w:val="center"/>
          </w:tcPr>
          <w:p w14:paraId="7AE486B7" w14:textId="77777777" w:rsidR="00CB0A97" w:rsidRPr="00765759" w:rsidRDefault="00CB0A97" w:rsidP="00E2571A">
            <w:pPr>
              <w:ind w:firstLine="29"/>
              <w:jc w:val="both"/>
              <w:rPr>
                <w:rFonts w:ascii="Times New Roman" w:eastAsia="Times New Roman" w:hAnsi="Times New Roman" w:cs="Times New Roman"/>
                <w:b/>
                <w:bCs/>
                <w:sz w:val="20"/>
                <w:szCs w:val="20"/>
              </w:rPr>
            </w:pPr>
            <w:r w:rsidRPr="00765759">
              <w:rPr>
                <w:rFonts w:ascii="Times New Roman" w:eastAsia="Times New Roman" w:hAnsi="Times New Roman" w:cs="Times New Roman"/>
                <w:b/>
                <w:bCs/>
                <w:sz w:val="20"/>
                <w:szCs w:val="20"/>
              </w:rPr>
              <w:t>2029</w:t>
            </w:r>
          </w:p>
        </w:tc>
      </w:tr>
      <w:tr w:rsidR="00CB0A97" w:rsidRPr="00765759" w14:paraId="27CDDE11" w14:textId="77777777" w:rsidTr="00E2571A">
        <w:tc>
          <w:tcPr>
            <w:tcW w:w="459" w:type="dxa"/>
            <w:shd w:val="clear" w:color="auto" w:fill="BDD6EE" w:themeFill="accent1" w:themeFillTint="66"/>
            <w:vAlign w:val="center"/>
          </w:tcPr>
          <w:p w14:paraId="285BD030" w14:textId="77777777" w:rsidR="00CB0A97" w:rsidRPr="00765759" w:rsidRDefault="00CB0A97" w:rsidP="00CB0A97">
            <w:pPr>
              <w:ind w:firstLine="29"/>
              <w:jc w:val="both"/>
              <w:rPr>
                <w:rFonts w:ascii="Times New Roman" w:eastAsia="Times New Roman" w:hAnsi="Times New Roman" w:cs="Times New Roman"/>
                <w:sz w:val="20"/>
                <w:szCs w:val="20"/>
              </w:rPr>
            </w:pPr>
            <w:r w:rsidRPr="00765759">
              <w:rPr>
                <w:rFonts w:ascii="Times New Roman" w:eastAsia="Times New Roman" w:hAnsi="Times New Roman" w:cs="Times New Roman"/>
                <w:sz w:val="20"/>
                <w:szCs w:val="20"/>
              </w:rPr>
              <w:t>1.</w:t>
            </w:r>
          </w:p>
        </w:tc>
        <w:tc>
          <w:tcPr>
            <w:tcW w:w="2441" w:type="dxa"/>
            <w:shd w:val="clear" w:color="auto" w:fill="BDD6EE" w:themeFill="accent1" w:themeFillTint="66"/>
            <w:vAlign w:val="center"/>
          </w:tcPr>
          <w:p w14:paraId="654E7A3B" w14:textId="0EFA7535" w:rsidR="00CB0A97" w:rsidRPr="008523A0" w:rsidRDefault="00CB0A97" w:rsidP="006D13D2">
            <w:pPr>
              <w:ind w:firstLine="29"/>
              <w:jc w:val="both"/>
              <w:rPr>
                <w:rFonts w:ascii="Times New Roman" w:eastAsia="Times New Roman" w:hAnsi="Times New Roman" w:cs="Times New Roman"/>
                <w:sz w:val="20"/>
                <w:szCs w:val="20"/>
                <w:lang w:val="ru-RU"/>
              </w:rPr>
            </w:pPr>
            <w:r w:rsidRPr="008523A0">
              <w:rPr>
                <w:rFonts w:ascii="Times New Roman" w:eastAsia="Times New Roman" w:hAnsi="Times New Roman" w:cs="Times New Roman"/>
                <w:b/>
                <w:bCs/>
                <w:sz w:val="20"/>
                <w:szCs w:val="20"/>
                <w:lang w:val="ru-RU"/>
              </w:rPr>
              <w:t>Съвкупни регулаторни разходи</w:t>
            </w:r>
            <w:r w:rsidRPr="008523A0">
              <w:rPr>
                <w:rFonts w:ascii="Times New Roman" w:eastAsia="Times New Roman" w:hAnsi="Times New Roman" w:cs="Times New Roman"/>
                <w:sz w:val="20"/>
                <w:szCs w:val="20"/>
                <w:lang w:val="ru-RU"/>
              </w:rPr>
              <w:t xml:space="preserve"> (прилагане на </w:t>
            </w:r>
            <w:r w:rsidR="006D13D2">
              <w:rPr>
                <w:rFonts w:ascii="Times New Roman" w:eastAsia="Times New Roman" w:hAnsi="Times New Roman" w:cs="Times New Roman"/>
                <w:sz w:val="20"/>
                <w:szCs w:val="20"/>
                <w:lang w:val="ru-RU"/>
              </w:rPr>
              <w:t>правото на ЕС</w:t>
            </w:r>
            <w:r w:rsidRPr="008523A0">
              <w:rPr>
                <w:rFonts w:ascii="Times New Roman" w:eastAsia="Times New Roman" w:hAnsi="Times New Roman" w:cs="Times New Roman"/>
                <w:sz w:val="20"/>
                <w:szCs w:val="20"/>
                <w:lang w:val="ru-RU"/>
              </w:rPr>
              <w:t>)</w:t>
            </w:r>
          </w:p>
        </w:tc>
        <w:tc>
          <w:tcPr>
            <w:tcW w:w="1290" w:type="dxa"/>
            <w:shd w:val="clear" w:color="auto" w:fill="E7E6E6" w:themeFill="background2"/>
            <w:vAlign w:val="center"/>
          </w:tcPr>
          <w:p w14:paraId="0EB41D80" w14:textId="77777777" w:rsidR="00CB0A97" w:rsidRPr="00765759" w:rsidRDefault="00CB0A97" w:rsidP="00CB0A97">
            <w:pPr>
              <w:ind w:firstLine="29"/>
              <w:jc w:val="both"/>
              <w:rPr>
                <w:rFonts w:ascii="Times New Roman" w:eastAsia="Times New Roman" w:hAnsi="Times New Roman" w:cs="Times New Roman"/>
                <w:sz w:val="20"/>
                <w:szCs w:val="20"/>
              </w:rPr>
            </w:pPr>
            <w:r w:rsidRPr="00765759">
              <w:rPr>
                <w:rFonts w:ascii="Times New Roman" w:eastAsia="Times New Roman" w:hAnsi="Times New Roman" w:cs="Times New Roman"/>
                <w:sz w:val="20"/>
                <w:szCs w:val="20"/>
              </w:rPr>
              <w:t>0,0</w:t>
            </w:r>
          </w:p>
        </w:tc>
        <w:tc>
          <w:tcPr>
            <w:tcW w:w="1290" w:type="dxa"/>
            <w:shd w:val="clear" w:color="auto" w:fill="E7E6E6" w:themeFill="background2"/>
            <w:vAlign w:val="center"/>
          </w:tcPr>
          <w:p w14:paraId="2EDC78D7" w14:textId="77777777" w:rsidR="00CB0A97" w:rsidRPr="00765759" w:rsidRDefault="00CB0A97" w:rsidP="00CB0A97">
            <w:pPr>
              <w:ind w:firstLine="29"/>
              <w:jc w:val="both"/>
              <w:rPr>
                <w:rFonts w:ascii="Times New Roman" w:eastAsia="Times New Roman" w:hAnsi="Times New Roman" w:cs="Times New Roman"/>
                <w:sz w:val="20"/>
                <w:szCs w:val="20"/>
              </w:rPr>
            </w:pPr>
            <w:r w:rsidRPr="00765759">
              <w:rPr>
                <w:rFonts w:ascii="Times New Roman" w:eastAsia="Times New Roman" w:hAnsi="Times New Roman" w:cs="Times New Roman"/>
                <w:sz w:val="20"/>
                <w:szCs w:val="20"/>
              </w:rPr>
              <w:t>0,0</w:t>
            </w:r>
          </w:p>
        </w:tc>
        <w:tc>
          <w:tcPr>
            <w:tcW w:w="1290" w:type="dxa"/>
            <w:shd w:val="clear" w:color="auto" w:fill="E7E6E6" w:themeFill="background2"/>
            <w:vAlign w:val="center"/>
          </w:tcPr>
          <w:p w14:paraId="5B149291" w14:textId="77777777" w:rsidR="00CB0A97" w:rsidRPr="00765759" w:rsidRDefault="00CB0A97" w:rsidP="00CB0A97">
            <w:pPr>
              <w:ind w:firstLine="29"/>
              <w:jc w:val="both"/>
              <w:rPr>
                <w:rFonts w:ascii="Times New Roman" w:eastAsia="Times New Roman" w:hAnsi="Times New Roman" w:cs="Times New Roman"/>
                <w:sz w:val="20"/>
                <w:szCs w:val="20"/>
              </w:rPr>
            </w:pPr>
            <w:r w:rsidRPr="00765759">
              <w:rPr>
                <w:rFonts w:ascii="Times New Roman" w:eastAsia="Times New Roman" w:hAnsi="Times New Roman" w:cs="Times New Roman"/>
                <w:sz w:val="20"/>
                <w:szCs w:val="20"/>
              </w:rPr>
              <w:t>0,0</w:t>
            </w:r>
          </w:p>
        </w:tc>
        <w:tc>
          <w:tcPr>
            <w:tcW w:w="1290" w:type="dxa"/>
            <w:shd w:val="clear" w:color="auto" w:fill="E7E6E6" w:themeFill="background2"/>
            <w:vAlign w:val="center"/>
          </w:tcPr>
          <w:p w14:paraId="3F47A2F0" w14:textId="77777777" w:rsidR="00CB0A97" w:rsidRPr="00765759" w:rsidRDefault="00CB0A97" w:rsidP="00CB0A97">
            <w:pPr>
              <w:ind w:firstLine="29"/>
              <w:jc w:val="both"/>
              <w:rPr>
                <w:rFonts w:ascii="Times New Roman" w:eastAsia="Times New Roman" w:hAnsi="Times New Roman" w:cs="Times New Roman"/>
                <w:sz w:val="20"/>
                <w:szCs w:val="20"/>
              </w:rPr>
            </w:pPr>
            <w:r w:rsidRPr="00765759">
              <w:rPr>
                <w:rFonts w:ascii="Times New Roman" w:eastAsia="Times New Roman" w:hAnsi="Times New Roman" w:cs="Times New Roman"/>
                <w:sz w:val="20"/>
                <w:szCs w:val="20"/>
              </w:rPr>
              <w:t>0,0</w:t>
            </w:r>
          </w:p>
        </w:tc>
        <w:tc>
          <w:tcPr>
            <w:tcW w:w="1290" w:type="dxa"/>
            <w:shd w:val="clear" w:color="auto" w:fill="E7E6E6" w:themeFill="background2"/>
            <w:vAlign w:val="center"/>
          </w:tcPr>
          <w:p w14:paraId="3A4297FF" w14:textId="77777777" w:rsidR="00CB0A97" w:rsidRPr="00765759" w:rsidRDefault="00CB0A97" w:rsidP="00CB0A97">
            <w:pPr>
              <w:ind w:firstLine="29"/>
              <w:jc w:val="both"/>
              <w:rPr>
                <w:rFonts w:ascii="Times New Roman" w:eastAsia="Times New Roman" w:hAnsi="Times New Roman" w:cs="Times New Roman"/>
                <w:sz w:val="20"/>
                <w:szCs w:val="20"/>
              </w:rPr>
            </w:pPr>
            <w:r w:rsidRPr="00765759">
              <w:rPr>
                <w:rFonts w:ascii="Times New Roman" w:eastAsia="Times New Roman" w:hAnsi="Times New Roman" w:cs="Times New Roman"/>
                <w:sz w:val="20"/>
                <w:szCs w:val="20"/>
              </w:rPr>
              <w:t>0,0</w:t>
            </w:r>
          </w:p>
        </w:tc>
      </w:tr>
      <w:tr w:rsidR="00CB0A97" w:rsidRPr="00765759" w14:paraId="3DF6883B" w14:textId="77777777" w:rsidTr="00E2571A">
        <w:tc>
          <w:tcPr>
            <w:tcW w:w="459" w:type="dxa"/>
            <w:shd w:val="clear" w:color="auto" w:fill="BDD6EE" w:themeFill="accent1" w:themeFillTint="66"/>
            <w:vAlign w:val="center"/>
          </w:tcPr>
          <w:p w14:paraId="1FCCF025" w14:textId="77777777" w:rsidR="00CB0A97" w:rsidRPr="00765759" w:rsidRDefault="00CB0A97" w:rsidP="00CB0A97">
            <w:pPr>
              <w:ind w:firstLine="29"/>
              <w:jc w:val="both"/>
              <w:rPr>
                <w:rFonts w:ascii="Times New Roman" w:eastAsia="Times New Roman" w:hAnsi="Times New Roman" w:cs="Times New Roman"/>
                <w:sz w:val="20"/>
                <w:szCs w:val="20"/>
              </w:rPr>
            </w:pPr>
            <w:r w:rsidRPr="00765759">
              <w:rPr>
                <w:rFonts w:ascii="Times New Roman" w:eastAsia="Times New Roman" w:hAnsi="Times New Roman" w:cs="Times New Roman"/>
                <w:sz w:val="20"/>
                <w:szCs w:val="20"/>
              </w:rPr>
              <w:lastRenderedPageBreak/>
              <w:t>2.</w:t>
            </w:r>
          </w:p>
        </w:tc>
        <w:tc>
          <w:tcPr>
            <w:tcW w:w="2441" w:type="dxa"/>
            <w:shd w:val="clear" w:color="auto" w:fill="BDD6EE" w:themeFill="accent1" w:themeFillTint="66"/>
            <w:vAlign w:val="center"/>
          </w:tcPr>
          <w:p w14:paraId="1425773D" w14:textId="77777777" w:rsidR="00CB0A97" w:rsidRPr="008523A0" w:rsidRDefault="00CB0A97" w:rsidP="00CB0A97">
            <w:pPr>
              <w:ind w:firstLine="29"/>
              <w:jc w:val="both"/>
              <w:rPr>
                <w:rFonts w:ascii="Times New Roman" w:eastAsia="Times New Roman" w:hAnsi="Times New Roman" w:cs="Times New Roman"/>
                <w:sz w:val="20"/>
                <w:szCs w:val="20"/>
                <w:lang w:val="ru-RU"/>
              </w:rPr>
            </w:pPr>
            <w:r w:rsidRPr="008523A0">
              <w:rPr>
                <w:rFonts w:ascii="Times New Roman" w:eastAsia="Times New Roman" w:hAnsi="Times New Roman" w:cs="Times New Roman"/>
                <w:b/>
                <w:bCs/>
                <w:sz w:val="20"/>
                <w:szCs w:val="20"/>
                <w:lang w:val="ru-RU"/>
              </w:rPr>
              <w:t>Настояща стойност на разходите</w:t>
            </w:r>
            <w:r w:rsidRPr="008523A0">
              <w:rPr>
                <w:rFonts w:ascii="Times New Roman" w:eastAsia="Times New Roman" w:hAnsi="Times New Roman" w:cs="Times New Roman"/>
                <w:sz w:val="20"/>
                <w:szCs w:val="20"/>
                <w:lang w:val="ru-RU"/>
              </w:rPr>
              <w:t xml:space="preserve"> (сконтиран р.1, </w:t>
            </w:r>
            <w:r w:rsidRPr="00765759">
              <w:rPr>
                <w:rFonts w:ascii="Times New Roman" w:eastAsia="Times New Roman" w:hAnsi="Times New Roman" w:cs="Times New Roman"/>
                <w:sz w:val="20"/>
                <w:szCs w:val="20"/>
              </w:rPr>
              <w:t>r</w:t>
            </w:r>
            <w:r w:rsidRPr="008523A0">
              <w:rPr>
                <w:rFonts w:ascii="Times New Roman" w:eastAsia="Times New Roman" w:hAnsi="Times New Roman" w:cs="Times New Roman"/>
                <w:sz w:val="20"/>
                <w:szCs w:val="20"/>
                <w:lang w:val="ru-RU"/>
              </w:rPr>
              <w:t>=4%)</w:t>
            </w:r>
          </w:p>
        </w:tc>
        <w:tc>
          <w:tcPr>
            <w:tcW w:w="1290" w:type="dxa"/>
            <w:shd w:val="clear" w:color="auto" w:fill="E7E6E6" w:themeFill="background2"/>
            <w:vAlign w:val="center"/>
          </w:tcPr>
          <w:p w14:paraId="7C5C10AF" w14:textId="77777777" w:rsidR="00CB0A97" w:rsidRPr="00765759" w:rsidRDefault="00CB0A97" w:rsidP="00CB0A97">
            <w:pPr>
              <w:ind w:firstLine="29"/>
              <w:jc w:val="both"/>
              <w:rPr>
                <w:rFonts w:ascii="Times New Roman" w:eastAsia="Times New Roman" w:hAnsi="Times New Roman" w:cs="Times New Roman"/>
                <w:sz w:val="20"/>
                <w:szCs w:val="20"/>
              </w:rPr>
            </w:pPr>
            <w:r w:rsidRPr="00765759">
              <w:rPr>
                <w:rFonts w:ascii="Times New Roman" w:eastAsia="Times New Roman" w:hAnsi="Times New Roman" w:cs="Times New Roman"/>
                <w:sz w:val="20"/>
                <w:szCs w:val="20"/>
              </w:rPr>
              <w:t>0,0</w:t>
            </w:r>
          </w:p>
        </w:tc>
        <w:tc>
          <w:tcPr>
            <w:tcW w:w="1290" w:type="dxa"/>
            <w:shd w:val="clear" w:color="auto" w:fill="E7E6E6" w:themeFill="background2"/>
            <w:vAlign w:val="center"/>
          </w:tcPr>
          <w:p w14:paraId="72F90C3F" w14:textId="77777777" w:rsidR="00CB0A97" w:rsidRPr="00765759" w:rsidRDefault="00CB0A97" w:rsidP="00CB0A97">
            <w:pPr>
              <w:ind w:firstLine="29"/>
              <w:jc w:val="both"/>
              <w:rPr>
                <w:rFonts w:ascii="Times New Roman" w:eastAsia="Times New Roman" w:hAnsi="Times New Roman" w:cs="Times New Roman"/>
                <w:sz w:val="20"/>
                <w:szCs w:val="20"/>
              </w:rPr>
            </w:pPr>
            <w:r w:rsidRPr="00765759">
              <w:rPr>
                <w:rFonts w:ascii="Times New Roman" w:eastAsia="Times New Roman" w:hAnsi="Times New Roman" w:cs="Times New Roman"/>
                <w:sz w:val="20"/>
                <w:szCs w:val="20"/>
              </w:rPr>
              <w:t>0,0</w:t>
            </w:r>
          </w:p>
        </w:tc>
        <w:tc>
          <w:tcPr>
            <w:tcW w:w="1290" w:type="dxa"/>
            <w:shd w:val="clear" w:color="auto" w:fill="E7E6E6" w:themeFill="background2"/>
            <w:vAlign w:val="center"/>
          </w:tcPr>
          <w:p w14:paraId="5757C4B2" w14:textId="77777777" w:rsidR="00CB0A97" w:rsidRPr="00765759" w:rsidRDefault="00CB0A97" w:rsidP="00CB0A97">
            <w:pPr>
              <w:ind w:firstLine="29"/>
              <w:jc w:val="both"/>
              <w:rPr>
                <w:rFonts w:ascii="Times New Roman" w:eastAsia="Times New Roman" w:hAnsi="Times New Roman" w:cs="Times New Roman"/>
                <w:sz w:val="20"/>
                <w:szCs w:val="20"/>
              </w:rPr>
            </w:pPr>
            <w:r w:rsidRPr="00765759">
              <w:rPr>
                <w:rFonts w:ascii="Times New Roman" w:eastAsia="Times New Roman" w:hAnsi="Times New Roman" w:cs="Times New Roman"/>
                <w:sz w:val="20"/>
                <w:szCs w:val="20"/>
              </w:rPr>
              <w:t>0,0</w:t>
            </w:r>
          </w:p>
        </w:tc>
        <w:tc>
          <w:tcPr>
            <w:tcW w:w="1290" w:type="dxa"/>
            <w:shd w:val="clear" w:color="auto" w:fill="E7E6E6" w:themeFill="background2"/>
            <w:vAlign w:val="center"/>
          </w:tcPr>
          <w:p w14:paraId="5D21CB96" w14:textId="77777777" w:rsidR="00CB0A97" w:rsidRPr="00765759" w:rsidRDefault="00CB0A97" w:rsidP="00CB0A97">
            <w:pPr>
              <w:ind w:firstLine="29"/>
              <w:jc w:val="both"/>
              <w:rPr>
                <w:rFonts w:ascii="Times New Roman" w:eastAsia="Times New Roman" w:hAnsi="Times New Roman" w:cs="Times New Roman"/>
                <w:sz w:val="20"/>
                <w:szCs w:val="20"/>
              </w:rPr>
            </w:pPr>
            <w:r w:rsidRPr="00765759">
              <w:rPr>
                <w:rFonts w:ascii="Times New Roman" w:eastAsia="Times New Roman" w:hAnsi="Times New Roman" w:cs="Times New Roman"/>
                <w:sz w:val="20"/>
                <w:szCs w:val="20"/>
              </w:rPr>
              <w:t>0,0</w:t>
            </w:r>
          </w:p>
        </w:tc>
        <w:tc>
          <w:tcPr>
            <w:tcW w:w="1290" w:type="dxa"/>
            <w:shd w:val="clear" w:color="auto" w:fill="E7E6E6" w:themeFill="background2"/>
            <w:vAlign w:val="center"/>
          </w:tcPr>
          <w:p w14:paraId="748C1B0C" w14:textId="77777777" w:rsidR="00CB0A97" w:rsidRPr="00765759" w:rsidRDefault="00CB0A97" w:rsidP="00CB0A97">
            <w:pPr>
              <w:ind w:firstLine="29"/>
              <w:jc w:val="both"/>
              <w:rPr>
                <w:rFonts w:ascii="Times New Roman" w:eastAsia="Times New Roman" w:hAnsi="Times New Roman" w:cs="Times New Roman"/>
                <w:sz w:val="20"/>
                <w:szCs w:val="20"/>
              </w:rPr>
            </w:pPr>
            <w:r w:rsidRPr="00765759">
              <w:rPr>
                <w:rFonts w:ascii="Times New Roman" w:eastAsia="Times New Roman" w:hAnsi="Times New Roman" w:cs="Times New Roman"/>
                <w:sz w:val="20"/>
                <w:szCs w:val="20"/>
              </w:rPr>
              <w:t>0,0</w:t>
            </w:r>
          </w:p>
        </w:tc>
      </w:tr>
      <w:tr w:rsidR="00CB0A97" w:rsidRPr="00765759" w14:paraId="2A2A98F6" w14:textId="77777777" w:rsidTr="00E2571A">
        <w:tc>
          <w:tcPr>
            <w:tcW w:w="459" w:type="dxa"/>
            <w:shd w:val="clear" w:color="auto" w:fill="BDD6EE" w:themeFill="accent1" w:themeFillTint="66"/>
            <w:vAlign w:val="center"/>
          </w:tcPr>
          <w:p w14:paraId="35D5166D" w14:textId="77777777" w:rsidR="00CB0A97" w:rsidRPr="00765759" w:rsidRDefault="00CB0A97" w:rsidP="00CB0A97">
            <w:pPr>
              <w:ind w:firstLine="29"/>
              <w:jc w:val="both"/>
              <w:rPr>
                <w:rFonts w:ascii="Times New Roman" w:eastAsia="Times New Roman" w:hAnsi="Times New Roman" w:cs="Times New Roman"/>
                <w:sz w:val="20"/>
                <w:szCs w:val="20"/>
              </w:rPr>
            </w:pPr>
            <w:r w:rsidRPr="00765759">
              <w:rPr>
                <w:rFonts w:ascii="Times New Roman" w:eastAsia="Times New Roman" w:hAnsi="Times New Roman" w:cs="Times New Roman"/>
                <w:sz w:val="20"/>
                <w:szCs w:val="20"/>
              </w:rPr>
              <w:t>3.</w:t>
            </w:r>
          </w:p>
        </w:tc>
        <w:tc>
          <w:tcPr>
            <w:tcW w:w="2441" w:type="dxa"/>
            <w:shd w:val="clear" w:color="auto" w:fill="BDD6EE" w:themeFill="accent1" w:themeFillTint="66"/>
            <w:vAlign w:val="center"/>
          </w:tcPr>
          <w:p w14:paraId="4ACA2904" w14:textId="396F2BBA" w:rsidR="00CB0A97" w:rsidRPr="008523A0" w:rsidRDefault="00CB0A97" w:rsidP="00CB0A97">
            <w:pPr>
              <w:ind w:firstLine="29"/>
              <w:jc w:val="both"/>
              <w:rPr>
                <w:rFonts w:ascii="Times New Roman" w:eastAsia="Times New Roman" w:hAnsi="Times New Roman" w:cs="Times New Roman"/>
                <w:sz w:val="20"/>
                <w:szCs w:val="20"/>
                <w:lang w:val="ru-RU"/>
              </w:rPr>
            </w:pPr>
            <w:r w:rsidRPr="008523A0">
              <w:rPr>
                <w:rFonts w:ascii="Times New Roman" w:eastAsia="Times New Roman" w:hAnsi="Times New Roman" w:cs="Times New Roman"/>
                <w:b/>
                <w:bCs/>
                <w:sz w:val="20"/>
                <w:szCs w:val="20"/>
                <w:lang w:val="ru-RU"/>
              </w:rPr>
              <w:t>Ползи</w:t>
            </w:r>
            <w:r w:rsidRPr="008523A0">
              <w:rPr>
                <w:rFonts w:ascii="Times New Roman" w:eastAsia="Times New Roman" w:hAnsi="Times New Roman" w:cs="Times New Roman"/>
                <w:sz w:val="20"/>
                <w:szCs w:val="20"/>
                <w:lang w:val="ru-RU"/>
              </w:rPr>
              <w:t xml:space="preserve"> (намалени загуби от </w:t>
            </w:r>
            <w:r w:rsidR="00C13AC0" w:rsidRPr="00C13AC0">
              <w:rPr>
                <w:rFonts w:ascii="Times New Roman" w:eastAsia="Times New Roman" w:hAnsi="Times New Roman" w:cs="Times New Roman"/>
                <w:sz w:val="20"/>
                <w:szCs w:val="20"/>
                <w:lang w:val="ru-RU"/>
              </w:rPr>
              <w:t>нелоялни търговски практики</w:t>
            </w:r>
            <w:r w:rsidRPr="008523A0">
              <w:rPr>
                <w:rFonts w:ascii="Times New Roman" w:eastAsia="Times New Roman" w:hAnsi="Times New Roman" w:cs="Times New Roman"/>
                <w:sz w:val="20"/>
                <w:szCs w:val="20"/>
                <w:lang w:val="ru-RU"/>
              </w:rPr>
              <w:t>, по-добри цени/условия)</w:t>
            </w:r>
          </w:p>
        </w:tc>
        <w:tc>
          <w:tcPr>
            <w:tcW w:w="1290" w:type="dxa"/>
            <w:shd w:val="clear" w:color="auto" w:fill="E7E6E6" w:themeFill="background2"/>
            <w:vAlign w:val="center"/>
          </w:tcPr>
          <w:p w14:paraId="48945AFD" w14:textId="77777777" w:rsidR="00CB0A97" w:rsidRPr="00765759" w:rsidRDefault="00CB0A97" w:rsidP="00CB0A97">
            <w:pPr>
              <w:ind w:firstLine="29"/>
              <w:jc w:val="both"/>
              <w:rPr>
                <w:rFonts w:ascii="Times New Roman" w:eastAsia="Times New Roman" w:hAnsi="Times New Roman" w:cs="Times New Roman"/>
                <w:sz w:val="20"/>
                <w:szCs w:val="20"/>
              </w:rPr>
            </w:pPr>
            <w:r w:rsidRPr="00765759">
              <w:rPr>
                <w:rFonts w:ascii="Times New Roman" w:eastAsia="Times New Roman" w:hAnsi="Times New Roman" w:cs="Times New Roman"/>
                <w:sz w:val="20"/>
                <w:szCs w:val="20"/>
              </w:rPr>
              <w:t>20 000,0</w:t>
            </w:r>
          </w:p>
        </w:tc>
        <w:tc>
          <w:tcPr>
            <w:tcW w:w="1290" w:type="dxa"/>
            <w:shd w:val="clear" w:color="auto" w:fill="E7E6E6" w:themeFill="background2"/>
            <w:vAlign w:val="center"/>
          </w:tcPr>
          <w:p w14:paraId="7E738242" w14:textId="77777777" w:rsidR="00CB0A97" w:rsidRPr="00765759" w:rsidRDefault="00CB0A97" w:rsidP="00CB0A97">
            <w:pPr>
              <w:ind w:firstLine="29"/>
              <w:jc w:val="both"/>
              <w:rPr>
                <w:rFonts w:ascii="Times New Roman" w:eastAsia="Times New Roman" w:hAnsi="Times New Roman" w:cs="Times New Roman"/>
                <w:sz w:val="20"/>
                <w:szCs w:val="20"/>
              </w:rPr>
            </w:pPr>
            <w:r w:rsidRPr="00765759">
              <w:rPr>
                <w:rFonts w:ascii="Times New Roman" w:eastAsia="Times New Roman" w:hAnsi="Times New Roman" w:cs="Times New Roman"/>
                <w:sz w:val="20"/>
                <w:szCs w:val="20"/>
              </w:rPr>
              <w:t>20 000,0</w:t>
            </w:r>
          </w:p>
        </w:tc>
        <w:tc>
          <w:tcPr>
            <w:tcW w:w="1290" w:type="dxa"/>
            <w:shd w:val="clear" w:color="auto" w:fill="E7E6E6" w:themeFill="background2"/>
            <w:vAlign w:val="center"/>
          </w:tcPr>
          <w:p w14:paraId="305922D3" w14:textId="77777777" w:rsidR="00CB0A97" w:rsidRPr="00765759" w:rsidRDefault="00CB0A97" w:rsidP="00CB0A97">
            <w:pPr>
              <w:ind w:firstLine="29"/>
              <w:jc w:val="both"/>
              <w:rPr>
                <w:rFonts w:ascii="Times New Roman" w:eastAsia="Times New Roman" w:hAnsi="Times New Roman" w:cs="Times New Roman"/>
                <w:sz w:val="20"/>
                <w:szCs w:val="20"/>
              </w:rPr>
            </w:pPr>
            <w:r w:rsidRPr="00765759">
              <w:rPr>
                <w:rFonts w:ascii="Times New Roman" w:eastAsia="Times New Roman" w:hAnsi="Times New Roman" w:cs="Times New Roman"/>
                <w:sz w:val="20"/>
                <w:szCs w:val="20"/>
              </w:rPr>
              <w:t>20 000,0</w:t>
            </w:r>
          </w:p>
        </w:tc>
        <w:tc>
          <w:tcPr>
            <w:tcW w:w="1290" w:type="dxa"/>
            <w:shd w:val="clear" w:color="auto" w:fill="E7E6E6" w:themeFill="background2"/>
            <w:vAlign w:val="center"/>
          </w:tcPr>
          <w:p w14:paraId="6699D470" w14:textId="77777777" w:rsidR="00CB0A97" w:rsidRPr="00765759" w:rsidRDefault="00CB0A97" w:rsidP="00CB0A97">
            <w:pPr>
              <w:ind w:firstLine="29"/>
              <w:jc w:val="both"/>
              <w:rPr>
                <w:rFonts w:ascii="Times New Roman" w:eastAsia="Times New Roman" w:hAnsi="Times New Roman" w:cs="Times New Roman"/>
                <w:sz w:val="20"/>
                <w:szCs w:val="20"/>
              </w:rPr>
            </w:pPr>
            <w:r w:rsidRPr="00765759">
              <w:rPr>
                <w:rFonts w:ascii="Times New Roman" w:eastAsia="Times New Roman" w:hAnsi="Times New Roman" w:cs="Times New Roman"/>
                <w:sz w:val="20"/>
                <w:szCs w:val="20"/>
              </w:rPr>
              <w:t>20 000,0</w:t>
            </w:r>
          </w:p>
        </w:tc>
        <w:tc>
          <w:tcPr>
            <w:tcW w:w="1290" w:type="dxa"/>
            <w:shd w:val="clear" w:color="auto" w:fill="E7E6E6" w:themeFill="background2"/>
            <w:vAlign w:val="center"/>
          </w:tcPr>
          <w:p w14:paraId="3677BA15" w14:textId="77777777" w:rsidR="00CB0A97" w:rsidRPr="00765759" w:rsidRDefault="00CB0A97" w:rsidP="00CB0A97">
            <w:pPr>
              <w:ind w:firstLine="29"/>
              <w:jc w:val="both"/>
              <w:rPr>
                <w:rFonts w:ascii="Times New Roman" w:eastAsia="Times New Roman" w:hAnsi="Times New Roman" w:cs="Times New Roman"/>
                <w:sz w:val="20"/>
                <w:szCs w:val="20"/>
              </w:rPr>
            </w:pPr>
            <w:r w:rsidRPr="00765759">
              <w:rPr>
                <w:rFonts w:ascii="Times New Roman" w:eastAsia="Times New Roman" w:hAnsi="Times New Roman" w:cs="Times New Roman"/>
                <w:sz w:val="20"/>
                <w:szCs w:val="20"/>
              </w:rPr>
              <w:t>20 000,0</w:t>
            </w:r>
          </w:p>
        </w:tc>
      </w:tr>
      <w:tr w:rsidR="00CB0A97" w:rsidRPr="00765759" w14:paraId="591C1875" w14:textId="77777777" w:rsidTr="00E2571A">
        <w:tc>
          <w:tcPr>
            <w:tcW w:w="459" w:type="dxa"/>
            <w:shd w:val="clear" w:color="auto" w:fill="BDD6EE" w:themeFill="accent1" w:themeFillTint="66"/>
            <w:vAlign w:val="center"/>
          </w:tcPr>
          <w:p w14:paraId="3F3AED55" w14:textId="77777777" w:rsidR="00CB0A97" w:rsidRPr="00765759" w:rsidRDefault="00CB0A97" w:rsidP="00CB0A97">
            <w:pPr>
              <w:ind w:firstLine="29"/>
              <w:jc w:val="both"/>
              <w:rPr>
                <w:rFonts w:ascii="Times New Roman" w:eastAsia="Times New Roman" w:hAnsi="Times New Roman" w:cs="Times New Roman"/>
                <w:sz w:val="20"/>
                <w:szCs w:val="20"/>
              </w:rPr>
            </w:pPr>
            <w:r w:rsidRPr="00765759">
              <w:rPr>
                <w:rFonts w:ascii="Times New Roman" w:eastAsia="Times New Roman" w:hAnsi="Times New Roman" w:cs="Times New Roman"/>
                <w:sz w:val="20"/>
                <w:szCs w:val="20"/>
              </w:rPr>
              <w:t>4.</w:t>
            </w:r>
          </w:p>
        </w:tc>
        <w:tc>
          <w:tcPr>
            <w:tcW w:w="2441" w:type="dxa"/>
            <w:shd w:val="clear" w:color="auto" w:fill="BDD6EE" w:themeFill="accent1" w:themeFillTint="66"/>
            <w:vAlign w:val="center"/>
          </w:tcPr>
          <w:p w14:paraId="52AFB928" w14:textId="77777777" w:rsidR="00CB0A97" w:rsidRPr="008523A0" w:rsidRDefault="00CB0A97" w:rsidP="00CB0A97">
            <w:pPr>
              <w:ind w:firstLine="29"/>
              <w:jc w:val="both"/>
              <w:rPr>
                <w:rFonts w:ascii="Times New Roman" w:eastAsia="Times New Roman" w:hAnsi="Times New Roman" w:cs="Times New Roman"/>
                <w:sz w:val="20"/>
                <w:szCs w:val="20"/>
                <w:lang w:val="ru-RU"/>
              </w:rPr>
            </w:pPr>
            <w:r w:rsidRPr="008523A0">
              <w:rPr>
                <w:rFonts w:ascii="Times New Roman" w:eastAsia="Times New Roman" w:hAnsi="Times New Roman" w:cs="Times New Roman"/>
                <w:b/>
                <w:bCs/>
                <w:sz w:val="20"/>
                <w:szCs w:val="20"/>
                <w:lang w:val="ru-RU"/>
              </w:rPr>
              <w:t>Настояща стойност на ползите</w:t>
            </w:r>
            <w:r w:rsidRPr="008523A0">
              <w:rPr>
                <w:rFonts w:ascii="Times New Roman" w:eastAsia="Times New Roman" w:hAnsi="Times New Roman" w:cs="Times New Roman"/>
                <w:sz w:val="20"/>
                <w:szCs w:val="20"/>
                <w:lang w:val="ru-RU"/>
              </w:rPr>
              <w:t xml:space="preserve"> (сконтиран р.3, </w:t>
            </w:r>
            <w:r w:rsidRPr="00765759">
              <w:rPr>
                <w:rFonts w:ascii="Times New Roman" w:eastAsia="Times New Roman" w:hAnsi="Times New Roman" w:cs="Times New Roman"/>
                <w:sz w:val="20"/>
                <w:szCs w:val="20"/>
              </w:rPr>
              <w:t>r</w:t>
            </w:r>
            <w:r w:rsidRPr="008523A0">
              <w:rPr>
                <w:rFonts w:ascii="Times New Roman" w:eastAsia="Times New Roman" w:hAnsi="Times New Roman" w:cs="Times New Roman"/>
                <w:sz w:val="20"/>
                <w:szCs w:val="20"/>
                <w:lang w:val="ru-RU"/>
              </w:rPr>
              <w:t>=4%)</w:t>
            </w:r>
          </w:p>
        </w:tc>
        <w:tc>
          <w:tcPr>
            <w:tcW w:w="1290" w:type="dxa"/>
            <w:shd w:val="clear" w:color="auto" w:fill="E7E6E6" w:themeFill="background2"/>
            <w:vAlign w:val="center"/>
          </w:tcPr>
          <w:p w14:paraId="3A5F2739" w14:textId="77777777" w:rsidR="00CB0A97" w:rsidRPr="00765759" w:rsidRDefault="00CB0A97" w:rsidP="00CB0A97">
            <w:pPr>
              <w:ind w:firstLine="29"/>
              <w:jc w:val="both"/>
              <w:rPr>
                <w:rFonts w:ascii="Times New Roman" w:eastAsia="Times New Roman" w:hAnsi="Times New Roman" w:cs="Times New Roman"/>
                <w:sz w:val="20"/>
                <w:szCs w:val="20"/>
              </w:rPr>
            </w:pPr>
            <w:r w:rsidRPr="00765759">
              <w:rPr>
                <w:rFonts w:ascii="Times New Roman" w:eastAsia="Times New Roman" w:hAnsi="Times New Roman" w:cs="Times New Roman"/>
                <w:sz w:val="20"/>
                <w:szCs w:val="20"/>
              </w:rPr>
              <w:t>20 000,0</w:t>
            </w:r>
          </w:p>
        </w:tc>
        <w:tc>
          <w:tcPr>
            <w:tcW w:w="1290" w:type="dxa"/>
            <w:shd w:val="clear" w:color="auto" w:fill="E7E6E6" w:themeFill="background2"/>
            <w:vAlign w:val="center"/>
          </w:tcPr>
          <w:p w14:paraId="6F707A90" w14:textId="77777777" w:rsidR="00CB0A97" w:rsidRPr="00765759" w:rsidRDefault="00CB0A97" w:rsidP="00CB0A97">
            <w:pPr>
              <w:ind w:firstLine="29"/>
              <w:jc w:val="both"/>
              <w:rPr>
                <w:rFonts w:ascii="Times New Roman" w:eastAsia="Times New Roman" w:hAnsi="Times New Roman" w:cs="Times New Roman"/>
                <w:sz w:val="20"/>
                <w:szCs w:val="20"/>
              </w:rPr>
            </w:pPr>
            <w:r w:rsidRPr="00765759">
              <w:rPr>
                <w:rFonts w:ascii="Times New Roman" w:eastAsia="Times New Roman" w:hAnsi="Times New Roman" w:cs="Times New Roman"/>
                <w:sz w:val="20"/>
                <w:szCs w:val="20"/>
              </w:rPr>
              <w:t>19 230,8</w:t>
            </w:r>
          </w:p>
        </w:tc>
        <w:tc>
          <w:tcPr>
            <w:tcW w:w="1290" w:type="dxa"/>
            <w:shd w:val="clear" w:color="auto" w:fill="E7E6E6" w:themeFill="background2"/>
            <w:vAlign w:val="center"/>
          </w:tcPr>
          <w:p w14:paraId="491AE3BE" w14:textId="1BDED6BF" w:rsidR="00CB0A97" w:rsidRPr="00765759" w:rsidRDefault="006208E5" w:rsidP="006208E5">
            <w:pPr>
              <w:ind w:firstLine="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18 491</w:t>
            </w:r>
            <w:r w:rsidR="00CB0A97" w:rsidRPr="00765759">
              <w:rPr>
                <w:rFonts w:ascii="Times New Roman" w:eastAsia="Times New Roman" w:hAnsi="Times New Roman" w:cs="Times New Roman"/>
                <w:sz w:val="20"/>
                <w:szCs w:val="20"/>
              </w:rPr>
              <w:t>,</w:t>
            </w:r>
            <w:r>
              <w:rPr>
                <w:rFonts w:ascii="Times New Roman" w:eastAsia="Times New Roman" w:hAnsi="Times New Roman" w:cs="Times New Roman"/>
                <w:sz w:val="20"/>
                <w:szCs w:val="20"/>
              </w:rPr>
              <w:t>1</w:t>
            </w:r>
          </w:p>
        </w:tc>
        <w:tc>
          <w:tcPr>
            <w:tcW w:w="1290" w:type="dxa"/>
            <w:shd w:val="clear" w:color="auto" w:fill="E7E6E6" w:themeFill="background2"/>
            <w:vAlign w:val="center"/>
          </w:tcPr>
          <w:p w14:paraId="279FCC90" w14:textId="0E05C01B" w:rsidR="00CB0A97" w:rsidRPr="00765759" w:rsidRDefault="00CB0A97" w:rsidP="006208E5">
            <w:pPr>
              <w:ind w:firstLine="29"/>
              <w:jc w:val="both"/>
              <w:rPr>
                <w:rFonts w:ascii="Times New Roman" w:eastAsia="Times New Roman" w:hAnsi="Times New Roman" w:cs="Times New Roman"/>
                <w:sz w:val="20"/>
                <w:szCs w:val="20"/>
              </w:rPr>
            </w:pPr>
            <w:r w:rsidRPr="00765759">
              <w:rPr>
                <w:rFonts w:ascii="Times New Roman" w:eastAsia="Times New Roman" w:hAnsi="Times New Roman" w:cs="Times New Roman"/>
                <w:sz w:val="20"/>
                <w:szCs w:val="20"/>
              </w:rPr>
              <w:t>17 7</w:t>
            </w:r>
            <w:r w:rsidR="006208E5">
              <w:rPr>
                <w:rFonts w:ascii="Times New Roman" w:eastAsia="Times New Roman" w:hAnsi="Times New Roman" w:cs="Times New Roman"/>
                <w:sz w:val="20"/>
                <w:szCs w:val="20"/>
              </w:rPr>
              <w:t>7</w:t>
            </w:r>
            <w:r w:rsidRPr="00765759">
              <w:rPr>
                <w:rFonts w:ascii="Times New Roman" w:eastAsia="Times New Roman" w:hAnsi="Times New Roman" w:cs="Times New Roman"/>
                <w:sz w:val="20"/>
                <w:szCs w:val="20"/>
              </w:rPr>
              <w:t>9,</w:t>
            </w:r>
            <w:r w:rsidR="006208E5">
              <w:rPr>
                <w:rFonts w:ascii="Times New Roman" w:eastAsia="Times New Roman" w:hAnsi="Times New Roman" w:cs="Times New Roman"/>
                <w:sz w:val="20"/>
                <w:szCs w:val="20"/>
              </w:rPr>
              <w:t>9</w:t>
            </w:r>
          </w:p>
        </w:tc>
        <w:tc>
          <w:tcPr>
            <w:tcW w:w="1290" w:type="dxa"/>
            <w:shd w:val="clear" w:color="auto" w:fill="E7E6E6" w:themeFill="background2"/>
            <w:vAlign w:val="center"/>
          </w:tcPr>
          <w:p w14:paraId="3877704D" w14:textId="34348BB9" w:rsidR="00CB0A97" w:rsidRPr="00765759" w:rsidRDefault="00CB0A97" w:rsidP="006208E5">
            <w:pPr>
              <w:ind w:firstLine="29"/>
              <w:jc w:val="both"/>
              <w:rPr>
                <w:rFonts w:ascii="Times New Roman" w:eastAsia="Times New Roman" w:hAnsi="Times New Roman" w:cs="Times New Roman"/>
                <w:sz w:val="20"/>
                <w:szCs w:val="20"/>
              </w:rPr>
            </w:pPr>
            <w:r w:rsidRPr="00765759">
              <w:rPr>
                <w:rFonts w:ascii="Times New Roman" w:eastAsia="Times New Roman" w:hAnsi="Times New Roman" w:cs="Times New Roman"/>
                <w:sz w:val="20"/>
                <w:szCs w:val="20"/>
              </w:rPr>
              <w:t>1</w:t>
            </w:r>
            <w:r w:rsidR="006208E5">
              <w:rPr>
                <w:rFonts w:ascii="Times New Roman" w:eastAsia="Times New Roman" w:hAnsi="Times New Roman" w:cs="Times New Roman"/>
                <w:sz w:val="20"/>
                <w:szCs w:val="20"/>
              </w:rPr>
              <w:t>7 096</w:t>
            </w:r>
            <w:r w:rsidRPr="00765759">
              <w:rPr>
                <w:rFonts w:ascii="Times New Roman" w:eastAsia="Times New Roman" w:hAnsi="Times New Roman" w:cs="Times New Roman"/>
                <w:sz w:val="20"/>
                <w:szCs w:val="20"/>
              </w:rPr>
              <w:t>,</w:t>
            </w:r>
            <w:r w:rsidR="006208E5">
              <w:rPr>
                <w:rFonts w:ascii="Times New Roman" w:eastAsia="Times New Roman" w:hAnsi="Times New Roman" w:cs="Times New Roman"/>
                <w:sz w:val="20"/>
                <w:szCs w:val="20"/>
              </w:rPr>
              <w:t>0</w:t>
            </w:r>
          </w:p>
        </w:tc>
      </w:tr>
      <w:tr w:rsidR="00CB0A97" w:rsidRPr="00765759" w14:paraId="233A61B4" w14:textId="77777777" w:rsidTr="00E2571A">
        <w:tc>
          <w:tcPr>
            <w:tcW w:w="459" w:type="dxa"/>
            <w:shd w:val="clear" w:color="auto" w:fill="BDD6EE" w:themeFill="accent1" w:themeFillTint="66"/>
            <w:vAlign w:val="center"/>
          </w:tcPr>
          <w:p w14:paraId="25E31C38" w14:textId="77777777" w:rsidR="00CB0A97" w:rsidRPr="00765759" w:rsidRDefault="00CB0A97" w:rsidP="00CB0A97">
            <w:pPr>
              <w:ind w:firstLine="29"/>
              <w:jc w:val="both"/>
              <w:rPr>
                <w:rFonts w:ascii="Times New Roman" w:eastAsia="Times New Roman" w:hAnsi="Times New Roman" w:cs="Times New Roman"/>
                <w:sz w:val="20"/>
                <w:szCs w:val="20"/>
              </w:rPr>
            </w:pPr>
            <w:r w:rsidRPr="00765759">
              <w:rPr>
                <w:rFonts w:ascii="Times New Roman" w:eastAsia="Times New Roman" w:hAnsi="Times New Roman" w:cs="Times New Roman"/>
                <w:sz w:val="20"/>
                <w:szCs w:val="20"/>
              </w:rPr>
              <w:t>5.</w:t>
            </w:r>
          </w:p>
        </w:tc>
        <w:tc>
          <w:tcPr>
            <w:tcW w:w="2441" w:type="dxa"/>
            <w:shd w:val="clear" w:color="auto" w:fill="BDD6EE" w:themeFill="accent1" w:themeFillTint="66"/>
            <w:vAlign w:val="center"/>
          </w:tcPr>
          <w:p w14:paraId="14BE5069" w14:textId="77777777" w:rsidR="00CB0A97" w:rsidRPr="00765759" w:rsidRDefault="00CB0A97" w:rsidP="00CB0A97">
            <w:pPr>
              <w:ind w:firstLine="29"/>
              <w:jc w:val="both"/>
              <w:rPr>
                <w:rFonts w:ascii="Times New Roman" w:eastAsia="Times New Roman" w:hAnsi="Times New Roman" w:cs="Times New Roman"/>
                <w:sz w:val="20"/>
                <w:szCs w:val="20"/>
              </w:rPr>
            </w:pPr>
            <w:r w:rsidRPr="00765759">
              <w:rPr>
                <w:rFonts w:ascii="Times New Roman" w:eastAsia="Times New Roman" w:hAnsi="Times New Roman" w:cs="Times New Roman"/>
                <w:b/>
                <w:bCs/>
                <w:sz w:val="20"/>
                <w:szCs w:val="20"/>
              </w:rPr>
              <w:t>Нетна настояща стойност (NPV)</w:t>
            </w:r>
          </w:p>
        </w:tc>
        <w:tc>
          <w:tcPr>
            <w:tcW w:w="1290" w:type="dxa"/>
            <w:shd w:val="clear" w:color="auto" w:fill="E7E6E6" w:themeFill="background2"/>
            <w:vAlign w:val="center"/>
          </w:tcPr>
          <w:p w14:paraId="641F8B3B" w14:textId="7BA0A67A" w:rsidR="00CB0A97" w:rsidRPr="00765759" w:rsidRDefault="00CB0A97" w:rsidP="006208E5">
            <w:pPr>
              <w:ind w:firstLine="29"/>
              <w:jc w:val="both"/>
              <w:rPr>
                <w:rFonts w:ascii="Times New Roman" w:eastAsia="Times New Roman" w:hAnsi="Times New Roman" w:cs="Times New Roman"/>
                <w:sz w:val="20"/>
                <w:szCs w:val="20"/>
              </w:rPr>
            </w:pPr>
            <w:r w:rsidRPr="00765759">
              <w:rPr>
                <w:rFonts w:ascii="Times New Roman" w:eastAsia="Times New Roman" w:hAnsi="Times New Roman" w:cs="Times New Roman"/>
                <w:sz w:val="20"/>
                <w:szCs w:val="20"/>
              </w:rPr>
              <w:t>92 59</w:t>
            </w:r>
            <w:r w:rsidR="006208E5">
              <w:rPr>
                <w:rFonts w:ascii="Times New Roman" w:eastAsia="Times New Roman" w:hAnsi="Times New Roman" w:cs="Times New Roman"/>
                <w:sz w:val="20"/>
                <w:szCs w:val="20"/>
              </w:rPr>
              <w:t>7</w:t>
            </w:r>
            <w:r w:rsidRPr="00765759">
              <w:rPr>
                <w:rFonts w:ascii="Times New Roman" w:eastAsia="Times New Roman" w:hAnsi="Times New Roman" w:cs="Times New Roman"/>
                <w:sz w:val="20"/>
                <w:szCs w:val="20"/>
              </w:rPr>
              <w:t>,0</w:t>
            </w:r>
          </w:p>
        </w:tc>
        <w:tc>
          <w:tcPr>
            <w:tcW w:w="1290" w:type="dxa"/>
            <w:shd w:val="clear" w:color="auto" w:fill="E7E6E6" w:themeFill="background2"/>
            <w:vAlign w:val="center"/>
          </w:tcPr>
          <w:p w14:paraId="292D5464" w14:textId="77777777" w:rsidR="00CB0A97" w:rsidRPr="00765759" w:rsidRDefault="00CB0A97" w:rsidP="00CB0A97">
            <w:pPr>
              <w:ind w:firstLine="29"/>
              <w:jc w:val="both"/>
              <w:rPr>
                <w:rFonts w:ascii="Times New Roman" w:eastAsia="Times New Roman" w:hAnsi="Times New Roman" w:cs="Times New Roman"/>
                <w:sz w:val="20"/>
                <w:szCs w:val="20"/>
              </w:rPr>
            </w:pPr>
            <w:r w:rsidRPr="00765759">
              <w:rPr>
                <w:rFonts w:ascii="Times New Roman" w:eastAsia="Times New Roman" w:hAnsi="Times New Roman" w:cs="Times New Roman"/>
                <w:i/>
                <w:iCs/>
                <w:sz w:val="20"/>
                <w:szCs w:val="20"/>
              </w:rPr>
              <w:t>(положителна)</w:t>
            </w:r>
          </w:p>
        </w:tc>
        <w:tc>
          <w:tcPr>
            <w:tcW w:w="1290" w:type="dxa"/>
            <w:shd w:val="clear" w:color="auto" w:fill="E7E6E6" w:themeFill="background2"/>
            <w:vAlign w:val="center"/>
          </w:tcPr>
          <w:p w14:paraId="4B0B40C4" w14:textId="77777777" w:rsidR="00CB0A97" w:rsidRPr="00765759" w:rsidRDefault="00CB0A97" w:rsidP="00CB0A97">
            <w:pPr>
              <w:ind w:firstLine="29"/>
              <w:jc w:val="both"/>
              <w:rPr>
                <w:rFonts w:ascii="Times New Roman" w:eastAsia="Times New Roman" w:hAnsi="Times New Roman" w:cs="Times New Roman"/>
                <w:sz w:val="20"/>
                <w:szCs w:val="20"/>
              </w:rPr>
            </w:pPr>
          </w:p>
        </w:tc>
        <w:tc>
          <w:tcPr>
            <w:tcW w:w="1290" w:type="dxa"/>
            <w:shd w:val="clear" w:color="auto" w:fill="E7E6E6" w:themeFill="background2"/>
            <w:vAlign w:val="center"/>
          </w:tcPr>
          <w:p w14:paraId="09C08123" w14:textId="77777777" w:rsidR="00CB0A97" w:rsidRPr="00765759" w:rsidRDefault="00CB0A97" w:rsidP="00CB0A97">
            <w:pPr>
              <w:ind w:firstLine="29"/>
              <w:jc w:val="both"/>
              <w:rPr>
                <w:rFonts w:ascii="Times New Roman" w:eastAsia="Times New Roman" w:hAnsi="Times New Roman" w:cs="Times New Roman"/>
                <w:sz w:val="20"/>
                <w:szCs w:val="20"/>
              </w:rPr>
            </w:pPr>
          </w:p>
        </w:tc>
        <w:tc>
          <w:tcPr>
            <w:tcW w:w="1290" w:type="dxa"/>
            <w:shd w:val="clear" w:color="auto" w:fill="E7E6E6" w:themeFill="background2"/>
            <w:vAlign w:val="center"/>
          </w:tcPr>
          <w:p w14:paraId="3926DEB4" w14:textId="77777777" w:rsidR="00CB0A97" w:rsidRPr="00765759" w:rsidRDefault="00CB0A97" w:rsidP="00CB0A97">
            <w:pPr>
              <w:ind w:firstLine="29"/>
              <w:jc w:val="both"/>
              <w:rPr>
                <w:rFonts w:ascii="Times New Roman" w:eastAsia="Times New Roman" w:hAnsi="Times New Roman" w:cs="Times New Roman"/>
                <w:sz w:val="20"/>
                <w:szCs w:val="20"/>
              </w:rPr>
            </w:pPr>
          </w:p>
        </w:tc>
      </w:tr>
    </w:tbl>
    <w:p w14:paraId="01E56989" w14:textId="4EDA73DE" w:rsidR="00CB0A97" w:rsidRPr="008523A0" w:rsidRDefault="00CB0A97" w:rsidP="00CB0A97">
      <w:pPr>
        <w:spacing w:beforeAutospacing="1" w:after="100" w:afterAutospacing="1" w:line="240" w:lineRule="auto"/>
        <w:ind w:firstLine="567"/>
        <w:jc w:val="both"/>
        <w:rPr>
          <w:rFonts w:ascii="Times New Roman" w:eastAsia="Times New Roman" w:hAnsi="Times New Roman" w:cs="Times New Roman"/>
          <w:sz w:val="24"/>
          <w:szCs w:val="24"/>
          <w:lang w:val="ru-RU"/>
        </w:rPr>
      </w:pPr>
      <w:r w:rsidRPr="00C27396">
        <w:rPr>
          <w:rFonts w:ascii="Times New Roman" w:eastAsia="Times New Roman" w:hAnsi="Times New Roman" w:cs="Times New Roman"/>
          <w:b/>
          <w:bCs/>
          <w:i/>
          <w:sz w:val="24"/>
          <w:szCs w:val="24"/>
          <w:lang w:val="ru-RU"/>
        </w:rPr>
        <w:t>Изводи от анализа ползи-разходи на Вариант 2:</w:t>
      </w:r>
      <w:r w:rsidRPr="008523A0">
        <w:rPr>
          <w:rFonts w:ascii="Times New Roman" w:eastAsia="Times New Roman" w:hAnsi="Times New Roman" w:cs="Times New Roman"/>
          <w:sz w:val="24"/>
          <w:szCs w:val="24"/>
          <w:lang w:val="ru-RU"/>
        </w:rPr>
        <w:t xml:space="preserve"> </w:t>
      </w:r>
      <w:r w:rsidRPr="00C27396">
        <w:rPr>
          <w:rFonts w:ascii="Times New Roman" w:eastAsia="Times New Roman" w:hAnsi="Times New Roman" w:cs="Times New Roman"/>
          <w:bCs/>
          <w:sz w:val="24"/>
          <w:szCs w:val="24"/>
        </w:rPr>
        <w:t>NPV</w:t>
      </w:r>
      <w:r w:rsidRPr="00C27396">
        <w:rPr>
          <w:rFonts w:ascii="Times New Roman" w:eastAsia="Times New Roman" w:hAnsi="Times New Roman" w:cs="Times New Roman"/>
          <w:bCs/>
          <w:sz w:val="24"/>
          <w:szCs w:val="24"/>
          <w:lang w:val="ru-RU"/>
        </w:rPr>
        <w:t xml:space="preserve"> е значително положителна (≈92,6</w:t>
      </w:r>
      <w:r w:rsidRPr="00C27396">
        <w:rPr>
          <w:rFonts w:ascii="Times New Roman" w:eastAsia="Times New Roman" w:hAnsi="Times New Roman" w:cs="Times New Roman"/>
          <w:bCs/>
          <w:sz w:val="24"/>
          <w:szCs w:val="24"/>
        </w:rPr>
        <w:t> </w:t>
      </w:r>
      <w:r w:rsidRPr="00C27396">
        <w:rPr>
          <w:rFonts w:ascii="Times New Roman" w:eastAsia="Times New Roman" w:hAnsi="Times New Roman" w:cs="Times New Roman"/>
          <w:bCs/>
          <w:sz w:val="24"/>
          <w:szCs w:val="24"/>
          <w:lang w:val="ru-RU"/>
        </w:rPr>
        <w:t>млн. лв.)</w:t>
      </w:r>
      <w:r w:rsidRPr="00C27396">
        <w:rPr>
          <w:rFonts w:ascii="Times New Roman" w:eastAsia="Times New Roman" w:hAnsi="Times New Roman" w:cs="Times New Roman"/>
          <w:sz w:val="24"/>
          <w:szCs w:val="24"/>
          <w:lang w:val="ru-RU"/>
        </w:rPr>
        <w:t xml:space="preserve">. </w:t>
      </w:r>
      <w:r w:rsidRPr="00C27396">
        <w:rPr>
          <w:rFonts w:ascii="Times New Roman" w:eastAsia="Times New Roman" w:hAnsi="Times New Roman" w:cs="Times New Roman"/>
          <w:bCs/>
          <w:sz w:val="24"/>
          <w:szCs w:val="24"/>
          <w:lang w:val="ru-RU"/>
        </w:rPr>
        <w:t>Анюализираните ползи (</w:t>
      </w:r>
      <w:r w:rsidRPr="00C27396">
        <w:rPr>
          <w:rFonts w:ascii="Times New Roman" w:eastAsia="Times New Roman" w:hAnsi="Times New Roman" w:cs="Times New Roman"/>
          <w:bCs/>
          <w:sz w:val="24"/>
          <w:szCs w:val="24"/>
        </w:rPr>
        <w:t>AVB</w:t>
      </w:r>
      <w:r w:rsidRPr="00C27396">
        <w:rPr>
          <w:rFonts w:ascii="Times New Roman" w:eastAsia="Times New Roman" w:hAnsi="Times New Roman" w:cs="Times New Roman"/>
          <w:bCs/>
          <w:sz w:val="24"/>
          <w:szCs w:val="24"/>
          <w:lang w:val="ru-RU"/>
        </w:rPr>
        <w:t>)</w:t>
      </w:r>
      <w:r w:rsidRPr="00C27396">
        <w:rPr>
          <w:rFonts w:ascii="Times New Roman" w:eastAsia="Times New Roman" w:hAnsi="Times New Roman" w:cs="Times New Roman"/>
          <w:sz w:val="24"/>
          <w:szCs w:val="24"/>
          <w:lang w:val="ru-RU"/>
        </w:rPr>
        <w:t xml:space="preserve"> при </w:t>
      </w:r>
      <w:r w:rsidRPr="00C27396">
        <w:rPr>
          <w:rFonts w:ascii="Times New Roman" w:eastAsia="Times New Roman" w:hAnsi="Times New Roman" w:cs="Times New Roman"/>
          <w:sz w:val="24"/>
          <w:szCs w:val="24"/>
        </w:rPr>
        <w:t>r</w:t>
      </w:r>
      <w:r w:rsidRPr="00C27396">
        <w:rPr>
          <w:rFonts w:ascii="Times New Roman" w:eastAsia="Times New Roman" w:hAnsi="Times New Roman" w:cs="Times New Roman"/>
          <w:sz w:val="24"/>
          <w:szCs w:val="24"/>
          <w:lang w:val="ru-RU"/>
        </w:rPr>
        <w:t xml:space="preserve">=4% са около </w:t>
      </w:r>
      <w:r w:rsidRPr="00C27396">
        <w:rPr>
          <w:rFonts w:ascii="Times New Roman" w:eastAsia="Times New Roman" w:hAnsi="Times New Roman" w:cs="Times New Roman"/>
          <w:bCs/>
          <w:sz w:val="24"/>
          <w:szCs w:val="24"/>
          <w:lang w:val="ru-RU"/>
        </w:rPr>
        <w:t>20</w:t>
      </w:r>
      <w:r w:rsidRPr="00C27396">
        <w:rPr>
          <w:rFonts w:ascii="Times New Roman" w:eastAsia="Times New Roman" w:hAnsi="Times New Roman" w:cs="Times New Roman"/>
          <w:bCs/>
          <w:sz w:val="24"/>
          <w:szCs w:val="24"/>
        </w:rPr>
        <w:t> </w:t>
      </w:r>
      <w:r w:rsidRPr="00C27396">
        <w:rPr>
          <w:rFonts w:ascii="Times New Roman" w:eastAsia="Times New Roman" w:hAnsi="Times New Roman" w:cs="Times New Roman"/>
          <w:bCs/>
          <w:sz w:val="24"/>
          <w:szCs w:val="24"/>
          <w:lang w:val="ru-RU"/>
        </w:rPr>
        <w:t>788 хил. лв. на годишна база</w:t>
      </w:r>
      <w:r w:rsidRPr="00C27396">
        <w:rPr>
          <w:rFonts w:ascii="Times New Roman" w:eastAsia="Times New Roman" w:hAnsi="Times New Roman" w:cs="Times New Roman"/>
          <w:sz w:val="24"/>
          <w:szCs w:val="24"/>
          <w:lang w:val="ru-RU"/>
        </w:rPr>
        <w:t xml:space="preserve">, докато </w:t>
      </w:r>
      <w:r w:rsidRPr="00C27396">
        <w:rPr>
          <w:rFonts w:ascii="Times New Roman" w:eastAsia="Times New Roman" w:hAnsi="Times New Roman" w:cs="Times New Roman"/>
          <w:bCs/>
          <w:sz w:val="24"/>
          <w:szCs w:val="24"/>
          <w:lang w:val="ru-RU"/>
        </w:rPr>
        <w:t>анюализираните разходи (</w:t>
      </w:r>
      <w:r w:rsidRPr="00C27396">
        <w:rPr>
          <w:rFonts w:ascii="Times New Roman" w:eastAsia="Times New Roman" w:hAnsi="Times New Roman" w:cs="Times New Roman"/>
          <w:bCs/>
          <w:sz w:val="24"/>
          <w:szCs w:val="24"/>
        </w:rPr>
        <w:t>AVC</w:t>
      </w:r>
      <w:r w:rsidRPr="00C27396">
        <w:rPr>
          <w:rFonts w:ascii="Times New Roman" w:eastAsia="Times New Roman" w:hAnsi="Times New Roman" w:cs="Times New Roman"/>
          <w:bCs/>
          <w:sz w:val="24"/>
          <w:szCs w:val="24"/>
          <w:lang w:val="ru-RU"/>
        </w:rPr>
        <w:t>)</w:t>
      </w:r>
      <w:r w:rsidRPr="00C27396">
        <w:rPr>
          <w:rFonts w:ascii="Times New Roman" w:eastAsia="Times New Roman" w:hAnsi="Times New Roman" w:cs="Times New Roman"/>
          <w:sz w:val="24"/>
          <w:szCs w:val="24"/>
          <w:lang w:val="ru-RU"/>
        </w:rPr>
        <w:t xml:space="preserve"> са около 0. И тук формално </w:t>
      </w:r>
      <w:r w:rsidRPr="00C27396">
        <w:rPr>
          <w:rFonts w:ascii="Times New Roman" w:eastAsia="Times New Roman" w:hAnsi="Times New Roman" w:cs="Times New Roman"/>
          <w:bCs/>
          <w:sz w:val="24"/>
          <w:szCs w:val="24"/>
          <w:lang w:val="ru-RU"/>
        </w:rPr>
        <w:t xml:space="preserve">коефициентът </w:t>
      </w:r>
      <w:r w:rsidRPr="00C27396">
        <w:rPr>
          <w:rFonts w:ascii="Times New Roman" w:eastAsia="Times New Roman" w:hAnsi="Times New Roman" w:cs="Times New Roman"/>
          <w:bCs/>
          <w:sz w:val="24"/>
          <w:szCs w:val="24"/>
        </w:rPr>
        <w:t>AVB</w:t>
      </w:r>
      <w:r w:rsidRPr="00C27396">
        <w:rPr>
          <w:rFonts w:ascii="Times New Roman" w:eastAsia="Times New Roman" w:hAnsi="Times New Roman" w:cs="Times New Roman"/>
          <w:bCs/>
          <w:sz w:val="24"/>
          <w:szCs w:val="24"/>
          <w:lang w:val="ru-RU"/>
        </w:rPr>
        <w:t>/</w:t>
      </w:r>
      <w:r w:rsidRPr="00C27396">
        <w:rPr>
          <w:rFonts w:ascii="Times New Roman" w:eastAsia="Times New Roman" w:hAnsi="Times New Roman" w:cs="Times New Roman"/>
          <w:bCs/>
          <w:sz w:val="24"/>
          <w:szCs w:val="24"/>
        </w:rPr>
        <w:t>AVC</w:t>
      </w:r>
      <w:r w:rsidRPr="00C27396">
        <w:rPr>
          <w:rFonts w:ascii="Times New Roman" w:eastAsia="Times New Roman" w:hAnsi="Times New Roman" w:cs="Times New Roman"/>
          <w:bCs/>
          <w:sz w:val="24"/>
          <w:szCs w:val="24"/>
          <w:lang w:val="ru-RU"/>
        </w:rPr>
        <w:t xml:space="preserve"> е изключително висок (на практика</w:t>
      </w:r>
      <w:r w:rsidR="00C96F04">
        <w:rPr>
          <w:rFonts w:ascii="Times New Roman" w:eastAsia="Times New Roman" w:hAnsi="Times New Roman" w:cs="Times New Roman"/>
          <w:bCs/>
          <w:sz w:val="24"/>
          <w:szCs w:val="24"/>
          <w:lang w:val="ru-RU"/>
        </w:rPr>
        <w:t xml:space="preserve"> се</w:t>
      </w:r>
      <w:r w:rsidRPr="00C27396">
        <w:rPr>
          <w:rFonts w:ascii="Times New Roman" w:eastAsia="Times New Roman" w:hAnsi="Times New Roman" w:cs="Times New Roman"/>
          <w:bCs/>
          <w:sz w:val="24"/>
          <w:szCs w:val="24"/>
          <w:lang w:val="ru-RU"/>
        </w:rPr>
        <w:t xml:space="preserve"> стреми към безкрайност)</w:t>
      </w:r>
      <w:r w:rsidRPr="00C27396">
        <w:rPr>
          <w:rFonts w:ascii="Times New Roman" w:eastAsia="Times New Roman" w:hAnsi="Times New Roman" w:cs="Times New Roman"/>
          <w:sz w:val="24"/>
          <w:szCs w:val="24"/>
          <w:lang w:val="ru-RU"/>
        </w:rPr>
        <w:t>, тъй като разходите са пренебрежими, а има осезаеми ползи.</w:t>
      </w:r>
      <w:r w:rsidRPr="008523A0">
        <w:rPr>
          <w:rFonts w:ascii="Times New Roman" w:eastAsia="Times New Roman" w:hAnsi="Times New Roman" w:cs="Times New Roman"/>
          <w:sz w:val="24"/>
          <w:szCs w:val="24"/>
          <w:lang w:val="ru-RU"/>
        </w:rPr>
        <w:t xml:space="preserve"> </w:t>
      </w:r>
      <w:r w:rsidRPr="00C27396">
        <w:rPr>
          <w:rFonts w:ascii="Times New Roman" w:eastAsia="Times New Roman" w:hAnsi="Times New Roman" w:cs="Times New Roman"/>
          <w:sz w:val="24"/>
          <w:szCs w:val="24"/>
          <w:lang w:val="ru-RU"/>
        </w:rPr>
        <w:t xml:space="preserve">В абсолютни измерители, </w:t>
      </w:r>
      <w:r w:rsidRPr="00C27396">
        <w:rPr>
          <w:rFonts w:ascii="Times New Roman" w:eastAsia="Times New Roman" w:hAnsi="Times New Roman" w:cs="Times New Roman"/>
          <w:bCs/>
          <w:sz w:val="24"/>
          <w:szCs w:val="24"/>
          <w:lang w:val="ru-RU"/>
        </w:rPr>
        <w:t>Вариант 2 превъзхожда Вариант</w:t>
      </w:r>
      <w:r w:rsidRPr="00C27396">
        <w:rPr>
          <w:rFonts w:ascii="Times New Roman" w:eastAsia="Times New Roman" w:hAnsi="Times New Roman" w:cs="Times New Roman"/>
          <w:bCs/>
          <w:sz w:val="24"/>
          <w:szCs w:val="24"/>
        </w:rPr>
        <w:t> </w:t>
      </w:r>
      <w:r w:rsidRPr="00C27396">
        <w:rPr>
          <w:rFonts w:ascii="Times New Roman" w:eastAsia="Times New Roman" w:hAnsi="Times New Roman" w:cs="Times New Roman"/>
          <w:bCs/>
          <w:sz w:val="24"/>
          <w:szCs w:val="24"/>
          <w:lang w:val="ru-RU"/>
        </w:rPr>
        <w:t>1</w:t>
      </w:r>
      <w:r w:rsidR="00C96F04">
        <w:rPr>
          <w:rFonts w:ascii="Times New Roman" w:eastAsia="Times New Roman" w:hAnsi="Times New Roman" w:cs="Times New Roman"/>
          <w:sz w:val="24"/>
          <w:szCs w:val="24"/>
          <w:lang w:val="ru-RU"/>
        </w:rPr>
        <w:t>, като</w:t>
      </w:r>
      <w:r w:rsidRPr="00C27396">
        <w:rPr>
          <w:rFonts w:ascii="Times New Roman" w:eastAsia="Times New Roman" w:hAnsi="Times New Roman" w:cs="Times New Roman"/>
          <w:sz w:val="24"/>
          <w:szCs w:val="24"/>
          <w:lang w:val="ru-RU"/>
        </w:rPr>
        <w:t xml:space="preserve"> постига около </w:t>
      </w:r>
      <w:r w:rsidRPr="00C27396">
        <w:rPr>
          <w:rFonts w:ascii="Times New Roman" w:eastAsia="Times New Roman" w:hAnsi="Times New Roman" w:cs="Times New Roman"/>
          <w:bCs/>
          <w:sz w:val="24"/>
          <w:szCs w:val="24"/>
          <w:lang w:val="ru-RU"/>
        </w:rPr>
        <w:t>четири пъти по-голям ефект</w:t>
      </w:r>
      <w:r w:rsidRPr="00C27396">
        <w:rPr>
          <w:rFonts w:ascii="Times New Roman" w:eastAsia="Times New Roman" w:hAnsi="Times New Roman" w:cs="Times New Roman"/>
          <w:sz w:val="24"/>
          <w:szCs w:val="24"/>
          <w:lang w:val="ru-RU"/>
        </w:rPr>
        <w:t xml:space="preserve"> (20</w:t>
      </w:r>
      <w:r w:rsidRPr="00C27396">
        <w:rPr>
          <w:rFonts w:ascii="Times New Roman" w:eastAsia="Times New Roman" w:hAnsi="Times New Roman" w:cs="Times New Roman"/>
          <w:sz w:val="24"/>
          <w:szCs w:val="24"/>
        </w:rPr>
        <w:t> </w:t>
      </w:r>
      <w:r w:rsidRPr="00C27396">
        <w:rPr>
          <w:rFonts w:ascii="Times New Roman" w:eastAsia="Times New Roman" w:hAnsi="Times New Roman" w:cs="Times New Roman"/>
          <w:sz w:val="24"/>
          <w:szCs w:val="24"/>
          <w:lang w:val="ru-RU"/>
        </w:rPr>
        <w:t>млн. лв./год. срещу 5</w:t>
      </w:r>
      <w:r w:rsidRPr="00C27396">
        <w:rPr>
          <w:rFonts w:ascii="Times New Roman" w:eastAsia="Times New Roman" w:hAnsi="Times New Roman" w:cs="Times New Roman"/>
          <w:sz w:val="24"/>
          <w:szCs w:val="24"/>
        </w:rPr>
        <w:t> </w:t>
      </w:r>
      <w:r w:rsidRPr="00C27396">
        <w:rPr>
          <w:rFonts w:ascii="Times New Roman" w:eastAsia="Times New Roman" w:hAnsi="Times New Roman" w:cs="Times New Roman"/>
          <w:sz w:val="24"/>
          <w:szCs w:val="24"/>
          <w:lang w:val="ru-RU"/>
        </w:rPr>
        <w:t xml:space="preserve">млн. лв./год. при доброволните мерки). Този вариант е </w:t>
      </w:r>
      <w:r w:rsidRPr="00C27396">
        <w:rPr>
          <w:rFonts w:ascii="Times New Roman" w:eastAsia="Times New Roman" w:hAnsi="Times New Roman" w:cs="Times New Roman"/>
          <w:bCs/>
          <w:sz w:val="24"/>
          <w:szCs w:val="24"/>
          <w:lang w:val="ru-RU"/>
        </w:rPr>
        <w:t>икономически атрактивен</w:t>
      </w:r>
      <w:r w:rsidRPr="00C27396">
        <w:rPr>
          <w:rFonts w:ascii="Times New Roman" w:eastAsia="Times New Roman" w:hAnsi="Times New Roman" w:cs="Times New Roman"/>
          <w:sz w:val="24"/>
          <w:szCs w:val="24"/>
          <w:lang w:val="ru-RU"/>
        </w:rPr>
        <w:t xml:space="preserve"> и реализира значителна част от потенциалните обществени ползи </w:t>
      </w:r>
      <w:r w:rsidRPr="00C27396">
        <w:rPr>
          <w:rFonts w:ascii="Times New Roman" w:eastAsia="Times New Roman" w:hAnsi="Times New Roman" w:cs="Times New Roman"/>
          <w:bCs/>
          <w:sz w:val="24"/>
          <w:szCs w:val="24"/>
          <w:lang w:val="ru-RU"/>
        </w:rPr>
        <w:t>без да изисква нов финансов ресурс</w:t>
      </w:r>
      <w:r w:rsidRPr="00C27396">
        <w:rPr>
          <w:rFonts w:ascii="Times New Roman" w:eastAsia="Times New Roman" w:hAnsi="Times New Roman" w:cs="Times New Roman"/>
          <w:sz w:val="24"/>
          <w:szCs w:val="24"/>
          <w:lang w:val="ru-RU"/>
        </w:rPr>
        <w:t>.</w:t>
      </w:r>
      <w:r w:rsidRPr="008523A0">
        <w:rPr>
          <w:rFonts w:ascii="Times New Roman" w:eastAsia="Times New Roman" w:hAnsi="Times New Roman" w:cs="Times New Roman"/>
          <w:sz w:val="24"/>
          <w:szCs w:val="24"/>
          <w:lang w:val="ru-RU"/>
        </w:rPr>
        <w:t xml:space="preserve"> </w:t>
      </w:r>
      <w:r w:rsidRPr="00C27396">
        <w:rPr>
          <w:rFonts w:ascii="Times New Roman" w:eastAsia="Times New Roman" w:hAnsi="Times New Roman" w:cs="Times New Roman"/>
          <w:sz w:val="24"/>
          <w:szCs w:val="24"/>
          <w:lang w:val="ru-RU"/>
        </w:rPr>
        <w:t>Ограничението е, ч</w:t>
      </w:r>
      <w:r w:rsidR="00CD7411">
        <w:rPr>
          <w:rFonts w:ascii="Times New Roman" w:eastAsia="Times New Roman" w:hAnsi="Times New Roman" w:cs="Times New Roman"/>
          <w:sz w:val="24"/>
          <w:szCs w:val="24"/>
          <w:lang w:val="ru-RU"/>
        </w:rPr>
        <w:t>е не разрешава изцяло проблема.</w:t>
      </w:r>
      <w:r w:rsidRPr="00C27396">
        <w:rPr>
          <w:rFonts w:ascii="Times New Roman" w:eastAsia="Times New Roman" w:hAnsi="Times New Roman" w:cs="Times New Roman"/>
          <w:sz w:val="24"/>
          <w:szCs w:val="24"/>
          <w:lang w:val="ru-RU"/>
        </w:rPr>
        <w:t xml:space="preserve"> </w:t>
      </w:r>
      <w:r w:rsidR="00CD7411">
        <w:rPr>
          <w:rFonts w:ascii="Times New Roman" w:eastAsia="Times New Roman" w:hAnsi="Times New Roman" w:cs="Times New Roman"/>
          <w:sz w:val="24"/>
          <w:szCs w:val="24"/>
          <w:lang w:val="ru-RU"/>
        </w:rPr>
        <w:t>Ч</w:t>
      </w:r>
      <w:r w:rsidRPr="00C27396">
        <w:rPr>
          <w:rFonts w:ascii="Times New Roman" w:eastAsia="Times New Roman" w:hAnsi="Times New Roman" w:cs="Times New Roman"/>
          <w:bCs/>
          <w:sz w:val="24"/>
          <w:szCs w:val="24"/>
          <w:lang w:val="ru-RU"/>
        </w:rPr>
        <w:t>аст от нелоялните търговски практики ще продължат</w:t>
      </w:r>
      <w:r w:rsidRPr="00C27396">
        <w:rPr>
          <w:rFonts w:ascii="Times New Roman" w:eastAsia="Times New Roman" w:hAnsi="Times New Roman" w:cs="Times New Roman"/>
          <w:sz w:val="24"/>
          <w:szCs w:val="24"/>
          <w:lang w:val="ru-RU"/>
        </w:rPr>
        <w:t xml:space="preserve"> или ще се видоизменят, т.е. остава нереализирана полза.</w:t>
      </w:r>
    </w:p>
    <w:p w14:paraId="590E5215" w14:textId="77777777" w:rsidR="00CB0A97" w:rsidRPr="008523A0" w:rsidRDefault="00CB0A97" w:rsidP="00CB0A97">
      <w:pPr>
        <w:spacing w:after="0" w:line="240" w:lineRule="auto"/>
        <w:ind w:firstLine="567"/>
        <w:jc w:val="both"/>
        <w:rPr>
          <w:rFonts w:ascii="Times New Roman" w:eastAsia="Times New Roman" w:hAnsi="Times New Roman" w:cs="Times New Roman"/>
          <w:b/>
          <w:sz w:val="24"/>
          <w:szCs w:val="24"/>
          <w:lang w:val="ru-RU"/>
        </w:rPr>
      </w:pPr>
      <w:r w:rsidRPr="008523A0">
        <w:rPr>
          <w:rFonts w:ascii="Times New Roman" w:eastAsia="Times New Roman" w:hAnsi="Times New Roman" w:cs="Times New Roman"/>
          <w:b/>
          <w:sz w:val="24"/>
          <w:szCs w:val="24"/>
          <w:lang w:val="ru-RU"/>
        </w:rPr>
        <w:t>Вариант 3: „Регулаторен – изцяло нов специален закон“</w:t>
      </w:r>
    </w:p>
    <w:p w14:paraId="156FDB02" w14:textId="6DCEAF9F" w:rsidR="00CB0A97" w:rsidRPr="00C27396" w:rsidRDefault="00CB0A97" w:rsidP="00CB0A97">
      <w:pPr>
        <w:spacing w:after="0" w:line="240" w:lineRule="auto"/>
        <w:ind w:firstLine="567"/>
        <w:jc w:val="both"/>
        <w:rPr>
          <w:rFonts w:ascii="Times New Roman" w:eastAsia="Times New Roman" w:hAnsi="Times New Roman" w:cs="Times New Roman"/>
          <w:sz w:val="24"/>
          <w:szCs w:val="24"/>
          <w:lang w:val="ru-RU"/>
        </w:rPr>
      </w:pPr>
      <w:r w:rsidRPr="00C27396">
        <w:rPr>
          <w:rFonts w:ascii="Times New Roman" w:eastAsia="Times New Roman" w:hAnsi="Times New Roman" w:cs="Times New Roman"/>
          <w:b/>
          <w:bCs/>
          <w:i/>
          <w:sz w:val="24"/>
          <w:szCs w:val="24"/>
          <w:lang w:val="ru-RU"/>
        </w:rPr>
        <w:t>Описание на варианта:</w:t>
      </w:r>
      <w:r w:rsidRPr="008523A0">
        <w:rPr>
          <w:rFonts w:ascii="Times New Roman" w:eastAsia="Times New Roman" w:hAnsi="Times New Roman" w:cs="Times New Roman"/>
          <w:sz w:val="24"/>
          <w:szCs w:val="24"/>
          <w:lang w:val="ru-RU"/>
        </w:rPr>
        <w:t xml:space="preserve"> </w:t>
      </w:r>
      <w:r w:rsidRPr="00C27396">
        <w:rPr>
          <w:rFonts w:ascii="Times New Roman" w:eastAsia="Times New Roman" w:hAnsi="Times New Roman" w:cs="Times New Roman"/>
          <w:bCs/>
          <w:sz w:val="24"/>
          <w:szCs w:val="24"/>
          <w:lang w:val="ru-RU"/>
        </w:rPr>
        <w:t>Вариант</w:t>
      </w:r>
      <w:r w:rsidRPr="00C27396">
        <w:rPr>
          <w:rFonts w:ascii="Times New Roman" w:eastAsia="Times New Roman" w:hAnsi="Times New Roman" w:cs="Times New Roman"/>
          <w:bCs/>
          <w:sz w:val="24"/>
          <w:szCs w:val="24"/>
        </w:rPr>
        <w:t> </w:t>
      </w:r>
      <w:r w:rsidRPr="00C27396">
        <w:rPr>
          <w:rFonts w:ascii="Times New Roman" w:eastAsia="Times New Roman" w:hAnsi="Times New Roman" w:cs="Times New Roman"/>
          <w:bCs/>
          <w:sz w:val="24"/>
          <w:szCs w:val="24"/>
          <w:lang w:val="ru-RU"/>
        </w:rPr>
        <w:t>3</w:t>
      </w:r>
      <w:r w:rsidRPr="00C27396">
        <w:rPr>
          <w:rFonts w:ascii="Times New Roman" w:eastAsia="Times New Roman" w:hAnsi="Times New Roman" w:cs="Times New Roman"/>
          <w:sz w:val="24"/>
          <w:szCs w:val="24"/>
          <w:lang w:val="ru-RU"/>
        </w:rPr>
        <w:t xml:space="preserve"> представлява </w:t>
      </w:r>
      <w:r>
        <w:rPr>
          <w:rFonts w:ascii="Times New Roman" w:eastAsia="Times New Roman" w:hAnsi="Times New Roman" w:cs="Times New Roman"/>
          <w:bCs/>
          <w:sz w:val="24"/>
          <w:szCs w:val="24"/>
          <w:lang w:val="ru-RU"/>
        </w:rPr>
        <w:t>съвкупна</w:t>
      </w:r>
      <w:r w:rsidRPr="00C27396">
        <w:rPr>
          <w:rFonts w:ascii="Times New Roman" w:eastAsia="Times New Roman" w:hAnsi="Times New Roman" w:cs="Times New Roman"/>
          <w:bCs/>
          <w:sz w:val="24"/>
          <w:szCs w:val="24"/>
          <w:lang w:val="ru-RU"/>
        </w:rPr>
        <w:t xml:space="preserve"> регулаторна намеса</w:t>
      </w:r>
      <w:r w:rsidRPr="00C27396">
        <w:rPr>
          <w:rFonts w:ascii="Times New Roman" w:eastAsia="Times New Roman" w:hAnsi="Times New Roman" w:cs="Times New Roman"/>
          <w:sz w:val="24"/>
          <w:szCs w:val="24"/>
          <w:lang w:val="ru-RU"/>
        </w:rPr>
        <w:t xml:space="preserve"> чрез приемане на изцяло нов специален закон. Това е комплексният подход, разглеждан в предварителната </w:t>
      </w:r>
      <w:r w:rsidR="00C96F04">
        <w:rPr>
          <w:rFonts w:ascii="Times New Roman" w:eastAsia="Times New Roman" w:hAnsi="Times New Roman" w:cs="Times New Roman"/>
          <w:sz w:val="24"/>
          <w:szCs w:val="24"/>
          <w:lang w:val="ru-RU"/>
        </w:rPr>
        <w:t>ОВ</w:t>
      </w:r>
      <w:r w:rsidRPr="00C27396">
        <w:rPr>
          <w:rFonts w:ascii="Times New Roman" w:eastAsia="Times New Roman" w:hAnsi="Times New Roman" w:cs="Times New Roman"/>
          <w:sz w:val="24"/>
          <w:szCs w:val="24"/>
          <w:lang w:val="ru-RU"/>
        </w:rPr>
        <w:t xml:space="preserve">, който </w:t>
      </w:r>
      <w:r w:rsidRPr="00C27396">
        <w:rPr>
          <w:rFonts w:ascii="Times New Roman" w:eastAsia="Times New Roman" w:hAnsi="Times New Roman" w:cs="Times New Roman"/>
          <w:bCs/>
          <w:sz w:val="24"/>
          <w:szCs w:val="24"/>
          <w:lang w:val="ru-RU"/>
        </w:rPr>
        <w:t>атакува първопричините за проблемите по веригата на доставки</w:t>
      </w:r>
      <w:r w:rsidRPr="008523A0">
        <w:rPr>
          <w:rFonts w:ascii="Times New Roman" w:eastAsia="Times New Roman" w:hAnsi="Times New Roman" w:cs="Times New Roman"/>
          <w:sz w:val="24"/>
          <w:szCs w:val="24"/>
          <w:lang w:val="ru-RU"/>
        </w:rPr>
        <w:t xml:space="preserve"> и включва множество мерки за прозрачност, равнопоставеност и защита на по-слабите страни. </w:t>
      </w:r>
      <w:r w:rsidR="00CD7411">
        <w:rPr>
          <w:rFonts w:ascii="Times New Roman" w:eastAsia="Times New Roman" w:hAnsi="Times New Roman" w:cs="Times New Roman"/>
          <w:sz w:val="24"/>
          <w:szCs w:val="24"/>
          <w:lang w:val="ru-RU"/>
        </w:rPr>
        <w:t>Някои от по-важните мерки</w:t>
      </w:r>
      <w:r w:rsidRPr="00C27396">
        <w:rPr>
          <w:rFonts w:ascii="Times New Roman" w:eastAsia="Times New Roman" w:hAnsi="Times New Roman" w:cs="Times New Roman"/>
          <w:sz w:val="24"/>
          <w:szCs w:val="24"/>
          <w:lang w:val="ru-RU"/>
        </w:rPr>
        <w:t xml:space="preserve"> на варианта включват: забрана на всички установени нелоялни търговски практики, създаване на </w:t>
      </w:r>
      <w:r w:rsidRPr="00C27396">
        <w:rPr>
          <w:rFonts w:ascii="Times New Roman" w:eastAsia="Times New Roman" w:hAnsi="Times New Roman" w:cs="Times New Roman"/>
          <w:bCs/>
          <w:sz w:val="24"/>
          <w:szCs w:val="24"/>
          <w:lang w:val="ru-RU"/>
        </w:rPr>
        <w:t xml:space="preserve">специализиран </w:t>
      </w:r>
      <w:r>
        <w:rPr>
          <w:rFonts w:ascii="Times New Roman" w:eastAsia="Times New Roman" w:hAnsi="Times New Roman" w:cs="Times New Roman"/>
          <w:bCs/>
          <w:sz w:val="24"/>
          <w:szCs w:val="24"/>
          <w:lang w:val="ru-RU"/>
        </w:rPr>
        <w:t xml:space="preserve">орган </w:t>
      </w:r>
      <w:r w:rsidRPr="00C27396">
        <w:rPr>
          <w:rFonts w:ascii="Times New Roman" w:eastAsia="Times New Roman" w:hAnsi="Times New Roman" w:cs="Times New Roman"/>
          <w:sz w:val="24"/>
          <w:szCs w:val="24"/>
          <w:lang w:val="ru-RU"/>
        </w:rPr>
        <w:t xml:space="preserve">за мониторинг на цените и търговските отношения, въвеждане на </w:t>
      </w:r>
      <w:r w:rsidRPr="00C27396">
        <w:rPr>
          <w:rFonts w:ascii="Times New Roman" w:eastAsia="Times New Roman" w:hAnsi="Times New Roman" w:cs="Times New Roman"/>
          <w:bCs/>
          <w:sz w:val="24"/>
          <w:szCs w:val="24"/>
          <w:lang w:val="ru-RU"/>
        </w:rPr>
        <w:t>изискване за определен дял български продукти в търговските обекти</w:t>
      </w:r>
      <w:r w:rsidR="00CD7411">
        <w:rPr>
          <w:rFonts w:ascii="Times New Roman" w:eastAsia="Times New Roman" w:hAnsi="Times New Roman" w:cs="Times New Roman"/>
          <w:sz w:val="24"/>
          <w:szCs w:val="24"/>
          <w:lang w:val="ru-RU"/>
        </w:rPr>
        <w:t>,</w:t>
      </w:r>
      <w:r w:rsidRPr="00C27396">
        <w:rPr>
          <w:rFonts w:ascii="Times New Roman" w:eastAsia="Times New Roman" w:hAnsi="Times New Roman" w:cs="Times New Roman"/>
          <w:sz w:val="24"/>
          <w:szCs w:val="24"/>
          <w:lang w:val="ru-RU"/>
        </w:rPr>
        <w:t xml:space="preserve"> ограничения върху крайни маржове и такси, които търговците налагат</w:t>
      </w:r>
      <w:r w:rsidR="00CD7411">
        <w:rPr>
          <w:rFonts w:ascii="Times New Roman" w:eastAsia="Times New Roman" w:hAnsi="Times New Roman" w:cs="Times New Roman"/>
          <w:sz w:val="24"/>
          <w:szCs w:val="24"/>
          <w:lang w:val="ru-RU"/>
        </w:rPr>
        <w:t xml:space="preserve"> и др.</w:t>
      </w:r>
      <w:r w:rsidRPr="00C27396">
        <w:rPr>
          <w:rFonts w:ascii="Times New Roman" w:eastAsia="Times New Roman" w:hAnsi="Times New Roman" w:cs="Times New Roman"/>
          <w:sz w:val="24"/>
          <w:szCs w:val="24"/>
          <w:lang w:val="ru-RU"/>
        </w:rPr>
        <w:t>. Вариант</w:t>
      </w:r>
      <w:r w:rsidRPr="00C27396">
        <w:rPr>
          <w:rFonts w:ascii="Times New Roman" w:eastAsia="Times New Roman" w:hAnsi="Times New Roman" w:cs="Times New Roman"/>
          <w:sz w:val="24"/>
          <w:szCs w:val="24"/>
        </w:rPr>
        <w:t> </w:t>
      </w:r>
      <w:r w:rsidRPr="00C27396">
        <w:rPr>
          <w:rFonts w:ascii="Times New Roman" w:eastAsia="Times New Roman" w:hAnsi="Times New Roman" w:cs="Times New Roman"/>
          <w:sz w:val="24"/>
          <w:szCs w:val="24"/>
          <w:lang w:val="ru-RU"/>
        </w:rPr>
        <w:t>3 адресира цялостно нелоялните практики и дисбаланса във веригата</w:t>
      </w:r>
      <w:r w:rsidR="00CD7411">
        <w:rPr>
          <w:rFonts w:ascii="Times New Roman" w:eastAsia="Times New Roman" w:hAnsi="Times New Roman" w:cs="Times New Roman"/>
          <w:sz w:val="24"/>
          <w:szCs w:val="24"/>
          <w:lang w:val="ru-RU"/>
        </w:rPr>
        <w:t xml:space="preserve"> на доставки</w:t>
      </w:r>
      <w:r w:rsidRPr="00C27396">
        <w:rPr>
          <w:rFonts w:ascii="Times New Roman" w:eastAsia="Times New Roman" w:hAnsi="Times New Roman" w:cs="Times New Roman"/>
          <w:sz w:val="24"/>
          <w:szCs w:val="24"/>
          <w:lang w:val="ru-RU"/>
        </w:rPr>
        <w:t xml:space="preserve">, но същевременно налага и </w:t>
      </w:r>
      <w:r w:rsidRPr="00C27396">
        <w:rPr>
          <w:rFonts w:ascii="Times New Roman" w:eastAsia="Times New Roman" w:hAnsi="Times New Roman" w:cs="Times New Roman"/>
          <w:bCs/>
          <w:sz w:val="24"/>
          <w:szCs w:val="24"/>
          <w:lang w:val="ru-RU"/>
        </w:rPr>
        <w:t>нови изисквания</w:t>
      </w:r>
      <w:r w:rsidRPr="00C27396">
        <w:rPr>
          <w:rFonts w:ascii="Times New Roman" w:eastAsia="Times New Roman" w:hAnsi="Times New Roman" w:cs="Times New Roman"/>
          <w:sz w:val="24"/>
          <w:szCs w:val="24"/>
          <w:lang w:val="ru-RU"/>
        </w:rPr>
        <w:t xml:space="preserve"> към бизнеса и административни задачи към държавата. Той е най-амбициозният, с </w:t>
      </w:r>
      <w:r w:rsidRPr="00C27396">
        <w:rPr>
          <w:rFonts w:ascii="Times New Roman" w:eastAsia="Times New Roman" w:hAnsi="Times New Roman" w:cs="Times New Roman"/>
          <w:bCs/>
          <w:sz w:val="24"/>
          <w:szCs w:val="24"/>
          <w:lang w:val="ru-RU"/>
        </w:rPr>
        <w:t>очакван най-голям положителен ефект</w:t>
      </w:r>
      <w:r w:rsidRPr="00C27396">
        <w:rPr>
          <w:rFonts w:ascii="Times New Roman" w:eastAsia="Times New Roman" w:hAnsi="Times New Roman" w:cs="Times New Roman"/>
          <w:sz w:val="24"/>
          <w:szCs w:val="24"/>
          <w:lang w:val="ru-RU"/>
        </w:rPr>
        <w:t xml:space="preserve">, но и </w:t>
      </w:r>
      <w:r w:rsidRPr="00C27396">
        <w:rPr>
          <w:rFonts w:ascii="Times New Roman" w:eastAsia="Times New Roman" w:hAnsi="Times New Roman" w:cs="Times New Roman"/>
          <w:bCs/>
          <w:sz w:val="24"/>
          <w:szCs w:val="24"/>
          <w:lang w:val="ru-RU"/>
        </w:rPr>
        <w:t>най-висока цена на прилагане</w:t>
      </w:r>
      <w:r w:rsidRPr="00C27396">
        <w:rPr>
          <w:rFonts w:ascii="Times New Roman" w:eastAsia="Times New Roman" w:hAnsi="Times New Roman" w:cs="Times New Roman"/>
          <w:sz w:val="24"/>
          <w:szCs w:val="24"/>
          <w:lang w:val="ru-RU"/>
        </w:rPr>
        <w:t xml:space="preserve"> и риск от странични ефекти (напр</w:t>
      </w:r>
      <w:r w:rsidR="00C96F04">
        <w:rPr>
          <w:rFonts w:ascii="Times New Roman" w:eastAsia="Times New Roman" w:hAnsi="Times New Roman" w:cs="Times New Roman"/>
          <w:sz w:val="24"/>
          <w:szCs w:val="24"/>
          <w:lang w:val="ru-RU"/>
        </w:rPr>
        <w:t>имер,</w:t>
      </w:r>
      <w:r w:rsidR="00C96F04" w:rsidRPr="00C27396">
        <w:rPr>
          <w:rFonts w:ascii="Times New Roman" w:eastAsia="Times New Roman" w:hAnsi="Times New Roman" w:cs="Times New Roman"/>
          <w:sz w:val="24"/>
          <w:szCs w:val="24"/>
          <w:lang w:val="ru-RU"/>
        </w:rPr>
        <w:t xml:space="preserve"> </w:t>
      </w:r>
      <w:r w:rsidRPr="00C27396">
        <w:rPr>
          <w:rFonts w:ascii="Times New Roman" w:eastAsia="Times New Roman" w:hAnsi="Times New Roman" w:cs="Times New Roman"/>
          <w:sz w:val="24"/>
          <w:szCs w:val="24"/>
          <w:lang w:val="ru-RU"/>
        </w:rPr>
        <w:t>административна тежест, изкривяване на пазара).</w:t>
      </w:r>
    </w:p>
    <w:p w14:paraId="7F318B01" w14:textId="77777777" w:rsidR="00CB0A97" w:rsidRDefault="00CB0A97" w:rsidP="00CB0A97">
      <w:pPr>
        <w:spacing w:after="0" w:line="240" w:lineRule="auto"/>
        <w:ind w:firstLine="567"/>
        <w:jc w:val="both"/>
        <w:rPr>
          <w:rFonts w:ascii="Times New Roman" w:eastAsia="Times New Roman" w:hAnsi="Times New Roman" w:cs="Times New Roman"/>
          <w:sz w:val="24"/>
          <w:szCs w:val="24"/>
          <w:lang w:val="ru-RU"/>
        </w:rPr>
      </w:pPr>
      <w:r>
        <w:rPr>
          <w:rFonts w:ascii="Times New Roman" w:eastAsia="Times New Roman" w:hAnsi="Times New Roman" w:cs="Times New Roman"/>
          <w:b/>
          <w:bCs/>
          <w:i/>
          <w:sz w:val="24"/>
          <w:szCs w:val="24"/>
          <w:lang w:val="ru-RU"/>
        </w:rPr>
        <w:t>Компоненти на разходите</w:t>
      </w:r>
      <w:r w:rsidRPr="008523A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з</w:t>
      </w:r>
      <w:r w:rsidRPr="008523A0">
        <w:rPr>
          <w:rFonts w:ascii="Times New Roman" w:eastAsia="Times New Roman" w:hAnsi="Times New Roman" w:cs="Times New Roman"/>
          <w:sz w:val="24"/>
          <w:szCs w:val="24"/>
          <w:lang w:val="ru-RU"/>
        </w:rPr>
        <w:t>а реализиране на новия закон се изискват няколко типа разходи:</w:t>
      </w:r>
      <w:bookmarkStart w:id="34" w:name="_Hlk197175164"/>
    </w:p>
    <w:p w14:paraId="2AAE96CE" w14:textId="3F56B7A2" w:rsidR="00CB0A97" w:rsidRDefault="00CB0A97" w:rsidP="00CB0A97">
      <w:pPr>
        <w:spacing w:after="0" w:line="240" w:lineRule="auto"/>
        <w:ind w:firstLine="567"/>
        <w:jc w:val="both"/>
        <w:rPr>
          <w:rFonts w:ascii="Times New Roman" w:eastAsia="Times New Roman" w:hAnsi="Times New Roman" w:cs="Times New Roman"/>
          <w:sz w:val="24"/>
          <w:szCs w:val="24"/>
          <w:lang w:val="ru-RU"/>
        </w:rPr>
      </w:pPr>
      <w:r w:rsidRPr="00C27396">
        <w:rPr>
          <w:rFonts w:ascii="Times New Roman" w:eastAsia="Times New Roman" w:hAnsi="Times New Roman" w:cs="Times New Roman"/>
          <w:sz w:val="24"/>
          <w:szCs w:val="24"/>
          <w:lang w:val="ru-RU"/>
        </w:rPr>
        <w:lastRenderedPageBreak/>
        <w:t xml:space="preserve">- </w:t>
      </w:r>
      <w:r w:rsidRPr="002C702F">
        <w:rPr>
          <w:rFonts w:ascii="Times New Roman" w:eastAsia="Times New Roman" w:hAnsi="Times New Roman" w:cs="Times New Roman"/>
          <w:i/>
          <w:sz w:val="24"/>
          <w:szCs w:val="24"/>
          <w:lang w:val="ru-RU"/>
        </w:rPr>
        <w:t>а</w:t>
      </w:r>
      <w:r w:rsidRPr="002C702F">
        <w:rPr>
          <w:rFonts w:ascii="Times New Roman" w:eastAsia="Times New Roman" w:hAnsi="Times New Roman" w:cs="Times New Roman"/>
          <w:bCs/>
          <w:i/>
          <w:sz w:val="24"/>
          <w:szCs w:val="24"/>
          <w:lang w:val="ru-RU"/>
        </w:rPr>
        <w:t>дминистративни разходи за държавата</w:t>
      </w:r>
      <w:r w:rsidRPr="00C27396">
        <w:rPr>
          <w:rFonts w:ascii="Times New Roman" w:eastAsia="Times New Roman" w:hAnsi="Times New Roman" w:cs="Times New Roman"/>
          <w:bCs/>
          <w:sz w:val="24"/>
          <w:szCs w:val="24"/>
          <w:lang w:val="ru-RU"/>
        </w:rPr>
        <w:t>:</w:t>
      </w:r>
      <w:r w:rsidRPr="006C226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те в</w:t>
      </w:r>
      <w:r w:rsidRPr="006C2267">
        <w:rPr>
          <w:rFonts w:ascii="Times New Roman" w:eastAsia="Times New Roman" w:hAnsi="Times New Roman" w:cs="Times New Roman"/>
          <w:sz w:val="24"/>
          <w:szCs w:val="24"/>
          <w:lang w:val="ru-RU"/>
        </w:rPr>
        <w:t>к</w:t>
      </w:r>
      <w:r>
        <w:rPr>
          <w:rFonts w:ascii="Times New Roman" w:eastAsia="Times New Roman" w:hAnsi="Times New Roman" w:cs="Times New Roman"/>
          <w:sz w:val="24"/>
          <w:szCs w:val="24"/>
          <w:lang w:val="ru-RU"/>
        </w:rPr>
        <w:t xml:space="preserve">лючват създаване на </w:t>
      </w:r>
      <w:r w:rsidRPr="006C2267">
        <w:rPr>
          <w:rFonts w:ascii="Times New Roman" w:eastAsia="Times New Roman" w:hAnsi="Times New Roman" w:cs="Times New Roman"/>
          <w:sz w:val="24"/>
          <w:szCs w:val="24"/>
          <w:lang w:val="ru-RU"/>
        </w:rPr>
        <w:t>Обсерватория</w:t>
      </w:r>
      <w:r>
        <w:rPr>
          <w:rFonts w:ascii="Times New Roman" w:eastAsia="Times New Roman" w:hAnsi="Times New Roman" w:cs="Times New Roman"/>
          <w:sz w:val="24"/>
          <w:szCs w:val="24"/>
          <w:lang w:val="ru-RU"/>
        </w:rPr>
        <w:t xml:space="preserve"> на агрохранителната верига, коя</w:t>
      </w:r>
      <w:r w:rsidRPr="006C2267">
        <w:rPr>
          <w:rFonts w:ascii="Times New Roman" w:eastAsia="Times New Roman" w:hAnsi="Times New Roman" w:cs="Times New Roman"/>
          <w:sz w:val="24"/>
          <w:szCs w:val="24"/>
          <w:lang w:val="ru-RU"/>
        </w:rPr>
        <w:t>то представлява междуведомствен</w:t>
      </w:r>
      <w:r w:rsidR="00DF1B7A">
        <w:rPr>
          <w:rFonts w:ascii="Times New Roman" w:eastAsia="Times New Roman" w:hAnsi="Times New Roman" w:cs="Times New Roman"/>
          <w:sz w:val="24"/>
          <w:szCs w:val="24"/>
          <w:lang w:val="ru-RU"/>
        </w:rPr>
        <w:t>а структура</w:t>
      </w:r>
      <w:r w:rsidRPr="006C2267">
        <w:rPr>
          <w:rFonts w:ascii="Times New Roman" w:eastAsia="Times New Roman" w:hAnsi="Times New Roman" w:cs="Times New Roman"/>
          <w:sz w:val="24"/>
          <w:szCs w:val="24"/>
          <w:lang w:val="ru-RU"/>
        </w:rPr>
        <w:t>, използващ</w:t>
      </w:r>
      <w:r w:rsidR="00DF1B7A">
        <w:rPr>
          <w:rFonts w:ascii="Times New Roman" w:eastAsia="Times New Roman" w:hAnsi="Times New Roman" w:cs="Times New Roman"/>
          <w:sz w:val="24"/>
          <w:szCs w:val="24"/>
          <w:lang w:val="ru-RU"/>
        </w:rPr>
        <w:t>а</w:t>
      </w:r>
      <w:r w:rsidRPr="006C2267">
        <w:rPr>
          <w:rFonts w:ascii="Times New Roman" w:eastAsia="Times New Roman" w:hAnsi="Times New Roman" w:cs="Times New Roman"/>
          <w:sz w:val="24"/>
          <w:szCs w:val="24"/>
          <w:lang w:val="ru-RU"/>
        </w:rPr>
        <w:t xml:space="preserve"> наличните ресурси на няколко институции. Според предварителните разчети е необходим екип от около 3 щатни служители, които да поддържат р</w:t>
      </w:r>
      <w:r w:rsidR="00CD7411">
        <w:rPr>
          <w:rFonts w:ascii="Times New Roman" w:eastAsia="Times New Roman" w:hAnsi="Times New Roman" w:cs="Times New Roman"/>
          <w:sz w:val="24"/>
          <w:szCs w:val="24"/>
          <w:lang w:val="ru-RU"/>
        </w:rPr>
        <w:t>егистъра и електронната система,</w:t>
      </w:r>
      <w:r w:rsidRPr="006C2267">
        <w:rPr>
          <w:rFonts w:ascii="Times New Roman" w:eastAsia="Times New Roman" w:hAnsi="Times New Roman" w:cs="Times New Roman"/>
          <w:sz w:val="24"/>
          <w:szCs w:val="24"/>
          <w:lang w:val="ru-RU"/>
        </w:rPr>
        <w:t xml:space="preserve"> </w:t>
      </w:r>
      <w:r w:rsidR="00CD7411">
        <w:rPr>
          <w:rFonts w:ascii="Times New Roman" w:eastAsia="Times New Roman" w:hAnsi="Times New Roman" w:cs="Times New Roman"/>
          <w:sz w:val="24"/>
          <w:szCs w:val="24"/>
          <w:lang w:val="ru-RU"/>
        </w:rPr>
        <w:t>п</w:t>
      </w:r>
      <w:r w:rsidRPr="006C2267">
        <w:rPr>
          <w:rFonts w:ascii="Times New Roman" w:eastAsia="Times New Roman" w:hAnsi="Times New Roman" w:cs="Times New Roman"/>
          <w:sz w:val="24"/>
          <w:szCs w:val="24"/>
          <w:lang w:val="ru-RU"/>
        </w:rPr>
        <w:t xml:space="preserve">ри средна годишна издръжка около 50 хил. лв. на човек (включително заплати, осигуровки, режийни), което </w:t>
      </w:r>
      <w:r w:rsidR="00CD7411">
        <w:rPr>
          <w:rFonts w:ascii="Times New Roman" w:eastAsia="Times New Roman" w:hAnsi="Times New Roman" w:cs="Times New Roman"/>
          <w:sz w:val="24"/>
          <w:szCs w:val="24"/>
          <w:lang w:val="ru-RU"/>
        </w:rPr>
        <w:t>с</w:t>
      </w:r>
      <w:r w:rsidRPr="006C2267">
        <w:rPr>
          <w:rFonts w:ascii="Times New Roman" w:eastAsia="Times New Roman" w:hAnsi="Times New Roman" w:cs="Times New Roman"/>
          <w:sz w:val="24"/>
          <w:szCs w:val="24"/>
          <w:lang w:val="ru-RU"/>
        </w:rPr>
        <w:t>е</w:t>
      </w:r>
      <w:r w:rsidR="00CD7411">
        <w:rPr>
          <w:rFonts w:ascii="Times New Roman" w:eastAsia="Times New Roman" w:hAnsi="Times New Roman" w:cs="Times New Roman"/>
          <w:sz w:val="24"/>
          <w:szCs w:val="24"/>
          <w:lang w:val="ru-RU"/>
        </w:rPr>
        <w:t xml:space="preserve"> равнява на</w:t>
      </w:r>
      <w:r w:rsidRPr="006C2267">
        <w:rPr>
          <w:rFonts w:ascii="Times New Roman" w:eastAsia="Times New Roman" w:hAnsi="Times New Roman" w:cs="Times New Roman"/>
          <w:sz w:val="24"/>
          <w:szCs w:val="24"/>
          <w:lang w:val="ru-RU"/>
        </w:rPr>
        <w:t xml:space="preserve"> около 150 хил. лв. годишно допълнителни текущи разходи за държавата. Тези средства са нови за бюджета на МЗХ, но в контекста на общите разходи на министерството представляват</w:t>
      </w:r>
      <w:r w:rsidR="00CD7411">
        <w:rPr>
          <w:rFonts w:ascii="Times New Roman" w:eastAsia="Times New Roman" w:hAnsi="Times New Roman" w:cs="Times New Roman"/>
          <w:sz w:val="24"/>
          <w:szCs w:val="24"/>
          <w:lang w:val="ru-RU"/>
        </w:rPr>
        <w:t xml:space="preserve"> </w:t>
      </w:r>
      <w:r w:rsidRPr="006C2267">
        <w:rPr>
          <w:rFonts w:ascii="Times New Roman" w:eastAsia="Times New Roman" w:hAnsi="Times New Roman" w:cs="Times New Roman"/>
          <w:sz w:val="24"/>
          <w:szCs w:val="24"/>
          <w:lang w:val="ru-RU"/>
        </w:rPr>
        <w:t>малък дял (0,05%). Следователно финансовото натоварване за държавата става пренебрежимо малко</w:t>
      </w:r>
      <w:r w:rsidRPr="00C27396">
        <w:rPr>
          <w:rFonts w:ascii="Times New Roman" w:eastAsia="Times New Roman" w:hAnsi="Times New Roman" w:cs="Times New Roman"/>
          <w:sz w:val="24"/>
          <w:szCs w:val="24"/>
          <w:lang w:val="ru-RU"/>
        </w:rPr>
        <w:t xml:space="preserve"> </w:t>
      </w:r>
      <w:r w:rsidRPr="009A5D52">
        <w:rPr>
          <w:rFonts w:ascii="Times New Roman" w:eastAsia="Times New Roman" w:hAnsi="Times New Roman" w:cs="Times New Roman"/>
          <w:sz w:val="24"/>
          <w:szCs w:val="24"/>
        </w:rPr>
        <w:t>и лесно поносимо в рамките на съществуващите програми</w:t>
      </w:r>
      <w:r w:rsidRPr="006C2267">
        <w:rPr>
          <w:rFonts w:ascii="Times New Roman" w:eastAsia="Times New Roman" w:hAnsi="Times New Roman" w:cs="Times New Roman"/>
          <w:sz w:val="24"/>
          <w:szCs w:val="24"/>
          <w:lang w:val="ru-RU"/>
        </w:rPr>
        <w:t xml:space="preserve">. Предвидени са и еднократни инвестиции </w:t>
      </w:r>
      <w:r>
        <w:rPr>
          <w:rFonts w:ascii="Times New Roman" w:eastAsia="Times New Roman" w:hAnsi="Times New Roman" w:cs="Times New Roman"/>
          <w:sz w:val="24"/>
          <w:szCs w:val="24"/>
        </w:rPr>
        <w:t xml:space="preserve">от </w:t>
      </w:r>
      <w:r w:rsidRPr="006C2267">
        <w:rPr>
          <w:rFonts w:ascii="Times New Roman" w:eastAsia="Times New Roman" w:hAnsi="Times New Roman" w:cs="Times New Roman"/>
          <w:sz w:val="24"/>
          <w:szCs w:val="24"/>
          <w:lang w:val="ru-RU"/>
        </w:rPr>
        <w:t xml:space="preserve">около </w:t>
      </w:r>
      <w:r w:rsidRPr="00B255C0">
        <w:rPr>
          <w:rFonts w:ascii="Times New Roman" w:eastAsia="Times New Roman" w:hAnsi="Times New Roman" w:cs="Times New Roman"/>
          <w:sz w:val="24"/>
          <w:szCs w:val="24"/>
          <w:lang w:val="ru-RU"/>
        </w:rPr>
        <w:t>300 хил. лв.</w:t>
      </w:r>
      <w:r w:rsidRPr="006C2267">
        <w:rPr>
          <w:rFonts w:ascii="Times New Roman" w:eastAsia="Times New Roman" w:hAnsi="Times New Roman" w:cs="Times New Roman"/>
          <w:sz w:val="24"/>
          <w:szCs w:val="24"/>
          <w:lang w:val="ru-RU"/>
        </w:rPr>
        <w:t xml:space="preserve"> за 2025 г. </w:t>
      </w:r>
      <w:r w:rsidR="00C96F04">
        <w:rPr>
          <w:rFonts w:ascii="Times New Roman" w:eastAsia="Times New Roman" w:hAnsi="Times New Roman" w:cs="Times New Roman"/>
          <w:sz w:val="24"/>
          <w:szCs w:val="24"/>
          <w:lang w:val="ru-RU"/>
        </w:rPr>
        <w:t>за</w:t>
      </w:r>
      <w:r w:rsidR="00C96F04" w:rsidRPr="006C2267">
        <w:rPr>
          <w:rFonts w:ascii="Times New Roman" w:eastAsia="Times New Roman" w:hAnsi="Times New Roman" w:cs="Times New Roman"/>
          <w:sz w:val="24"/>
          <w:szCs w:val="24"/>
          <w:lang w:val="ru-RU"/>
        </w:rPr>
        <w:t xml:space="preserve"> </w:t>
      </w:r>
      <w:r w:rsidRPr="006C2267">
        <w:rPr>
          <w:rFonts w:ascii="Times New Roman" w:eastAsia="Times New Roman" w:hAnsi="Times New Roman" w:cs="Times New Roman"/>
          <w:sz w:val="24"/>
          <w:szCs w:val="24"/>
          <w:lang w:val="ru-RU"/>
        </w:rPr>
        <w:t>разработка на специализиран софтуер за регистри</w:t>
      </w:r>
      <w:r w:rsidR="00CD7411">
        <w:rPr>
          <w:rFonts w:ascii="Times New Roman" w:eastAsia="Times New Roman" w:hAnsi="Times New Roman" w:cs="Times New Roman"/>
          <w:sz w:val="24"/>
          <w:szCs w:val="24"/>
          <w:lang w:val="ru-RU"/>
        </w:rPr>
        <w:t xml:space="preserve"> и електронна система</w:t>
      </w:r>
      <w:r w:rsidRPr="006C2267">
        <w:rPr>
          <w:rFonts w:ascii="Times New Roman" w:eastAsia="Times New Roman" w:hAnsi="Times New Roman" w:cs="Times New Roman"/>
          <w:sz w:val="24"/>
          <w:szCs w:val="24"/>
          <w:lang w:val="ru-RU"/>
        </w:rPr>
        <w:t>, обучение на пе</w:t>
      </w:r>
      <w:r w:rsidR="00CD7411">
        <w:rPr>
          <w:rFonts w:ascii="Times New Roman" w:eastAsia="Times New Roman" w:hAnsi="Times New Roman" w:cs="Times New Roman"/>
          <w:sz w:val="24"/>
          <w:szCs w:val="24"/>
          <w:lang w:val="ru-RU"/>
        </w:rPr>
        <w:t>рсонала и</w:t>
      </w:r>
      <w:r w:rsidRPr="006C2267">
        <w:rPr>
          <w:rFonts w:ascii="Times New Roman" w:eastAsia="Times New Roman" w:hAnsi="Times New Roman" w:cs="Times New Roman"/>
          <w:sz w:val="24"/>
          <w:szCs w:val="24"/>
          <w:lang w:val="ru-RU"/>
        </w:rPr>
        <w:t xml:space="preserve"> информационна </w:t>
      </w:r>
      <w:r w:rsidR="00CD7411">
        <w:rPr>
          <w:rFonts w:ascii="Times New Roman" w:eastAsia="Times New Roman" w:hAnsi="Times New Roman" w:cs="Times New Roman"/>
          <w:sz w:val="24"/>
          <w:szCs w:val="24"/>
          <w:lang w:val="ru-RU"/>
        </w:rPr>
        <w:t>компания</w:t>
      </w:r>
      <w:r w:rsidRPr="006C2267">
        <w:rPr>
          <w:rFonts w:ascii="Times New Roman" w:eastAsia="Times New Roman" w:hAnsi="Times New Roman" w:cs="Times New Roman"/>
          <w:sz w:val="24"/>
          <w:szCs w:val="24"/>
          <w:lang w:val="ru-RU"/>
        </w:rPr>
        <w:t>. Планираните еднократни разходи за софтуер и оборудване (за 2025 г.) могат да бъдат значително намалени при ограничен обхват на системите или използването на съществуващ такъв</w:t>
      </w:r>
      <w:r>
        <w:rPr>
          <w:rFonts w:ascii="Times New Roman" w:eastAsia="Times New Roman" w:hAnsi="Times New Roman" w:cs="Times New Roman"/>
          <w:sz w:val="24"/>
          <w:szCs w:val="24"/>
          <w:lang w:val="ru-RU"/>
        </w:rPr>
        <w:t xml:space="preserve">. </w:t>
      </w:r>
      <w:r w:rsidRPr="006C2267">
        <w:rPr>
          <w:rFonts w:ascii="Times New Roman" w:eastAsia="Times New Roman" w:hAnsi="Times New Roman" w:cs="Times New Roman"/>
          <w:sz w:val="24"/>
          <w:szCs w:val="24"/>
          <w:lang w:val="ru-RU"/>
        </w:rPr>
        <w:t>В бюджета за 2025 г. подобно увеличение може да се отрази в програма „Агростатистика и анализи“ (която е 2 806 хил. лв. за 2024 г.) или „Организация на пазарите“ (2 403 хил. лв.), като скок с около 150 хил. лв.</w:t>
      </w:r>
      <w:r>
        <w:rPr>
          <w:rFonts w:ascii="Times New Roman" w:eastAsia="Times New Roman" w:hAnsi="Times New Roman" w:cs="Times New Roman"/>
          <w:sz w:val="24"/>
          <w:szCs w:val="24"/>
          <w:lang w:val="ru-RU"/>
        </w:rPr>
        <w:t>/годишно</w:t>
      </w:r>
      <w:r w:rsidRPr="006C2267">
        <w:rPr>
          <w:rFonts w:ascii="Times New Roman" w:eastAsia="Times New Roman" w:hAnsi="Times New Roman" w:cs="Times New Roman"/>
          <w:sz w:val="24"/>
          <w:szCs w:val="24"/>
          <w:lang w:val="ru-RU"/>
        </w:rPr>
        <w:t xml:space="preserve"> би бил пренебрежимо малък </w:t>
      </w:r>
      <w:r w:rsidR="00C96F04">
        <w:rPr>
          <w:rFonts w:ascii="Times New Roman" w:eastAsia="Times New Roman" w:hAnsi="Times New Roman" w:cs="Times New Roman"/>
          <w:sz w:val="24"/>
          <w:szCs w:val="24"/>
          <w:lang w:val="ru-RU"/>
        </w:rPr>
        <w:t>като</w:t>
      </w:r>
      <w:r w:rsidR="00CD7411">
        <w:rPr>
          <w:rFonts w:ascii="Times New Roman" w:eastAsia="Times New Roman" w:hAnsi="Times New Roman" w:cs="Times New Roman"/>
          <w:sz w:val="24"/>
          <w:szCs w:val="24"/>
          <w:lang w:val="ru-RU"/>
        </w:rPr>
        <w:t>,</w:t>
      </w:r>
      <w:r w:rsidR="00C96F04" w:rsidRPr="006C2267">
        <w:rPr>
          <w:rFonts w:ascii="Times New Roman" w:eastAsia="Times New Roman" w:hAnsi="Times New Roman" w:cs="Times New Roman"/>
          <w:sz w:val="24"/>
          <w:szCs w:val="24"/>
          <w:lang w:val="ru-RU"/>
        </w:rPr>
        <w:t xml:space="preserve"> </w:t>
      </w:r>
      <w:r w:rsidRPr="006C2267">
        <w:rPr>
          <w:rFonts w:ascii="Times New Roman" w:eastAsia="Times New Roman" w:hAnsi="Times New Roman" w:cs="Times New Roman"/>
          <w:sz w:val="24"/>
          <w:szCs w:val="24"/>
          <w:lang w:val="ru-RU"/>
        </w:rPr>
        <w:t>например</w:t>
      </w:r>
      <w:r w:rsidR="00DF1B7A">
        <w:rPr>
          <w:rFonts w:ascii="Times New Roman" w:eastAsia="Times New Roman" w:hAnsi="Times New Roman" w:cs="Times New Roman"/>
          <w:sz w:val="24"/>
          <w:szCs w:val="24"/>
          <w:lang w:val="ru-RU"/>
        </w:rPr>
        <w:t>,</w:t>
      </w:r>
      <w:r w:rsidRPr="006C2267">
        <w:rPr>
          <w:rFonts w:ascii="Times New Roman" w:eastAsia="Times New Roman" w:hAnsi="Times New Roman" w:cs="Times New Roman"/>
          <w:sz w:val="24"/>
          <w:szCs w:val="24"/>
          <w:lang w:val="ru-RU"/>
        </w:rPr>
        <w:t xml:space="preserve"> би представлявал около 5-6% ръст на програмата. За целите на анализа </w:t>
      </w:r>
      <w:r>
        <w:rPr>
          <w:rFonts w:ascii="Times New Roman" w:eastAsia="Times New Roman" w:hAnsi="Times New Roman" w:cs="Times New Roman"/>
          <w:sz w:val="24"/>
          <w:szCs w:val="24"/>
          <w:lang w:val="ru-RU"/>
        </w:rPr>
        <w:t xml:space="preserve">се </w:t>
      </w:r>
      <w:r w:rsidRPr="006C2267">
        <w:rPr>
          <w:rFonts w:ascii="Times New Roman" w:eastAsia="Times New Roman" w:hAnsi="Times New Roman" w:cs="Times New Roman"/>
          <w:sz w:val="24"/>
          <w:szCs w:val="24"/>
          <w:lang w:val="ru-RU"/>
        </w:rPr>
        <w:t>залага</w:t>
      </w:r>
      <w:r>
        <w:rPr>
          <w:rFonts w:ascii="Times New Roman" w:eastAsia="Times New Roman" w:hAnsi="Times New Roman" w:cs="Times New Roman"/>
          <w:sz w:val="24"/>
          <w:szCs w:val="24"/>
          <w:lang w:val="ru-RU"/>
        </w:rPr>
        <w:t>т</w:t>
      </w:r>
      <w:r w:rsidRPr="006C2267">
        <w:rPr>
          <w:rFonts w:ascii="Times New Roman" w:eastAsia="Times New Roman" w:hAnsi="Times New Roman" w:cs="Times New Roman"/>
          <w:sz w:val="24"/>
          <w:szCs w:val="24"/>
          <w:lang w:val="ru-RU"/>
        </w:rPr>
        <w:t xml:space="preserve">: 2025 г. – </w:t>
      </w:r>
      <w:r>
        <w:rPr>
          <w:rFonts w:ascii="Times New Roman" w:eastAsia="Times New Roman" w:hAnsi="Times New Roman" w:cs="Times New Roman"/>
          <w:sz w:val="24"/>
          <w:szCs w:val="24"/>
          <w:lang w:val="ru-RU"/>
        </w:rPr>
        <w:t>300</w:t>
      </w:r>
      <w:r w:rsidRPr="006C2267">
        <w:rPr>
          <w:rFonts w:ascii="Times New Roman" w:eastAsia="Times New Roman" w:hAnsi="Times New Roman" w:cs="Times New Roman"/>
          <w:sz w:val="24"/>
          <w:szCs w:val="24"/>
          <w:lang w:val="ru-RU"/>
        </w:rPr>
        <w:t xml:space="preserve"> хил. лв. еднократни + 150 хил. лв. текущи (общо </w:t>
      </w:r>
      <w:r>
        <w:rPr>
          <w:rFonts w:ascii="Times New Roman" w:eastAsia="Times New Roman" w:hAnsi="Times New Roman" w:cs="Times New Roman"/>
          <w:sz w:val="24"/>
          <w:szCs w:val="24"/>
          <w:lang w:val="ru-RU"/>
        </w:rPr>
        <w:t>4</w:t>
      </w:r>
      <w:r w:rsidRPr="006C2267">
        <w:rPr>
          <w:rFonts w:ascii="Times New Roman" w:eastAsia="Times New Roman" w:hAnsi="Times New Roman" w:cs="Times New Roman"/>
          <w:sz w:val="24"/>
          <w:szCs w:val="24"/>
          <w:lang w:val="ru-RU"/>
        </w:rPr>
        <w:t>50 хил. лв.); 2026–2029 г. – по 150 хил. лв. годишно текущи разходи.</w:t>
      </w:r>
      <w:bookmarkEnd w:id="34"/>
    </w:p>
    <w:p w14:paraId="06DC36FA" w14:textId="2DB2E1C9" w:rsidR="00CB0A97" w:rsidRDefault="00CB0A97" w:rsidP="00CB0A97">
      <w:pPr>
        <w:spacing w:after="0" w:line="240" w:lineRule="auto"/>
        <w:ind w:firstLine="567"/>
        <w:jc w:val="both"/>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ru-RU"/>
        </w:rPr>
        <w:t xml:space="preserve">- </w:t>
      </w:r>
      <w:r w:rsidRPr="002C702F">
        <w:rPr>
          <w:rFonts w:ascii="Times New Roman" w:eastAsia="Times New Roman" w:hAnsi="Times New Roman" w:cs="Times New Roman"/>
          <w:bCs/>
          <w:i/>
          <w:sz w:val="24"/>
          <w:szCs w:val="24"/>
          <w:lang w:val="ru-RU"/>
        </w:rPr>
        <w:t>административни разходи за бизнеса</w:t>
      </w:r>
      <w:r w:rsidRPr="002C702F">
        <w:rPr>
          <w:rFonts w:ascii="Times New Roman" w:eastAsia="Times New Roman" w:hAnsi="Times New Roman" w:cs="Times New Roman"/>
          <w:bCs/>
          <w:sz w:val="24"/>
          <w:szCs w:val="24"/>
          <w:lang w:val="ru-RU"/>
        </w:rPr>
        <w:t>:</w:t>
      </w:r>
      <w:r w:rsidRPr="006C2267">
        <w:rPr>
          <w:rFonts w:ascii="Times New Roman" w:eastAsia="Times New Roman" w:hAnsi="Times New Roman" w:cs="Times New Roman"/>
          <w:sz w:val="24"/>
          <w:szCs w:val="24"/>
          <w:lang w:val="ru-RU"/>
        </w:rPr>
        <w:t xml:space="preserve"> </w:t>
      </w:r>
      <w:r w:rsidR="00C96F04">
        <w:rPr>
          <w:rFonts w:ascii="Times New Roman" w:eastAsia="Times New Roman" w:hAnsi="Times New Roman" w:cs="Times New Roman"/>
          <w:sz w:val="24"/>
          <w:szCs w:val="24"/>
          <w:lang w:val="ru-RU"/>
        </w:rPr>
        <w:t>изцяло нов закон ще</w:t>
      </w:r>
      <w:r w:rsidRPr="006C2267">
        <w:rPr>
          <w:rFonts w:ascii="Times New Roman" w:eastAsia="Times New Roman" w:hAnsi="Times New Roman" w:cs="Times New Roman"/>
          <w:sz w:val="24"/>
          <w:szCs w:val="24"/>
          <w:lang w:val="ru-RU"/>
        </w:rPr>
        <w:t xml:space="preserve"> налага на големите търговци и преработватели да внедрят изменения в своите процеси</w:t>
      </w:r>
      <w:r w:rsidR="00C016F4">
        <w:rPr>
          <w:rFonts w:ascii="Times New Roman" w:eastAsia="Times New Roman" w:hAnsi="Times New Roman" w:cs="Times New Roman"/>
          <w:sz w:val="24"/>
          <w:szCs w:val="24"/>
          <w:lang w:val="ru-RU"/>
        </w:rPr>
        <w:t>, свързани</w:t>
      </w:r>
      <w:r w:rsidRPr="006C2267">
        <w:rPr>
          <w:rFonts w:ascii="Times New Roman" w:eastAsia="Times New Roman" w:hAnsi="Times New Roman" w:cs="Times New Roman"/>
          <w:sz w:val="24"/>
          <w:szCs w:val="24"/>
          <w:lang w:val="ru-RU"/>
        </w:rPr>
        <w:t xml:space="preserve"> </w:t>
      </w:r>
      <w:r w:rsidR="00C96F04">
        <w:rPr>
          <w:rFonts w:ascii="Times New Roman" w:eastAsia="Times New Roman" w:hAnsi="Times New Roman" w:cs="Times New Roman"/>
          <w:sz w:val="24"/>
          <w:szCs w:val="24"/>
          <w:lang w:val="ru-RU"/>
        </w:rPr>
        <w:t>с</w:t>
      </w:r>
      <w:r w:rsidR="00C96F04" w:rsidRPr="006C2267">
        <w:rPr>
          <w:rFonts w:ascii="Times New Roman" w:eastAsia="Times New Roman" w:hAnsi="Times New Roman" w:cs="Times New Roman"/>
          <w:sz w:val="24"/>
          <w:szCs w:val="24"/>
          <w:lang w:val="ru-RU"/>
        </w:rPr>
        <w:t xml:space="preserve"> </w:t>
      </w:r>
      <w:r w:rsidRPr="006C2267">
        <w:rPr>
          <w:rFonts w:ascii="Times New Roman" w:eastAsia="Times New Roman" w:hAnsi="Times New Roman" w:cs="Times New Roman"/>
          <w:sz w:val="24"/>
          <w:szCs w:val="24"/>
          <w:lang w:val="ru-RU"/>
        </w:rPr>
        <w:t>водене на допълнителни регистри, предоставяне на периодични отчети, адаптиране на договори към изискванията (например включване на гарантиран минимум печалба 10% за производителя, ако такава разпоредба остане)</w:t>
      </w:r>
      <w:r w:rsidRPr="006C2267">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 xml:space="preserve"> Дъ</w:t>
      </w:r>
      <w:r w:rsidRPr="00B259B1">
        <w:rPr>
          <w:rFonts w:ascii="Times New Roman" w:eastAsia="Times New Roman" w:hAnsi="Times New Roman" w:cs="Times New Roman"/>
          <w:sz w:val="24"/>
          <w:szCs w:val="24"/>
        </w:rPr>
        <w:t>ржавата ще изгради основните ИТ системи и механизми за проследяване, докато от фирмите ще се изисква основно да въвеждат и подават информация. Съответно</w:t>
      </w:r>
      <w:r w:rsidR="00C96F04">
        <w:rPr>
          <w:rFonts w:ascii="Times New Roman" w:eastAsia="Times New Roman" w:hAnsi="Times New Roman" w:cs="Times New Roman"/>
          <w:sz w:val="24"/>
          <w:szCs w:val="24"/>
        </w:rPr>
        <w:t>,</w:t>
      </w:r>
      <w:r w:rsidRPr="00B259B1">
        <w:rPr>
          <w:rFonts w:ascii="Times New Roman" w:eastAsia="Times New Roman" w:hAnsi="Times New Roman" w:cs="Times New Roman"/>
          <w:sz w:val="24"/>
          <w:szCs w:val="24"/>
        </w:rPr>
        <w:t xml:space="preserve"> изчисленията са направени на базата на времеви разход: според допусканията в анализа</w:t>
      </w:r>
      <w:r w:rsidR="00F557F5">
        <w:rPr>
          <w:rFonts w:ascii="Times New Roman" w:eastAsia="Times New Roman" w:hAnsi="Times New Roman" w:cs="Times New Roman"/>
          <w:sz w:val="24"/>
          <w:szCs w:val="24"/>
        </w:rPr>
        <w:t>,</w:t>
      </w:r>
      <w:r w:rsidRPr="00B259B1">
        <w:rPr>
          <w:rFonts w:ascii="Times New Roman" w:eastAsia="Times New Roman" w:hAnsi="Times New Roman" w:cs="Times New Roman"/>
          <w:sz w:val="24"/>
          <w:szCs w:val="24"/>
        </w:rPr>
        <w:t xml:space="preserve"> около 100 големи предприятия (търговски вериги, преработватели) ще отделят по около 120 часа годишно, а около 300 средни фирми – по около 40 часа годишно, за работа по новите изисквания. Това прави общо около 24 </w:t>
      </w:r>
      <w:r>
        <w:rPr>
          <w:rFonts w:ascii="Times New Roman" w:eastAsia="Times New Roman" w:hAnsi="Times New Roman" w:cs="Times New Roman"/>
          <w:sz w:val="24"/>
          <w:szCs w:val="24"/>
        </w:rPr>
        <w:t>хил.</w:t>
      </w:r>
      <w:r w:rsidRPr="00B259B1">
        <w:rPr>
          <w:rFonts w:ascii="Times New Roman" w:eastAsia="Times New Roman" w:hAnsi="Times New Roman" w:cs="Times New Roman"/>
          <w:sz w:val="24"/>
          <w:szCs w:val="24"/>
        </w:rPr>
        <w:t xml:space="preserve"> часа за целия сектор. При средна цена на труда около 30 лв./час (за административен персонал)</w:t>
      </w:r>
      <w:r w:rsidR="00F557F5">
        <w:rPr>
          <w:rFonts w:ascii="Times New Roman" w:eastAsia="Times New Roman" w:hAnsi="Times New Roman" w:cs="Times New Roman"/>
          <w:sz w:val="24"/>
          <w:szCs w:val="24"/>
        </w:rPr>
        <w:t>,</w:t>
      </w:r>
      <w:r w:rsidRPr="00B259B1">
        <w:rPr>
          <w:rFonts w:ascii="Times New Roman" w:eastAsia="Times New Roman" w:hAnsi="Times New Roman" w:cs="Times New Roman"/>
          <w:sz w:val="24"/>
          <w:szCs w:val="24"/>
        </w:rPr>
        <w:t xml:space="preserve"> това се равнява на приблизително 720 хил. лв. годишно</w:t>
      </w:r>
      <w:r>
        <w:rPr>
          <w:rFonts w:ascii="Times New Roman" w:eastAsia="Times New Roman" w:hAnsi="Times New Roman" w:cs="Times New Roman"/>
          <w:sz w:val="24"/>
          <w:szCs w:val="24"/>
        </w:rPr>
        <w:t xml:space="preserve"> </w:t>
      </w:r>
      <w:r w:rsidRPr="009A5D52">
        <w:rPr>
          <w:rFonts w:ascii="Times New Roman" w:eastAsia="Times New Roman" w:hAnsi="Times New Roman" w:cs="Times New Roman"/>
          <w:sz w:val="24"/>
          <w:szCs w:val="24"/>
        </w:rPr>
        <w:t xml:space="preserve">и след отчитане на допълнителни усилия оценката е закръглена на </w:t>
      </w:r>
      <w:r>
        <w:rPr>
          <w:rFonts w:ascii="Times New Roman" w:eastAsia="Times New Roman" w:hAnsi="Times New Roman" w:cs="Times New Roman"/>
          <w:bCs/>
          <w:sz w:val="24"/>
          <w:szCs w:val="24"/>
        </w:rPr>
        <w:t xml:space="preserve">около </w:t>
      </w:r>
      <w:r w:rsidRPr="002C702F">
        <w:rPr>
          <w:rFonts w:ascii="Times New Roman" w:eastAsia="Times New Roman" w:hAnsi="Times New Roman" w:cs="Times New Roman"/>
          <w:bCs/>
          <w:sz w:val="24"/>
          <w:szCs w:val="24"/>
        </w:rPr>
        <w:t>800 хил. лв./год.</w:t>
      </w:r>
      <w:r w:rsidRPr="009A5D52">
        <w:rPr>
          <w:rFonts w:ascii="Times New Roman" w:eastAsia="Times New Roman" w:hAnsi="Times New Roman" w:cs="Times New Roman"/>
          <w:sz w:val="24"/>
          <w:szCs w:val="24"/>
        </w:rPr>
        <w:t xml:space="preserve"> за бизнеса.</w:t>
      </w:r>
      <w:r>
        <w:rPr>
          <w:rFonts w:ascii="Times New Roman" w:eastAsia="Times New Roman" w:hAnsi="Times New Roman" w:cs="Times New Roman"/>
          <w:sz w:val="24"/>
          <w:szCs w:val="24"/>
        </w:rPr>
        <w:t xml:space="preserve"> Същевременно, реалистично е </w:t>
      </w:r>
      <w:r w:rsidRPr="00B255C0">
        <w:rPr>
          <w:rFonts w:ascii="Times New Roman" w:eastAsia="Times New Roman" w:hAnsi="Times New Roman" w:cs="Times New Roman"/>
          <w:sz w:val="24"/>
          <w:szCs w:val="24"/>
        </w:rPr>
        <w:t xml:space="preserve">изискванията </w:t>
      </w:r>
      <w:r>
        <w:rPr>
          <w:rFonts w:ascii="Times New Roman" w:eastAsia="Times New Roman" w:hAnsi="Times New Roman" w:cs="Times New Roman"/>
          <w:sz w:val="24"/>
          <w:szCs w:val="24"/>
        </w:rPr>
        <w:t xml:space="preserve">да </w:t>
      </w:r>
      <w:r w:rsidRPr="00B255C0">
        <w:rPr>
          <w:rFonts w:ascii="Times New Roman" w:eastAsia="Times New Roman" w:hAnsi="Times New Roman" w:cs="Times New Roman"/>
          <w:sz w:val="24"/>
          <w:szCs w:val="24"/>
        </w:rPr>
        <w:t>са доста по-олекотени</w:t>
      </w:r>
      <w:r w:rsidR="00C96F04">
        <w:rPr>
          <w:rFonts w:ascii="Times New Roman" w:eastAsia="Times New Roman" w:hAnsi="Times New Roman" w:cs="Times New Roman"/>
          <w:sz w:val="24"/>
          <w:szCs w:val="24"/>
        </w:rPr>
        <w:t>, например,</w:t>
      </w:r>
      <w:r w:rsidRPr="00B255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около </w:t>
      </w:r>
      <w:r w:rsidRPr="00B255C0">
        <w:rPr>
          <w:rFonts w:ascii="Times New Roman" w:eastAsia="Times New Roman" w:hAnsi="Times New Roman" w:cs="Times New Roman"/>
          <w:sz w:val="24"/>
          <w:szCs w:val="24"/>
        </w:rPr>
        <w:t>8–10 хил. часа общо за сектора (вместо 24 хил.)</w:t>
      </w:r>
      <w:r w:rsidR="00C96F04">
        <w:rPr>
          <w:rFonts w:ascii="Times New Roman" w:eastAsia="Times New Roman" w:hAnsi="Times New Roman" w:cs="Times New Roman"/>
          <w:sz w:val="24"/>
          <w:szCs w:val="24"/>
        </w:rPr>
        <w:t>,</w:t>
      </w:r>
      <w:r w:rsidRPr="00B255C0">
        <w:rPr>
          <w:rFonts w:ascii="Times New Roman" w:eastAsia="Times New Roman" w:hAnsi="Times New Roman" w:cs="Times New Roman"/>
          <w:sz w:val="24"/>
          <w:szCs w:val="24"/>
        </w:rPr>
        <w:t xml:space="preserve"> което </w:t>
      </w:r>
      <w:r>
        <w:rPr>
          <w:rFonts w:ascii="Times New Roman" w:eastAsia="Times New Roman" w:hAnsi="Times New Roman" w:cs="Times New Roman"/>
          <w:sz w:val="24"/>
          <w:szCs w:val="24"/>
        </w:rPr>
        <w:t xml:space="preserve">означава около </w:t>
      </w:r>
      <w:r w:rsidRPr="00B255C0">
        <w:rPr>
          <w:rFonts w:ascii="Times New Roman" w:eastAsia="Times New Roman" w:hAnsi="Times New Roman" w:cs="Times New Roman"/>
          <w:sz w:val="24"/>
          <w:szCs w:val="24"/>
        </w:rPr>
        <w:t xml:space="preserve">250 хил. лв. годишно пряк административен разход. Тази тежест е под 0,0013% от годишния оборот на сектора (за сравнение, пазарът на храни и напитки в </w:t>
      </w:r>
      <w:r w:rsidR="004F4ED4" w:rsidRPr="00AA510E">
        <w:rPr>
          <w:rFonts w:ascii="Times New Roman" w:eastAsia="Times New Roman" w:hAnsi="Times New Roman" w:cs="Times New Roman"/>
          <w:sz w:val="24"/>
          <w:szCs w:val="24"/>
        </w:rPr>
        <w:t>Република</w:t>
      </w:r>
      <w:r w:rsidR="004F4ED4">
        <w:rPr>
          <w:rFonts w:ascii="Times New Roman" w:eastAsia="Times New Roman" w:hAnsi="Times New Roman" w:cs="Times New Roman"/>
          <w:sz w:val="24"/>
          <w:szCs w:val="24"/>
        </w:rPr>
        <w:t xml:space="preserve"> </w:t>
      </w:r>
      <w:r w:rsidRPr="00B255C0">
        <w:rPr>
          <w:rFonts w:ascii="Times New Roman" w:eastAsia="Times New Roman" w:hAnsi="Times New Roman" w:cs="Times New Roman"/>
          <w:sz w:val="24"/>
          <w:szCs w:val="24"/>
        </w:rPr>
        <w:t xml:space="preserve">България е </w:t>
      </w:r>
      <w:r>
        <w:rPr>
          <w:rFonts w:ascii="Times New Roman" w:eastAsia="Times New Roman" w:hAnsi="Times New Roman" w:cs="Times New Roman"/>
          <w:sz w:val="24"/>
          <w:szCs w:val="24"/>
        </w:rPr>
        <w:t xml:space="preserve">около </w:t>
      </w:r>
      <w:r w:rsidRPr="00B255C0">
        <w:rPr>
          <w:rFonts w:ascii="Times New Roman" w:eastAsia="Times New Roman" w:hAnsi="Times New Roman" w:cs="Times New Roman"/>
          <w:sz w:val="24"/>
          <w:szCs w:val="24"/>
        </w:rPr>
        <w:t>20 млрд. лв./год.) и средно под 1 000 лв. на фирма годишно</w:t>
      </w:r>
      <w:r w:rsidR="00C96F04">
        <w:rPr>
          <w:rFonts w:ascii="Times New Roman" w:eastAsia="Times New Roman" w:hAnsi="Times New Roman" w:cs="Times New Roman"/>
          <w:sz w:val="24"/>
          <w:szCs w:val="24"/>
        </w:rPr>
        <w:t>. Това е</w:t>
      </w:r>
      <w:r w:rsidRPr="00B255C0">
        <w:rPr>
          <w:rFonts w:ascii="Times New Roman" w:eastAsia="Times New Roman" w:hAnsi="Times New Roman" w:cs="Times New Roman"/>
          <w:sz w:val="24"/>
          <w:szCs w:val="24"/>
        </w:rPr>
        <w:t xml:space="preserve"> практически незначително перо за бизнеса. Съответно</w:t>
      </w:r>
      <w:r w:rsidR="00C96F04">
        <w:rPr>
          <w:rFonts w:ascii="Times New Roman" w:eastAsia="Times New Roman" w:hAnsi="Times New Roman" w:cs="Times New Roman"/>
          <w:sz w:val="24"/>
          <w:szCs w:val="24"/>
        </w:rPr>
        <w:t>,</w:t>
      </w:r>
      <w:r w:rsidRPr="00B255C0">
        <w:rPr>
          <w:rFonts w:ascii="Times New Roman" w:eastAsia="Times New Roman" w:hAnsi="Times New Roman" w:cs="Times New Roman"/>
          <w:sz w:val="24"/>
          <w:szCs w:val="24"/>
        </w:rPr>
        <w:t xml:space="preserve"> разходите за бизнеса се свеждат предимно до рутинно администриране (въвеждане и подаване на данни в предоставената от държавата система), без нужда от собствени ИТ</w:t>
      </w:r>
      <w:r>
        <w:rPr>
          <w:rFonts w:ascii="Times New Roman" w:eastAsia="Times New Roman" w:hAnsi="Times New Roman" w:cs="Times New Roman"/>
          <w:sz w:val="24"/>
          <w:szCs w:val="24"/>
        </w:rPr>
        <w:t xml:space="preserve"> решения.</w:t>
      </w:r>
    </w:p>
    <w:p w14:paraId="4935DC01" w14:textId="77777777" w:rsidR="00CB0A97" w:rsidRDefault="00CB0A97" w:rsidP="00CB0A97">
      <w:pPr>
        <w:spacing w:after="0" w:line="240" w:lineRule="auto"/>
        <w:ind w:firstLine="567"/>
        <w:jc w:val="both"/>
        <w:rPr>
          <w:rFonts w:ascii="Times New Roman" w:eastAsia="Times New Roman" w:hAnsi="Times New Roman" w:cs="Times New Roman"/>
          <w:sz w:val="24"/>
          <w:szCs w:val="24"/>
          <w:lang w:val="ru-RU"/>
        </w:rPr>
      </w:pPr>
      <w:r w:rsidRPr="002C702F">
        <w:rPr>
          <w:rFonts w:ascii="Times New Roman" w:eastAsia="Times New Roman" w:hAnsi="Times New Roman" w:cs="Times New Roman"/>
          <w:b/>
          <w:i/>
          <w:sz w:val="24"/>
          <w:szCs w:val="24"/>
        </w:rPr>
        <w:lastRenderedPageBreak/>
        <w:t>Паричен поток</w:t>
      </w:r>
      <w:r w:rsidRPr="00EE5459">
        <w:rPr>
          <w:rFonts w:ascii="Times New Roman" w:eastAsia="Times New Roman" w:hAnsi="Times New Roman" w:cs="Times New Roman"/>
          <w:sz w:val="24"/>
          <w:szCs w:val="24"/>
        </w:rPr>
        <w:t xml:space="preserve"> (2025–2029): Съгласно горните параметри, съвкупните разходи и ползи през разглеждания 5-годишен период се разпределят </w:t>
      </w:r>
      <w:r>
        <w:rPr>
          <w:rFonts w:ascii="Times New Roman" w:eastAsia="Times New Roman" w:hAnsi="Times New Roman" w:cs="Times New Roman"/>
          <w:sz w:val="24"/>
          <w:szCs w:val="24"/>
        </w:rPr>
        <w:t>по следния начин</w:t>
      </w:r>
      <w:r>
        <w:rPr>
          <w:rStyle w:val="FootnoteReference"/>
          <w:rFonts w:ascii="Times New Roman" w:eastAsia="Times New Roman" w:hAnsi="Times New Roman" w:cs="Times New Roman"/>
          <w:sz w:val="24"/>
          <w:szCs w:val="24"/>
        </w:rPr>
        <w:footnoteReference w:id="62"/>
      </w:r>
      <w:r w:rsidRPr="00EE5459">
        <w:rPr>
          <w:rFonts w:ascii="Times New Roman" w:eastAsia="Times New Roman" w:hAnsi="Times New Roman" w:cs="Times New Roman"/>
          <w:sz w:val="24"/>
          <w:szCs w:val="24"/>
        </w:rPr>
        <w:t>:</w:t>
      </w:r>
    </w:p>
    <w:p w14:paraId="3245DB45" w14:textId="77777777" w:rsidR="00CB0A97" w:rsidRDefault="00CB0A97" w:rsidP="00CB0A97">
      <w:pPr>
        <w:spacing w:after="0" w:line="240" w:lineRule="auto"/>
        <w:ind w:firstLine="56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EE5459">
        <w:rPr>
          <w:rFonts w:ascii="Times New Roman" w:eastAsia="Times New Roman" w:hAnsi="Times New Roman" w:cs="Times New Roman"/>
          <w:sz w:val="24"/>
          <w:szCs w:val="24"/>
        </w:rPr>
        <w:t xml:space="preserve">2025 г.: разходи ≈ 5 700 хил. лв. (вкл. 300 хил. лв. еднократни + 150 хил. държавни текущи + 250 хил. бизнес текущи + 5 000 хил. контингентни); </w:t>
      </w:r>
    </w:p>
    <w:p w14:paraId="3CF9B5CA" w14:textId="77777777" w:rsidR="00CB0A97" w:rsidRDefault="00CB0A97" w:rsidP="00CB0A97">
      <w:pPr>
        <w:spacing w:after="0" w:line="240" w:lineRule="auto"/>
        <w:ind w:firstLine="56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EE5459">
        <w:rPr>
          <w:rFonts w:ascii="Times New Roman" w:eastAsia="Times New Roman" w:hAnsi="Times New Roman" w:cs="Times New Roman"/>
          <w:sz w:val="24"/>
          <w:szCs w:val="24"/>
        </w:rPr>
        <w:t>2026–2029 г. (годишно): разходи ≈ 5 400 хил. лв. (150 хил. държавни + 250 хил. бизнес + 5 000 хил. контингентни)</w:t>
      </w:r>
      <w:r>
        <w:rPr>
          <w:rFonts w:ascii="Times New Roman" w:eastAsia="Times New Roman" w:hAnsi="Times New Roman" w:cs="Times New Roman"/>
          <w:sz w:val="24"/>
          <w:szCs w:val="24"/>
        </w:rPr>
        <w:t>.</w:t>
      </w:r>
      <w:r w:rsidRPr="00EE5459">
        <w:rPr>
          <w:rFonts w:ascii="Times New Roman" w:eastAsia="Times New Roman" w:hAnsi="Times New Roman" w:cs="Times New Roman"/>
          <w:sz w:val="24"/>
          <w:szCs w:val="24"/>
        </w:rPr>
        <w:t xml:space="preserve"> </w:t>
      </w:r>
    </w:p>
    <w:p w14:paraId="52BFEA69" w14:textId="58C40E3F" w:rsidR="00CB0A97" w:rsidRDefault="00CB0A97" w:rsidP="00CB0A97">
      <w:pPr>
        <w:spacing w:after="0" w:line="240" w:lineRule="auto"/>
        <w:ind w:firstLine="567"/>
        <w:jc w:val="both"/>
        <w:rPr>
          <w:rFonts w:ascii="Times New Roman" w:eastAsia="Times New Roman" w:hAnsi="Times New Roman" w:cs="Times New Roman"/>
          <w:sz w:val="24"/>
          <w:szCs w:val="24"/>
          <w:lang w:val="ru-RU"/>
        </w:rPr>
      </w:pPr>
      <w:r w:rsidRPr="002C702F">
        <w:rPr>
          <w:rFonts w:ascii="Times New Roman" w:hAnsi="Times New Roman" w:cs="Times New Roman"/>
          <w:sz w:val="24"/>
          <w:szCs w:val="24"/>
        </w:rPr>
        <w:t xml:space="preserve">Обобщено, годишните разходи за прилагане на Вариант 3 възлизат на около: 150 хил. лв. за държавата + 250 хил. лв. за бизнеса + 5 000 хил. лв. контингентни загуби = около 5 400 хил. лв. (5,4 млн. лв.). В първата година (2025 г.) се добавят и еднократните 300 хил. лв. за </w:t>
      </w:r>
      <w:r w:rsidR="00CD7411">
        <w:rPr>
          <w:rFonts w:ascii="Times New Roman" w:hAnsi="Times New Roman" w:cs="Times New Roman"/>
          <w:sz w:val="24"/>
          <w:szCs w:val="24"/>
        </w:rPr>
        <w:t>регистър и система,</w:t>
      </w:r>
      <w:r w:rsidRPr="002C702F">
        <w:rPr>
          <w:rFonts w:ascii="Times New Roman" w:hAnsi="Times New Roman" w:cs="Times New Roman"/>
          <w:sz w:val="24"/>
          <w:szCs w:val="24"/>
        </w:rPr>
        <w:t xml:space="preserve"> обучение</w:t>
      </w:r>
      <w:r w:rsidR="00CD7411">
        <w:rPr>
          <w:rFonts w:ascii="Times New Roman" w:hAnsi="Times New Roman" w:cs="Times New Roman"/>
          <w:sz w:val="24"/>
          <w:szCs w:val="24"/>
        </w:rPr>
        <w:t xml:space="preserve"> и кампания</w:t>
      </w:r>
      <w:r w:rsidRPr="002C702F">
        <w:rPr>
          <w:rFonts w:ascii="Times New Roman" w:hAnsi="Times New Roman" w:cs="Times New Roman"/>
          <w:sz w:val="24"/>
          <w:szCs w:val="24"/>
        </w:rPr>
        <w:t>, което прави общо около 5 700 хил. лв. през 2025 г. (текущи + еднократни). Тези стойности са изведени от бюджета и консултациите</w:t>
      </w:r>
      <w:r w:rsidR="00CD7411">
        <w:rPr>
          <w:rFonts w:ascii="Times New Roman" w:hAnsi="Times New Roman" w:cs="Times New Roman"/>
          <w:sz w:val="24"/>
          <w:szCs w:val="24"/>
        </w:rPr>
        <w:t xml:space="preserve"> със заинтересованите страни. П</w:t>
      </w:r>
      <w:r w:rsidRPr="002C702F">
        <w:rPr>
          <w:rFonts w:ascii="Times New Roman" w:hAnsi="Times New Roman" w:cs="Times New Roman"/>
          <w:sz w:val="24"/>
          <w:szCs w:val="24"/>
        </w:rPr>
        <w:t>убличният дял от около 0,2 млн. лв./год. е напълно в съответствие с наличния бюджетен капацитет, а бизнес разходите са оценени на база предоставена</w:t>
      </w:r>
      <w:r>
        <w:rPr>
          <w:rFonts w:ascii="Times New Roman" w:hAnsi="Times New Roman" w:cs="Times New Roman"/>
          <w:sz w:val="24"/>
          <w:szCs w:val="24"/>
        </w:rPr>
        <w:t>та</w:t>
      </w:r>
      <w:r w:rsidRPr="002C702F">
        <w:rPr>
          <w:rFonts w:ascii="Times New Roman" w:hAnsi="Times New Roman" w:cs="Times New Roman"/>
          <w:sz w:val="24"/>
          <w:szCs w:val="24"/>
        </w:rPr>
        <w:t xml:space="preserve"> информация от браншови организации.</w:t>
      </w:r>
      <w:r>
        <w:t xml:space="preserve"> </w:t>
      </w:r>
    </w:p>
    <w:p w14:paraId="2790AACB" w14:textId="77777777" w:rsidR="00CB0A97" w:rsidRDefault="00CB0A97" w:rsidP="00CB0A97">
      <w:pPr>
        <w:spacing w:after="0" w:line="240" w:lineRule="auto"/>
        <w:ind w:firstLine="567"/>
        <w:jc w:val="both"/>
        <w:rPr>
          <w:rFonts w:ascii="Times New Roman" w:eastAsia="Times New Roman" w:hAnsi="Times New Roman" w:cs="Times New Roman"/>
          <w:sz w:val="24"/>
          <w:szCs w:val="24"/>
          <w:lang w:val="ru-RU"/>
        </w:rPr>
      </w:pPr>
      <w:r w:rsidRPr="002C702F">
        <w:rPr>
          <w:rFonts w:ascii="Times New Roman" w:eastAsia="Times New Roman" w:hAnsi="Times New Roman" w:cs="Times New Roman"/>
          <w:b/>
          <w:bCs/>
          <w:i/>
          <w:sz w:val="24"/>
          <w:szCs w:val="24"/>
          <w:lang w:val="ru-RU"/>
        </w:rPr>
        <w:t>Компоненти на ползите:</w:t>
      </w:r>
      <w:r w:rsidRPr="008523A0">
        <w:rPr>
          <w:rFonts w:ascii="Times New Roman" w:eastAsia="Times New Roman" w:hAnsi="Times New Roman" w:cs="Times New Roman"/>
          <w:sz w:val="24"/>
          <w:szCs w:val="24"/>
          <w:lang w:val="ru-RU"/>
        </w:rPr>
        <w:t xml:space="preserve"> Комплексният нов закон има за цел да </w:t>
      </w:r>
      <w:r w:rsidRPr="00201156">
        <w:rPr>
          <w:rFonts w:ascii="Times New Roman" w:eastAsia="Times New Roman" w:hAnsi="Times New Roman" w:cs="Times New Roman"/>
          <w:bCs/>
          <w:sz w:val="24"/>
          <w:szCs w:val="24"/>
          <w:lang w:val="ru-RU"/>
        </w:rPr>
        <w:t>максимизира положителните ефекти</w:t>
      </w:r>
      <w:r w:rsidRPr="00201156">
        <w:rPr>
          <w:rFonts w:ascii="Times New Roman" w:eastAsia="Times New Roman" w:hAnsi="Times New Roman" w:cs="Times New Roman"/>
          <w:sz w:val="24"/>
          <w:szCs w:val="24"/>
          <w:lang w:val="ru-RU"/>
        </w:rPr>
        <w:t xml:space="preserve"> в агрохранителната верига. Очакваните ползи включват</w:t>
      </w:r>
      <w:r w:rsidRPr="002C702F">
        <w:rPr>
          <w:rFonts w:ascii="Times New Roman" w:eastAsia="Times New Roman" w:hAnsi="Times New Roman" w:cs="Times New Roman"/>
          <w:sz w:val="24"/>
          <w:szCs w:val="24"/>
          <w:lang w:val="ru-RU"/>
        </w:rPr>
        <w:t>:</w:t>
      </w:r>
    </w:p>
    <w:p w14:paraId="73F4EFC1" w14:textId="051634F7" w:rsidR="00CB0A97" w:rsidRDefault="00CB0A97" w:rsidP="00CB0A97">
      <w:pPr>
        <w:spacing w:after="0" w:line="240" w:lineRule="auto"/>
        <w:ind w:firstLine="56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Pr="002C702F">
        <w:rPr>
          <w:rFonts w:ascii="Times New Roman" w:eastAsia="Times New Roman" w:hAnsi="Times New Roman" w:cs="Times New Roman"/>
          <w:i/>
          <w:sz w:val="24"/>
          <w:szCs w:val="24"/>
          <w:lang w:val="ru-RU"/>
        </w:rPr>
        <w:t xml:space="preserve"> </w:t>
      </w:r>
      <w:r w:rsidR="00CD7411" w:rsidRPr="002C702F">
        <w:rPr>
          <w:rFonts w:ascii="Times New Roman" w:eastAsia="Times New Roman" w:hAnsi="Times New Roman" w:cs="Times New Roman"/>
          <w:bCs/>
          <w:i/>
          <w:sz w:val="24"/>
          <w:szCs w:val="24"/>
          <w:lang w:val="ru-RU"/>
        </w:rPr>
        <w:t xml:space="preserve">повишени </w:t>
      </w:r>
      <w:r w:rsidRPr="002C702F">
        <w:rPr>
          <w:rFonts w:ascii="Times New Roman" w:eastAsia="Times New Roman" w:hAnsi="Times New Roman" w:cs="Times New Roman"/>
          <w:bCs/>
          <w:i/>
          <w:sz w:val="24"/>
          <w:szCs w:val="24"/>
          <w:lang w:val="ru-RU"/>
        </w:rPr>
        <w:t>доходи на земеделските производители и малките доставчици:</w:t>
      </w:r>
      <w:r>
        <w:rPr>
          <w:rFonts w:ascii="Times New Roman" w:eastAsia="Times New Roman" w:hAnsi="Times New Roman" w:cs="Times New Roman"/>
          <w:sz w:val="24"/>
          <w:szCs w:val="24"/>
          <w:lang w:val="ru-RU"/>
        </w:rPr>
        <w:t xml:space="preserve"> ч</w:t>
      </w:r>
      <w:r w:rsidRPr="008523A0">
        <w:rPr>
          <w:rFonts w:ascii="Times New Roman" w:eastAsia="Times New Roman" w:hAnsi="Times New Roman" w:cs="Times New Roman"/>
          <w:sz w:val="24"/>
          <w:szCs w:val="24"/>
          <w:lang w:val="ru-RU"/>
        </w:rPr>
        <w:t xml:space="preserve">рез премахване на </w:t>
      </w:r>
      <w:r>
        <w:rPr>
          <w:rFonts w:ascii="Times New Roman" w:eastAsia="Times New Roman" w:hAnsi="Times New Roman" w:cs="Times New Roman"/>
          <w:sz w:val="24"/>
          <w:szCs w:val="24"/>
          <w:lang w:val="ru-RU"/>
        </w:rPr>
        <w:t>възможността за прилагане на</w:t>
      </w:r>
      <w:r w:rsidRPr="008523A0">
        <w:rPr>
          <w:rFonts w:ascii="Times New Roman" w:eastAsia="Times New Roman" w:hAnsi="Times New Roman" w:cs="Times New Roman"/>
          <w:sz w:val="24"/>
          <w:szCs w:val="24"/>
          <w:lang w:val="ru-RU"/>
        </w:rPr>
        <w:t xml:space="preserve"> нелоялни </w:t>
      </w:r>
      <w:r>
        <w:rPr>
          <w:rFonts w:ascii="Times New Roman" w:eastAsia="Times New Roman" w:hAnsi="Times New Roman" w:cs="Times New Roman"/>
          <w:sz w:val="24"/>
          <w:szCs w:val="24"/>
          <w:lang w:val="ru-RU"/>
        </w:rPr>
        <w:t xml:space="preserve">търговски </w:t>
      </w:r>
      <w:r w:rsidRPr="008523A0">
        <w:rPr>
          <w:rFonts w:ascii="Times New Roman" w:eastAsia="Times New Roman" w:hAnsi="Times New Roman" w:cs="Times New Roman"/>
          <w:sz w:val="24"/>
          <w:szCs w:val="24"/>
          <w:lang w:val="ru-RU"/>
        </w:rPr>
        <w:t xml:space="preserve">практики, производителите ще </w:t>
      </w:r>
      <w:r w:rsidRPr="002C702F">
        <w:rPr>
          <w:rFonts w:ascii="Times New Roman" w:eastAsia="Times New Roman" w:hAnsi="Times New Roman" w:cs="Times New Roman"/>
          <w:sz w:val="24"/>
          <w:szCs w:val="24"/>
          <w:lang w:val="ru-RU"/>
        </w:rPr>
        <w:t xml:space="preserve">получават по-справедлив дял от крайната цена на храните. Оценките сочат, че преди намесата </w:t>
      </w:r>
      <w:r w:rsidRPr="002C702F">
        <w:rPr>
          <w:rFonts w:ascii="Times New Roman" w:eastAsia="Times New Roman" w:hAnsi="Times New Roman" w:cs="Times New Roman"/>
          <w:bCs/>
          <w:sz w:val="24"/>
          <w:szCs w:val="24"/>
          <w:lang w:val="ru-RU"/>
        </w:rPr>
        <w:t>загубите на доставчиците от</w:t>
      </w:r>
      <w:r w:rsidR="00975C31">
        <w:rPr>
          <w:rFonts w:ascii="Times New Roman" w:eastAsia="Times New Roman" w:hAnsi="Times New Roman" w:cs="Times New Roman"/>
          <w:bCs/>
          <w:sz w:val="24"/>
          <w:szCs w:val="24"/>
          <w:lang w:val="ru-RU"/>
        </w:rPr>
        <w:t xml:space="preserve"> нелоялни търговски практики</w:t>
      </w:r>
      <w:r w:rsidRPr="002C702F">
        <w:rPr>
          <w:rFonts w:ascii="Times New Roman" w:eastAsia="Times New Roman" w:hAnsi="Times New Roman" w:cs="Times New Roman"/>
          <w:bCs/>
          <w:sz w:val="24"/>
          <w:szCs w:val="24"/>
          <w:lang w:val="ru-RU"/>
        </w:rPr>
        <w:t xml:space="preserve"> са около 820</w:t>
      </w:r>
      <w:r w:rsidR="009F2D8D">
        <w:rPr>
          <w:rFonts w:ascii="Times New Roman" w:eastAsia="Times New Roman" w:hAnsi="Times New Roman" w:cs="Times New Roman"/>
          <w:bCs/>
          <w:sz w:val="24"/>
          <w:szCs w:val="24"/>
          <w:lang w:val="ru-RU"/>
        </w:rPr>
        <w:t xml:space="preserve"> </w:t>
      </w:r>
      <w:r w:rsidRPr="002C702F">
        <w:rPr>
          <w:rFonts w:ascii="Times New Roman" w:eastAsia="Times New Roman" w:hAnsi="Times New Roman" w:cs="Times New Roman"/>
          <w:bCs/>
          <w:sz w:val="24"/>
          <w:szCs w:val="24"/>
          <w:lang w:val="ru-RU"/>
        </w:rPr>
        <w:t>–</w:t>
      </w:r>
      <w:r w:rsidR="009F2D8D">
        <w:rPr>
          <w:rFonts w:ascii="Times New Roman" w:eastAsia="Times New Roman" w:hAnsi="Times New Roman" w:cs="Times New Roman"/>
          <w:bCs/>
          <w:sz w:val="24"/>
          <w:szCs w:val="24"/>
          <w:lang w:val="ru-RU"/>
        </w:rPr>
        <w:t xml:space="preserve"> </w:t>
      </w:r>
      <w:r w:rsidRPr="002C702F">
        <w:rPr>
          <w:rFonts w:ascii="Times New Roman" w:eastAsia="Times New Roman" w:hAnsi="Times New Roman" w:cs="Times New Roman"/>
          <w:bCs/>
          <w:sz w:val="24"/>
          <w:szCs w:val="24"/>
          <w:lang w:val="ru-RU"/>
        </w:rPr>
        <w:t>1</w:t>
      </w:r>
      <w:r w:rsidRPr="002C702F">
        <w:rPr>
          <w:rFonts w:ascii="Times New Roman" w:eastAsia="Times New Roman" w:hAnsi="Times New Roman" w:cs="Times New Roman"/>
          <w:bCs/>
          <w:sz w:val="24"/>
          <w:szCs w:val="24"/>
        </w:rPr>
        <w:t> </w:t>
      </w:r>
      <w:r w:rsidRPr="002C702F">
        <w:rPr>
          <w:rFonts w:ascii="Times New Roman" w:eastAsia="Times New Roman" w:hAnsi="Times New Roman" w:cs="Times New Roman"/>
          <w:bCs/>
          <w:sz w:val="24"/>
          <w:szCs w:val="24"/>
          <w:lang w:val="ru-RU"/>
        </w:rPr>
        <w:t>100 млн. лв./год</w:t>
      </w:r>
      <w:r w:rsidRPr="002C702F">
        <w:rPr>
          <w:rFonts w:ascii="Times New Roman" w:eastAsia="Times New Roman" w:hAnsi="Times New Roman" w:cs="Times New Roman"/>
          <w:sz w:val="24"/>
          <w:szCs w:val="24"/>
          <w:lang w:val="ru-RU"/>
        </w:rPr>
        <w:t xml:space="preserve">. Новият закон няма да елиминира 100% от тези загуби (някои са невъзвратими или компенсирани с други ефекти), но </w:t>
      </w:r>
      <w:r w:rsidRPr="002C702F">
        <w:rPr>
          <w:rFonts w:ascii="Times New Roman" w:eastAsia="Times New Roman" w:hAnsi="Times New Roman" w:cs="Times New Roman"/>
          <w:bCs/>
          <w:sz w:val="24"/>
          <w:szCs w:val="24"/>
          <w:lang w:val="ru-RU"/>
        </w:rPr>
        <w:t>консервативната прогноза</w:t>
      </w:r>
      <w:r w:rsidRPr="002C702F">
        <w:rPr>
          <w:rFonts w:ascii="Times New Roman" w:eastAsia="Times New Roman" w:hAnsi="Times New Roman" w:cs="Times New Roman"/>
          <w:sz w:val="24"/>
          <w:szCs w:val="24"/>
          <w:lang w:val="ru-RU"/>
        </w:rPr>
        <w:t xml:space="preserve"> е за около </w:t>
      </w:r>
      <w:r w:rsidRPr="002C702F">
        <w:rPr>
          <w:rFonts w:ascii="Times New Roman" w:eastAsia="Times New Roman" w:hAnsi="Times New Roman" w:cs="Times New Roman"/>
          <w:bCs/>
          <w:sz w:val="24"/>
          <w:szCs w:val="24"/>
          <w:lang w:val="ru-RU"/>
        </w:rPr>
        <w:t>50</w:t>
      </w:r>
      <w:r w:rsidRPr="002C702F">
        <w:rPr>
          <w:rFonts w:ascii="Times New Roman" w:eastAsia="Times New Roman" w:hAnsi="Times New Roman" w:cs="Times New Roman"/>
          <w:bCs/>
          <w:sz w:val="24"/>
          <w:szCs w:val="24"/>
        </w:rPr>
        <w:t> </w:t>
      </w:r>
      <w:r w:rsidRPr="002C702F">
        <w:rPr>
          <w:rFonts w:ascii="Times New Roman" w:eastAsia="Times New Roman" w:hAnsi="Times New Roman" w:cs="Times New Roman"/>
          <w:bCs/>
          <w:sz w:val="24"/>
          <w:szCs w:val="24"/>
          <w:lang w:val="ru-RU"/>
        </w:rPr>
        <w:t>000 хил. лв. годишно допълнителен нетен доход</w:t>
      </w:r>
      <w:r w:rsidRPr="002C702F">
        <w:rPr>
          <w:rFonts w:ascii="Times New Roman" w:eastAsia="Times New Roman" w:hAnsi="Times New Roman" w:cs="Times New Roman"/>
          <w:sz w:val="24"/>
          <w:szCs w:val="24"/>
          <w:lang w:val="ru-RU"/>
        </w:rPr>
        <w:t xml:space="preserve"> за </w:t>
      </w:r>
      <w:r w:rsidR="00F557F5">
        <w:rPr>
          <w:rFonts w:ascii="Times New Roman" w:eastAsia="Times New Roman" w:hAnsi="Times New Roman" w:cs="Times New Roman"/>
          <w:sz w:val="24"/>
          <w:szCs w:val="24"/>
          <w:lang w:val="ru-RU"/>
        </w:rPr>
        <w:t>земеделските производители</w:t>
      </w:r>
      <w:r w:rsidR="00F557F5" w:rsidRPr="002C702F">
        <w:rPr>
          <w:rFonts w:ascii="Times New Roman" w:eastAsia="Times New Roman" w:hAnsi="Times New Roman" w:cs="Times New Roman"/>
          <w:sz w:val="24"/>
          <w:szCs w:val="24"/>
          <w:lang w:val="ru-RU"/>
        </w:rPr>
        <w:t xml:space="preserve"> </w:t>
      </w:r>
      <w:r w:rsidRPr="002C702F">
        <w:rPr>
          <w:rFonts w:ascii="Times New Roman" w:eastAsia="Times New Roman" w:hAnsi="Times New Roman" w:cs="Times New Roman"/>
          <w:sz w:val="24"/>
          <w:szCs w:val="24"/>
          <w:lang w:val="ru-RU"/>
        </w:rPr>
        <w:t xml:space="preserve">и малките преработватели. Тази сума отчита, че не всички вреди могат да бъдат избегнати и че част от ползата може да бъде </w:t>
      </w:r>
      <w:r w:rsidR="001A57D8">
        <w:rPr>
          <w:rFonts w:ascii="Times New Roman" w:eastAsia="Times New Roman" w:hAnsi="Times New Roman" w:cs="Times New Roman"/>
          <w:sz w:val="24"/>
          <w:szCs w:val="24"/>
          <w:lang w:val="ru-RU"/>
        </w:rPr>
        <w:t>елиминирана</w:t>
      </w:r>
      <w:r w:rsidRPr="002C702F">
        <w:rPr>
          <w:rFonts w:ascii="Times New Roman" w:eastAsia="Times New Roman" w:hAnsi="Times New Roman" w:cs="Times New Roman"/>
          <w:sz w:val="24"/>
          <w:szCs w:val="24"/>
          <w:lang w:val="ru-RU"/>
        </w:rPr>
        <w:t xml:space="preserve"> от адаптивното поведение на мощните играчи. Въпреки това </w:t>
      </w:r>
      <w:r w:rsidRPr="002C702F">
        <w:rPr>
          <w:rFonts w:ascii="Times New Roman" w:eastAsia="Times New Roman" w:hAnsi="Times New Roman" w:cs="Times New Roman"/>
          <w:bCs/>
          <w:sz w:val="24"/>
          <w:szCs w:val="24"/>
          <w:lang w:val="ru-RU"/>
        </w:rPr>
        <w:t>50 млн. лв./год.</w:t>
      </w:r>
      <w:r w:rsidRPr="002C702F">
        <w:rPr>
          <w:rFonts w:ascii="Times New Roman" w:eastAsia="Times New Roman" w:hAnsi="Times New Roman" w:cs="Times New Roman"/>
          <w:sz w:val="24"/>
          <w:szCs w:val="24"/>
          <w:lang w:val="ru-RU"/>
        </w:rPr>
        <w:t xml:space="preserve"> е значима стойност</w:t>
      </w:r>
      <w:r w:rsidR="001A57D8">
        <w:rPr>
          <w:rFonts w:ascii="Times New Roman" w:eastAsia="Times New Roman" w:hAnsi="Times New Roman" w:cs="Times New Roman"/>
          <w:sz w:val="24"/>
          <w:szCs w:val="24"/>
          <w:lang w:val="ru-RU"/>
        </w:rPr>
        <w:t>. Т</w:t>
      </w:r>
      <w:r w:rsidRPr="002C702F">
        <w:rPr>
          <w:rFonts w:ascii="Times New Roman" w:eastAsia="Times New Roman" w:hAnsi="Times New Roman" w:cs="Times New Roman"/>
          <w:sz w:val="24"/>
          <w:szCs w:val="24"/>
          <w:lang w:val="ru-RU"/>
        </w:rPr>
        <w:t xml:space="preserve">я би била реален приток към </w:t>
      </w:r>
      <w:r>
        <w:rPr>
          <w:rFonts w:ascii="Times New Roman" w:eastAsia="Times New Roman" w:hAnsi="Times New Roman" w:cs="Times New Roman"/>
          <w:sz w:val="24"/>
          <w:szCs w:val="24"/>
          <w:lang w:val="ru-RU"/>
        </w:rPr>
        <w:t>селскостопанските производители</w:t>
      </w:r>
      <w:r w:rsidRPr="002C702F">
        <w:rPr>
          <w:rFonts w:ascii="Times New Roman" w:eastAsia="Times New Roman" w:hAnsi="Times New Roman" w:cs="Times New Roman"/>
          <w:sz w:val="24"/>
          <w:szCs w:val="24"/>
          <w:lang w:val="ru-RU"/>
        </w:rPr>
        <w:t>. Тук се включват ефекти като: по-високи изкупни цени за местна продукция, навременно плащане (спестени лихви и загуби), по-малко бракувана пр</w:t>
      </w:r>
      <w:r>
        <w:rPr>
          <w:rFonts w:ascii="Times New Roman" w:eastAsia="Times New Roman" w:hAnsi="Times New Roman" w:cs="Times New Roman"/>
          <w:sz w:val="24"/>
          <w:szCs w:val="24"/>
          <w:lang w:val="ru-RU"/>
        </w:rPr>
        <w:t>одукция поради отменени поръчки</w:t>
      </w:r>
      <w:r w:rsidRPr="002C702F">
        <w:rPr>
          <w:rFonts w:ascii="Times New Roman" w:eastAsia="Times New Roman" w:hAnsi="Times New Roman" w:cs="Times New Roman"/>
          <w:sz w:val="24"/>
          <w:szCs w:val="24"/>
          <w:lang w:val="ru-RU"/>
        </w:rPr>
        <w:t xml:space="preserve"> и възможност фермерите да планират по-добре бизнеса си</w:t>
      </w:r>
      <w:r>
        <w:rPr>
          <w:rFonts w:ascii="Times New Roman" w:eastAsia="Times New Roman" w:hAnsi="Times New Roman" w:cs="Times New Roman"/>
          <w:sz w:val="24"/>
          <w:szCs w:val="24"/>
          <w:lang w:val="ru-RU"/>
        </w:rPr>
        <w:t>;</w:t>
      </w:r>
    </w:p>
    <w:p w14:paraId="169EC04B" w14:textId="4127C2E8" w:rsidR="00CB0A97" w:rsidRDefault="00CB0A97" w:rsidP="00CB0A97">
      <w:pPr>
        <w:spacing w:after="0" w:line="240" w:lineRule="auto"/>
        <w:ind w:firstLine="567"/>
        <w:jc w:val="both"/>
        <w:rPr>
          <w:rFonts w:ascii="Times New Roman" w:eastAsia="Times New Roman" w:hAnsi="Times New Roman" w:cs="Times New Roman"/>
          <w:sz w:val="24"/>
          <w:szCs w:val="24"/>
          <w:lang w:val="ru-RU"/>
        </w:rPr>
      </w:pPr>
      <w:r w:rsidRPr="002C702F">
        <w:rPr>
          <w:rFonts w:ascii="Times New Roman" w:eastAsia="Times New Roman" w:hAnsi="Times New Roman" w:cs="Times New Roman"/>
          <w:i/>
          <w:sz w:val="24"/>
          <w:szCs w:val="24"/>
          <w:lang w:val="ru-RU"/>
        </w:rPr>
        <w:t xml:space="preserve">- </w:t>
      </w:r>
      <w:r w:rsidRPr="002C702F">
        <w:rPr>
          <w:rFonts w:ascii="Times New Roman" w:eastAsia="Times New Roman" w:hAnsi="Times New Roman" w:cs="Times New Roman"/>
          <w:bCs/>
          <w:i/>
          <w:sz w:val="24"/>
          <w:szCs w:val="24"/>
          <w:lang w:val="ru-RU"/>
        </w:rPr>
        <w:t>ползи за потребителите:</w:t>
      </w:r>
      <w:r w:rsidRPr="008523A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а</w:t>
      </w:r>
      <w:r w:rsidRPr="008523A0">
        <w:rPr>
          <w:rFonts w:ascii="Times New Roman" w:eastAsia="Times New Roman" w:hAnsi="Times New Roman" w:cs="Times New Roman"/>
          <w:sz w:val="24"/>
          <w:szCs w:val="24"/>
          <w:lang w:val="ru-RU"/>
        </w:rPr>
        <w:t xml:space="preserve">ко законът успее да стабилизира </w:t>
      </w:r>
      <w:r w:rsidRPr="008A1F6F">
        <w:rPr>
          <w:rFonts w:ascii="Times New Roman" w:eastAsia="Times New Roman" w:hAnsi="Times New Roman" w:cs="Times New Roman"/>
          <w:sz w:val="24"/>
          <w:szCs w:val="24"/>
        </w:rPr>
        <w:t xml:space="preserve">доставките на </w:t>
      </w:r>
      <w:r w:rsidRPr="008523A0">
        <w:rPr>
          <w:rFonts w:ascii="Times New Roman" w:eastAsia="Times New Roman" w:hAnsi="Times New Roman" w:cs="Times New Roman"/>
          <w:sz w:val="24"/>
          <w:szCs w:val="24"/>
          <w:lang w:val="ru-RU"/>
        </w:rPr>
        <w:t>български храни в търговските обекти</w:t>
      </w:r>
      <w:r w:rsidRPr="008A1F6F">
        <w:rPr>
          <w:rFonts w:ascii="Times New Roman" w:eastAsia="Times New Roman" w:hAnsi="Times New Roman" w:cs="Times New Roman"/>
          <w:sz w:val="24"/>
          <w:szCs w:val="24"/>
        </w:rPr>
        <w:t xml:space="preserve">, поддържането им в </w:t>
      </w:r>
      <w:r w:rsidRPr="002C702F">
        <w:rPr>
          <w:rFonts w:ascii="Times New Roman" w:eastAsia="Times New Roman" w:hAnsi="Times New Roman" w:cs="Times New Roman"/>
          <w:sz w:val="24"/>
          <w:szCs w:val="24"/>
        </w:rPr>
        <w:t>асортимента на магазините</w:t>
      </w:r>
      <w:r w:rsidRPr="002C702F">
        <w:rPr>
          <w:rFonts w:ascii="Times New Roman" w:eastAsia="Times New Roman" w:hAnsi="Times New Roman" w:cs="Times New Roman"/>
          <w:sz w:val="24"/>
          <w:szCs w:val="24"/>
          <w:lang w:val="ru-RU"/>
        </w:rPr>
        <w:t xml:space="preserve"> и да намали концентрацията на пазарна сила, в дългосрочен план потребителите могат да спечелят от </w:t>
      </w:r>
      <w:r w:rsidRPr="002C702F">
        <w:rPr>
          <w:rFonts w:ascii="Times New Roman" w:eastAsia="Times New Roman" w:hAnsi="Times New Roman" w:cs="Times New Roman"/>
          <w:bCs/>
          <w:sz w:val="24"/>
          <w:szCs w:val="24"/>
          <w:lang w:val="ru-RU"/>
        </w:rPr>
        <w:t>по-богат избор и по-устойчиви цени</w:t>
      </w:r>
      <w:r w:rsidRPr="002C702F">
        <w:rPr>
          <w:rFonts w:ascii="Times New Roman" w:eastAsia="Times New Roman" w:hAnsi="Times New Roman" w:cs="Times New Roman"/>
          <w:sz w:val="24"/>
          <w:szCs w:val="24"/>
          <w:lang w:val="ru-RU"/>
        </w:rPr>
        <w:t xml:space="preserve">. Например, </w:t>
      </w:r>
      <w:r>
        <w:rPr>
          <w:rFonts w:ascii="Times New Roman" w:eastAsia="Times New Roman" w:hAnsi="Times New Roman" w:cs="Times New Roman"/>
          <w:sz w:val="24"/>
          <w:szCs w:val="24"/>
          <w:lang w:val="ru-RU"/>
        </w:rPr>
        <w:t xml:space="preserve">увеличаването на </w:t>
      </w:r>
      <w:r w:rsidRPr="002C702F">
        <w:rPr>
          <w:rFonts w:ascii="Times New Roman" w:eastAsia="Times New Roman" w:hAnsi="Times New Roman" w:cs="Times New Roman"/>
          <w:sz w:val="24"/>
          <w:szCs w:val="24"/>
          <w:lang w:val="ru-RU"/>
        </w:rPr>
        <w:t>жизнеспособнит</w:t>
      </w:r>
      <w:r>
        <w:rPr>
          <w:rFonts w:ascii="Times New Roman" w:eastAsia="Times New Roman" w:hAnsi="Times New Roman" w:cs="Times New Roman"/>
          <w:sz w:val="24"/>
          <w:szCs w:val="24"/>
          <w:lang w:val="ru-RU"/>
        </w:rPr>
        <w:t>е местни производители означава</w:t>
      </w:r>
      <w:r w:rsidRPr="002C702F">
        <w:rPr>
          <w:rFonts w:ascii="Times New Roman" w:eastAsia="Times New Roman" w:hAnsi="Times New Roman" w:cs="Times New Roman"/>
          <w:sz w:val="24"/>
          <w:szCs w:val="24"/>
          <w:lang w:val="ru-RU"/>
        </w:rPr>
        <w:t xml:space="preserve"> </w:t>
      </w:r>
      <w:r w:rsidRPr="002C702F">
        <w:rPr>
          <w:rFonts w:ascii="Times New Roman" w:eastAsia="Times New Roman" w:hAnsi="Times New Roman" w:cs="Times New Roman"/>
          <w:bCs/>
          <w:sz w:val="24"/>
          <w:szCs w:val="24"/>
          <w:lang w:val="ru-RU"/>
        </w:rPr>
        <w:t>по-сигурно снабдяване с храни</w:t>
      </w:r>
      <w:r w:rsidRPr="002C702F">
        <w:rPr>
          <w:rFonts w:ascii="Times New Roman" w:eastAsia="Times New Roman" w:hAnsi="Times New Roman" w:cs="Times New Roman"/>
          <w:sz w:val="24"/>
          <w:szCs w:val="24"/>
          <w:lang w:val="ru-RU"/>
        </w:rPr>
        <w:t xml:space="preserve"> и</w:t>
      </w:r>
      <w:r w:rsidRPr="008523A0">
        <w:rPr>
          <w:rFonts w:ascii="Times New Roman" w:eastAsia="Times New Roman" w:hAnsi="Times New Roman" w:cs="Times New Roman"/>
          <w:sz w:val="24"/>
          <w:szCs w:val="24"/>
          <w:lang w:val="ru-RU"/>
        </w:rPr>
        <w:t xml:space="preserve"> по-малка зависимост </w:t>
      </w:r>
      <w:r w:rsidR="00F557F5" w:rsidRPr="008523A0">
        <w:rPr>
          <w:rFonts w:ascii="Times New Roman" w:eastAsia="Times New Roman" w:hAnsi="Times New Roman" w:cs="Times New Roman"/>
          <w:sz w:val="24"/>
          <w:szCs w:val="24"/>
          <w:lang w:val="ru-RU"/>
        </w:rPr>
        <w:t>от вноса</w:t>
      </w:r>
      <w:r w:rsidRPr="008523A0">
        <w:rPr>
          <w:rFonts w:ascii="Times New Roman" w:eastAsia="Times New Roman" w:hAnsi="Times New Roman" w:cs="Times New Roman"/>
          <w:sz w:val="24"/>
          <w:szCs w:val="24"/>
          <w:lang w:val="ru-RU"/>
        </w:rPr>
        <w:t xml:space="preserve">, което при кризи </w:t>
      </w:r>
      <w:r>
        <w:rPr>
          <w:rFonts w:ascii="Times New Roman" w:eastAsia="Times New Roman" w:hAnsi="Times New Roman" w:cs="Times New Roman"/>
          <w:sz w:val="24"/>
          <w:szCs w:val="24"/>
          <w:lang w:val="ru-RU"/>
        </w:rPr>
        <w:t>е гаранция срещу</w:t>
      </w:r>
      <w:r w:rsidRPr="008523A0">
        <w:rPr>
          <w:rFonts w:ascii="Times New Roman" w:eastAsia="Times New Roman" w:hAnsi="Times New Roman" w:cs="Times New Roman"/>
          <w:sz w:val="24"/>
          <w:szCs w:val="24"/>
          <w:lang w:val="ru-RU"/>
        </w:rPr>
        <w:t xml:space="preserve"> ценови шокове. Тези ползи са трудни за количествено измерване и не са включени изрично в паричната оценка (те биха се проявили като потребителски излиш</w:t>
      </w:r>
      <w:r>
        <w:rPr>
          <w:rFonts w:ascii="Times New Roman" w:eastAsia="Times New Roman" w:hAnsi="Times New Roman" w:cs="Times New Roman"/>
          <w:sz w:val="24"/>
          <w:szCs w:val="24"/>
          <w:lang w:val="ru-RU"/>
        </w:rPr>
        <w:t>ък, стабилност на цените и др.);</w:t>
      </w:r>
    </w:p>
    <w:p w14:paraId="6343B66A" w14:textId="2D6D1F9D" w:rsidR="00CB0A97" w:rsidRDefault="00CB0A97" w:rsidP="00CB0A97">
      <w:pPr>
        <w:spacing w:after="0" w:line="240" w:lineRule="auto"/>
        <w:ind w:firstLine="56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201156">
        <w:rPr>
          <w:rFonts w:ascii="Times New Roman" w:eastAsia="Times New Roman" w:hAnsi="Times New Roman" w:cs="Times New Roman"/>
          <w:i/>
          <w:sz w:val="24"/>
          <w:szCs w:val="24"/>
          <w:lang w:val="ru-RU"/>
        </w:rPr>
        <w:t>с</w:t>
      </w:r>
      <w:r w:rsidRPr="00201156">
        <w:rPr>
          <w:rFonts w:ascii="Times New Roman" w:eastAsia="Times New Roman" w:hAnsi="Times New Roman" w:cs="Times New Roman"/>
          <w:bCs/>
          <w:i/>
          <w:sz w:val="24"/>
          <w:szCs w:val="24"/>
          <w:lang w:val="ru-RU"/>
        </w:rPr>
        <w:t>оциални и екологични ползи (косвени):</w:t>
      </w:r>
      <w:r>
        <w:rPr>
          <w:rFonts w:ascii="Times New Roman" w:eastAsia="Times New Roman" w:hAnsi="Times New Roman" w:cs="Times New Roman"/>
          <w:sz w:val="24"/>
          <w:szCs w:val="24"/>
          <w:lang w:val="ru-RU"/>
        </w:rPr>
        <w:t xml:space="preserve"> п</w:t>
      </w:r>
      <w:r w:rsidRPr="008523A0">
        <w:rPr>
          <w:rFonts w:ascii="Times New Roman" w:eastAsia="Times New Roman" w:hAnsi="Times New Roman" w:cs="Times New Roman"/>
          <w:sz w:val="24"/>
          <w:szCs w:val="24"/>
          <w:lang w:val="ru-RU"/>
        </w:rPr>
        <w:t>о-</w:t>
      </w:r>
      <w:r>
        <w:rPr>
          <w:rFonts w:ascii="Times New Roman" w:eastAsia="Times New Roman" w:hAnsi="Times New Roman" w:cs="Times New Roman"/>
          <w:sz w:val="24"/>
          <w:szCs w:val="24"/>
          <w:lang w:val="ru-RU"/>
        </w:rPr>
        <w:t>честните</w:t>
      </w:r>
      <w:r w:rsidRPr="008523A0">
        <w:rPr>
          <w:rFonts w:ascii="Times New Roman" w:eastAsia="Times New Roman" w:hAnsi="Times New Roman" w:cs="Times New Roman"/>
          <w:sz w:val="24"/>
          <w:szCs w:val="24"/>
          <w:lang w:val="ru-RU"/>
        </w:rPr>
        <w:t xml:space="preserve"> доходи за фермерите спомагат </w:t>
      </w:r>
      <w:r w:rsidRPr="00201156">
        <w:rPr>
          <w:rFonts w:ascii="Times New Roman" w:eastAsia="Times New Roman" w:hAnsi="Times New Roman" w:cs="Times New Roman"/>
          <w:sz w:val="24"/>
          <w:szCs w:val="24"/>
          <w:lang w:val="ru-RU"/>
        </w:rPr>
        <w:t xml:space="preserve">за </w:t>
      </w:r>
      <w:r w:rsidRPr="00201156">
        <w:rPr>
          <w:rFonts w:ascii="Times New Roman" w:eastAsia="Times New Roman" w:hAnsi="Times New Roman" w:cs="Times New Roman"/>
          <w:bCs/>
          <w:sz w:val="24"/>
          <w:szCs w:val="24"/>
          <w:lang w:val="ru-RU"/>
        </w:rPr>
        <w:t>запазване на заетостта и жизнеността в селските райони</w:t>
      </w:r>
      <w:r w:rsidRPr="00201156">
        <w:rPr>
          <w:rFonts w:ascii="Times New Roman" w:eastAsia="Times New Roman" w:hAnsi="Times New Roman" w:cs="Times New Roman"/>
          <w:sz w:val="24"/>
          <w:szCs w:val="24"/>
          <w:lang w:val="ru-RU"/>
        </w:rPr>
        <w:t xml:space="preserve">, потенциално </w:t>
      </w:r>
      <w:r w:rsidRPr="00201156">
        <w:rPr>
          <w:rFonts w:ascii="Times New Roman" w:eastAsia="Times New Roman" w:hAnsi="Times New Roman" w:cs="Times New Roman"/>
          <w:sz w:val="24"/>
          <w:szCs w:val="24"/>
          <w:lang w:val="ru-RU"/>
        </w:rPr>
        <w:lastRenderedPageBreak/>
        <w:t xml:space="preserve">намаляват миграцията към градовете и допринасят за социалната устойчивост. Някои </w:t>
      </w:r>
      <w:r w:rsidR="0019762E">
        <w:rPr>
          <w:rFonts w:ascii="Times New Roman" w:eastAsia="Times New Roman" w:hAnsi="Times New Roman" w:cs="Times New Roman"/>
          <w:sz w:val="24"/>
          <w:szCs w:val="24"/>
          <w:lang w:val="ru-RU"/>
        </w:rPr>
        <w:t>заинтересовани страни</w:t>
      </w:r>
      <w:r w:rsidRPr="00201156">
        <w:rPr>
          <w:rFonts w:ascii="Times New Roman" w:eastAsia="Times New Roman" w:hAnsi="Times New Roman" w:cs="Times New Roman"/>
          <w:sz w:val="24"/>
          <w:szCs w:val="24"/>
          <w:lang w:val="ru-RU"/>
        </w:rPr>
        <w:t xml:space="preserve"> отбелязват, че стимулирането на местното производство може да доведе до </w:t>
      </w:r>
      <w:r w:rsidRPr="00201156">
        <w:rPr>
          <w:rFonts w:ascii="Times New Roman" w:eastAsia="Times New Roman" w:hAnsi="Times New Roman" w:cs="Times New Roman"/>
          <w:bCs/>
          <w:sz w:val="24"/>
          <w:szCs w:val="24"/>
          <w:lang w:val="ru-RU"/>
        </w:rPr>
        <w:t>намаляване на въглеродния отпечатък</w:t>
      </w:r>
      <w:r w:rsidRPr="00201156">
        <w:rPr>
          <w:rFonts w:ascii="Times New Roman" w:eastAsia="Times New Roman" w:hAnsi="Times New Roman" w:cs="Times New Roman"/>
          <w:sz w:val="24"/>
          <w:szCs w:val="24"/>
          <w:lang w:val="ru-RU"/>
        </w:rPr>
        <w:t xml:space="preserve"> (по-малки разстояния за доставка), както и да ограничи практики като свръх-експлоатация на почвите </w:t>
      </w:r>
      <w:r w:rsidR="00F557F5" w:rsidRPr="00201156">
        <w:rPr>
          <w:rFonts w:ascii="Times New Roman" w:eastAsia="Times New Roman" w:hAnsi="Times New Roman" w:cs="Times New Roman"/>
          <w:sz w:val="24"/>
          <w:szCs w:val="24"/>
          <w:lang w:val="ru-RU"/>
        </w:rPr>
        <w:t>от натиска</w:t>
      </w:r>
      <w:r w:rsidRPr="00201156">
        <w:rPr>
          <w:rFonts w:ascii="Times New Roman" w:eastAsia="Times New Roman" w:hAnsi="Times New Roman" w:cs="Times New Roman"/>
          <w:sz w:val="24"/>
          <w:szCs w:val="24"/>
          <w:lang w:val="ru-RU"/>
        </w:rPr>
        <w:t xml:space="preserve"> за евтина продукция. Тези ефекти също са извън преките финансови разчети, но са част от обществения интерес.</w:t>
      </w:r>
    </w:p>
    <w:p w14:paraId="37B9F10D" w14:textId="0CAF1375" w:rsidR="00CB0A97" w:rsidRPr="00201156" w:rsidRDefault="00CB0A97" w:rsidP="00CB0A97">
      <w:pPr>
        <w:spacing w:after="0" w:line="240" w:lineRule="auto"/>
        <w:ind w:firstLine="567"/>
        <w:jc w:val="both"/>
        <w:rPr>
          <w:rFonts w:ascii="Times New Roman" w:eastAsia="Times New Roman" w:hAnsi="Times New Roman" w:cs="Times New Roman"/>
          <w:sz w:val="24"/>
          <w:szCs w:val="24"/>
          <w:lang w:val="ru-RU"/>
        </w:rPr>
      </w:pPr>
      <w:r w:rsidRPr="008523A0">
        <w:rPr>
          <w:rFonts w:ascii="Times New Roman" w:eastAsia="Times New Roman" w:hAnsi="Times New Roman" w:cs="Times New Roman"/>
          <w:sz w:val="24"/>
          <w:szCs w:val="24"/>
          <w:lang w:val="ru-RU"/>
        </w:rPr>
        <w:t xml:space="preserve">В количествения анализ </w:t>
      </w:r>
      <w:r w:rsidRPr="00201156">
        <w:rPr>
          <w:rFonts w:ascii="Times New Roman" w:eastAsia="Times New Roman" w:hAnsi="Times New Roman" w:cs="Times New Roman"/>
          <w:sz w:val="24"/>
          <w:szCs w:val="24"/>
          <w:lang w:val="ru-RU"/>
        </w:rPr>
        <w:t xml:space="preserve">като </w:t>
      </w:r>
      <w:r w:rsidRPr="00201156">
        <w:rPr>
          <w:rFonts w:ascii="Times New Roman" w:eastAsia="Times New Roman" w:hAnsi="Times New Roman" w:cs="Times New Roman"/>
          <w:bCs/>
          <w:sz w:val="24"/>
          <w:szCs w:val="24"/>
          <w:lang w:val="ru-RU"/>
        </w:rPr>
        <w:t>основна измерима полза</w:t>
      </w:r>
      <w:r w:rsidRPr="008523A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е </w:t>
      </w:r>
      <w:r w:rsidRPr="008523A0">
        <w:rPr>
          <w:rFonts w:ascii="Times New Roman" w:eastAsia="Times New Roman" w:hAnsi="Times New Roman" w:cs="Times New Roman"/>
          <w:sz w:val="24"/>
          <w:szCs w:val="24"/>
          <w:lang w:val="ru-RU"/>
        </w:rPr>
        <w:t>прие</w:t>
      </w:r>
      <w:r>
        <w:rPr>
          <w:rFonts w:ascii="Times New Roman" w:eastAsia="Times New Roman" w:hAnsi="Times New Roman" w:cs="Times New Roman"/>
          <w:sz w:val="24"/>
          <w:szCs w:val="24"/>
          <w:lang w:val="ru-RU"/>
        </w:rPr>
        <w:t>та сумата от</w:t>
      </w:r>
      <w:r w:rsidRPr="008523A0">
        <w:rPr>
          <w:rFonts w:ascii="Times New Roman" w:eastAsia="Times New Roman" w:hAnsi="Times New Roman" w:cs="Times New Roman"/>
          <w:sz w:val="24"/>
          <w:szCs w:val="24"/>
          <w:lang w:val="ru-RU"/>
        </w:rPr>
        <w:t xml:space="preserve"> </w:t>
      </w:r>
      <w:r w:rsidRPr="00201156">
        <w:rPr>
          <w:rFonts w:ascii="Times New Roman" w:eastAsia="Times New Roman" w:hAnsi="Times New Roman" w:cs="Times New Roman"/>
          <w:bCs/>
          <w:sz w:val="24"/>
          <w:szCs w:val="24"/>
          <w:lang w:val="ru-RU"/>
        </w:rPr>
        <w:t>50</w:t>
      </w:r>
      <w:r w:rsidRPr="00201156">
        <w:rPr>
          <w:rFonts w:ascii="Times New Roman" w:eastAsia="Times New Roman" w:hAnsi="Times New Roman" w:cs="Times New Roman"/>
          <w:bCs/>
          <w:sz w:val="24"/>
          <w:szCs w:val="24"/>
        </w:rPr>
        <w:t> </w:t>
      </w:r>
      <w:r w:rsidRPr="00201156">
        <w:rPr>
          <w:rFonts w:ascii="Times New Roman" w:eastAsia="Times New Roman" w:hAnsi="Times New Roman" w:cs="Times New Roman"/>
          <w:bCs/>
          <w:sz w:val="24"/>
          <w:szCs w:val="24"/>
          <w:lang w:val="ru-RU"/>
        </w:rPr>
        <w:t>000 хил. лв./год. допълнителен доход/спестени загуби</w:t>
      </w:r>
      <w:r w:rsidRPr="00201156">
        <w:rPr>
          <w:rFonts w:ascii="Times New Roman" w:eastAsia="Times New Roman" w:hAnsi="Times New Roman" w:cs="Times New Roman"/>
          <w:sz w:val="24"/>
          <w:szCs w:val="24"/>
          <w:lang w:val="ru-RU"/>
        </w:rPr>
        <w:t xml:space="preserve"> за производителите и малките доставчиц</w:t>
      </w:r>
      <w:r w:rsidRPr="008523A0">
        <w:rPr>
          <w:rFonts w:ascii="Times New Roman" w:eastAsia="Times New Roman" w:hAnsi="Times New Roman" w:cs="Times New Roman"/>
          <w:sz w:val="24"/>
          <w:szCs w:val="24"/>
          <w:lang w:val="ru-RU"/>
        </w:rPr>
        <w:t>и, започвайки от 2026</w:t>
      </w:r>
      <w:r w:rsidRPr="008A1F6F">
        <w:rPr>
          <w:rFonts w:ascii="Times New Roman" w:eastAsia="Times New Roman" w:hAnsi="Times New Roman" w:cs="Times New Roman"/>
          <w:sz w:val="24"/>
          <w:szCs w:val="24"/>
        </w:rPr>
        <w:t> </w:t>
      </w:r>
      <w:r w:rsidRPr="008523A0">
        <w:rPr>
          <w:rFonts w:ascii="Times New Roman" w:eastAsia="Times New Roman" w:hAnsi="Times New Roman" w:cs="Times New Roman"/>
          <w:sz w:val="24"/>
          <w:szCs w:val="24"/>
          <w:lang w:val="ru-RU"/>
        </w:rPr>
        <w:t>г. В първата година (2025</w:t>
      </w:r>
      <w:r w:rsidRPr="008A1F6F">
        <w:rPr>
          <w:rFonts w:ascii="Times New Roman" w:eastAsia="Times New Roman" w:hAnsi="Times New Roman" w:cs="Times New Roman"/>
          <w:sz w:val="24"/>
          <w:szCs w:val="24"/>
        </w:rPr>
        <w:t> </w:t>
      </w:r>
      <w:r w:rsidRPr="008523A0">
        <w:rPr>
          <w:rFonts w:ascii="Times New Roman" w:eastAsia="Times New Roman" w:hAnsi="Times New Roman" w:cs="Times New Roman"/>
          <w:sz w:val="24"/>
          <w:szCs w:val="24"/>
          <w:lang w:val="ru-RU"/>
        </w:rPr>
        <w:t xml:space="preserve">г.) ефектът ще бъде частичен, тъй като </w:t>
      </w:r>
      <w:r>
        <w:rPr>
          <w:rFonts w:ascii="Times New Roman" w:eastAsia="Times New Roman" w:hAnsi="Times New Roman" w:cs="Times New Roman"/>
          <w:sz w:val="24"/>
          <w:szCs w:val="24"/>
          <w:lang w:val="ru-RU"/>
        </w:rPr>
        <w:t>планираните мерки е</w:t>
      </w:r>
      <w:r w:rsidRPr="008523A0">
        <w:rPr>
          <w:rFonts w:ascii="Times New Roman" w:eastAsia="Times New Roman" w:hAnsi="Times New Roman" w:cs="Times New Roman"/>
          <w:sz w:val="24"/>
          <w:szCs w:val="24"/>
          <w:lang w:val="ru-RU"/>
        </w:rPr>
        <w:t xml:space="preserve"> вероятно </w:t>
      </w:r>
      <w:r>
        <w:rPr>
          <w:rFonts w:ascii="Times New Roman" w:eastAsia="Times New Roman" w:hAnsi="Times New Roman" w:cs="Times New Roman"/>
          <w:sz w:val="24"/>
          <w:szCs w:val="24"/>
          <w:lang w:val="ru-RU"/>
        </w:rPr>
        <w:t xml:space="preserve">да </w:t>
      </w:r>
      <w:r w:rsidRPr="008523A0">
        <w:rPr>
          <w:rFonts w:ascii="Times New Roman" w:eastAsia="Times New Roman" w:hAnsi="Times New Roman" w:cs="Times New Roman"/>
          <w:sz w:val="24"/>
          <w:szCs w:val="24"/>
          <w:lang w:val="ru-RU"/>
        </w:rPr>
        <w:t>вл</w:t>
      </w:r>
      <w:r>
        <w:rPr>
          <w:rFonts w:ascii="Times New Roman" w:eastAsia="Times New Roman" w:hAnsi="Times New Roman" w:cs="Times New Roman"/>
          <w:sz w:val="24"/>
          <w:szCs w:val="24"/>
          <w:lang w:val="ru-RU"/>
        </w:rPr>
        <w:t>я</w:t>
      </w:r>
      <w:r w:rsidRPr="008523A0">
        <w:rPr>
          <w:rFonts w:ascii="Times New Roman" w:eastAsia="Times New Roman" w:hAnsi="Times New Roman" w:cs="Times New Roman"/>
          <w:sz w:val="24"/>
          <w:szCs w:val="24"/>
          <w:lang w:val="ru-RU"/>
        </w:rPr>
        <w:t>з</w:t>
      </w:r>
      <w:r>
        <w:rPr>
          <w:rFonts w:ascii="Times New Roman" w:eastAsia="Times New Roman" w:hAnsi="Times New Roman" w:cs="Times New Roman"/>
          <w:sz w:val="24"/>
          <w:szCs w:val="24"/>
          <w:lang w:val="ru-RU"/>
        </w:rPr>
        <w:t>ат</w:t>
      </w:r>
      <w:r w:rsidRPr="008523A0">
        <w:rPr>
          <w:rFonts w:ascii="Times New Roman" w:eastAsia="Times New Roman" w:hAnsi="Times New Roman" w:cs="Times New Roman"/>
          <w:sz w:val="24"/>
          <w:szCs w:val="24"/>
          <w:lang w:val="ru-RU"/>
        </w:rPr>
        <w:t xml:space="preserve"> в сила в</w:t>
      </w:r>
      <w:r w:rsidR="00A00153">
        <w:rPr>
          <w:rFonts w:ascii="Times New Roman" w:eastAsia="Times New Roman" w:hAnsi="Times New Roman" w:cs="Times New Roman"/>
          <w:sz w:val="24"/>
          <w:szCs w:val="24"/>
          <w:lang w:val="ru-RU"/>
        </w:rPr>
        <w:t xml:space="preserve"> или след</w:t>
      </w:r>
      <w:r w:rsidRPr="008523A0">
        <w:rPr>
          <w:rFonts w:ascii="Times New Roman" w:eastAsia="Times New Roman" w:hAnsi="Times New Roman" w:cs="Times New Roman"/>
          <w:sz w:val="24"/>
          <w:szCs w:val="24"/>
          <w:lang w:val="ru-RU"/>
        </w:rPr>
        <w:t xml:space="preserve"> средата на годината и ползите ще се материализират постепенно. </w:t>
      </w:r>
      <w:r>
        <w:rPr>
          <w:rFonts w:ascii="Times New Roman" w:eastAsia="Times New Roman" w:hAnsi="Times New Roman" w:cs="Times New Roman"/>
          <w:sz w:val="24"/>
          <w:szCs w:val="24"/>
          <w:lang w:val="ru-RU"/>
        </w:rPr>
        <w:t>З</w:t>
      </w:r>
      <w:r w:rsidRPr="008523A0">
        <w:rPr>
          <w:rFonts w:ascii="Times New Roman" w:eastAsia="Times New Roman" w:hAnsi="Times New Roman" w:cs="Times New Roman"/>
          <w:sz w:val="24"/>
          <w:szCs w:val="24"/>
          <w:lang w:val="ru-RU"/>
        </w:rPr>
        <w:t>а 2025</w:t>
      </w:r>
      <w:r w:rsidRPr="008A1F6F">
        <w:rPr>
          <w:rFonts w:ascii="Times New Roman" w:eastAsia="Times New Roman" w:hAnsi="Times New Roman" w:cs="Times New Roman"/>
          <w:sz w:val="24"/>
          <w:szCs w:val="24"/>
        </w:rPr>
        <w:t> </w:t>
      </w:r>
      <w:r w:rsidRPr="008523A0">
        <w:rPr>
          <w:rFonts w:ascii="Times New Roman" w:eastAsia="Times New Roman" w:hAnsi="Times New Roman" w:cs="Times New Roman"/>
          <w:sz w:val="24"/>
          <w:szCs w:val="24"/>
          <w:lang w:val="ru-RU"/>
        </w:rPr>
        <w:t>г.</w:t>
      </w:r>
      <w:r>
        <w:rPr>
          <w:rFonts w:ascii="Times New Roman" w:eastAsia="Times New Roman" w:hAnsi="Times New Roman" w:cs="Times New Roman"/>
          <w:sz w:val="24"/>
          <w:szCs w:val="24"/>
          <w:lang w:val="ru-RU"/>
        </w:rPr>
        <w:t xml:space="preserve"> е приета</w:t>
      </w:r>
      <w:r w:rsidRPr="008523A0">
        <w:rPr>
          <w:rFonts w:ascii="Times New Roman" w:eastAsia="Times New Roman" w:hAnsi="Times New Roman" w:cs="Times New Roman"/>
          <w:sz w:val="24"/>
          <w:szCs w:val="24"/>
          <w:lang w:val="ru-RU"/>
        </w:rPr>
        <w:t xml:space="preserve"> половината от годишната </w:t>
      </w:r>
      <w:r w:rsidRPr="00201156">
        <w:rPr>
          <w:rFonts w:ascii="Times New Roman" w:eastAsia="Times New Roman" w:hAnsi="Times New Roman" w:cs="Times New Roman"/>
          <w:sz w:val="24"/>
          <w:szCs w:val="24"/>
          <w:lang w:val="ru-RU"/>
        </w:rPr>
        <w:t xml:space="preserve">полза: </w:t>
      </w:r>
      <w:r w:rsidRPr="00201156">
        <w:rPr>
          <w:rFonts w:ascii="Times New Roman" w:eastAsia="Times New Roman" w:hAnsi="Times New Roman" w:cs="Times New Roman"/>
          <w:bCs/>
          <w:sz w:val="24"/>
          <w:szCs w:val="24"/>
          <w:lang w:val="ru-RU"/>
        </w:rPr>
        <w:t>25</w:t>
      </w:r>
      <w:r w:rsidRPr="00201156">
        <w:rPr>
          <w:rFonts w:ascii="Times New Roman" w:eastAsia="Times New Roman" w:hAnsi="Times New Roman" w:cs="Times New Roman"/>
          <w:bCs/>
          <w:sz w:val="24"/>
          <w:szCs w:val="24"/>
        </w:rPr>
        <w:t> </w:t>
      </w:r>
      <w:r w:rsidRPr="00201156">
        <w:rPr>
          <w:rFonts w:ascii="Times New Roman" w:eastAsia="Times New Roman" w:hAnsi="Times New Roman" w:cs="Times New Roman"/>
          <w:bCs/>
          <w:sz w:val="24"/>
          <w:szCs w:val="24"/>
          <w:lang w:val="ru-RU"/>
        </w:rPr>
        <w:t>000 хил. лв.</w:t>
      </w:r>
      <w:r w:rsidRPr="00201156">
        <w:rPr>
          <w:rFonts w:ascii="Times New Roman" w:eastAsia="Times New Roman" w:hAnsi="Times New Roman" w:cs="Times New Roman"/>
          <w:sz w:val="24"/>
          <w:szCs w:val="24"/>
          <w:lang w:val="ru-RU"/>
        </w:rPr>
        <w:t>; за 2026–2029</w:t>
      </w:r>
      <w:r w:rsidRPr="00201156">
        <w:rPr>
          <w:rFonts w:ascii="Times New Roman" w:eastAsia="Times New Roman" w:hAnsi="Times New Roman" w:cs="Times New Roman"/>
          <w:sz w:val="24"/>
          <w:szCs w:val="24"/>
        </w:rPr>
        <w:t> </w:t>
      </w:r>
      <w:r w:rsidRPr="00201156">
        <w:rPr>
          <w:rFonts w:ascii="Times New Roman" w:eastAsia="Times New Roman" w:hAnsi="Times New Roman" w:cs="Times New Roman"/>
          <w:sz w:val="24"/>
          <w:szCs w:val="24"/>
          <w:lang w:val="ru-RU"/>
        </w:rPr>
        <w:t xml:space="preserve">г. – по </w:t>
      </w:r>
      <w:r w:rsidRPr="00201156">
        <w:rPr>
          <w:rFonts w:ascii="Times New Roman" w:eastAsia="Times New Roman" w:hAnsi="Times New Roman" w:cs="Times New Roman"/>
          <w:bCs/>
          <w:sz w:val="24"/>
          <w:szCs w:val="24"/>
          <w:lang w:val="ru-RU"/>
        </w:rPr>
        <w:t>50</w:t>
      </w:r>
      <w:r w:rsidRPr="00201156">
        <w:rPr>
          <w:rFonts w:ascii="Times New Roman" w:eastAsia="Times New Roman" w:hAnsi="Times New Roman" w:cs="Times New Roman"/>
          <w:bCs/>
          <w:sz w:val="24"/>
          <w:szCs w:val="24"/>
        </w:rPr>
        <w:t> </w:t>
      </w:r>
      <w:r w:rsidRPr="00201156">
        <w:rPr>
          <w:rFonts w:ascii="Times New Roman" w:eastAsia="Times New Roman" w:hAnsi="Times New Roman" w:cs="Times New Roman"/>
          <w:bCs/>
          <w:sz w:val="24"/>
          <w:szCs w:val="24"/>
          <w:lang w:val="ru-RU"/>
        </w:rPr>
        <w:t>000 хил. лв.</w:t>
      </w:r>
      <w:r w:rsidRPr="00201156">
        <w:rPr>
          <w:rFonts w:ascii="Times New Roman" w:eastAsia="Times New Roman" w:hAnsi="Times New Roman" w:cs="Times New Roman"/>
          <w:sz w:val="24"/>
          <w:szCs w:val="24"/>
          <w:lang w:val="ru-RU"/>
        </w:rPr>
        <w:t xml:space="preserve"> годишно. Тези стойности отразяват консервативен подход, т.е. </w:t>
      </w:r>
      <w:r w:rsidRPr="00201156">
        <w:rPr>
          <w:rFonts w:ascii="Times New Roman" w:eastAsia="Times New Roman" w:hAnsi="Times New Roman" w:cs="Times New Roman"/>
          <w:bCs/>
          <w:sz w:val="24"/>
          <w:szCs w:val="24"/>
          <w:lang w:val="ru-RU"/>
        </w:rPr>
        <w:t>може да се считат за достижими при ефективно прилагане на закона</w:t>
      </w:r>
      <w:r w:rsidRPr="00201156">
        <w:rPr>
          <w:rFonts w:ascii="Times New Roman" w:eastAsia="Times New Roman" w:hAnsi="Times New Roman" w:cs="Times New Roman"/>
          <w:sz w:val="24"/>
          <w:szCs w:val="24"/>
          <w:lang w:val="ru-RU"/>
        </w:rPr>
        <w:t>.</w:t>
      </w:r>
    </w:p>
    <w:p w14:paraId="736152D1" w14:textId="195A0630" w:rsidR="00CB0A97" w:rsidRDefault="00CB0A97" w:rsidP="00CB0A97">
      <w:pPr>
        <w:spacing w:after="0" w:line="240" w:lineRule="auto"/>
        <w:ind w:firstLine="567"/>
        <w:jc w:val="both"/>
        <w:rPr>
          <w:rFonts w:ascii="Times New Roman" w:eastAsia="Times New Roman" w:hAnsi="Times New Roman" w:cs="Times New Roman"/>
          <w:sz w:val="24"/>
          <w:szCs w:val="24"/>
          <w:lang w:val="ru-RU"/>
        </w:rPr>
      </w:pPr>
      <w:r w:rsidRPr="00201156">
        <w:rPr>
          <w:rFonts w:ascii="Times New Roman" w:eastAsia="Times New Roman" w:hAnsi="Times New Roman" w:cs="Times New Roman"/>
          <w:b/>
          <w:bCs/>
          <w:i/>
          <w:sz w:val="24"/>
          <w:szCs w:val="24"/>
          <w:lang w:val="ru-RU"/>
        </w:rPr>
        <w:t xml:space="preserve">Настояща стойност и </w:t>
      </w:r>
      <w:r w:rsidRPr="00201156">
        <w:rPr>
          <w:rFonts w:ascii="Times New Roman" w:eastAsia="Times New Roman" w:hAnsi="Times New Roman" w:cs="Times New Roman"/>
          <w:b/>
          <w:bCs/>
          <w:i/>
          <w:sz w:val="24"/>
          <w:szCs w:val="24"/>
        </w:rPr>
        <w:t>NPV</w:t>
      </w:r>
      <w:r w:rsidRPr="00201156">
        <w:rPr>
          <w:rFonts w:ascii="Times New Roman" w:eastAsia="Times New Roman" w:hAnsi="Times New Roman" w:cs="Times New Roman"/>
          <w:b/>
          <w:bCs/>
          <w:i/>
          <w:sz w:val="24"/>
          <w:szCs w:val="24"/>
          <w:lang w:val="ru-RU"/>
        </w:rPr>
        <w:t>:</w:t>
      </w:r>
      <w:r w:rsidRPr="00201156">
        <w:rPr>
          <w:rFonts w:ascii="Times New Roman" w:eastAsia="Times New Roman" w:hAnsi="Times New Roman" w:cs="Times New Roman"/>
          <w:sz w:val="24"/>
          <w:szCs w:val="24"/>
          <w:lang w:val="ru-RU"/>
        </w:rPr>
        <w:t xml:space="preserve"> В</w:t>
      </w:r>
      <w:r w:rsidR="0019762E">
        <w:rPr>
          <w:rFonts w:ascii="Times New Roman" w:eastAsia="Times New Roman" w:hAnsi="Times New Roman" w:cs="Times New Roman"/>
          <w:sz w:val="24"/>
          <w:szCs w:val="24"/>
          <w:lang w:val="ru-RU"/>
        </w:rPr>
        <w:t xml:space="preserve"> Таблица 1</w:t>
      </w:r>
      <w:r w:rsidR="008C0E40">
        <w:rPr>
          <w:rFonts w:ascii="Times New Roman" w:eastAsia="Times New Roman" w:hAnsi="Times New Roman" w:cs="Times New Roman"/>
          <w:sz w:val="24"/>
          <w:szCs w:val="24"/>
          <w:lang w:val="ru-RU"/>
        </w:rPr>
        <w:t>6</w:t>
      </w:r>
      <w:r w:rsidRPr="00201156">
        <w:rPr>
          <w:rFonts w:ascii="Times New Roman" w:eastAsia="Times New Roman" w:hAnsi="Times New Roman" w:cs="Times New Roman"/>
          <w:sz w:val="24"/>
          <w:szCs w:val="24"/>
          <w:lang w:val="ru-RU"/>
        </w:rPr>
        <w:t xml:space="preserve"> са обобщени потоците от разходи и ползи по години за Вариант</w:t>
      </w:r>
      <w:r w:rsidRPr="00201156">
        <w:rPr>
          <w:rFonts w:ascii="Times New Roman" w:eastAsia="Times New Roman" w:hAnsi="Times New Roman" w:cs="Times New Roman"/>
          <w:sz w:val="24"/>
          <w:szCs w:val="24"/>
        </w:rPr>
        <w:t> </w:t>
      </w:r>
      <w:r w:rsidRPr="00201156">
        <w:rPr>
          <w:rFonts w:ascii="Times New Roman" w:eastAsia="Times New Roman" w:hAnsi="Times New Roman" w:cs="Times New Roman"/>
          <w:sz w:val="24"/>
          <w:szCs w:val="24"/>
          <w:lang w:val="ru-RU"/>
        </w:rPr>
        <w:t xml:space="preserve">3, както и дисконтираните им стойности. Особено внимание заслужава </w:t>
      </w:r>
      <w:r w:rsidRPr="00201156">
        <w:rPr>
          <w:rFonts w:ascii="Times New Roman" w:eastAsia="Times New Roman" w:hAnsi="Times New Roman" w:cs="Times New Roman"/>
          <w:bCs/>
          <w:sz w:val="24"/>
          <w:szCs w:val="24"/>
          <w:lang w:val="ru-RU"/>
        </w:rPr>
        <w:t>нетната настояща стойност (</w:t>
      </w:r>
      <w:r w:rsidRPr="00201156">
        <w:rPr>
          <w:rFonts w:ascii="Times New Roman" w:eastAsia="Times New Roman" w:hAnsi="Times New Roman" w:cs="Times New Roman"/>
          <w:bCs/>
          <w:sz w:val="24"/>
          <w:szCs w:val="24"/>
        </w:rPr>
        <w:t>NPV</w:t>
      </w:r>
      <w:r w:rsidRPr="00201156">
        <w:rPr>
          <w:rFonts w:ascii="Times New Roman" w:eastAsia="Times New Roman" w:hAnsi="Times New Roman" w:cs="Times New Roman"/>
          <w:bCs/>
          <w:sz w:val="24"/>
          <w:szCs w:val="24"/>
          <w:lang w:val="ru-RU"/>
        </w:rPr>
        <w:t>)</w:t>
      </w:r>
      <w:r w:rsidRPr="00201156">
        <w:rPr>
          <w:rFonts w:ascii="Times New Roman" w:eastAsia="Times New Roman" w:hAnsi="Times New Roman" w:cs="Times New Roman"/>
          <w:sz w:val="24"/>
          <w:szCs w:val="24"/>
          <w:lang w:val="ru-RU"/>
        </w:rPr>
        <w:t xml:space="preserve">, която е </w:t>
      </w:r>
      <w:r w:rsidRPr="00201156">
        <w:rPr>
          <w:rFonts w:ascii="Times New Roman" w:eastAsia="Times New Roman" w:hAnsi="Times New Roman" w:cs="Times New Roman"/>
          <w:bCs/>
          <w:sz w:val="24"/>
          <w:szCs w:val="24"/>
          <w:lang w:val="ru-RU"/>
        </w:rPr>
        <w:t>положителна</w:t>
      </w:r>
      <w:r w:rsidRPr="00201156">
        <w:rPr>
          <w:rFonts w:ascii="Times New Roman" w:eastAsia="Times New Roman" w:hAnsi="Times New Roman" w:cs="Times New Roman"/>
          <w:sz w:val="24"/>
          <w:szCs w:val="24"/>
          <w:lang w:val="ru-RU"/>
        </w:rPr>
        <w:t xml:space="preserve"> и значително по-голяма от тази при другите варианти. Изчислението й се основава на сумарните дисконтирани ползи минус сумарните дисконтирани разходи:</w:t>
      </w:r>
    </w:p>
    <w:p w14:paraId="77B3069F" w14:textId="1CE25709" w:rsidR="00CB0A97" w:rsidRDefault="00CB0A97" w:rsidP="00CB0A97">
      <w:pPr>
        <w:spacing w:after="0" w:line="240" w:lineRule="auto"/>
        <w:ind w:firstLine="567"/>
        <w:jc w:val="both"/>
        <w:rPr>
          <w:rFonts w:ascii="Times New Roman" w:eastAsia="Times New Roman" w:hAnsi="Times New Roman" w:cs="Times New Roman"/>
          <w:sz w:val="24"/>
          <w:szCs w:val="24"/>
          <w:lang w:val="ru-RU"/>
        </w:rPr>
      </w:pPr>
      <w:r w:rsidRPr="00A00153">
        <w:rPr>
          <w:rFonts w:ascii="Times New Roman" w:eastAsia="Times New Roman" w:hAnsi="Times New Roman" w:cs="Times New Roman"/>
          <w:b/>
          <w:i/>
          <w:sz w:val="24"/>
          <w:szCs w:val="24"/>
          <w:lang w:val="ru-RU"/>
        </w:rPr>
        <w:t>- настояща стойност на ползите</w:t>
      </w:r>
      <w:r w:rsidRPr="008523A0">
        <w:rPr>
          <w:rFonts w:ascii="Times New Roman" w:eastAsia="Times New Roman" w:hAnsi="Times New Roman" w:cs="Times New Roman"/>
          <w:sz w:val="24"/>
          <w:szCs w:val="24"/>
          <w:lang w:val="ru-RU"/>
        </w:rPr>
        <w:t xml:space="preserve"> = 25</w:t>
      </w:r>
      <w:r w:rsidRPr="008A1F6F">
        <w:rPr>
          <w:rFonts w:ascii="Times New Roman" w:eastAsia="Times New Roman" w:hAnsi="Times New Roman" w:cs="Times New Roman"/>
          <w:sz w:val="24"/>
          <w:szCs w:val="24"/>
        </w:rPr>
        <w:t> </w:t>
      </w:r>
      <w:r w:rsidRPr="008523A0">
        <w:rPr>
          <w:rFonts w:ascii="Times New Roman" w:eastAsia="Times New Roman" w:hAnsi="Times New Roman" w:cs="Times New Roman"/>
          <w:sz w:val="24"/>
          <w:szCs w:val="24"/>
          <w:lang w:val="ru-RU"/>
        </w:rPr>
        <w:t>000 + 48</w:t>
      </w:r>
      <w:r w:rsidRPr="008A1F6F">
        <w:rPr>
          <w:rFonts w:ascii="Times New Roman" w:eastAsia="Times New Roman" w:hAnsi="Times New Roman" w:cs="Times New Roman"/>
          <w:sz w:val="24"/>
          <w:szCs w:val="24"/>
        </w:rPr>
        <w:t> </w:t>
      </w:r>
      <w:r w:rsidRPr="008523A0">
        <w:rPr>
          <w:rFonts w:ascii="Times New Roman" w:eastAsia="Times New Roman" w:hAnsi="Times New Roman" w:cs="Times New Roman"/>
          <w:sz w:val="24"/>
          <w:szCs w:val="24"/>
          <w:lang w:val="ru-RU"/>
        </w:rPr>
        <w:t>076,9 + 46</w:t>
      </w:r>
      <w:r w:rsidRPr="008A1F6F">
        <w:rPr>
          <w:rFonts w:ascii="Times New Roman" w:eastAsia="Times New Roman" w:hAnsi="Times New Roman" w:cs="Times New Roman"/>
          <w:sz w:val="24"/>
          <w:szCs w:val="24"/>
        </w:rPr>
        <w:t> </w:t>
      </w:r>
      <w:r w:rsidR="009F2D8D">
        <w:rPr>
          <w:rFonts w:ascii="Times New Roman" w:eastAsia="Times New Roman" w:hAnsi="Times New Roman" w:cs="Times New Roman"/>
          <w:sz w:val="24"/>
          <w:szCs w:val="24"/>
          <w:lang w:val="ru-RU"/>
        </w:rPr>
        <w:t>227</w:t>
      </w:r>
      <w:r w:rsidRPr="008523A0">
        <w:rPr>
          <w:rFonts w:ascii="Times New Roman" w:eastAsia="Times New Roman" w:hAnsi="Times New Roman" w:cs="Times New Roman"/>
          <w:sz w:val="24"/>
          <w:szCs w:val="24"/>
          <w:lang w:val="ru-RU"/>
        </w:rPr>
        <w:t>,8 + 44</w:t>
      </w:r>
      <w:r w:rsidRPr="008A1F6F">
        <w:rPr>
          <w:rFonts w:ascii="Times New Roman" w:eastAsia="Times New Roman" w:hAnsi="Times New Roman" w:cs="Times New Roman"/>
          <w:sz w:val="24"/>
          <w:szCs w:val="24"/>
        </w:rPr>
        <w:t> </w:t>
      </w:r>
      <w:r w:rsidRPr="008523A0">
        <w:rPr>
          <w:rFonts w:ascii="Times New Roman" w:eastAsia="Times New Roman" w:hAnsi="Times New Roman" w:cs="Times New Roman"/>
          <w:sz w:val="24"/>
          <w:szCs w:val="24"/>
          <w:lang w:val="ru-RU"/>
        </w:rPr>
        <w:t>44</w:t>
      </w:r>
      <w:r w:rsidR="009F2D8D">
        <w:rPr>
          <w:rFonts w:ascii="Times New Roman" w:eastAsia="Times New Roman" w:hAnsi="Times New Roman" w:cs="Times New Roman"/>
          <w:sz w:val="24"/>
          <w:szCs w:val="24"/>
          <w:lang w:val="ru-RU"/>
        </w:rPr>
        <w:t>9</w:t>
      </w:r>
      <w:r w:rsidRPr="008523A0">
        <w:rPr>
          <w:rFonts w:ascii="Times New Roman" w:eastAsia="Times New Roman" w:hAnsi="Times New Roman" w:cs="Times New Roman"/>
          <w:sz w:val="24"/>
          <w:szCs w:val="24"/>
          <w:lang w:val="ru-RU"/>
        </w:rPr>
        <w:t>,</w:t>
      </w:r>
      <w:r w:rsidR="009F2D8D">
        <w:rPr>
          <w:rFonts w:ascii="Times New Roman" w:eastAsia="Times New Roman" w:hAnsi="Times New Roman" w:cs="Times New Roman"/>
          <w:sz w:val="24"/>
          <w:szCs w:val="24"/>
          <w:lang w:val="ru-RU"/>
        </w:rPr>
        <w:t>8</w:t>
      </w:r>
      <w:r w:rsidRPr="008523A0">
        <w:rPr>
          <w:rFonts w:ascii="Times New Roman" w:eastAsia="Times New Roman" w:hAnsi="Times New Roman" w:cs="Times New Roman"/>
          <w:sz w:val="24"/>
          <w:szCs w:val="24"/>
          <w:lang w:val="ru-RU"/>
        </w:rPr>
        <w:t xml:space="preserve"> + 42</w:t>
      </w:r>
      <w:r w:rsidRPr="008A1F6F">
        <w:rPr>
          <w:rFonts w:ascii="Times New Roman" w:eastAsia="Times New Roman" w:hAnsi="Times New Roman" w:cs="Times New Roman"/>
          <w:sz w:val="24"/>
          <w:szCs w:val="24"/>
        </w:rPr>
        <w:t> </w:t>
      </w:r>
      <w:r w:rsidRPr="008523A0">
        <w:rPr>
          <w:rFonts w:ascii="Times New Roman" w:eastAsia="Times New Roman" w:hAnsi="Times New Roman" w:cs="Times New Roman"/>
          <w:sz w:val="24"/>
          <w:szCs w:val="24"/>
          <w:lang w:val="ru-RU"/>
        </w:rPr>
        <w:t>7</w:t>
      </w:r>
      <w:r w:rsidR="009F2D8D">
        <w:rPr>
          <w:rFonts w:ascii="Times New Roman" w:eastAsia="Times New Roman" w:hAnsi="Times New Roman" w:cs="Times New Roman"/>
          <w:sz w:val="24"/>
          <w:szCs w:val="24"/>
          <w:lang w:val="ru-RU"/>
        </w:rPr>
        <w:t>40</w:t>
      </w:r>
      <w:r w:rsidRPr="008523A0">
        <w:rPr>
          <w:rFonts w:ascii="Times New Roman" w:eastAsia="Times New Roman" w:hAnsi="Times New Roman" w:cs="Times New Roman"/>
          <w:sz w:val="24"/>
          <w:szCs w:val="24"/>
          <w:lang w:val="ru-RU"/>
        </w:rPr>
        <w:t>,</w:t>
      </w:r>
      <w:r w:rsidR="009F2D8D">
        <w:rPr>
          <w:rFonts w:ascii="Times New Roman" w:eastAsia="Times New Roman" w:hAnsi="Times New Roman" w:cs="Times New Roman"/>
          <w:sz w:val="24"/>
          <w:szCs w:val="24"/>
          <w:lang w:val="ru-RU"/>
        </w:rPr>
        <w:t>2</w:t>
      </w:r>
      <w:r w:rsidRPr="008523A0">
        <w:rPr>
          <w:rFonts w:ascii="Times New Roman" w:eastAsia="Times New Roman" w:hAnsi="Times New Roman" w:cs="Times New Roman"/>
          <w:sz w:val="24"/>
          <w:szCs w:val="24"/>
          <w:lang w:val="ru-RU"/>
        </w:rPr>
        <w:t xml:space="preserve"> = </w:t>
      </w:r>
      <w:r w:rsidRPr="008523A0">
        <w:rPr>
          <w:rFonts w:ascii="Times New Roman" w:eastAsia="Times New Roman" w:hAnsi="Times New Roman" w:cs="Times New Roman"/>
          <w:b/>
          <w:bCs/>
          <w:sz w:val="24"/>
          <w:szCs w:val="24"/>
          <w:lang w:val="ru-RU"/>
        </w:rPr>
        <w:t>206</w:t>
      </w:r>
      <w:r w:rsidRPr="008A1F6F">
        <w:rPr>
          <w:rFonts w:ascii="Times New Roman" w:eastAsia="Times New Roman" w:hAnsi="Times New Roman" w:cs="Times New Roman"/>
          <w:b/>
          <w:bCs/>
          <w:sz w:val="24"/>
          <w:szCs w:val="24"/>
        </w:rPr>
        <w:t> </w:t>
      </w:r>
      <w:r w:rsidRPr="008523A0">
        <w:rPr>
          <w:rFonts w:ascii="Times New Roman" w:eastAsia="Times New Roman" w:hAnsi="Times New Roman" w:cs="Times New Roman"/>
          <w:b/>
          <w:bCs/>
          <w:sz w:val="24"/>
          <w:szCs w:val="24"/>
          <w:lang w:val="ru-RU"/>
        </w:rPr>
        <w:t>4</w:t>
      </w:r>
      <w:r w:rsidR="009F2D8D">
        <w:rPr>
          <w:rFonts w:ascii="Times New Roman" w:eastAsia="Times New Roman" w:hAnsi="Times New Roman" w:cs="Times New Roman"/>
          <w:b/>
          <w:bCs/>
          <w:sz w:val="24"/>
          <w:szCs w:val="24"/>
          <w:lang w:val="ru-RU"/>
        </w:rPr>
        <w:t>94</w:t>
      </w:r>
      <w:r w:rsidRPr="008523A0">
        <w:rPr>
          <w:rFonts w:ascii="Times New Roman" w:eastAsia="Times New Roman" w:hAnsi="Times New Roman" w:cs="Times New Roman"/>
          <w:b/>
          <w:bCs/>
          <w:sz w:val="24"/>
          <w:szCs w:val="24"/>
          <w:lang w:val="ru-RU"/>
        </w:rPr>
        <w:t>,</w:t>
      </w:r>
      <w:r w:rsidR="009F2D8D">
        <w:rPr>
          <w:rFonts w:ascii="Times New Roman" w:eastAsia="Times New Roman" w:hAnsi="Times New Roman" w:cs="Times New Roman"/>
          <w:b/>
          <w:bCs/>
          <w:sz w:val="24"/>
          <w:szCs w:val="24"/>
          <w:lang w:val="ru-RU"/>
        </w:rPr>
        <w:t>7</w:t>
      </w:r>
      <w:r w:rsidRPr="008523A0">
        <w:rPr>
          <w:rFonts w:ascii="Times New Roman" w:eastAsia="Times New Roman" w:hAnsi="Times New Roman" w:cs="Times New Roman"/>
          <w:b/>
          <w:bCs/>
          <w:sz w:val="24"/>
          <w:szCs w:val="24"/>
          <w:lang w:val="ru-RU"/>
        </w:rPr>
        <w:t xml:space="preserve"> хил. лв.</w:t>
      </w:r>
      <w:r w:rsidRPr="008523A0">
        <w:rPr>
          <w:rFonts w:ascii="Times New Roman" w:eastAsia="Times New Roman" w:hAnsi="Times New Roman" w:cs="Times New Roman"/>
          <w:sz w:val="24"/>
          <w:szCs w:val="24"/>
          <w:lang w:val="ru-RU"/>
        </w:rPr>
        <w:t xml:space="preserve"> </w:t>
      </w:r>
      <w:r w:rsidRPr="00201156">
        <w:rPr>
          <w:rFonts w:ascii="Times New Roman" w:eastAsia="Times New Roman" w:hAnsi="Times New Roman" w:cs="Times New Roman"/>
          <w:sz w:val="24"/>
          <w:szCs w:val="24"/>
          <w:lang w:val="ru-RU"/>
        </w:rPr>
        <w:t>(≈206,5</w:t>
      </w:r>
      <w:r w:rsidRPr="008A1F6F">
        <w:rPr>
          <w:rFonts w:ascii="Times New Roman" w:eastAsia="Times New Roman" w:hAnsi="Times New Roman" w:cs="Times New Roman"/>
          <w:sz w:val="24"/>
          <w:szCs w:val="24"/>
        </w:rPr>
        <w:t> </w:t>
      </w:r>
      <w:r>
        <w:rPr>
          <w:rFonts w:ascii="Times New Roman" w:eastAsia="Times New Roman" w:hAnsi="Times New Roman" w:cs="Times New Roman"/>
          <w:sz w:val="24"/>
          <w:szCs w:val="24"/>
          <w:lang w:val="ru-RU"/>
        </w:rPr>
        <w:t>млн. лв.);</w:t>
      </w:r>
    </w:p>
    <w:p w14:paraId="2A11F4C7" w14:textId="77777777" w:rsidR="00CB0A97" w:rsidRPr="00201156" w:rsidRDefault="00CB0A97" w:rsidP="00CB0A97">
      <w:pPr>
        <w:spacing w:after="0" w:line="240" w:lineRule="auto"/>
        <w:ind w:firstLine="567"/>
        <w:jc w:val="both"/>
        <w:rPr>
          <w:rFonts w:ascii="Times New Roman" w:eastAsia="Times New Roman" w:hAnsi="Times New Roman" w:cs="Times New Roman"/>
          <w:sz w:val="24"/>
          <w:szCs w:val="24"/>
          <w:lang w:val="ru-RU"/>
        </w:rPr>
      </w:pPr>
      <w:r w:rsidRPr="00A00153">
        <w:rPr>
          <w:rFonts w:ascii="Times New Roman" w:eastAsia="Times New Roman" w:hAnsi="Times New Roman" w:cs="Times New Roman"/>
          <w:b/>
          <w:i/>
          <w:sz w:val="24"/>
          <w:szCs w:val="24"/>
          <w:lang w:val="ru-RU"/>
        </w:rPr>
        <w:t>- н</w:t>
      </w:r>
      <w:r w:rsidRPr="00A00153">
        <w:rPr>
          <w:rFonts w:ascii="Times New Roman" w:eastAsia="Times New Roman" w:hAnsi="Times New Roman" w:cs="Times New Roman"/>
          <w:b/>
          <w:i/>
          <w:color w:val="000000" w:themeColor="text1"/>
          <w:sz w:val="24"/>
          <w:szCs w:val="24"/>
          <w:lang w:val="ru-RU"/>
        </w:rPr>
        <w:t>астояща стойност на разходите</w:t>
      </w:r>
      <w:r w:rsidRPr="00201156">
        <w:rPr>
          <w:rFonts w:ascii="Times New Roman" w:eastAsia="Times New Roman" w:hAnsi="Times New Roman" w:cs="Times New Roman"/>
          <w:color w:val="000000" w:themeColor="text1"/>
          <w:sz w:val="24"/>
          <w:szCs w:val="24"/>
          <w:lang w:val="ru-RU"/>
        </w:rPr>
        <w:t xml:space="preserve"> = 5 700 + 5 192,3 + 4 992,6 + 4 800,6 + 4 615,9 = 25 301,4 хил. лв. (≈25,3 млн. лв.)</w:t>
      </w:r>
      <w:r>
        <w:rPr>
          <w:rFonts w:ascii="Times New Roman" w:eastAsia="Times New Roman" w:hAnsi="Times New Roman" w:cs="Times New Roman"/>
          <w:color w:val="000000" w:themeColor="text1"/>
          <w:sz w:val="24"/>
          <w:szCs w:val="24"/>
          <w:lang w:val="ru-RU"/>
        </w:rPr>
        <w:t>.</w:t>
      </w:r>
    </w:p>
    <w:p w14:paraId="0DE8493E" w14:textId="43836FC7" w:rsidR="00CB0A97" w:rsidRDefault="00CB0A97" w:rsidP="00CB0A97">
      <w:pPr>
        <w:spacing w:after="0" w:line="240" w:lineRule="auto"/>
        <w:ind w:firstLine="567"/>
        <w:jc w:val="both"/>
        <w:rPr>
          <w:rFonts w:ascii="Times New Roman" w:eastAsia="Times New Roman" w:hAnsi="Times New Roman" w:cs="Times New Roman"/>
          <w:sz w:val="24"/>
          <w:szCs w:val="24"/>
          <w:lang w:val="ru-RU"/>
        </w:rPr>
      </w:pPr>
      <w:r w:rsidRPr="008A1F6F">
        <w:rPr>
          <w:rFonts w:ascii="Times New Roman" w:eastAsia="Times New Roman" w:hAnsi="Times New Roman" w:cs="Times New Roman"/>
          <w:sz w:val="24"/>
          <w:szCs w:val="24"/>
        </w:rPr>
        <w:t>NPV</w:t>
      </w:r>
      <w:r w:rsidRPr="00293EC2">
        <w:rPr>
          <w:rFonts w:ascii="Times New Roman" w:eastAsia="Times New Roman" w:hAnsi="Times New Roman" w:cs="Times New Roman"/>
          <w:sz w:val="24"/>
          <w:szCs w:val="24"/>
          <w:lang w:val="ru-RU"/>
        </w:rPr>
        <w:t xml:space="preserve"> = 206 4</w:t>
      </w:r>
      <w:r w:rsidR="009F2D8D">
        <w:rPr>
          <w:rFonts w:ascii="Times New Roman" w:eastAsia="Times New Roman" w:hAnsi="Times New Roman" w:cs="Times New Roman"/>
          <w:sz w:val="24"/>
          <w:szCs w:val="24"/>
          <w:lang w:val="ru-RU"/>
        </w:rPr>
        <w:t>94</w:t>
      </w:r>
      <w:r w:rsidRPr="00293EC2">
        <w:rPr>
          <w:rFonts w:ascii="Times New Roman" w:eastAsia="Times New Roman" w:hAnsi="Times New Roman" w:cs="Times New Roman"/>
          <w:sz w:val="24"/>
          <w:szCs w:val="24"/>
          <w:lang w:val="ru-RU"/>
        </w:rPr>
        <w:t>,</w:t>
      </w:r>
      <w:r w:rsidR="009F2D8D">
        <w:rPr>
          <w:rFonts w:ascii="Times New Roman" w:eastAsia="Times New Roman" w:hAnsi="Times New Roman" w:cs="Times New Roman"/>
          <w:sz w:val="24"/>
          <w:szCs w:val="24"/>
          <w:lang w:val="ru-RU"/>
        </w:rPr>
        <w:t>7</w:t>
      </w:r>
      <w:r w:rsidRPr="00293EC2">
        <w:rPr>
          <w:rFonts w:ascii="Times New Roman" w:eastAsia="Times New Roman" w:hAnsi="Times New Roman" w:cs="Times New Roman"/>
          <w:sz w:val="24"/>
          <w:szCs w:val="24"/>
          <w:lang w:val="ru-RU"/>
        </w:rPr>
        <w:t xml:space="preserve"> – 25 301,4 = 181 1</w:t>
      </w:r>
      <w:r w:rsidR="009F2D8D">
        <w:rPr>
          <w:rFonts w:ascii="Times New Roman" w:eastAsia="Times New Roman" w:hAnsi="Times New Roman" w:cs="Times New Roman"/>
          <w:sz w:val="24"/>
          <w:szCs w:val="24"/>
          <w:lang w:val="ru-RU"/>
        </w:rPr>
        <w:t>93</w:t>
      </w:r>
      <w:r w:rsidRPr="00293EC2">
        <w:rPr>
          <w:rFonts w:ascii="Times New Roman" w:eastAsia="Times New Roman" w:hAnsi="Times New Roman" w:cs="Times New Roman"/>
          <w:sz w:val="24"/>
          <w:szCs w:val="24"/>
          <w:lang w:val="ru-RU"/>
        </w:rPr>
        <w:t>,</w:t>
      </w:r>
      <w:r w:rsidR="009F2D8D">
        <w:rPr>
          <w:rFonts w:ascii="Times New Roman" w:eastAsia="Times New Roman" w:hAnsi="Times New Roman" w:cs="Times New Roman"/>
          <w:sz w:val="24"/>
          <w:szCs w:val="24"/>
          <w:lang w:val="ru-RU"/>
        </w:rPr>
        <w:t>3</w:t>
      </w:r>
      <w:r w:rsidRPr="00293EC2">
        <w:rPr>
          <w:rFonts w:ascii="Times New Roman" w:eastAsia="Times New Roman" w:hAnsi="Times New Roman" w:cs="Times New Roman"/>
          <w:sz w:val="24"/>
          <w:szCs w:val="24"/>
          <w:lang w:val="ru-RU"/>
        </w:rPr>
        <w:t xml:space="preserve"> хил. лв. (≈181,2 млн. лв. нетна полза). </w:t>
      </w:r>
      <w:r>
        <w:rPr>
          <w:rFonts w:ascii="Times New Roman" w:eastAsia="Times New Roman" w:hAnsi="Times New Roman" w:cs="Times New Roman"/>
          <w:sz w:val="24"/>
          <w:szCs w:val="24"/>
          <w:lang w:val="ru-RU"/>
        </w:rPr>
        <w:t>Резултатът е</w:t>
      </w:r>
      <w:r w:rsidRPr="008523A0">
        <w:rPr>
          <w:rFonts w:ascii="Times New Roman" w:eastAsia="Times New Roman" w:hAnsi="Times New Roman" w:cs="Times New Roman"/>
          <w:sz w:val="24"/>
          <w:szCs w:val="24"/>
          <w:lang w:val="ru-RU"/>
        </w:rPr>
        <w:t xml:space="preserve">, че </w:t>
      </w:r>
      <w:r w:rsidRPr="00201156">
        <w:rPr>
          <w:rFonts w:ascii="Times New Roman" w:eastAsia="Times New Roman" w:hAnsi="Times New Roman" w:cs="Times New Roman"/>
          <w:bCs/>
          <w:sz w:val="24"/>
          <w:szCs w:val="24"/>
          <w:lang w:val="ru-RU"/>
        </w:rPr>
        <w:t>дисконтираните ползи превишават дисконтираните разходи над 8 пъти</w:t>
      </w:r>
      <w:r w:rsidRPr="00201156">
        <w:rPr>
          <w:rFonts w:ascii="Times New Roman" w:eastAsia="Times New Roman" w:hAnsi="Times New Roman" w:cs="Times New Roman"/>
          <w:sz w:val="24"/>
          <w:szCs w:val="24"/>
          <w:lang w:val="ru-RU"/>
        </w:rPr>
        <w:t>, което означава, че за 1 лев разход обществото получава над 8 лева полза</w:t>
      </w:r>
      <w:r>
        <w:rPr>
          <w:rFonts w:ascii="Times New Roman" w:eastAsia="Times New Roman" w:hAnsi="Times New Roman" w:cs="Times New Roman"/>
          <w:sz w:val="24"/>
          <w:szCs w:val="24"/>
          <w:lang w:val="ru-RU"/>
        </w:rPr>
        <w:t>.</w:t>
      </w:r>
    </w:p>
    <w:p w14:paraId="17870F32" w14:textId="77777777" w:rsidR="00E2571A" w:rsidRPr="00201156" w:rsidRDefault="00E2571A" w:rsidP="00CB0A97">
      <w:pPr>
        <w:spacing w:after="0" w:line="240" w:lineRule="auto"/>
        <w:ind w:firstLine="567"/>
        <w:jc w:val="both"/>
        <w:rPr>
          <w:rFonts w:ascii="Times New Roman" w:eastAsia="Times New Roman" w:hAnsi="Times New Roman" w:cs="Times New Roman"/>
          <w:sz w:val="24"/>
          <w:szCs w:val="24"/>
          <w:lang w:val="ru-RU"/>
        </w:rPr>
      </w:pPr>
    </w:p>
    <w:p w14:paraId="234E85EC" w14:textId="3E9A9E74" w:rsidR="00CB0A97" w:rsidRPr="008523A0" w:rsidRDefault="00CB0A97" w:rsidP="00E2571A">
      <w:pPr>
        <w:spacing w:after="0" w:line="240" w:lineRule="auto"/>
        <w:ind w:firstLine="567"/>
        <w:jc w:val="both"/>
        <w:rPr>
          <w:rFonts w:ascii="Times New Roman" w:eastAsia="Times New Roman" w:hAnsi="Times New Roman" w:cs="Times New Roman"/>
          <w:b/>
          <w:sz w:val="24"/>
          <w:szCs w:val="24"/>
          <w:lang w:val="ru-RU"/>
        </w:rPr>
      </w:pPr>
      <w:r w:rsidRPr="008523A0">
        <w:rPr>
          <w:rFonts w:ascii="Times New Roman" w:eastAsia="Times New Roman" w:hAnsi="Times New Roman" w:cs="Times New Roman"/>
          <w:b/>
          <w:sz w:val="24"/>
          <w:szCs w:val="24"/>
          <w:lang w:val="ru-RU"/>
        </w:rPr>
        <w:t>Таблица</w:t>
      </w:r>
      <w:r w:rsidR="00D2171D">
        <w:rPr>
          <w:rFonts w:ascii="Times New Roman" w:eastAsia="Times New Roman" w:hAnsi="Times New Roman" w:cs="Times New Roman"/>
          <w:b/>
          <w:sz w:val="24"/>
          <w:szCs w:val="24"/>
          <w:lang w:val="ru-RU"/>
        </w:rPr>
        <w:t xml:space="preserve"> </w:t>
      </w:r>
      <w:r w:rsidR="00D2171D" w:rsidRPr="00D2171D">
        <w:rPr>
          <w:rFonts w:ascii="Times New Roman" w:eastAsia="Times New Roman" w:hAnsi="Times New Roman" w:cs="Times New Roman"/>
          <w:b/>
          <w:sz w:val="24"/>
          <w:szCs w:val="24"/>
        </w:rPr>
        <w:t>№</w:t>
      </w:r>
      <w:r w:rsidRPr="008523A0">
        <w:rPr>
          <w:rFonts w:ascii="Times New Roman" w:eastAsia="Times New Roman" w:hAnsi="Times New Roman" w:cs="Times New Roman"/>
          <w:b/>
          <w:sz w:val="24"/>
          <w:szCs w:val="24"/>
          <w:lang w:val="ru-RU"/>
        </w:rPr>
        <w:t xml:space="preserve"> </w:t>
      </w:r>
      <w:r w:rsidR="009F44BC">
        <w:rPr>
          <w:rFonts w:ascii="Times New Roman" w:eastAsia="Times New Roman" w:hAnsi="Times New Roman" w:cs="Times New Roman"/>
          <w:b/>
          <w:sz w:val="24"/>
          <w:szCs w:val="24"/>
        </w:rPr>
        <w:t>1</w:t>
      </w:r>
      <w:r w:rsidR="008C0E40">
        <w:rPr>
          <w:rFonts w:ascii="Times New Roman" w:eastAsia="Times New Roman" w:hAnsi="Times New Roman" w:cs="Times New Roman"/>
          <w:b/>
          <w:sz w:val="24"/>
          <w:szCs w:val="24"/>
        </w:rPr>
        <w:t>6</w:t>
      </w:r>
      <w:r w:rsidRPr="008523A0">
        <w:rPr>
          <w:rFonts w:ascii="Times New Roman" w:eastAsia="Times New Roman" w:hAnsi="Times New Roman" w:cs="Times New Roman"/>
          <w:b/>
          <w:sz w:val="24"/>
          <w:szCs w:val="24"/>
          <w:lang w:val="ru-RU"/>
        </w:rPr>
        <w:t xml:space="preserve">. Анализ „разходи–ползи“ на </w:t>
      </w:r>
      <w:r w:rsidRPr="008523A0">
        <w:rPr>
          <w:rFonts w:ascii="Times New Roman" w:eastAsia="Times New Roman" w:hAnsi="Times New Roman" w:cs="Times New Roman"/>
          <w:b/>
          <w:bCs/>
          <w:sz w:val="24"/>
          <w:szCs w:val="24"/>
          <w:lang w:val="ru-RU"/>
        </w:rPr>
        <w:t xml:space="preserve">Вариант 3 </w:t>
      </w:r>
      <w:r w:rsidRPr="008523A0">
        <w:rPr>
          <w:rFonts w:ascii="Times New Roman" w:eastAsia="Times New Roman" w:hAnsi="Times New Roman" w:cs="Times New Roman"/>
          <w:b/>
          <w:sz w:val="24"/>
          <w:szCs w:val="24"/>
          <w:lang w:val="ru-RU"/>
        </w:rPr>
        <w:t>(хил. лв.)</w:t>
      </w:r>
      <w:r w:rsidR="00364174">
        <w:rPr>
          <w:rStyle w:val="FootnoteReference"/>
          <w:rFonts w:ascii="Times New Roman" w:eastAsia="Times New Roman" w:hAnsi="Times New Roman" w:cs="Times New Roman"/>
          <w:b/>
          <w:sz w:val="24"/>
          <w:szCs w:val="24"/>
          <w:lang w:val="ru-RU"/>
        </w:rPr>
        <w:footnoteReference w:id="63"/>
      </w: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494"/>
        <w:gridCol w:w="1176"/>
        <w:gridCol w:w="1808"/>
        <w:gridCol w:w="1056"/>
        <w:gridCol w:w="1056"/>
        <w:gridCol w:w="1056"/>
      </w:tblGrid>
      <w:tr w:rsidR="00CB0A97" w:rsidRPr="001B176B" w14:paraId="1060936F" w14:textId="77777777" w:rsidTr="00E2571A">
        <w:tc>
          <w:tcPr>
            <w:tcW w:w="458" w:type="dxa"/>
            <w:shd w:val="clear" w:color="auto" w:fill="BDD6EE" w:themeFill="accent1" w:themeFillTint="66"/>
            <w:vAlign w:val="center"/>
          </w:tcPr>
          <w:p w14:paraId="167483A2" w14:textId="77777777" w:rsidR="00CB0A97" w:rsidRPr="001B176B" w:rsidRDefault="00CB0A97" w:rsidP="00CB0A97">
            <w:pPr>
              <w:jc w:val="both"/>
              <w:rPr>
                <w:rFonts w:ascii="Times New Roman" w:eastAsia="Times New Roman" w:hAnsi="Times New Roman" w:cs="Times New Roman"/>
                <w:b/>
                <w:bCs/>
                <w:sz w:val="20"/>
                <w:szCs w:val="20"/>
              </w:rPr>
            </w:pPr>
            <w:r w:rsidRPr="001B176B">
              <w:rPr>
                <w:rFonts w:ascii="Times New Roman" w:eastAsia="Times New Roman" w:hAnsi="Times New Roman" w:cs="Times New Roman"/>
                <w:b/>
                <w:bCs/>
                <w:sz w:val="20"/>
                <w:szCs w:val="20"/>
              </w:rPr>
              <w:t>№</w:t>
            </w:r>
          </w:p>
        </w:tc>
        <w:tc>
          <w:tcPr>
            <w:tcW w:w="2494" w:type="dxa"/>
            <w:shd w:val="clear" w:color="auto" w:fill="BDD6EE" w:themeFill="accent1" w:themeFillTint="66"/>
            <w:vAlign w:val="center"/>
          </w:tcPr>
          <w:p w14:paraId="0EEA899D" w14:textId="77777777" w:rsidR="00CB0A97" w:rsidRPr="001B176B" w:rsidRDefault="00CB0A97" w:rsidP="00CB0A97">
            <w:pPr>
              <w:jc w:val="both"/>
              <w:rPr>
                <w:rFonts w:ascii="Times New Roman" w:eastAsia="Times New Roman" w:hAnsi="Times New Roman" w:cs="Times New Roman"/>
                <w:b/>
                <w:bCs/>
                <w:sz w:val="20"/>
                <w:szCs w:val="20"/>
              </w:rPr>
            </w:pPr>
            <w:r w:rsidRPr="001B176B">
              <w:rPr>
                <w:rFonts w:ascii="Times New Roman" w:eastAsia="Times New Roman" w:hAnsi="Times New Roman" w:cs="Times New Roman"/>
                <w:b/>
                <w:bCs/>
                <w:sz w:val="20"/>
                <w:szCs w:val="20"/>
              </w:rPr>
              <w:t>Променлива</w:t>
            </w:r>
          </w:p>
        </w:tc>
        <w:tc>
          <w:tcPr>
            <w:tcW w:w="1176" w:type="dxa"/>
            <w:shd w:val="clear" w:color="auto" w:fill="BDD6EE" w:themeFill="accent1" w:themeFillTint="66"/>
            <w:vAlign w:val="center"/>
          </w:tcPr>
          <w:p w14:paraId="56AE0282" w14:textId="77777777" w:rsidR="00CB0A97" w:rsidRPr="001B176B" w:rsidRDefault="00CB0A97" w:rsidP="00CB0A97">
            <w:pPr>
              <w:jc w:val="both"/>
              <w:rPr>
                <w:rFonts w:ascii="Times New Roman" w:eastAsia="Times New Roman" w:hAnsi="Times New Roman" w:cs="Times New Roman"/>
                <w:b/>
                <w:bCs/>
                <w:sz w:val="20"/>
                <w:szCs w:val="20"/>
              </w:rPr>
            </w:pPr>
            <w:r w:rsidRPr="001B176B">
              <w:rPr>
                <w:rFonts w:ascii="Times New Roman" w:eastAsia="Times New Roman" w:hAnsi="Times New Roman" w:cs="Times New Roman"/>
                <w:b/>
                <w:bCs/>
                <w:sz w:val="20"/>
                <w:szCs w:val="20"/>
              </w:rPr>
              <w:t>2025</w:t>
            </w:r>
          </w:p>
        </w:tc>
        <w:tc>
          <w:tcPr>
            <w:tcW w:w="1808" w:type="dxa"/>
            <w:shd w:val="clear" w:color="auto" w:fill="BDD6EE" w:themeFill="accent1" w:themeFillTint="66"/>
            <w:vAlign w:val="center"/>
          </w:tcPr>
          <w:p w14:paraId="6CA31116" w14:textId="77777777" w:rsidR="00CB0A97" w:rsidRPr="001B176B" w:rsidRDefault="00CB0A97" w:rsidP="00CB0A97">
            <w:pPr>
              <w:jc w:val="both"/>
              <w:rPr>
                <w:rFonts w:ascii="Times New Roman" w:eastAsia="Times New Roman" w:hAnsi="Times New Roman" w:cs="Times New Roman"/>
                <w:b/>
                <w:bCs/>
                <w:sz w:val="20"/>
                <w:szCs w:val="20"/>
              </w:rPr>
            </w:pPr>
            <w:r w:rsidRPr="001B176B">
              <w:rPr>
                <w:rFonts w:ascii="Times New Roman" w:eastAsia="Times New Roman" w:hAnsi="Times New Roman" w:cs="Times New Roman"/>
                <w:b/>
                <w:bCs/>
                <w:sz w:val="20"/>
                <w:szCs w:val="20"/>
              </w:rPr>
              <w:t>2026</w:t>
            </w:r>
          </w:p>
        </w:tc>
        <w:tc>
          <w:tcPr>
            <w:tcW w:w="1056" w:type="dxa"/>
            <w:shd w:val="clear" w:color="auto" w:fill="BDD6EE" w:themeFill="accent1" w:themeFillTint="66"/>
            <w:vAlign w:val="center"/>
          </w:tcPr>
          <w:p w14:paraId="46D36D5B" w14:textId="77777777" w:rsidR="00CB0A97" w:rsidRPr="001B176B" w:rsidRDefault="00CB0A97" w:rsidP="00CB0A97">
            <w:pPr>
              <w:jc w:val="both"/>
              <w:rPr>
                <w:rFonts w:ascii="Times New Roman" w:eastAsia="Times New Roman" w:hAnsi="Times New Roman" w:cs="Times New Roman"/>
                <w:b/>
                <w:bCs/>
                <w:sz w:val="20"/>
                <w:szCs w:val="20"/>
              </w:rPr>
            </w:pPr>
            <w:r w:rsidRPr="001B176B">
              <w:rPr>
                <w:rFonts w:ascii="Times New Roman" w:eastAsia="Times New Roman" w:hAnsi="Times New Roman" w:cs="Times New Roman"/>
                <w:b/>
                <w:bCs/>
                <w:sz w:val="20"/>
                <w:szCs w:val="20"/>
              </w:rPr>
              <w:t>2027</w:t>
            </w:r>
          </w:p>
        </w:tc>
        <w:tc>
          <w:tcPr>
            <w:tcW w:w="1056" w:type="dxa"/>
            <w:shd w:val="clear" w:color="auto" w:fill="BDD6EE" w:themeFill="accent1" w:themeFillTint="66"/>
            <w:vAlign w:val="center"/>
          </w:tcPr>
          <w:p w14:paraId="38171958" w14:textId="77777777" w:rsidR="00CB0A97" w:rsidRPr="001B176B" w:rsidRDefault="00CB0A97" w:rsidP="00CB0A97">
            <w:pPr>
              <w:jc w:val="both"/>
              <w:rPr>
                <w:rFonts w:ascii="Times New Roman" w:eastAsia="Times New Roman" w:hAnsi="Times New Roman" w:cs="Times New Roman"/>
                <w:b/>
                <w:bCs/>
                <w:sz w:val="20"/>
                <w:szCs w:val="20"/>
              </w:rPr>
            </w:pPr>
            <w:r w:rsidRPr="001B176B">
              <w:rPr>
                <w:rFonts w:ascii="Times New Roman" w:eastAsia="Times New Roman" w:hAnsi="Times New Roman" w:cs="Times New Roman"/>
                <w:b/>
                <w:bCs/>
                <w:sz w:val="20"/>
                <w:szCs w:val="20"/>
              </w:rPr>
              <w:t>2028</w:t>
            </w:r>
          </w:p>
        </w:tc>
        <w:tc>
          <w:tcPr>
            <w:tcW w:w="1056" w:type="dxa"/>
            <w:shd w:val="clear" w:color="auto" w:fill="BDD6EE" w:themeFill="accent1" w:themeFillTint="66"/>
            <w:vAlign w:val="center"/>
          </w:tcPr>
          <w:p w14:paraId="69342446" w14:textId="77777777" w:rsidR="00CB0A97" w:rsidRPr="001B176B" w:rsidRDefault="00CB0A97" w:rsidP="00CB0A97">
            <w:pPr>
              <w:jc w:val="both"/>
              <w:rPr>
                <w:rFonts w:ascii="Times New Roman" w:eastAsia="Times New Roman" w:hAnsi="Times New Roman" w:cs="Times New Roman"/>
                <w:b/>
                <w:bCs/>
                <w:sz w:val="20"/>
                <w:szCs w:val="20"/>
              </w:rPr>
            </w:pPr>
            <w:r w:rsidRPr="001B176B">
              <w:rPr>
                <w:rFonts w:ascii="Times New Roman" w:eastAsia="Times New Roman" w:hAnsi="Times New Roman" w:cs="Times New Roman"/>
                <w:b/>
                <w:bCs/>
                <w:sz w:val="20"/>
                <w:szCs w:val="20"/>
              </w:rPr>
              <w:t>2029</w:t>
            </w:r>
          </w:p>
        </w:tc>
      </w:tr>
      <w:tr w:rsidR="00CB0A97" w:rsidRPr="001B176B" w14:paraId="3DAE9675" w14:textId="77777777" w:rsidTr="00E2571A">
        <w:tc>
          <w:tcPr>
            <w:tcW w:w="458" w:type="dxa"/>
            <w:shd w:val="clear" w:color="auto" w:fill="BDD6EE" w:themeFill="accent1" w:themeFillTint="66"/>
            <w:vAlign w:val="center"/>
          </w:tcPr>
          <w:p w14:paraId="6404C26B" w14:textId="77777777" w:rsidR="00CB0A97" w:rsidRPr="001B176B" w:rsidRDefault="00CB0A97" w:rsidP="00CB0A97">
            <w:pPr>
              <w:jc w:val="both"/>
              <w:rPr>
                <w:rFonts w:ascii="Times New Roman" w:eastAsia="Times New Roman" w:hAnsi="Times New Roman" w:cs="Times New Roman"/>
                <w:sz w:val="20"/>
                <w:szCs w:val="20"/>
              </w:rPr>
            </w:pPr>
            <w:r w:rsidRPr="001B176B">
              <w:rPr>
                <w:rFonts w:ascii="Times New Roman" w:eastAsia="Times New Roman" w:hAnsi="Times New Roman" w:cs="Times New Roman"/>
                <w:sz w:val="20"/>
                <w:szCs w:val="20"/>
              </w:rPr>
              <w:t>1.</w:t>
            </w:r>
          </w:p>
        </w:tc>
        <w:tc>
          <w:tcPr>
            <w:tcW w:w="2494" w:type="dxa"/>
            <w:shd w:val="clear" w:color="auto" w:fill="BDD6EE" w:themeFill="accent1" w:themeFillTint="66"/>
            <w:vAlign w:val="center"/>
          </w:tcPr>
          <w:p w14:paraId="25A36C72" w14:textId="77777777" w:rsidR="00CB0A97" w:rsidRPr="001B176B" w:rsidRDefault="00CB0A97" w:rsidP="00CB0A97">
            <w:pPr>
              <w:jc w:val="both"/>
              <w:rPr>
                <w:rFonts w:ascii="Times New Roman" w:eastAsia="Times New Roman" w:hAnsi="Times New Roman" w:cs="Times New Roman"/>
                <w:sz w:val="20"/>
                <w:szCs w:val="20"/>
                <w:lang w:val="ru-RU"/>
              </w:rPr>
            </w:pPr>
            <w:r w:rsidRPr="001B176B">
              <w:rPr>
                <w:rFonts w:ascii="Times New Roman" w:eastAsia="Times New Roman" w:hAnsi="Times New Roman" w:cs="Times New Roman"/>
                <w:b/>
                <w:bCs/>
                <w:sz w:val="20"/>
                <w:szCs w:val="20"/>
                <w:lang w:val="ru-RU"/>
              </w:rPr>
              <w:t>Съвкупни регулаторни разходи</w:t>
            </w:r>
            <w:r w:rsidRPr="001B176B">
              <w:rPr>
                <w:rFonts w:ascii="Times New Roman" w:eastAsia="Times New Roman" w:hAnsi="Times New Roman" w:cs="Times New Roman"/>
                <w:sz w:val="20"/>
                <w:szCs w:val="20"/>
                <w:lang w:val="ru-RU"/>
              </w:rPr>
              <w:t xml:space="preserve"> </w:t>
            </w:r>
            <w:r w:rsidRPr="006D13D2">
              <w:rPr>
                <w:rFonts w:ascii="Times New Roman" w:eastAsia="Times New Roman" w:hAnsi="Times New Roman" w:cs="Times New Roman"/>
                <w:iCs/>
                <w:sz w:val="20"/>
                <w:szCs w:val="20"/>
                <w:lang w:val="ru-RU"/>
              </w:rPr>
              <w:t>(държавни + частни разходи за прилагане, вкл. неефективност)</w:t>
            </w:r>
          </w:p>
        </w:tc>
        <w:tc>
          <w:tcPr>
            <w:tcW w:w="1176" w:type="dxa"/>
            <w:shd w:val="clear" w:color="auto" w:fill="E7E6E6" w:themeFill="background2"/>
          </w:tcPr>
          <w:p w14:paraId="098428A2" w14:textId="77777777" w:rsidR="00CB0A97" w:rsidRPr="001B176B" w:rsidRDefault="00CB0A97" w:rsidP="00CB0A97">
            <w:pPr>
              <w:jc w:val="both"/>
              <w:rPr>
                <w:rFonts w:ascii="Times New Roman" w:eastAsia="Times New Roman" w:hAnsi="Times New Roman" w:cs="Times New Roman"/>
                <w:color w:val="FF0000"/>
                <w:sz w:val="20"/>
                <w:szCs w:val="20"/>
              </w:rPr>
            </w:pPr>
            <w:r w:rsidRPr="00201156">
              <w:rPr>
                <w:rFonts w:ascii="Times New Roman" w:hAnsi="Times New Roman" w:cs="Times New Roman"/>
                <w:sz w:val="20"/>
                <w:szCs w:val="20"/>
              </w:rPr>
              <w:t>5 700</w:t>
            </w:r>
          </w:p>
        </w:tc>
        <w:tc>
          <w:tcPr>
            <w:tcW w:w="1808" w:type="dxa"/>
            <w:shd w:val="clear" w:color="auto" w:fill="E7E6E6" w:themeFill="background2"/>
          </w:tcPr>
          <w:p w14:paraId="2E1792D0" w14:textId="77777777" w:rsidR="00CB0A97" w:rsidRPr="001B176B" w:rsidRDefault="00CB0A97" w:rsidP="00CB0A97">
            <w:pPr>
              <w:jc w:val="both"/>
              <w:rPr>
                <w:rFonts w:ascii="Times New Roman" w:eastAsia="Times New Roman" w:hAnsi="Times New Roman" w:cs="Times New Roman"/>
                <w:sz w:val="20"/>
                <w:szCs w:val="20"/>
              </w:rPr>
            </w:pPr>
            <w:r w:rsidRPr="00201156">
              <w:rPr>
                <w:rFonts w:ascii="Times New Roman" w:hAnsi="Times New Roman" w:cs="Times New Roman"/>
                <w:sz w:val="20"/>
                <w:szCs w:val="20"/>
              </w:rPr>
              <w:t>5 400</w:t>
            </w:r>
          </w:p>
        </w:tc>
        <w:tc>
          <w:tcPr>
            <w:tcW w:w="1056" w:type="dxa"/>
            <w:shd w:val="clear" w:color="auto" w:fill="E7E6E6" w:themeFill="background2"/>
          </w:tcPr>
          <w:p w14:paraId="596805BC" w14:textId="77777777" w:rsidR="00CB0A97" w:rsidRPr="001B176B" w:rsidRDefault="00CB0A97" w:rsidP="00CB0A97">
            <w:pPr>
              <w:jc w:val="both"/>
              <w:rPr>
                <w:rFonts w:ascii="Times New Roman" w:eastAsia="Times New Roman" w:hAnsi="Times New Roman" w:cs="Times New Roman"/>
                <w:sz w:val="20"/>
                <w:szCs w:val="20"/>
              </w:rPr>
            </w:pPr>
            <w:r w:rsidRPr="00201156">
              <w:rPr>
                <w:rFonts w:ascii="Times New Roman" w:hAnsi="Times New Roman" w:cs="Times New Roman"/>
                <w:sz w:val="20"/>
                <w:szCs w:val="20"/>
              </w:rPr>
              <w:t>5 400</w:t>
            </w:r>
          </w:p>
        </w:tc>
        <w:tc>
          <w:tcPr>
            <w:tcW w:w="1056" w:type="dxa"/>
            <w:shd w:val="clear" w:color="auto" w:fill="E7E6E6" w:themeFill="background2"/>
          </w:tcPr>
          <w:p w14:paraId="06B0E4C7" w14:textId="77777777" w:rsidR="00CB0A97" w:rsidRPr="001B176B" w:rsidRDefault="00CB0A97" w:rsidP="00CB0A97">
            <w:pPr>
              <w:jc w:val="both"/>
              <w:rPr>
                <w:rFonts w:ascii="Times New Roman" w:eastAsia="Times New Roman" w:hAnsi="Times New Roman" w:cs="Times New Roman"/>
                <w:sz w:val="20"/>
                <w:szCs w:val="20"/>
              </w:rPr>
            </w:pPr>
            <w:r w:rsidRPr="00201156">
              <w:rPr>
                <w:rFonts w:ascii="Times New Roman" w:hAnsi="Times New Roman" w:cs="Times New Roman"/>
                <w:sz w:val="20"/>
                <w:szCs w:val="20"/>
              </w:rPr>
              <w:t>5 400</w:t>
            </w:r>
          </w:p>
        </w:tc>
        <w:tc>
          <w:tcPr>
            <w:tcW w:w="1056" w:type="dxa"/>
            <w:shd w:val="clear" w:color="auto" w:fill="E7E6E6" w:themeFill="background2"/>
          </w:tcPr>
          <w:p w14:paraId="4B4553D9" w14:textId="77777777" w:rsidR="00CB0A97" w:rsidRPr="001B176B" w:rsidRDefault="00CB0A97" w:rsidP="00CB0A97">
            <w:pPr>
              <w:jc w:val="both"/>
              <w:rPr>
                <w:rFonts w:ascii="Times New Roman" w:eastAsia="Times New Roman" w:hAnsi="Times New Roman" w:cs="Times New Roman"/>
                <w:sz w:val="20"/>
                <w:szCs w:val="20"/>
              </w:rPr>
            </w:pPr>
            <w:r w:rsidRPr="00201156">
              <w:rPr>
                <w:rFonts w:ascii="Times New Roman" w:hAnsi="Times New Roman" w:cs="Times New Roman"/>
                <w:sz w:val="20"/>
                <w:szCs w:val="20"/>
              </w:rPr>
              <w:t>5 400</w:t>
            </w:r>
          </w:p>
        </w:tc>
      </w:tr>
      <w:tr w:rsidR="00CB0A97" w:rsidRPr="001B176B" w14:paraId="1E852786" w14:textId="77777777" w:rsidTr="00E2571A">
        <w:tc>
          <w:tcPr>
            <w:tcW w:w="458" w:type="dxa"/>
            <w:shd w:val="clear" w:color="auto" w:fill="BDD6EE" w:themeFill="accent1" w:themeFillTint="66"/>
            <w:vAlign w:val="center"/>
          </w:tcPr>
          <w:p w14:paraId="6DCECC2F" w14:textId="77777777" w:rsidR="00CB0A97" w:rsidRPr="001B176B" w:rsidRDefault="00CB0A97" w:rsidP="00CB0A97">
            <w:pPr>
              <w:jc w:val="both"/>
              <w:rPr>
                <w:rFonts w:ascii="Times New Roman" w:eastAsia="Times New Roman" w:hAnsi="Times New Roman" w:cs="Times New Roman"/>
                <w:sz w:val="20"/>
                <w:szCs w:val="20"/>
              </w:rPr>
            </w:pPr>
            <w:r w:rsidRPr="001B176B">
              <w:rPr>
                <w:rFonts w:ascii="Times New Roman" w:eastAsia="Times New Roman" w:hAnsi="Times New Roman" w:cs="Times New Roman"/>
                <w:sz w:val="20"/>
                <w:szCs w:val="20"/>
              </w:rPr>
              <w:t>2.</w:t>
            </w:r>
          </w:p>
        </w:tc>
        <w:tc>
          <w:tcPr>
            <w:tcW w:w="2494" w:type="dxa"/>
            <w:shd w:val="clear" w:color="auto" w:fill="BDD6EE" w:themeFill="accent1" w:themeFillTint="66"/>
            <w:vAlign w:val="center"/>
          </w:tcPr>
          <w:p w14:paraId="317C246E" w14:textId="77777777" w:rsidR="00CB0A97" w:rsidRPr="001B176B" w:rsidRDefault="00CB0A97" w:rsidP="00CB0A97">
            <w:pPr>
              <w:jc w:val="both"/>
              <w:rPr>
                <w:rFonts w:ascii="Times New Roman" w:eastAsia="Times New Roman" w:hAnsi="Times New Roman" w:cs="Times New Roman"/>
                <w:sz w:val="20"/>
                <w:szCs w:val="20"/>
                <w:lang w:val="ru-RU"/>
              </w:rPr>
            </w:pPr>
            <w:r w:rsidRPr="001B176B">
              <w:rPr>
                <w:rFonts w:ascii="Times New Roman" w:eastAsia="Times New Roman" w:hAnsi="Times New Roman" w:cs="Times New Roman"/>
                <w:b/>
                <w:bCs/>
                <w:sz w:val="20"/>
                <w:szCs w:val="20"/>
                <w:lang w:val="ru-RU"/>
              </w:rPr>
              <w:t xml:space="preserve">Настояща стойност на </w:t>
            </w:r>
            <w:r w:rsidRPr="001B176B">
              <w:rPr>
                <w:rFonts w:ascii="Times New Roman" w:eastAsia="Times New Roman" w:hAnsi="Times New Roman" w:cs="Times New Roman"/>
                <w:b/>
                <w:bCs/>
                <w:sz w:val="20"/>
                <w:szCs w:val="20"/>
              </w:rPr>
              <w:t xml:space="preserve">регулаторните </w:t>
            </w:r>
            <w:r w:rsidRPr="001B176B">
              <w:rPr>
                <w:rFonts w:ascii="Times New Roman" w:eastAsia="Times New Roman" w:hAnsi="Times New Roman" w:cs="Times New Roman"/>
                <w:b/>
                <w:bCs/>
                <w:sz w:val="20"/>
                <w:szCs w:val="20"/>
                <w:lang w:val="ru-RU"/>
              </w:rPr>
              <w:t>разходи</w:t>
            </w:r>
            <w:r w:rsidRPr="001B176B">
              <w:rPr>
                <w:rFonts w:ascii="Times New Roman" w:eastAsia="Times New Roman" w:hAnsi="Times New Roman" w:cs="Times New Roman"/>
                <w:sz w:val="20"/>
                <w:szCs w:val="20"/>
                <w:lang w:val="ru-RU"/>
              </w:rPr>
              <w:t xml:space="preserve"> (сконтиран р.1, </w:t>
            </w:r>
            <w:r w:rsidRPr="001B176B">
              <w:rPr>
                <w:rFonts w:ascii="Times New Roman" w:eastAsia="Times New Roman" w:hAnsi="Times New Roman" w:cs="Times New Roman"/>
                <w:sz w:val="20"/>
                <w:szCs w:val="20"/>
              </w:rPr>
              <w:t>r</w:t>
            </w:r>
            <w:r w:rsidRPr="001B176B">
              <w:rPr>
                <w:rFonts w:ascii="Times New Roman" w:eastAsia="Times New Roman" w:hAnsi="Times New Roman" w:cs="Times New Roman"/>
                <w:sz w:val="20"/>
                <w:szCs w:val="20"/>
                <w:lang w:val="ru-RU"/>
              </w:rPr>
              <w:t>=4%)</w:t>
            </w:r>
          </w:p>
        </w:tc>
        <w:tc>
          <w:tcPr>
            <w:tcW w:w="1176" w:type="dxa"/>
            <w:shd w:val="clear" w:color="auto" w:fill="E7E6E6" w:themeFill="background2"/>
          </w:tcPr>
          <w:p w14:paraId="028E6575" w14:textId="77777777" w:rsidR="00CB0A97" w:rsidRPr="001B176B" w:rsidRDefault="00CB0A97" w:rsidP="00CB0A97">
            <w:pPr>
              <w:jc w:val="both"/>
              <w:rPr>
                <w:rFonts w:ascii="Times New Roman" w:eastAsia="Times New Roman" w:hAnsi="Times New Roman" w:cs="Times New Roman"/>
                <w:sz w:val="20"/>
                <w:szCs w:val="20"/>
              </w:rPr>
            </w:pPr>
            <w:r w:rsidRPr="00201156">
              <w:rPr>
                <w:rFonts w:ascii="Times New Roman" w:hAnsi="Times New Roman" w:cs="Times New Roman"/>
                <w:sz w:val="20"/>
                <w:szCs w:val="20"/>
              </w:rPr>
              <w:t>5 700</w:t>
            </w:r>
          </w:p>
        </w:tc>
        <w:tc>
          <w:tcPr>
            <w:tcW w:w="1808" w:type="dxa"/>
            <w:shd w:val="clear" w:color="auto" w:fill="E7E6E6" w:themeFill="background2"/>
          </w:tcPr>
          <w:p w14:paraId="2BD6F6A6" w14:textId="77777777" w:rsidR="00CB0A97" w:rsidRPr="001B176B" w:rsidRDefault="00CB0A97" w:rsidP="00CB0A97">
            <w:pPr>
              <w:jc w:val="both"/>
              <w:rPr>
                <w:rFonts w:ascii="Times New Roman" w:eastAsia="Times New Roman" w:hAnsi="Times New Roman" w:cs="Times New Roman"/>
                <w:sz w:val="20"/>
                <w:szCs w:val="20"/>
              </w:rPr>
            </w:pPr>
            <w:r w:rsidRPr="00201156">
              <w:rPr>
                <w:rFonts w:ascii="Times New Roman" w:hAnsi="Times New Roman" w:cs="Times New Roman"/>
                <w:sz w:val="20"/>
                <w:szCs w:val="20"/>
              </w:rPr>
              <w:t>5 192,3</w:t>
            </w:r>
          </w:p>
        </w:tc>
        <w:tc>
          <w:tcPr>
            <w:tcW w:w="1056" w:type="dxa"/>
            <w:shd w:val="clear" w:color="auto" w:fill="E7E6E6" w:themeFill="background2"/>
          </w:tcPr>
          <w:p w14:paraId="70C0FA2C" w14:textId="77777777" w:rsidR="00CB0A97" w:rsidRPr="001B176B" w:rsidRDefault="00CB0A97" w:rsidP="00CB0A97">
            <w:pPr>
              <w:jc w:val="both"/>
              <w:rPr>
                <w:rFonts w:ascii="Times New Roman" w:eastAsia="Times New Roman" w:hAnsi="Times New Roman" w:cs="Times New Roman"/>
                <w:sz w:val="20"/>
                <w:szCs w:val="20"/>
              </w:rPr>
            </w:pPr>
            <w:r w:rsidRPr="00201156">
              <w:rPr>
                <w:rFonts w:ascii="Times New Roman" w:hAnsi="Times New Roman" w:cs="Times New Roman"/>
                <w:sz w:val="20"/>
                <w:szCs w:val="20"/>
              </w:rPr>
              <w:t>4 992,6</w:t>
            </w:r>
          </w:p>
        </w:tc>
        <w:tc>
          <w:tcPr>
            <w:tcW w:w="1056" w:type="dxa"/>
            <w:shd w:val="clear" w:color="auto" w:fill="E7E6E6" w:themeFill="background2"/>
          </w:tcPr>
          <w:p w14:paraId="364A5FD9" w14:textId="77777777" w:rsidR="00CB0A97" w:rsidRPr="001B176B" w:rsidRDefault="00CB0A97" w:rsidP="00CB0A97">
            <w:pPr>
              <w:jc w:val="both"/>
              <w:rPr>
                <w:rFonts w:ascii="Times New Roman" w:eastAsia="Times New Roman" w:hAnsi="Times New Roman" w:cs="Times New Roman"/>
                <w:sz w:val="20"/>
                <w:szCs w:val="20"/>
              </w:rPr>
            </w:pPr>
            <w:r w:rsidRPr="00201156">
              <w:rPr>
                <w:rFonts w:ascii="Times New Roman" w:hAnsi="Times New Roman" w:cs="Times New Roman"/>
                <w:sz w:val="20"/>
                <w:szCs w:val="20"/>
              </w:rPr>
              <w:t>4 800,6</w:t>
            </w:r>
          </w:p>
        </w:tc>
        <w:tc>
          <w:tcPr>
            <w:tcW w:w="1056" w:type="dxa"/>
            <w:shd w:val="clear" w:color="auto" w:fill="E7E6E6" w:themeFill="background2"/>
          </w:tcPr>
          <w:p w14:paraId="5E4BD708" w14:textId="77777777" w:rsidR="00CB0A97" w:rsidRPr="001B176B" w:rsidRDefault="00CB0A97" w:rsidP="00CB0A97">
            <w:pPr>
              <w:jc w:val="both"/>
              <w:rPr>
                <w:rFonts w:ascii="Times New Roman" w:eastAsia="Times New Roman" w:hAnsi="Times New Roman" w:cs="Times New Roman"/>
                <w:sz w:val="20"/>
                <w:szCs w:val="20"/>
              </w:rPr>
            </w:pPr>
            <w:r w:rsidRPr="00201156">
              <w:rPr>
                <w:rFonts w:ascii="Times New Roman" w:hAnsi="Times New Roman" w:cs="Times New Roman"/>
                <w:sz w:val="20"/>
                <w:szCs w:val="20"/>
              </w:rPr>
              <w:t>4 615,9</w:t>
            </w:r>
          </w:p>
        </w:tc>
      </w:tr>
      <w:tr w:rsidR="00CB0A97" w:rsidRPr="001B176B" w14:paraId="336EBFF7" w14:textId="77777777" w:rsidTr="00E2571A">
        <w:tc>
          <w:tcPr>
            <w:tcW w:w="458" w:type="dxa"/>
            <w:shd w:val="clear" w:color="auto" w:fill="BDD6EE" w:themeFill="accent1" w:themeFillTint="66"/>
            <w:vAlign w:val="center"/>
          </w:tcPr>
          <w:p w14:paraId="7549FC72" w14:textId="77777777" w:rsidR="00CB0A97" w:rsidRPr="001B176B" w:rsidRDefault="00CB0A97" w:rsidP="00CB0A97">
            <w:pPr>
              <w:jc w:val="both"/>
              <w:rPr>
                <w:rFonts w:ascii="Times New Roman" w:eastAsia="Times New Roman" w:hAnsi="Times New Roman" w:cs="Times New Roman"/>
                <w:sz w:val="20"/>
                <w:szCs w:val="20"/>
              </w:rPr>
            </w:pPr>
            <w:r w:rsidRPr="001B176B">
              <w:rPr>
                <w:rFonts w:ascii="Times New Roman" w:eastAsia="Times New Roman" w:hAnsi="Times New Roman" w:cs="Times New Roman"/>
                <w:sz w:val="20"/>
                <w:szCs w:val="20"/>
              </w:rPr>
              <w:t>3.</w:t>
            </w:r>
          </w:p>
        </w:tc>
        <w:tc>
          <w:tcPr>
            <w:tcW w:w="2494" w:type="dxa"/>
            <w:shd w:val="clear" w:color="auto" w:fill="BDD6EE" w:themeFill="accent1" w:themeFillTint="66"/>
            <w:vAlign w:val="center"/>
          </w:tcPr>
          <w:p w14:paraId="3266872B" w14:textId="28BCBBD6" w:rsidR="00CB0A97" w:rsidRPr="001B176B" w:rsidRDefault="00CB0A97" w:rsidP="00CB0A97">
            <w:pPr>
              <w:jc w:val="both"/>
              <w:rPr>
                <w:rFonts w:ascii="Times New Roman" w:eastAsia="Times New Roman" w:hAnsi="Times New Roman" w:cs="Times New Roman"/>
                <w:sz w:val="20"/>
                <w:szCs w:val="20"/>
                <w:lang w:val="ru-RU"/>
              </w:rPr>
            </w:pPr>
            <w:r w:rsidRPr="001B176B">
              <w:rPr>
                <w:rFonts w:ascii="Times New Roman" w:eastAsia="Times New Roman" w:hAnsi="Times New Roman" w:cs="Times New Roman"/>
                <w:b/>
                <w:bCs/>
                <w:sz w:val="20"/>
                <w:szCs w:val="20"/>
              </w:rPr>
              <w:t>Регулаторни п</w:t>
            </w:r>
            <w:r w:rsidRPr="001B176B">
              <w:rPr>
                <w:rFonts w:ascii="Times New Roman" w:eastAsia="Times New Roman" w:hAnsi="Times New Roman" w:cs="Times New Roman"/>
                <w:b/>
                <w:bCs/>
                <w:sz w:val="20"/>
                <w:szCs w:val="20"/>
                <w:lang w:val="ru-RU"/>
              </w:rPr>
              <w:t>олзи</w:t>
            </w:r>
            <w:r w:rsidRPr="001B176B">
              <w:rPr>
                <w:rFonts w:ascii="Times New Roman" w:eastAsia="Times New Roman" w:hAnsi="Times New Roman" w:cs="Times New Roman"/>
                <w:sz w:val="20"/>
                <w:szCs w:val="20"/>
                <w:lang w:val="ru-RU"/>
              </w:rPr>
              <w:t xml:space="preserve"> </w:t>
            </w:r>
            <w:r w:rsidRPr="006D13D2">
              <w:rPr>
                <w:rFonts w:ascii="Times New Roman" w:eastAsia="Times New Roman" w:hAnsi="Times New Roman" w:cs="Times New Roman"/>
                <w:iCs/>
                <w:sz w:val="20"/>
                <w:szCs w:val="20"/>
                <w:lang w:val="ru-RU"/>
              </w:rPr>
              <w:t xml:space="preserve">(повишени приходи на </w:t>
            </w:r>
            <w:r w:rsidRPr="006D13D2">
              <w:rPr>
                <w:rFonts w:ascii="Times New Roman" w:eastAsia="Times New Roman" w:hAnsi="Times New Roman" w:cs="Times New Roman"/>
                <w:iCs/>
                <w:sz w:val="20"/>
                <w:szCs w:val="20"/>
                <w:lang w:val="ru-RU"/>
              </w:rPr>
              <w:lastRenderedPageBreak/>
              <w:t xml:space="preserve">фермери, спестени загуби от </w:t>
            </w:r>
            <w:r w:rsidR="00C13AC0" w:rsidRPr="006D13D2">
              <w:rPr>
                <w:rFonts w:ascii="Times New Roman" w:eastAsia="Times New Roman" w:hAnsi="Times New Roman" w:cs="Times New Roman"/>
                <w:iCs/>
                <w:sz w:val="20"/>
                <w:szCs w:val="20"/>
                <w:lang w:val="ru-RU"/>
              </w:rPr>
              <w:t>нелоялни търговски практики</w:t>
            </w:r>
            <w:r w:rsidRPr="006D13D2">
              <w:rPr>
                <w:rFonts w:ascii="Times New Roman" w:eastAsia="Times New Roman" w:hAnsi="Times New Roman" w:cs="Times New Roman"/>
                <w:iCs/>
                <w:sz w:val="20"/>
                <w:szCs w:val="20"/>
                <w:lang w:val="ru-RU"/>
              </w:rPr>
              <w:t>)</w:t>
            </w:r>
          </w:p>
        </w:tc>
        <w:tc>
          <w:tcPr>
            <w:tcW w:w="1176" w:type="dxa"/>
            <w:shd w:val="clear" w:color="auto" w:fill="E7E6E6" w:themeFill="background2"/>
          </w:tcPr>
          <w:p w14:paraId="225C49E0" w14:textId="77777777" w:rsidR="00CB0A97" w:rsidRPr="001B176B" w:rsidRDefault="00CB0A97" w:rsidP="00CB0A97">
            <w:pPr>
              <w:jc w:val="both"/>
              <w:rPr>
                <w:rFonts w:ascii="Times New Roman" w:eastAsia="Times New Roman" w:hAnsi="Times New Roman" w:cs="Times New Roman"/>
                <w:sz w:val="20"/>
                <w:szCs w:val="20"/>
              </w:rPr>
            </w:pPr>
            <w:r w:rsidRPr="00201156">
              <w:rPr>
                <w:rFonts w:ascii="Times New Roman" w:hAnsi="Times New Roman" w:cs="Times New Roman"/>
                <w:sz w:val="20"/>
                <w:szCs w:val="20"/>
              </w:rPr>
              <w:lastRenderedPageBreak/>
              <w:t>25 000</w:t>
            </w:r>
          </w:p>
        </w:tc>
        <w:tc>
          <w:tcPr>
            <w:tcW w:w="1808" w:type="dxa"/>
            <w:shd w:val="clear" w:color="auto" w:fill="E7E6E6" w:themeFill="background2"/>
          </w:tcPr>
          <w:p w14:paraId="498AD444" w14:textId="77777777" w:rsidR="00CB0A97" w:rsidRPr="001B176B" w:rsidRDefault="00CB0A97" w:rsidP="00CB0A97">
            <w:pPr>
              <w:jc w:val="both"/>
              <w:rPr>
                <w:rFonts w:ascii="Times New Roman" w:eastAsia="Times New Roman" w:hAnsi="Times New Roman" w:cs="Times New Roman"/>
                <w:sz w:val="20"/>
                <w:szCs w:val="20"/>
              </w:rPr>
            </w:pPr>
            <w:r w:rsidRPr="00201156">
              <w:rPr>
                <w:rFonts w:ascii="Times New Roman" w:hAnsi="Times New Roman" w:cs="Times New Roman"/>
                <w:sz w:val="20"/>
                <w:szCs w:val="20"/>
              </w:rPr>
              <w:t>50 000</w:t>
            </w:r>
          </w:p>
        </w:tc>
        <w:tc>
          <w:tcPr>
            <w:tcW w:w="1056" w:type="dxa"/>
            <w:shd w:val="clear" w:color="auto" w:fill="E7E6E6" w:themeFill="background2"/>
          </w:tcPr>
          <w:p w14:paraId="6DFE0FE3" w14:textId="77777777" w:rsidR="00CB0A97" w:rsidRPr="001B176B" w:rsidRDefault="00CB0A97" w:rsidP="00CB0A97">
            <w:pPr>
              <w:jc w:val="both"/>
              <w:rPr>
                <w:rFonts w:ascii="Times New Roman" w:eastAsia="Times New Roman" w:hAnsi="Times New Roman" w:cs="Times New Roman"/>
                <w:sz w:val="20"/>
                <w:szCs w:val="20"/>
              </w:rPr>
            </w:pPr>
            <w:r w:rsidRPr="00201156">
              <w:rPr>
                <w:rFonts w:ascii="Times New Roman" w:hAnsi="Times New Roman" w:cs="Times New Roman"/>
                <w:sz w:val="20"/>
                <w:szCs w:val="20"/>
              </w:rPr>
              <w:t>50 000</w:t>
            </w:r>
          </w:p>
        </w:tc>
        <w:tc>
          <w:tcPr>
            <w:tcW w:w="1056" w:type="dxa"/>
            <w:shd w:val="clear" w:color="auto" w:fill="E7E6E6" w:themeFill="background2"/>
          </w:tcPr>
          <w:p w14:paraId="46B479D7" w14:textId="77777777" w:rsidR="00CB0A97" w:rsidRPr="001B176B" w:rsidRDefault="00CB0A97" w:rsidP="00CB0A97">
            <w:pPr>
              <w:jc w:val="both"/>
              <w:rPr>
                <w:rFonts w:ascii="Times New Roman" w:eastAsia="Times New Roman" w:hAnsi="Times New Roman" w:cs="Times New Roman"/>
                <w:sz w:val="20"/>
                <w:szCs w:val="20"/>
              </w:rPr>
            </w:pPr>
            <w:r w:rsidRPr="00201156">
              <w:rPr>
                <w:rFonts w:ascii="Times New Roman" w:hAnsi="Times New Roman" w:cs="Times New Roman"/>
                <w:sz w:val="20"/>
                <w:szCs w:val="20"/>
              </w:rPr>
              <w:t>50 000</w:t>
            </w:r>
          </w:p>
        </w:tc>
        <w:tc>
          <w:tcPr>
            <w:tcW w:w="1056" w:type="dxa"/>
            <w:shd w:val="clear" w:color="auto" w:fill="E7E6E6" w:themeFill="background2"/>
          </w:tcPr>
          <w:p w14:paraId="14B3090C" w14:textId="77777777" w:rsidR="00CB0A97" w:rsidRPr="001B176B" w:rsidRDefault="00CB0A97" w:rsidP="00CB0A97">
            <w:pPr>
              <w:jc w:val="both"/>
              <w:rPr>
                <w:rFonts w:ascii="Times New Roman" w:eastAsia="Times New Roman" w:hAnsi="Times New Roman" w:cs="Times New Roman"/>
                <w:sz w:val="20"/>
                <w:szCs w:val="20"/>
              </w:rPr>
            </w:pPr>
            <w:r w:rsidRPr="00201156">
              <w:rPr>
                <w:rFonts w:ascii="Times New Roman" w:hAnsi="Times New Roman" w:cs="Times New Roman"/>
                <w:sz w:val="20"/>
                <w:szCs w:val="20"/>
              </w:rPr>
              <w:t>50 000</w:t>
            </w:r>
          </w:p>
        </w:tc>
      </w:tr>
      <w:tr w:rsidR="00CB0A97" w:rsidRPr="001B176B" w14:paraId="6598C626" w14:textId="77777777" w:rsidTr="00E2571A">
        <w:tc>
          <w:tcPr>
            <w:tcW w:w="458" w:type="dxa"/>
            <w:shd w:val="clear" w:color="auto" w:fill="BDD6EE" w:themeFill="accent1" w:themeFillTint="66"/>
            <w:vAlign w:val="center"/>
          </w:tcPr>
          <w:p w14:paraId="3AC73FD2" w14:textId="77777777" w:rsidR="00CB0A97" w:rsidRPr="001B176B" w:rsidRDefault="00CB0A97" w:rsidP="00CB0A97">
            <w:pPr>
              <w:jc w:val="both"/>
              <w:rPr>
                <w:rFonts w:ascii="Times New Roman" w:eastAsia="Times New Roman" w:hAnsi="Times New Roman" w:cs="Times New Roman"/>
                <w:sz w:val="20"/>
                <w:szCs w:val="20"/>
              </w:rPr>
            </w:pPr>
            <w:r w:rsidRPr="001B176B">
              <w:rPr>
                <w:rFonts w:ascii="Times New Roman" w:eastAsia="Times New Roman" w:hAnsi="Times New Roman" w:cs="Times New Roman"/>
                <w:sz w:val="20"/>
                <w:szCs w:val="20"/>
              </w:rPr>
              <w:t>4.</w:t>
            </w:r>
          </w:p>
        </w:tc>
        <w:tc>
          <w:tcPr>
            <w:tcW w:w="2494" w:type="dxa"/>
            <w:shd w:val="clear" w:color="auto" w:fill="BDD6EE" w:themeFill="accent1" w:themeFillTint="66"/>
            <w:vAlign w:val="center"/>
          </w:tcPr>
          <w:p w14:paraId="08E83402" w14:textId="77777777" w:rsidR="00CB0A97" w:rsidRPr="001B176B" w:rsidRDefault="00CB0A97" w:rsidP="00CB0A97">
            <w:pPr>
              <w:jc w:val="both"/>
              <w:rPr>
                <w:rFonts w:ascii="Times New Roman" w:eastAsia="Times New Roman" w:hAnsi="Times New Roman" w:cs="Times New Roman"/>
                <w:sz w:val="20"/>
                <w:szCs w:val="20"/>
                <w:lang w:val="ru-RU"/>
              </w:rPr>
            </w:pPr>
            <w:r w:rsidRPr="001B176B">
              <w:rPr>
                <w:rFonts w:ascii="Times New Roman" w:eastAsia="Times New Roman" w:hAnsi="Times New Roman" w:cs="Times New Roman"/>
                <w:b/>
                <w:bCs/>
                <w:sz w:val="20"/>
                <w:szCs w:val="20"/>
                <w:lang w:val="ru-RU"/>
              </w:rPr>
              <w:t>Настояща стойност на ползите</w:t>
            </w:r>
            <w:r w:rsidRPr="001B176B">
              <w:rPr>
                <w:rFonts w:ascii="Times New Roman" w:eastAsia="Times New Roman" w:hAnsi="Times New Roman" w:cs="Times New Roman"/>
                <w:sz w:val="20"/>
                <w:szCs w:val="20"/>
                <w:lang w:val="ru-RU"/>
              </w:rPr>
              <w:t xml:space="preserve"> (сконтиран р.3, </w:t>
            </w:r>
            <w:r w:rsidRPr="001B176B">
              <w:rPr>
                <w:rFonts w:ascii="Times New Roman" w:eastAsia="Times New Roman" w:hAnsi="Times New Roman" w:cs="Times New Roman"/>
                <w:sz w:val="20"/>
                <w:szCs w:val="20"/>
              </w:rPr>
              <w:t>r</w:t>
            </w:r>
            <w:r w:rsidRPr="001B176B">
              <w:rPr>
                <w:rFonts w:ascii="Times New Roman" w:eastAsia="Times New Roman" w:hAnsi="Times New Roman" w:cs="Times New Roman"/>
                <w:sz w:val="20"/>
                <w:szCs w:val="20"/>
                <w:lang w:val="ru-RU"/>
              </w:rPr>
              <w:t>=4%)</w:t>
            </w:r>
          </w:p>
        </w:tc>
        <w:tc>
          <w:tcPr>
            <w:tcW w:w="1176" w:type="dxa"/>
            <w:shd w:val="clear" w:color="auto" w:fill="E7E6E6" w:themeFill="background2"/>
          </w:tcPr>
          <w:p w14:paraId="4F1FE699" w14:textId="77777777" w:rsidR="00CB0A97" w:rsidRPr="001B176B" w:rsidRDefault="00CB0A97" w:rsidP="00CB0A97">
            <w:pPr>
              <w:jc w:val="both"/>
              <w:rPr>
                <w:rFonts w:ascii="Times New Roman" w:eastAsia="Times New Roman" w:hAnsi="Times New Roman" w:cs="Times New Roman"/>
                <w:sz w:val="20"/>
                <w:szCs w:val="20"/>
              </w:rPr>
            </w:pPr>
            <w:r w:rsidRPr="00201156">
              <w:rPr>
                <w:rFonts w:ascii="Times New Roman" w:hAnsi="Times New Roman" w:cs="Times New Roman"/>
                <w:sz w:val="20"/>
                <w:szCs w:val="20"/>
              </w:rPr>
              <w:t>25 000</w:t>
            </w:r>
          </w:p>
        </w:tc>
        <w:tc>
          <w:tcPr>
            <w:tcW w:w="1808" w:type="dxa"/>
            <w:shd w:val="clear" w:color="auto" w:fill="E7E6E6" w:themeFill="background2"/>
          </w:tcPr>
          <w:p w14:paraId="15DE6C6D" w14:textId="77777777" w:rsidR="00CB0A97" w:rsidRPr="001B176B" w:rsidRDefault="00CB0A97" w:rsidP="00CB0A97">
            <w:pPr>
              <w:jc w:val="both"/>
              <w:rPr>
                <w:rFonts w:ascii="Times New Roman" w:eastAsia="Times New Roman" w:hAnsi="Times New Roman" w:cs="Times New Roman"/>
                <w:sz w:val="20"/>
                <w:szCs w:val="20"/>
              </w:rPr>
            </w:pPr>
            <w:r w:rsidRPr="00201156">
              <w:rPr>
                <w:rFonts w:ascii="Times New Roman" w:hAnsi="Times New Roman" w:cs="Times New Roman"/>
                <w:sz w:val="20"/>
                <w:szCs w:val="20"/>
              </w:rPr>
              <w:t>48 076,9</w:t>
            </w:r>
          </w:p>
        </w:tc>
        <w:tc>
          <w:tcPr>
            <w:tcW w:w="1056" w:type="dxa"/>
            <w:shd w:val="clear" w:color="auto" w:fill="E7E6E6" w:themeFill="background2"/>
          </w:tcPr>
          <w:p w14:paraId="10F25A35" w14:textId="77777777" w:rsidR="00CB0A97" w:rsidRPr="001B176B" w:rsidRDefault="00CB0A97" w:rsidP="00CB0A97">
            <w:pPr>
              <w:jc w:val="both"/>
              <w:rPr>
                <w:rFonts w:ascii="Times New Roman" w:eastAsia="Times New Roman" w:hAnsi="Times New Roman" w:cs="Times New Roman"/>
                <w:sz w:val="20"/>
                <w:szCs w:val="20"/>
              </w:rPr>
            </w:pPr>
            <w:r w:rsidRPr="00201156">
              <w:rPr>
                <w:rFonts w:ascii="Times New Roman" w:hAnsi="Times New Roman" w:cs="Times New Roman"/>
                <w:sz w:val="20"/>
                <w:szCs w:val="20"/>
              </w:rPr>
              <w:t>46 227,8</w:t>
            </w:r>
          </w:p>
        </w:tc>
        <w:tc>
          <w:tcPr>
            <w:tcW w:w="1056" w:type="dxa"/>
            <w:shd w:val="clear" w:color="auto" w:fill="E7E6E6" w:themeFill="background2"/>
          </w:tcPr>
          <w:p w14:paraId="3C7B571B" w14:textId="77777777" w:rsidR="00CB0A97" w:rsidRPr="001B176B" w:rsidRDefault="00CB0A97" w:rsidP="00CB0A97">
            <w:pPr>
              <w:jc w:val="both"/>
              <w:rPr>
                <w:rFonts w:ascii="Times New Roman" w:eastAsia="Times New Roman" w:hAnsi="Times New Roman" w:cs="Times New Roman"/>
                <w:sz w:val="20"/>
                <w:szCs w:val="20"/>
              </w:rPr>
            </w:pPr>
            <w:r w:rsidRPr="00201156">
              <w:rPr>
                <w:rFonts w:ascii="Times New Roman" w:hAnsi="Times New Roman" w:cs="Times New Roman"/>
                <w:sz w:val="20"/>
                <w:szCs w:val="20"/>
              </w:rPr>
              <w:t>44 449,8</w:t>
            </w:r>
          </w:p>
        </w:tc>
        <w:tc>
          <w:tcPr>
            <w:tcW w:w="1056" w:type="dxa"/>
            <w:shd w:val="clear" w:color="auto" w:fill="E7E6E6" w:themeFill="background2"/>
          </w:tcPr>
          <w:p w14:paraId="62C974F5" w14:textId="205048B1" w:rsidR="00CB0A97" w:rsidRPr="001B176B" w:rsidRDefault="00CB0A97" w:rsidP="006208E5">
            <w:pPr>
              <w:jc w:val="both"/>
              <w:rPr>
                <w:rFonts w:ascii="Times New Roman" w:eastAsia="Times New Roman" w:hAnsi="Times New Roman" w:cs="Times New Roman"/>
                <w:sz w:val="20"/>
                <w:szCs w:val="20"/>
              </w:rPr>
            </w:pPr>
            <w:r w:rsidRPr="00201156">
              <w:rPr>
                <w:rFonts w:ascii="Times New Roman" w:hAnsi="Times New Roman" w:cs="Times New Roman"/>
                <w:sz w:val="20"/>
                <w:szCs w:val="20"/>
              </w:rPr>
              <w:t>42 7</w:t>
            </w:r>
            <w:r w:rsidR="006208E5">
              <w:rPr>
                <w:rFonts w:ascii="Times New Roman" w:hAnsi="Times New Roman" w:cs="Times New Roman"/>
                <w:sz w:val="20"/>
                <w:szCs w:val="20"/>
              </w:rPr>
              <w:t>40,2</w:t>
            </w:r>
          </w:p>
        </w:tc>
      </w:tr>
      <w:tr w:rsidR="00CB0A97" w:rsidRPr="001B176B" w14:paraId="3536F2F0" w14:textId="77777777" w:rsidTr="00E2571A">
        <w:tc>
          <w:tcPr>
            <w:tcW w:w="458" w:type="dxa"/>
            <w:shd w:val="clear" w:color="auto" w:fill="BDD6EE" w:themeFill="accent1" w:themeFillTint="66"/>
            <w:vAlign w:val="center"/>
          </w:tcPr>
          <w:p w14:paraId="30F69644" w14:textId="77777777" w:rsidR="00CB0A97" w:rsidRPr="001B176B" w:rsidRDefault="00CB0A97" w:rsidP="00CB0A97">
            <w:pPr>
              <w:jc w:val="both"/>
              <w:rPr>
                <w:rFonts w:ascii="Times New Roman" w:eastAsia="Times New Roman" w:hAnsi="Times New Roman" w:cs="Times New Roman"/>
                <w:sz w:val="20"/>
                <w:szCs w:val="20"/>
              </w:rPr>
            </w:pPr>
            <w:r w:rsidRPr="001B176B">
              <w:rPr>
                <w:rFonts w:ascii="Times New Roman" w:eastAsia="Times New Roman" w:hAnsi="Times New Roman" w:cs="Times New Roman"/>
                <w:sz w:val="20"/>
                <w:szCs w:val="20"/>
              </w:rPr>
              <w:t>5.</w:t>
            </w:r>
          </w:p>
        </w:tc>
        <w:tc>
          <w:tcPr>
            <w:tcW w:w="2494" w:type="dxa"/>
            <w:shd w:val="clear" w:color="auto" w:fill="BDD6EE" w:themeFill="accent1" w:themeFillTint="66"/>
            <w:vAlign w:val="center"/>
          </w:tcPr>
          <w:p w14:paraId="7EEF8F35" w14:textId="77777777" w:rsidR="00CB0A97" w:rsidRPr="001B176B" w:rsidRDefault="00CB0A97" w:rsidP="00CB0A97">
            <w:pPr>
              <w:jc w:val="both"/>
              <w:rPr>
                <w:rFonts w:ascii="Times New Roman" w:eastAsia="Times New Roman" w:hAnsi="Times New Roman" w:cs="Times New Roman"/>
                <w:sz w:val="20"/>
                <w:szCs w:val="20"/>
              </w:rPr>
            </w:pPr>
            <w:r w:rsidRPr="001B176B">
              <w:rPr>
                <w:rFonts w:ascii="Times New Roman" w:eastAsia="Times New Roman" w:hAnsi="Times New Roman" w:cs="Times New Roman"/>
                <w:b/>
                <w:bCs/>
                <w:sz w:val="20"/>
                <w:szCs w:val="20"/>
              </w:rPr>
              <w:t>Нетна настояща стойност (NPV)</w:t>
            </w:r>
          </w:p>
        </w:tc>
        <w:tc>
          <w:tcPr>
            <w:tcW w:w="1176" w:type="dxa"/>
            <w:shd w:val="clear" w:color="auto" w:fill="E7E6E6" w:themeFill="background2"/>
            <w:vAlign w:val="center"/>
          </w:tcPr>
          <w:p w14:paraId="4755E2A8" w14:textId="7222B9BE" w:rsidR="00CB0A97" w:rsidRPr="001B176B" w:rsidRDefault="009F2D8D" w:rsidP="00CB0A97">
            <w:pPr>
              <w:jc w:val="both"/>
              <w:rPr>
                <w:rFonts w:ascii="Times New Roman" w:eastAsia="Times New Roman" w:hAnsi="Times New Roman" w:cs="Times New Roman"/>
                <w:sz w:val="20"/>
                <w:szCs w:val="20"/>
              </w:rPr>
            </w:pPr>
            <w:r w:rsidRPr="009F2D8D">
              <w:rPr>
                <w:rFonts w:ascii="Times New Roman" w:eastAsia="Times New Roman" w:hAnsi="Times New Roman" w:cs="Times New Roman"/>
                <w:sz w:val="20"/>
                <w:szCs w:val="20"/>
              </w:rPr>
              <w:t>181 193,3</w:t>
            </w:r>
          </w:p>
        </w:tc>
        <w:tc>
          <w:tcPr>
            <w:tcW w:w="1808" w:type="dxa"/>
            <w:shd w:val="clear" w:color="auto" w:fill="E7E6E6" w:themeFill="background2"/>
            <w:vAlign w:val="center"/>
          </w:tcPr>
          <w:p w14:paraId="44E5315B" w14:textId="77777777" w:rsidR="00CB0A97" w:rsidRPr="001B176B" w:rsidRDefault="00CB0A97" w:rsidP="00CB0A97">
            <w:pPr>
              <w:jc w:val="both"/>
              <w:rPr>
                <w:rFonts w:ascii="Times New Roman" w:eastAsia="Times New Roman" w:hAnsi="Times New Roman" w:cs="Times New Roman"/>
                <w:sz w:val="20"/>
                <w:szCs w:val="20"/>
              </w:rPr>
            </w:pPr>
            <w:r w:rsidRPr="001B176B">
              <w:rPr>
                <w:rFonts w:ascii="Times New Roman" w:eastAsia="Times New Roman" w:hAnsi="Times New Roman" w:cs="Times New Roman"/>
                <w:i/>
                <w:iCs/>
                <w:sz w:val="20"/>
                <w:szCs w:val="20"/>
              </w:rPr>
              <w:t>(положителна)</w:t>
            </w:r>
          </w:p>
        </w:tc>
        <w:tc>
          <w:tcPr>
            <w:tcW w:w="1056" w:type="dxa"/>
            <w:shd w:val="clear" w:color="auto" w:fill="E7E6E6" w:themeFill="background2"/>
            <w:vAlign w:val="center"/>
          </w:tcPr>
          <w:p w14:paraId="27A3403C" w14:textId="77777777" w:rsidR="00CB0A97" w:rsidRPr="001B176B" w:rsidRDefault="00CB0A97" w:rsidP="00CB0A97">
            <w:pPr>
              <w:jc w:val="both"/>
              <w:rPr>
                <w:rFonts w:ascii="Times New Roman" w:eastAsia="Times New Roman" w:hAnsi="Times New Roman" w:cs="Times New Roman"/>
                <w:sz w:val="20"/>
                <w:szCs w:val="20"/>
              </w:rPr>
            </w:pPr>
          </w:p>
        </w:tc>
        <w:tc>
          <w:tcPr>
            <w:tcW w:w="1056" w:type="dxa"/>
            <w:shd w:val="clear" w:color="auto" w:fill="E7E6E6" w:themeFill="background2"/>
            <w:vAlign w:val="center"/>
          </w:tcPr>
          <w:p w14:paraId="3CE3FEE9" w14:textId="77777777" w:rsidR="00CB0A97" w:rsidRPr="001B176B" w:rsidRDefault="00CB0A97" w:rsidP="00CB0A97">
            <w:pPr>
              <w:jc w:val="both"/>
              <w:rPr>
                <w:rFonts w:ascii="Times New Roman" w:eastAsia="Times New Roman" w:hAnsi="Times New Roman" w:cs="Times New Roman"/>
                <w:sz w:val="20"/>
                <w:szCs w:val="20"/>
              </w:rPr>
            </w:pPr>
          </w:p>
        </w:tc>
        <w:tc>
          <w:tcPr>
            <w:tcW w:w="1056" w:type="dxa"/>
            <w:shd w:val="clear" w:color="auto" w:fill="E7E6E6" w:themeFill="background2"/>
            <w:vAlign w:val="center"/>
          </w:tcPr>
          <w:p w14:paraId="11B70491" w14:textId="77777777" w:rsidR="00CB0A97" w:rsidRPr="001B176B" w:rsidRDefault="00CB0A97" w:rsidP="00CB0A97">
            <w:pPr>
              <w:jc w:val="both"/>
              <w:rPr>
                <w:rFonts w:ascii="Times New Roman" w:eastAsia="Times New Roman" w:hAnsi="Times New Roman" w:cs="Times New Roman"/>
                <w:sz w:val="20"/>
                <w:szCs w:val="20"/>
              </w:rPr>
            </w:pPr>
          </w:p>
        </w:tc>
      </w:tr>
    </w:tbl>
    <w:p w14:paraId="6A569DB0" w14:textId="77777777" w:rsidR="00364174" w:rsidRDefault="00364174" w:rsidP="00CB0A97">
      <w:pPr>
        <w:spacing w:after="0" w:line="240" w:lineRule="auto"/>
        <w:ind w:firstLine="567"/>
        <w:jc w:val="both"/>
        <w:rPr>
          <w:rFonts w:ascii="Times New Roman" w:eastAsia="Times New Roman" w:hAnsi="Times New Roman" w:cs="Times New Roman"/>
          <w:bCs/>
          <w:i/>
          <w:sz w:val="24"/>
          <w:szCs w:val="24"/>
          <w:lang w:val="ru-RU"/>
        </w:rPr>
      </w:pPr>
    </w:p>
    <w:p w14:paraId="1E989001" w14:textId="570DCE79" w:rsidR="00CB0A97" w:rsidRPr="00201156" w:rsidRDefault="00CB0A97" w:rsidP="00CB0A97">
      <w:pPr>
        <w:spacing w:after="0" w:line="240" w:lineRule="auto"/>
        <w:ind w:firstLine="567"/>
        <w:jc w:val="both"/>
        <w:rPr>
          <w:rFonts w:ascii="Times New Roman" w:eastAsia="Times New Roman" w:hAnsi="Times New Roman" w:cs="Times New Roman"/>
          <w:sz w:val="24"/>
          <w:szCs w:val="24"/>
          <w:lang w:val="ru-RU"/>
        </w:rPr>
      </w:pPr>
      <w:r w:rsidRPr="00A00153">
        <w:rPr>
          <w:rFonts w:ascii="Times New Roman" w:eastAsia="Times New Roman" w:hAnsi="Times New Roman" w:cs="Times New Roman"/>
          <w:b/>
          <w:bCs/>
          <w:i/>
          <w:sz w:val="24"/>
          <w:szCs w:val="24"/>
          <w:lang w:val="ru-RU"/>
        </w:rPr>
        <w:t>Изводи от анализа ползи-разходи на Вариант 3</w:t>
      </w:r>
      <w:r w:rsidRPr="00201156">
        <w:rPr>
          <w:rFonts w:ascii="Times New Roman" w:eastAsia="Times New Roman" w:hAnsi="Times New Roman" w:cs="Times New Roman"/>
          <w:bCs/>
          <w:i/>
          <w:sz w:val="24"/>
          <w:szCs w:val="24"/>
          <w:lang w:val="ru-RU"/>
        </w:rPr>
        <w:t>:</w:t>
      </w:r>
      <w:r w:rsidRPr="00201156">
        <w:rPr>
          <w:rFonts w:ascii="Times New Roman" w:eastAsia="Times New Roman" w:hAnsi="Times New Roman" w:cs="Times New Roman"/>
          <w:sz w:val="24"/>
          <w:szCs w:val="24"/>
          <w:lang w:val="ru-RU"/>
        </w:rPr>
        <w:t xml:space="preserve"> </w:t>
      </w:r>
      <w:r w:rsidRPr="00201156">
        <w:rPr>
          <w:rFonts w:ascii="Times New Roman" w:eastAsia="Times New Roman" w:hAnsi="Times New Roman" w:cs="Times New Roman"/>
          <w:bCs/>
          <w:sz w:val="24"/>
          <w:szCs w:val="24"/>
          <w:lang w:val="ru-RU"/>
        </w:rPr>
        <w:t>Нетната настояща стойност е силно положителна (≈</w:t>
      </w:r>
      <w:r w:rsidR="006A55EA">
        <w:rPr>
          <w:rFonts w:ascii="Times New Roman" w:eastAsia="Times New Roman" w:hAnsi="Times New Roman" w:cs="Times New Roman"/>
          <w:bCs/>
          <w:sz w:val="24"/>
          <w:szCs w:val="24"/>
          <w:lang w:val="ru-RU"/>
        </w:rPr>
        <w:t>206,5</w:t>
      </w:r>
      <w:r w:rsidRPr="00201156">
        <w:rPr>
          <w:rFonts w:ascii="Times New Roman" w:eastAsia="Times New Roman" w:hAnsi="Times New Roman" w:cs="Times New Roman"/>
          <w:bCs/>
          <w:sz w:val="24"/>
          <w:szCs w:val="24"/>
        </w:rPr>
        <w:t> </w:t>
      </w:r>
      <w:r w:rsidRPr="00201156">
        <w:rPr>
          <w:rFonts w:ascii="Times New Roman" w:eastAsia="Times New Roman" w:hAnsi="Times New Roman" w:cs="Times New Roman"/>
          <w:bCs/>
          <w:sz w:val="24"/>
          <w:szCs w:val="24"/>
          <w:lang w:val="ru-RU"/>
        </w:rPr>
        <w:t>млн. лв.)</w:t>
      </w:r>
      <w:r w:rsidRPr="00201156">
        <w:rPr>
          <w:rFonts w:ascii="Times New Roman" w:eastAsia="Times New Roman" w:hAnsi="Times New Roman" w:cs="Times New Roman"/>
          <w:sz w:val="24"/>
          <w:szCs w:val="24"/>
          <w:lang w:val="ru-RU"/>
        </w:rPr>
        <w:t xml:space="preserve">, което показва, че комплексната намеса би донесла значителен нетен обществен принос. </w:t>
      </w:r>
      <w:r w:rsidRPr="00201156">
        <w:rPr>
          <w:rFonts w:ascii="Times New Roman" w:eastAsia="Times New Roman" w:hAnsi="Times New Roman" w:cs="Times New Roman"/>
          <w:bCs/>
          <w:sz w:val="24"/>
          <w:szCs w:val="24"/>
          <w:lang w:val="ru-RU"/>
        </w:rPr>
        <w:t>Анюализираната стойност на съвкупните разходи (</w:t>
      </w:r>
      <w:r w:rsidRPr="00201156">
        <w:rPr>
          <w:rFonts w:ascii="Times New Roman" w:eastAsia="Times New Roman" w:hAnsi="Times New Roman" w:cs="Times New Roman"/>
          <w:bCs/>
          <w:sz w:val="24"/>
          <w:szCs w:val="24"/>
        </w:rPr>
        <w:t>AVC</w:t>
      </w:r>
      <w:r w:rsidRPr="00201156">
        <w:rPr>
          <w:rFonts w:ascii="Times New Roman" w:eastAsia="Times New Roman" w:hAnsi="Times New Roman" w:cs="Times New Roman"/>
          <w:bCs/>
          <w:sz w:val="24"/>
          <w:szCs w:val="24"/>
          <w:lang w:val="ru-RU"/>
        </w:rPr>
        <w:t>)</w:t>
      </w:r>
      <w:r w:rsidRPr="00201156">
        <w:rPr>
          <w:rFonts w:ascii="Times New Roman" w:eastAsia="Times New Roman" w:hAnsi="Times New Roman" w:cs="Times New Roman"/>
          <w:sz w:val="24"/>
          <w:szCs w:val="24"/>
          <w:lang w:val="ru-RU"/>
        </w:rPr>
        <w:t xml:space="preserve"> при 4% дисконт и 5-годишен хоризонт е около </w:t>
      </w:r>
      <w:r w:rsidRPr="00201156">
        <w:rPr>
          <w:rFonts w:ascii="Times New Roman" w:eastAsia="Times New Roman" w:hAnsi="Times New Roman" w:cs="Times New Roman"/>
          <w:sz w:val="24"/>
          <w:szCs w:val="24"/>
        </w:rPr>
        <w:t xml:space="preserve">5 683 </w:t>
      </w:r>
      <w:r w:rsidRPr="00201156">
        <w:rPr>
          <w:rFonts w:ascii="Times New Roman" w:eastAsia="Times New Roman" w:hAnsi="Times New Roman" w:cs="Times New Roman"/>
          <w:bCs/>
          <w:sz w:val="24"/>
          <w:szCs w:val="24"/>
          <w:lang w:val="ru-RU"/>
        </w:rPr>
        <w:t>хил. лв. годишно</w:t>
      </w:r>
      <w:r w:rsidRPr="00201156">
        <w:rPr>
          <w:rFonts w:ascii="Times New Roman" w:eastAsia="Times New Roman" w:hAnsi="Times New Roman" w:cs="Times New Roman"/>
          <w:sz w:val="24"/>
          <w:szCs w:val="24"/>
          <w:lang w:val="ru-RU"/>
        </w:rPr>
        <w:t xml:space="preserve">, а </w:t>
      </w:r>
      <w:r w:rsidRPr="00201156">
        <w:rPr>
          <w:rFonts w:ascii="Times New Roman" w:eastAsia="Times New Roman" w:hAnsi="Times New Roman" w:cs="Times New Roman"/>
          <w:bCs/>
          <w:sz w:val="24"/>
          <w:szCs w:val="24"/>
          <w:lang w:val="ru-RU"/>
        </w:rPr>
        <w:t>анюализираната стойност на ползите (</w:t>
      </w:r>
      <w:r w:rsidRPr="00201156">
        <w:rPr>
          <w:rFonts w:ascii="Times New Roman" w:eastAsia="Times New Roman" w:hAnsi="Times New Roman" w:cs="Times New Roman"/>
          <w:bCs/>
          <w:sz w:val="24"/>
          <w:szCs w:val="24"/>
        </w:rPr>
        <w:t>AVB</w:t>
      </w:r>
      <w:r w:rsidRPr="00201156">
        <w:rPr>
          <w:rFonts w:ascii="Times New Roman" w:eastAsia="Times New Roman" w:hAnsi="Times New Roman" w:cs="Times New Roman"/>
          <w:bCs/>
          <w:sz w:val="24"/>
          <w:szCs w:val="24"/>
          <w:lang w:val="ru-RU"/>
        </w:rPr>
        <w:t>)</w:t>
      </w:r>
      <w:r w:rsidRPr="00201156">
        <w:rPr>
          <w:rFonts w:ascii="Times New Roman" w:eastAsia="Times New Roman" w:hAnsi="Times New Roman" w:cs="Times New Roman"/>
          <w:sz w:val="24"/>
          <w:szCs w:val="24"/>
          <w:lang w:val="ru-RU"/>
        </w:rPr>
        <w:t xml:space="preserve"> – </w:t>
      </w:r>
      <w:r w:rsidR="006A55EA">
        <w:rPr>
          <w:rFonts w:ascii="Times New Roman" w:eastAsia="Times New Roman" w:hAnsi="Times New Roman" w:cs="Times New Roman"/>
          <w:sz w:val="24"/>
          <w:szCs w:val="24"/>
          <w:lang w:val="ru-RU"/>
        </w:rPr>
        <w:t>над</w:t>
      </w:r>
      <w:r w:rsidRPr="00201156">
        <w:rPr>
          <w:rFonts w:ascii="Times New Roman" w:eastAsia="Times New Roman" w:hAnsi="Times New Roman" w:cs="Times New Roman"/>
          <w:sz w:val="24"/>
          <w:szCs w:val="24"/>
          <w:lang w:val="ru-RU"/>
        </w:rPr>
        <w:t xml:space="preserve"> </w:t>
      </w:r>
      <w:r w:rsidRPr="00201156">
        <w:rPr>
          <w:rFonts w:ascii="Times New Roman" w:eastAsia="Times New Roman" w:hAnsi="Times New Roman" w:cs="Times New Roman"/>
          <w:bCs/>
          <w:sz w:val="24"/>
          <w:szCs w:val="24"/>
          <w:lang w:val="ru-RU"/>
        </w:rPr>
        <w:t>4</w:t>
      </w:r>
      <w:r w:rsidR="009F2D8D">
        <w:rPr>
          <w:rFonts w:ascii="Times New Roman" w:eastAsia="Times New Roman" w:hAnsi="Times New Roman" w:cs="Times New Roman"/>
          <w:bCs/>
          <w:sz w:val="24"/>
          <w:szCs w:val="24"/>
          <w:lang w:val="ru-RU"/>
        </w:rPr>
        <w:t>6</w:t>
      </w:r>
      <w:r w:rsidRPr="00201156">
        <w:rPr>
          <w:rFonts w:ascii="Times New Roman" w:eastAsia="Times New Roman" w:hAnsi="Times New Roman" w:cs="Times New Roman"/>
          <w:bCs/>
          <w:sz w:val="24"/>
          <w:szCs w:val="24"/>
          <w:lang w:val="ru-RU"/>
        </w:rPr>
        <w:t xml:space="preserve"> </w:t>
      </w:r>
      <w:r w:rsidR="006A55EA">
        <w:rPr>
          <w:rFonts w:ascii="Times New Roman" w:eastAsia="Times New Roman" w:hAnsi="Times New Roman" w:cs="Times New Roman"/>
          <w:bCs/>
          <w:sz w:val="24"/>
          <w:szCs w:val="24"/>
          <w:lang w:val="ru-RU"/>
        </w:rPr>
        <w:t>000</w:t>
      </w:r>
      <w:r w:rsidRPr="00201156">
        <w:rPr>
          <w:rFonts w:ascii="Times New Roman" w:eastAsia="Times New Roman" w:hAnsi="Times New Roman" w:cs="Times New Roman"/>
          <w:bCs/>
          <w:sz w:val="24"/>
          <w:szCs w:val="24"/>
          <w:lang w:val="ru-RU"/>
        </w:rPr>
        <w:t xml:space="preserve"> хил. лв. годишно</w:t>
      </w:r>
      <w:r w:rsidRPr="00201156">
        <w:rPr>
          <w:rFonts w:ascii="Times New Roman" w:eastAsia="Times New Roman" w:hAnsi="Times New Roman" w:cs="Times New Roman"/>
          <w:sz w:val="24"/>
          <w:szCs w:val="24"/>
          <w:lang w:val="ru-RU"/>
        </w:rPr>
        <w:t xml:space="preserve">. </w:t>
      </w:r>
    </w:p>
    <w:p w14:paraId="5DD94BC8" w14:textId="6B7EC3A7" w:rsidR="00CB0A97" w:rsidRPr="00201156" w:rsidRDefault="00CB0A97" w:rsidP="00CB0A97">
      <w:pPr>
        <w:spacing w:after="0" w:line="240" w:lineRule="auto"/>
        <w:ind w:firstLine="567"/>
        <w:jc w:val="both"/>
        <w:rPr>
          <w:rFonts w:ascii="Times New Roman" w:eastAsia="Times New Roman" w:hAnsi="Times New Roman" w:cs="Times New Roman"/>
          <w:sz w:val="24"/>
          <w:szCs w:val="24"/>
        </w:rPr>
      </w:pPr>
      <w:r w:rsidRPr="00201156">
        <w:rPr>
          <w:rFonts w:ascii="Times New Roman" w:eastAsia="Times New Roman" w:hAnsi="Times New Roman" w:cs="Times New Roman"/>
          <w:bCs/>
          <w:sz w:val="24"/>
          <w:szCs w:val="24"/>
          <w:lang w:val="ru-RU"/>
        </w:rPr>
        <w:t xml:space="preserve">Коефициентът на икономическа ефективност </w:t>
      </w:r>
      <w:r w:rsidRPr="00201156">
        <w:rPr>
          <w:rFonts w:ascii="Times New Roman" w:eastAsia="Times New Roman" w:hAnsi="Times New Roman" w:cs="Times New Roman"/>
          <w:bCs/>
          <w:sz w:val="24"/>
          <w:szCs w:val="24"/>
        </w:rPr>
        <w:t>AVB</w:t>
      </w:r>
      <w:r w:rsidRPr="00201156">
        <w:rPr>
          <w:rFonts w:ascii="Times New Roman" w:eastAsia="Times New Roman" w:hAnsi="Times New Roman" w:cs="Times New Roman"/>
          <w:bCs/>
          <w:sz w:val="24"/>
          <w:szCs w:val="24"/>
          <w:lang w:val="ru-RU"/>
        </w:rPr>
        <w:t>/</w:t>
      </w:r>
      <w:r w:rsidRPr="00201156">
        <w:rPr>
          <w:rFonts w:ascii="Times New Roman" w:eastAsia="Times New Roman" w:hAnsi="Times New Roman" w:cs="Times New Roman"/>
          <w:bCs/>
          <w:sz w:val="24"/>
          <w:szCs w:val="24"/>
        </w:rPr>
        <w:t>AVC</w:t>
      </w:r>
      <w:r w:rsidRPr="00201156">
        <w:rPr>
          <w:rFonts w:ascii="Times New Roman" w:eastAsia="Times New Roman" w:hAnsi="Times New Roman" w:cs="Times New Roman"/>
          <w:bCs/>
          <w:sz w:val="24"/>
          <w:szCs w:val="24"/>
          <w:lang w:val="ru-RU"/>
        </w:rPr>
        <w:t xml:space="preserve"> ≈ 8,2</w:t>
      </w:r>
      <w:r w:rsidRPr="00201156">
        <w:rPr>
          <w:rFonts w:ascii="Times New Roman" w:eastAsia="Times New Roman" w:hAnsi="Times New Roman" w:cs="Times New Roman"/>
          <w:sz w:val="24"/>
          <w:szCs w:val="24"/>
          <w:lang w:val="ru-RU"/>
        </w:rPr>
        <w:t xml:space="preserve">, т.е. </w:t>
      </w:r>
      <w:r>
        <w:rPr>
          <w:rFonts w:ascii="Times New Roman" w:eastAsia="Times New Roman" w:hAnsi="Times New Roman" w:cs="Times New Roman"/>
          <w:sz w:val="24"/>
          <w:szCs w:val="24"/>
          <w:lang w:val="ru-RU"/>
        </w:rPr>
        <w:t xml:space="preserve">при Вариант 3 </w:t>
      </w:r>
      <w:r w:rsidRPr="00201156">
        <w:rPr>
          <w:rFonts w:ascii="Times New Roman" w:eastAsia="Times New Roman" w:hAnsi="Times New Roman" w:cs="Times New Roman"/>
          <w:sz w:val="24"/>
          <w:szCs w:val="24"/>
          <w:lang w:val="ru-RU"/>
        </w:rPr>
        <w:t>ползите превишават разходите над осемкратно. Това съотношение, макар и по-ниско от „безкрайните“ стойности при Вариант</w:t>
      </w:r>
      <w:r w:rsidRPr="00201156">
        <w:rPr>
          <w:rFonts w:ascii="Times New Roman" w:eastAsia="Times New Roman" w:hAnsi="Times New Roman" w:cs="Times New Roman"/>
          <w:sz w:val="24"/>
          <w:szCs w:val="24"/>
        </w:rPr>
        <w:t> </w:t>
      </w:r>
      <w:r w:rsidRPr="00201156">
        <w:rPr>
          <w:rFonts w:ascii="Times New Roman" w:eastAsia="Times New Roman" w:hAnsi="Times New Roman" w:cs="Times New Roman"/>
          <w:sz w:val="24"/>
          <w:szCs w:val="24"/>
          <w:lang w:val="ru-RU"/>
        </w:rPr>
        <w:t xml:space="preserve">1 и 2, все пак демонстрира </w:t>
      </w:r>
      <w:r w:rsidRPr="00201156">
        <w:rPr>
          <w:rFonts w:ascii="Times New Roman" w:eastAsia="Times New Roman" w:hAnsi="Times New Roman" w:cs="Times New Roman"/>
          <w:bCs/>
          <w:sz w:val="24"/>
          <w:szCs w:val="24"/>
          <w:lang w:val="ru-RU"/>
        </w:rPr>
        <w:t>много добра възвръщаемост</w:t>
      </w:r>
      <w:r w:rsidRPr="00201156">
        <w:rPr>
          <w:rFonts w:ascii="Times New Roman" w:eastAsia="Times New Roman" w:hAnsi="Times New Roman" w:cs="Times New Roman"/>
          <w:sz w:val="24"/>
          <w:szCs w:val="24"/>
          <w:lang w:val="ru-RU"/>
        </w:rPr>
        <w:t xml:space="preserve"> на инвестицията в регулация. Вариант</w:t>
      </w:r>
      <w:r w:rsidRPr="00201156">
        <w:rPr>
          <w:rFonts w:ascii="Times New Roman" w:eastAsia="Times New Roman" w:hAnsi="Times New Roman" w:cs="Times New Roman"/>
          <w:sz w:val="24"/>
          <w:szCs w:val="24"/>
        </w:rPr>
        <w:t> </w:t>
      </w:r>
      <w:r w:rsidRPr="00201156">
        <w:rPr>
          <w:rFonts w:ascii="Times New Roman" w:eastAsia="Times New Roman" w:hAnsi="Times New Roman" w:cs="Times New Roman"/>
          <w:sz w:val="24"/>
          <w:szCs w:val="24"/>
          <w:lang w:val="ru-RU"/>
        </w:rPr>
        <w:t xml:space="preserve">3 реализира </w:t>
      </w:r>
      <w:r w:rsidRPr="00201156">
        <w:rPr>
          <w:rFonts w:ascii="Times New Roman" w:eastAsia="Times New Roman" w:hAnsi="Times New Roman" w:cs="Times New Roman"/>
          <w:bCs/>
          <w:sz w:val="24"/>
          <w:szCs w:val="24"/>
          <w:lang w:val="ru-RU"/>
        </w:rPr>
        <w:t>най-високи абсолютни ползи</w:t>
      </w:r>
      <w:r w:rsidRPr="00201156">
        <w:rPr>
          <w:rFonts w:ascii="Times New Roman" w:eastAsia="Times New Roman" w:hAnsi="Times New Roman" w:cs="Times New Roman"/>
          <w:sz w:val="24"/>
          <w:szCs w:val="24"/>
          <w:lang w:val="ru-RU"/>
        </w:rPr>
        <w:t xml:space="preserve"> и значително подобрява благосъстоянието на операторите по веригата (фермери, малки производители), </w:t>
      </w:r>
      <w:r w:rsidRPr="00201156">
        <w:rPr>
          <w:rFonts w:ascii="Times New Roman" w:eastAsia="Times New Roman" w:hAnsi="Times New Roman" w:cs="Times New Roman"/>
          <w:bCs/>
          <w:sz w:val="24"/>
          <w:szCs w:val="24"/>
          <w:lang w:val="ru-RU"/>
        </w:rPr>
        <w:t>надхвърляйки чувствително всички останали варианти</w:t>
      </w:r>
      <w:r w:rsidRPr="00201156">
        <w:rPr>
          <w:rFonts w:ascii="Times New Roman" w:eastAsia="Times New Roman" w:hAnsi="Times New Roman" w:cs="Times New Roman"/>
          <w:sz w:val="24"/>
          <w:szCs w:val="24"/>
          <w:lang w:val="ru-RU"/>
        </w:rPr>
        <w:t xml:space="preserve"> по този показател. Налице са и значителни съпътстващи социални и екологични ползи, които тук не са монетизирани, но усилват аргумента за този вари</w:t>
      </w:r>
      <w:r>
        <w:rPr>
          <w:rFonts w:ascii="Times New Roman" w:eastAsia="Times New Roman" w:hAnsi="Times New Roman" w:cs="Times New Roman"/>
          <w:sz w:val="24"/>
          <w:szCs w:val="24"/>
          <w:lang w:val="ru-RU"/>
        </w:rPr>
        <w:t>ант. По отношение на разходите,</w:t>
      </w:r>
      <w:r w:rsidRPr="00201156">
        <w:rPr>
          <w:rFonts w:ascii="Times New Roman" w:eastAsia="Times New Roman" w:hAnsi="Times New Roman" w:cs="Times New Roman"/>
          <w:sz w:val="24"/>
          <w:szCs w:val="24"/>
          <w:lang w:val="ru-RU"/>
        </w:rPr>
        <w:t xml:space="preserve"> те са по-високи от тези при Вариант</w:t>
      </w:r>
      <w:r w:rsidRPr="00201156">
        <w:rPr>
          <w:rFonts w:ascii="Times New Roman" w:eastAsia="Times New Roman" w:hAnsi="Times New Roman" w:cs="Times New Roman"/>
          <w:sz w:val="24"/>
          <w:szCs w:val="24"/>
        </w:rPr>
        <w:t> </w:t>
      </w:r>
      <w:r w:rsidRPr="00201156">
        <w:rPr>
          <w:rFonts w:ascii="Times New Roman" w:eastAsia="Times New Roman" w:hAnsi="Times New Roman" w:cs="Times New Roman"/>
          <w:sz w:val="24"/>
          <w:szCs w:val="24"/>
          <w:lang w:val="ru-RU"/>
        </w:rPr>
        <w:t xml:space="preserve">2, но в голямата си част представляват </w:t>
      </w:r>
      <w:r w:rsidRPr="00201156">
        <w:rPr>
          <w:rFonts w:ascii="Times New Roman" w:eastAsia="Times New Roman" w:hAnsi="Times New Roman" w:cs="Times New Roman"/>
          <w:bCs/>
          <w:sz w:val="24"/>
          <w:szCs w:val="24"/>
          <w:lang w:val="ru-RU"/>
        </w:rPr>
        <w:t>прехвърляне на ресурси в рамките на икономиката</w:t>
      </w:r>
      <w:r w:rsidRPr="00201156">
        <w:rPr>
          <w:rFonts w:ascii="Times New Roman" w:eastAsia="Times New Roman" w:hAnsi="Times New Roman" w:cs="Times New Roman"/>
          <w:sz w:val="24"/>
          <w:szCs w:val="24"/>
          <w:lang w:val="ru-RU"/>
        </w:rPr>
        <w:t xml:space="preserve"> (напр. административни усилия от страна на големи търговци), а не чиста загуба. Дори при отчитане на възможни негативи (напр</w:t>
      </w:r>
      <w:r w:rsidR="001A57D8">
        <w:rPr>
          <w:rFonts w:ascii="Times New Roman" w:eastAsia="Times New Roman" w:hAnsi="Times New Roman" w:cs="Times New Roman"/>
          <w:sz w:val="24"/>
          <w:szCs w:val="24"/>
          <w:lang w:val="ru-RU"/>
        </w:rPr>
        <w:t>имер,</w:t>
      </w:r>
      <w:r w:rsidR="001A57D8" w:rsidRPr="00201156">
        <w:rPr>
          <w:rFonts w:ascii="Times New Roman" w:eastAsia="Times New Roman" w:hAnsi="Times New Roman" w:cs="Times New Roman"/>
          <w:sz w:val="24"/>
          <w:szCs w:val="24"/>
          <w:lang w:val="ru-RU"/>
        </w:rPr>
        <w:t xml:space="preserve"> </w:t>
      </w:r>
      <w:r w:rsidRPr="00201156">
        <w:rPr>
          <w:rFonts w:ascii="Times New Roman" w:eastAsia="Times New Roman" w:hAnsi="Times New Roman" w:cs="Times New Roman"/>
          <w:sz w:val="24"/>
          <w:szCs w:val="24"/>
          <w:lang w:val="ru-RU"/>
        </w:rPr>
        <w:t>административна тежест или леко повишение на цените), Вариант</w:t>
      </w:r>
      <w:r w:rsidRPr="00201156">
        <w:rPr>
          <w:rFonts w:ascii="Times New Roman" w:eastAsia="Times New Roman" w:hAnsi="Times New Roman" w:cs="Times New Roman"/>
          <w:sz w:val="24"/>
          <w:szCs w:val="24"/>
        </w:rPr>
        <w:t> </w:t>
      </w:r>
      <w:r w:rsidRPr="00201156">
        <w:rPr>
          <w:rFonts w:ascii="Times New Roman" w:eastAsia="Times New Roman" w:hAnsi="Times New Roman" w:cs="Times New Roman"/>
          <w:sz w:val="24"/>
          <w:szCs w:val="24"/>
          <w:lang w:val="ru-RU"/>
        </w:rPr>
        <w:t xml:space="preserve">3 </w:t>
      </w:r>
      <w:r w:rsidRPr="00201156">
        <w:rPr>
          <w:rFonts w:ascii="Times New Roman" w:eastAsia="Times New Roman" w:hAnsi="Times New Roman" w:cs="Times New Roman"/>
          <w:bCs/>
          <w:sz w:val="24"/>
          <w:szCs w:val="24"/>
          <w:lang w:val="ru-RU"/>
        </w:rPr>
        <w:t>остава с голяма нетна полза</w:t>
      </w:r>
      <w:r w:rsidRPr="00201156">
        <w:rPr>
          <w:rFonts w:ascii="Times New Roman" w:eastAsia="Times New Roman" w:hAnsi="Times New Roman" w:cs="Times New Roman"/>
          <w:sz w:val="24"/>
          <w:szCs w:val="24"/>
          <w:lang w:val="ru-RU"/>
        </w:rPr>
        <w:t xml:space="preserve">. Следователно </w:t>
      </w:r>
      <w:r w:rsidRPr="00201156">
        <w:rPr>
          <w:rFonts w:ascii="Times New Roman" w:eastAsia="Times New Roman" w:hAnsi="Times New Roman" w:cs="Times New Roman"/>
          <w:bCs/>
          <w:sz w:val="24"/>
          <w:szCs w:val="24"/>
          <w:lang w:val="ru-RU"/>
        </w:rPr>
        <w:t>комплексният подход на регулаторна намеса е икономически обоснован и атрактивен</w:t>
      </w:r>
      <w:r w:rsidRPr="00201156">
        <w:rPr>
          <w:rFonts w:ascii="Times New Roman" w:eastAsia="Times New Roman" w:hAnsi="Times New Roman" w:cs="Times New Roman"/>
          <w:sz w:val="24"/>
          <w:szCs w:val="24"/>
          <w:lang w:val="ru-RU"/>
        </w:rPr>
        <w:t xml:space="preserve"> от гледна точка на анализа „разходи–ползи“</w:t>
      </w:r>
      <w:r w:rsidRPr="00201156">
        <w:rPr>
          <w:rFonts w:ascii="Times New Roman" w:eastAsia="Times New Roman" w:hAnsi="Times New Roman" w:cs="Times New Roman"/>
          <w:sz w:val="24"/>
          <w:szCs w:val="24"/>
        </w:rPr>
        <w:t>.</w:t>
      </w:r>
    </w:p>
    <w:p w14:paraId="743D1431" w14:textId="77777777" w:rsidR="00CB0A97" w:rsidRDefault="00CB0A97" w:rsidP="00CB0A97">
      <w:pPr>
        <w:spacing w:after="0" w:line="240" w:lineRule="auto"/>
        <w:ind w:firstLine="567"/>
        <w:jc w:val="both"/>
        <w:rPr>
          <w:rFonts w:ascii="Times New Roman" w:eastAsia="Times New Roman" w:hAnsi="Times New Roman" w:cs="Times New Roman"/>
          <w:sz w:val="24"/>
          <w:szCs w:val="24"/>
        </w:rPr>
      </w:pPr>
    </w:p>
    <w:p w14:paraId="663C8227" w14:textId="77777777" w:rsidR="00CB0A97" w:rsidRDefault="00CB0A97" w:rsidP="00CB0A97">
      <w:pPr>
        <w:spacing w:after="0" w:line="240" w:lineRule="auto"/>
        <w:ind w:firstLine="567"/>
        <w:jc w:val="both"/>
        <w:rPr>
          <w:rFonts w:ascii="Times New Roman" w:eastAsia="Times New Roman" w:hAnsi="Times New Roman" w:cs="Times New Roman"/>
          <w:sz w:val="24"/>
          <w:szCs w:val="24"/>
        </w:rPr>
      </w:pPr>
      <w:r w:rsidRPr="002A3A43">
        <w:rPr>
          <w:rFonts w:ascii="Times New Roman" w:eastAsia="Times New Roman" w:hAnsi="Times New Roman" w:cs="Times New Roman"/>
          <w:b/>
          <w:sz w:val="24"/>
          <w:szCs w:val="24"/>
        </w:rPr>
        <w:t>Сравнителен анализ и препоръчителен вариант</w:t>
      </w:r>
    </w:p>
    <w:p w14:paraId="3A59F0CE" w14:textId="22F8E07A" w:rsidR="00CB0A97" w:rsidRDefault="00CB0A97" w:rsidP="00CB0A97">
      <w:pPr>
        <w:spacing w:after="0" w:line="240" w:lineRule="auto"/>
        <w:ind w:firstLine="567"/>
        <w:jc w:val="both"/>
        <w:rPr>
          <w:rFonts w:ascii="Times New Roman" w:eastAsia="Times New Roman" w:hAnsi="Times New Roman" w:cs="Times New Roman"/>
          <w:sz w:val="24"/>
          <w:szCs w:val="24"/>
          <w:lang w:val="ru-RU"/>
        </w:rPr>
      </w:pPr>
      <w:r w:rsidRPr="00881687">
        <w:rPr>
          <w:rFonts w:ascii="Times New Roman" w:eastAsia="Times New Roman" w:hAnsi="Times New Roman" w:cs="Times New Roman"/>
          <w:sz w:val="24"/>
          <w:szCs w:val="24"/>
        </w:rPr>
        <w:t xml:space="preserve">В </w:t>
      </w:r>
      <w:r w:rsidR="00A00153" w:rsidRPr="00881687">
        <w:rPr>
          <w:rFonts w:ascii="Times New Roman" w:eastAsia="Times New Roman" w:hAnsi="Times New Roman" w:cs="Times New Roman"/>
          <w:sz w:val="24"/>
          <w:szCs w:val="24"/>
        </w:rPr>
        <w:t>Таблица</w:t>
      </w:r>
      <w:r w:rsidR="00A00153" w:rsidRPr="008A1F6F">
        <w:rPr>
          <w:rFonts w:ascii="Times New Roman" w:eastAsia="Times New Roman" w:hAnsi="Times New Roman" w:cs="Times New Roman"/>
          <w:sz w:val="24"/>
          <w:szCs w:val="24"/>
        </w:rPr>
        <w:t> </w:t>
      </w:r>
      <w:r w:rsidR="00A00153">
        <w:rPr>
          <w:rFonts w:ascii="Times New Roman" w:eastAsia="Times New Roman" w:hAnsi="Times New Roman" w:cs="Times New Roman"/>
          <w:sz w:val="24"/>
          <w:szCs w:val="24"/>
        </w:rPr>
        <w:t>1</w:t>
      </w:r>
      <w:r w:rsidR="008C0E40">
        <w:rPr>
          <w:rFonts w:ascii="Times New Roman" w:eastAsia="Times New Roman" w:hAnsi="Times New Roman" w:cs="Times New Roman"/>
          <w:sz w:val="24"/>
          <w:szCs w:val="24"/>
        </w:rPr>
        <w:t>7</w:t>
      </w:r>
      <w:r w:rsidRPr="00881687">
        <w:rPr>
          <w:rFonts w:ascii="Times New Roman" w:eastAsia="Times New Roman" w:hAnsi="Times New Roman" w:cs="Times New Roman"/>
          <w:sz w:val="24"/>
          <w:szCs w:val="24"/>
        </w:rPr>
        <w:t xml:space="preserve"> по-долу са сравнени вариантите по ключови сумарни показатели: </w:t>
      </w:r>
      <w:r w:rsidRPr="00201156">
        <w:rPr>
          <w:rFonts w:ascii="Times New Roman" w:eastAsia="Times New Roman" w:hAnsi="Times New Roman" w:cs="Times New Roman"/>
          <w:bCs/>
          <w:sz w:val="24"/>
          <w:szCs w:val="24"/>
        </w:rPr>
        <w:t>нетна настояща стойност (NPV)</w:t>
      </w:r>
      <w:r w:rsidRPr="00201156">
        <w:rPr>
          <w:rFonts w:ascii="Times New Roman" w:eastAsia="Times New Roman" w:hAnsi="Times New Roman" w:cs="Times New Roman"/>
          <w:sz w:val="24"/>
          <w:szCs w:val="24"/>
        </w:rPr>
        <w:t xml:space="preserve">, </w:t>
      </w:r>
      <w:r w:rsidRPr="00201156">
        <w:rPr>
          <w:rFonts w:ascii="Times New Roman" w:eastAsia="Times New Roman" w:hAnsi="Times New Roman" w:cs="Times New Roman"/>
          <w:bCs/>
          <w:sz w:val="24"/>
          <w:szCs w:val="24"/>
        </w:rPr>
        <w:t>анюализирани разходи (AVC)</w:t>
      </w:r>
      <w:r w:rsidRPr="00201156">
        <w:rPr>
          <w:rFonts w:ascii="Times New Roman" w:eastAsia="Times New Roman" w:hAnsi="Times New Roman" w:cs="Times New Roman"/>
          <w:sz w:val="24"/>
          <w:szCs w:val="24"/>
        </w:rPr>
        <w:t xml:space="preserve">, </w:t>
      </w:r>
      <w:r w:rsidRPr="00201156">
        <w:rPr>
          <w:rFonts w:ascii="Times New Roman" w:eastAsia="Times New Roman" w:hAnsi="Times New Roman" w:cs="Times New Roman"/>
          <w:bCs/>
          <w:sz w:val="24"/>
          <w:szCs w:val="24"/>
        </w:rPr>
        <w:t>анюализирани ползи (AVB)</w:t>
      </w:r>
      <w:r w:rsidRPr="00201156">
        <w:rPr>
          <w:rFonts w:ascii="Times New Roman" w:eastAsia="Times New Roman" w:hAnsi="Times New Roman" w:cs="Times New Roman"/>
          <w:sz w:val="24"/>
          <w:szCs w:val="24"/>
        </w:rPr>
        <w:t xml:space="preserve"> и съотношение </w:t>
      </w:r>
      <w:r w:rsidRPr="00201156">
        <w:rPr>
          <w:rFonts w:ascii="Times New Roman" w:eastAsia="Times New Roman" w:hAnsi="Times New Roman" w:cs="Times New Roman"/>
          <w:bCs/>
          <w:sz w:val="24"/>
          <w:szCs w:val="24"/>
        </w:rPr>
        <w:t>AVB/AVC</w:t>
      </w:r>
      <w:r w:rsidRPr="00201156">
        <w:rPr>
          <w:rFonts w:ascii="Times New Roman" w:eastAsia="Times New Roman" w:hAnsi="Times New Roman" w:cs="Times New Roman"/>
          <w:sz w:val="24"/>
          <w:szCs w:val="24"/>
        </w:rPr>
        <w:t xml:space="preserve">. </w:t>
      </w:r>
      <w:r w:rsidRPr="00201156">
        <w:rPr>
          <w:rFonts w:ascii="Times New Roman" w:eastAsia="Times New Roman" w:hAnsi="Times New Roman" w:cs="Times New Roman"/>
          <w:sz w:val="24"/>
          <w:szCs w:val="24"/>
          <w:lang w:val="ru-RU"/>
        </w:rPr>
        <w:t>Това позволява да се оцени икономическата ефективност на всеки подход и да се класират вариантите.</w:t>
      </w:r>
    </w:p>
    <w:p w14:paraId="72728E6F" w14:textId="77777777" w:rsidR="00E2571A" w:rsidRPr="00201156" w:rsidRDefault="00E2571A" w:rsidP="00CB0A97">
      <w:pPr>
        <w:spacing w:after="0" w:line="240" w:lineRule="auto"/>
        <w:ind w:firstLine="567"/>
        <w:jc w:val="both"/>
        <w:rPr>
          <w:rFonts w:ascii="Times New Roman" w:eastAsia="Times New Roman" w:hAnsi="Times New Roman" w:cs="Times New Roman"/>
          <w:sz w:val="24"/>
          <w:szCs w:val="24"/>
        </w:rPr>
      </w:pPr>
    </w:p>
    <w:p w14:paraId="2777D220" w14:textId="648A0F58" w:rsidR="00CB0A97" w:rsidRPr="008523A0" w:rsidRDefault="00CB0A97" w:rsidP="00E2571A">
      <w:pPr>
        <w:spacing w:after="0" w:line="240" w:lineRule="auto"/>
        <w:ind w:firstLine="567"/>
        <w:jc w:val="both"/>
        <w:rPr>
          <w:rFonts w:ascii="Times New Roman" w:eastAsia="Times New Roman" w:hAnsi="Times New Roman" w:cs="Times New Roman"/>
          <w:b/>
          <w:sz w:val="24"/>
          <w:szCs w:val="24"/>
          <w:lang w:val="ru-RU"/>
        </w:rPr>
      </w:pPr>
      <w:r w:rsidRPr="008523A0">
        <w:rPr>
          <w:rFonts w:ascii="Times New Roman" w:eastAsia="Times New Roman" w:hAnsi="Times New Roman" w:cs="Times New Roman"/>
          <w:b/>
          <w:sz w:val="24"/>
          <w:szCs w:val="24"/>
          <w:lang w:val="ru-RU"/>
        </w:rPr>
        <w:t>Таблица</w:t>
      </w:r>
      <w:r w:rsidR="00D2171D">
        <w:rPr>
          <w:rFonts w:ascii="Times New Roman" w:eastAsia="Times New Roman" w:hAnsi="Times New Roman" w:cs="Times New Roman"/>
          <w:b/>
          <w:sz w:val="24"/>
          <w:szCs w:val="24"/>
          <w:lang w:val="ru-RU"/>
        </w:rPr>
        <w:t xml:space="preserve"> </w:t>
      </w:r>
      <w:r w:rsidR="00D2171D" w:rsidRPr="00D2171D">
        <w:rPr>
          <w:rFonts w:ascii="Times New Roman" w:eastAsia="Times New Roman" w:hAnsi="Times New Roman" w:cs="Times New Roman"/>
          <w:b/>
          <w:sz w:val="24"/>
          <w:szCs w:val="24"/>
        </w:rPr>
        <w:t>№</w:t>
      </w:r>
      <w:r w:rsidRPr="008523A0">
        <w:rPr>
          <w:rFonts w:ascii="Times New Roman" w:eastAsia="Times New Roman" w:hAnsi="Times New Roman" w:cs="Times New Roman"/>
          <w:b/>
          <w:sz w:val="24"/>
          <w:szCs w:val="24"/>
          <w:lang w:val="ru-RU"/>
        </w:rPr>
        <w:t xml:space="preserve"> </w:t>
      </w:r>
      <w:r w:rsidR="009F44BC">
        <w:rPr>
          <w:rFonts w:ascii="Times New Roman" w:eastAsia="Times New Roman" w:hAnsi="Times New Roman" w:cs="Times New Roman"/>
          <w:b/>
          <w:sz w:val="24"/>
          <w:szCs w:val="24"/>
          <w:lang w:val="ru-RU"/>
        </w:rPr>
        <w:t>1</w:t>
      </w:r>
      <w:r w:rsidR="008C0E40">
        <w:rPr>
          <w:rFonts w:ascii="Times New Roman" w:eastAsia="Times New Roman" w:hAnsi="Times New Roman" w:cs="Times New Roman"/>
          <w:b/>
          <w:sz w:val="24"/>
          <w:szCs w:val="24"/>
          <w:lang w:val="ru-RU"/>
        </w:rPr>
        <w:t>7</w:t>
      </w:r>
      <w:r w:rsidRPr="008523A0">
        <w:rPr>
          <w:rFonts w:ascii="Times New Roman" w:eastAsia="Times New Roman" w:hAnsi="Times New Roman" w:cs="Times New Roman"/>
          <w:b/>
          <w:sz w:val="24"/>
          <w:szCs w:val="24"/>
          <w:lang w:val="ru-RU"/>
        </w:rPr>
        <w:t xml:space="preserve">. </w:t>
      </w:r>
      <w:r w:rsidRPr="008523A0">
        <w:rPr>
          <w:rFonts w:ascii="Times New Roman" w:eastAsia="Times New Roman" w:hAnsi="Times New Roman" w:cs="Times New Roman"/>
          <w:b/>
          <w:bCs/>
          <w:sz w:val="24"/>
          <w:szCs w:val="24"/>
          <w:lang w:val="ru-RU"/>
        </w:rPr>
        <w:t>Класиране на вариантите</w:t>
      </w:r>
      <w:r w:rsidRPr="008523A0">
        <w:rPr>
          <w:rFonts w:ascii="Times New Roman" w:eastAsia="Times New Roman" w:hAnsi="Times New Roman" w:cs="Times New Roman"/>
          <w:b/>
          <w:sz w:val="24"/>
          <w:szCs w:val="24"/>
          <w:lang w:val="ru-RU"/>
        </w:rPr>
        <w:t xml:space="preserve"> според резултатите от анализа „разходи–ползи“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701"/>
        <w:gridCol w:w="1701"/>
        <w:gridCol w:w="1701"/>
        <w:gridCol w:w="1701"/>
      </w:tblGrid>
      <w:tr w:rsidR="00CB0A97" w:rsidRPr="00E2571A" w14:paraId="7A1062B8" w14:textId="77777777" w:rsidTr="00E2571A">
        <w:tc>
          <w:tcPr>
            <w:tcW w:w="2830" w:type="dxa"/>
            <w:shd w:val="clear" w:color="auto" w:fill="BDD6EE" w:themeFill="accent1" w:themeFillTint="66"/>
            <w:vAlign w:val="center"/>
          </w:tcPr>
          <w:p w14:paraId="3AC4CD72" w14:textId="77777777" w:rsidR="00CB0A97" w:rsidRPr="00E2571A" w:rsidRDefault="00CB0A97" w:rsidP="00E2571A">
            <w:pPr>
              <w:jc w:val="center"/>
              <w:rPr>
                <w:rFonts w:ascii="Times New Roman" w:eastAsia="Times New Roman" w:hAnsi="Times New Roman" w:cs="Times New Roman"/>
                <w:b/>
                <w:bCs/>
                <w:sz w:val="20"/>
                <w:szCs w:val="20"/>
              </w:rPr>
            </w:pPr>
            <w:r w:rsidRPr="00E2571A">
              <w:rPr>
                <w:rFonts w:ascii="Times New Roman" w:eastAsia="Times New Roman" w:hAnsi="Times New Roman" w:cs="Times New Roman"/>
                <w:b/>
                <w:bCs/>
                <w:sz w:val="20"/>
                <w:szCs w:val="20"/>
              </w:rPr>
              <w:t>Вариант</w:t>
            </w:r>
          </w:p>
        </w:tc>
        <w:tc>
          <w:tcPr>
            <w:tcW w:w="1701" w:type="dxa"/>
            <w:shd w:val="clear" w:color="auto" w:fill="BDD6EE" w:themeFill="accent1" w:themeFillTint="66"/>
            <w:vAlign w:val="center"/>
          </w:tcPr>
          <w:p w14:paraId="2B0A749E" w14:textId="77777777" w:rsidR="00CB0A97" w:rsidRPr="00E2571A" w:rsidRDefault="00CB0A97" w:rsidP="00E2571A">
            <w:pPr>
              <w:jc w:val="center"/>
              <w:rPr>
                <w:rFonts w:ascii="Times New Roman" w:eastAsia="Times New Roman" w:hAnsi="Times New Roman" w:cs="Times New Roman"/>
                <w:b/>
                <w:bCs/>
                <w:sz w:val="20"/>
                <w:szCs w:val="20"/>
              </w:rPr>
            </w:pPr>
            <w:r w:rsidRPr="00E2571A">
              <w:rPr>
                <w:rFonts w:ascii="Times New Roman" w:eastAsia="Times New Roman" w:hAnsi="Times New Roman" w:cs="Times New Roman"/>
                <w:b/>
                <w:bCs/>
                <w:sz w:val="20"/>
                <w:szCs w:val="20"/>
              </w:rPr>
              <w:t>NPV (хил. лв.)</w:t>
            </w:r>
          </w:p>
        </w:tc>
        <w:tc>
          <w:tcPr>
            <w:tcW w:w="1701" w:type="dxa"/>
            <w:shd w:val="clear" w:color="auto" w:fill="BDD6EE" w:themeFill="accent1" w:themeFillTint="66"/>
            <w:vAlign w:val="center"/>
          </w:tcPr>
          <w:p w14:paraId="4B28A1F2" w14:textId="77777777" w:rsidR="00CB0A97" w:rsidRPr="00E2571A" w:rsidRDefault="00CB0A97" w:rsidP="00E2571A">
            <w:pPr>
              <w:jc w:val="center"/>
              <w:rPr>
                <w:rFonts w:ascii="Times New Roman" w:eastAsia="Times New Roman" w:hAnsi="Times New Roman" w:cs="Times New Roman"/>
                <w:b/>
                <w:bCs/>
                <w:sz w:val="20"/>
                <w:szCs w:val="20"/>
              </w:rPr>
            </w:pPr>
            <w:r w:rsidRPr="00E2571A">
              <w:rPr>
                <w:rFonts w:ascii="Times New Roman" w:eastAsia="Times New Roman" w:hAnsi="Times New Roman" w:cs="Times New Roman"/>
                <w:b/>
                <w:bCs/>
                <w:sz w:val="20"/>
                <w:szCs w:val="20"/>
              </w:rPr>
              <w:t>AVC (хил. лв./год)</w:t>
            </w:r>
          </w:p>
        </w:tc>
        <w:tc>
          <w:tcPr>
            <w:tcW w:w="1701" w:type="dxa"/>
            <w:shd w:val="clear" w:color="auto" w:fill="BDD6EE" w:themeFill="accent1" w:themeFillTint="66"/>
            <w:vAlign w:val="center"/>
          </w:tcPr>
          <w:p w14:paraId="70D9A4DE" w14:textId="77777777" w:rsidR="00CB0A97" w:rsidRPr="00E2571A" w:rsidRDefault="00CB0A97" w:rsidP="00E2571A">
            <w:pPr>
              <w:jc w:val="center"/>
              <w:rPr>
                <w:rFonts w:ascii="Times New Roman" w:eastAsia="Times New Roman" w:hAnsi="Times New Roman" w:cs="Times New Roman"/>
                <w:b/>
                <w:bCs/>
                <w:sz w:val="20"/>
                <w:szCs w:val="20"/>
              </w:rPr>
            </w:pPr>
            <w:r w:rsidRPr="00E2571A">
              <w:rPr>
                <w:rFonts w:ascii="Times New Roman" w:eastAsia="Times New Roman" w:hAnsi="Times New Roman" w:cs="Times New Roman"/>
                <w:b/>
                <w:bCs/>
                <w:sz w:val="20"/>
                <w:szCs w:val="20"/>
              </w:rPr>
              <w:t>AVB (хил. лв./год)</w:t>
            </w:r>
          </w:p>
        </w:tc>
        <w:tc>
          <w:tcPr>
            <w:tcW w:w="1701" w:type="dxa"/>
            <w:shd w:val="clear" w:color="auto" w:fill="BDD6EE" w:themeFill="accent1" w:themeFillTint="66"/>
            <w:vAlign w:val="center"/>
          </w:tcPr>
          <w:p w14:paraId="6896BE53" w14:textId="77777777" w:rsidR="00CB0A97" w:rsidRPr="00E2571A" w:rsidRDefault="00CB0A97" w:rsidP="00E2571A">
            <w:pPr>
              <w:jc w:val="center"/>
              <w:rPr>
                <w:rFonts w:ascii="Times New Roman" w:eastAsia="Times New Roman" w:hAnsi="Times New Roman" w:cs="Times New Roman"/>
                <w:b/>
                <w:bCs/>
                <w:sz w:val="20"/>
                <w:szCs w:val="20"/>
              </w:rPr>
            </w:pPr>
            <w:r w:rsidRPr="00E2571A">
              <w:rPr>
                <w:rFonts w:ascii="Times New Roman" w:eastAsia="Times New Roman" w:hAnsi="Times New Roman" w:cs="Times New Roman"/>
                <w:b/>
                <w:bCs/>
                <w:sz w:val="20"/>
                <w:szCs w:val="20"/>
              </w:rPr>
              <w:t>AVB/AVC</w:t>
            </w:r>
          </w:p>
        </w:tc>
      </w:tr>
      <w:tr w:rsidR="00CB0A97" w:rsidRPr="00E2571A" w14:paraId="01A2DEAB" w14:textId="77777777" w:rsidTr="00E2571A">
        <w:tc>
          <w:tcPr>
            <w:tcW w:w="2830" w:type="dxa"/>
            <w:shd w:val="clear" w:color="auto" w:fill="BDD6EE" w:themeFill="accent1" w:themeFillTint="66"/>
            <w:vAlign w:val="center"/>
          </w:tcPr>
          <w:p w14:paraId="61A8349D" w14:textId="77777777" w:rsidR="00CB0A97" w:rsidRPr="00E2571A" w:rsidRDefault="00CB0A97" w:rsidP="00CB0A97">
            <w:pPr>
              <w:jc w:val="both"/>
              <w:rPr>
                <w:rFonts w:ascii="Times New Roman" w:eastAsia="Times New Roman" w:hAnsi="Times New Roman" w:cs="Times New Roman"/>
                <w:sz w:val="20"/>
                <w:szCs w:val="20"/>
                <w:lang w:val="ru-RU"/>
              </w:rPr>
            </w:pPr>
            <w:r w:rsidRPr="00E2571A">
              <w:rPr>
                <w:rFonts w:ascii="Times New Roman" w:eastAsia="Times New Roman" w:hAnsi="Times New Roman" w:cs="Times New Roman"/>
                <w:b/>
                <w:bCs/>
                <w:sz w:val="20"/>
                <w:szCs w:val="20"/>
                <w:lang w:val="ru-RU"/>
              </w:rPr>
              <w:t xml:space="preserve">Вариант 3: „Регулаторен – изцяло нов специален </w:t>
            </w:r>
            <w:r w:rsidRPr="00E2571A">
              <w:rPr>
                <w:rFonts w:ascii="Times New Roman" w:eastAsia="Times New Roman" w:hAnsi="Times New Roman" w:cs="Times New Roman"/>
                <w:b/>
                <w:bCs/>
                <w:sz w:val="20"/>
                <w:szCs w:val="20"/>
                <w:lang w:val="ru-RU"/>
              </w:rPr>
              <w:lastRenderedPageBreak/>
              <w:t>закон“</w:t>
            </w:r>
          </w:p>
        </w:tc>
        <w:tc>
          <w:tcPr>
            <w:tcW w:w="1701" w:type="dxa"/>
            <w:shd w:val="clear" w:color="auto" w:fill="E7E6E6" w:themeFill="background2"/>
            <w:vAlign w:val="center"/>
          </w:tcPr>
          <w:p w14:paraId="0CF749F9" w14:textId="64B0A243" w:rsidR="00CB0A97" w:rsidRPr="00E2571A" w:rsidRDefault="00CB0A97" w:rsidP="009F2D8D">
            <w:pPr>
              <w:jc w:val="both"/>
              <w:rPr>
                <w:rFonts w:ascii="Times New Roman" w:eastAsia="Times New Roman" w:hAnsi="Times New Roman" w:cs="Times New Roman"/>
                <w:sz w:val="20"/>
                <w:szCs w:val="20"/>
              </w:rPr>
            </w:pPr>
            <w:r w:rsidRPr="00E2571A">
              <w:rPr>
                <w:rFonts w:ascii="Times New Roman" w:eastAsia="Times New Roman" w:hAnsi="Times New Roman" w:cs="Times New Roman"/>
                <w:b/>
                <w:bCs/>
                <w:sz w:val="20"/>
                <w:szCs w:val="20"/>
              </w:rPr>
              <w:lastRenderedPageBreak/>
              <w:t xml:space="preserve">≈ </w:t>
            </w:r>
            <w:r w:rsidR="009F2D8D" w:rsidRPr="009F2D8D">
              <w:rPr>
                <w:rFonts w:ascii="Times New Roman" w:eastAsia="Times New Roman" w:hAnsi="Times New Roman" w:cs="Times New Roman"/>
                <w:b/>
                <w:bCs/>
                <w:sz w:val="20"/>
                <w:szCs w:val="20"/>
              </w:rPr>
              <w:t xml:space="preserve">181 </w:t>
            </w:r>
            <w:r w:rsidR="009F2D8D">
              <w:rPr>
                <w:rFonts w:ascii="Times New Roman" w:eastAsia="Times New Roman" w:hAnsi="Times New Roman" w:cs="Times New Roman"/>
                <w:b/>
                <w:bCs/>
                <w:sz w:val="20"/>
                <w:szCs w:val="20"/>
              </w:rPr>
              <w:t>200</w:t>
            </w:r>
          </w:p>
        </w:tc>
        <w:tc>
          <w:tcPr>
            <w:tcW w:w="1701" w:type="dxa"/>
            <w:shd w:val="clear" w:color="auto" w:fill="E7E6E6" w:themeFill="background2"/>
            <w:vAlign w:val="center"/>
          </w:tcPr>
          <w:p w14:paraId="05DD8E42" w14:textId="77777777" w:rsidR="00CB0A97" w:rsidRPr="00E2571A" w:rsidRDefault="00CB0A97" w:rsidP="00CB0A97">
            <w:pPr>
              <w:jc w:val="both"/>
              <w:rPr>
                <w:rFonts w:ascii="Times New Roman" w:eastAsia="Times New Roman" w:hAnsi="Times New Roman" w:cs="Times New Roman"/>
                <w:sz w:val="20"/>
                <w:szCs w:val="20"/>
              </w:rPr>
            </w:pPr>
            <w:r w:rsidRPr="00E2571A">
              <w:rPr>
                <w:rFonts w:ascii="Times New Roman" w:eastAsia="Times New Roman" w:hAnsi="Times New Roman" w:cs="Times New Roman"/>
                <w:sz w:val="20"/>
                <w:szCs w:val="20"/>
              </w:rPr>
              <w:t>около 5 6839 690</w:t>
            </w:r>
          </w:p>
        </w:tc>
        <w:tc>
          <w:tcPr>
            <w:tcW w:w="1701" w:type="dxa"/>
            <w:shd w:val="clear" w:color="auto" w:fill="E7E6E6" w:themeFill="background2"/>
            <w:vAlign w:val="center"/>
          </w:tcPr>
          <w:p w14:paraId="1FA72151" w14:textId="77777777" w:rsidR="00CB0A97" w:rsidRPr="00E2571A" w:rsidRDefault="00CB0A97" w:rsidP="00CB0A97">
            <w:pPr>
              <w:jc w:val="both"/>
              <w:rPr>
                <w:rFonts w:ascii="Times New Roman" w:eastAsia="Times New Roman" w:hAnsi="Times New Roman" w:cs="Times New Roman"/>
                <w:sz w:val="20"/>
                <w:szCs w:val="20"/>
              </w:rPr>
            </w:pPr>
            <w:r w:rsidRPr="00E2571A">
              <w:rPr>
                <w:rFonts w:ascii="Times New Roman" w:eastAsia="Times New Roman" w:hAnsi="Times New Roman" w:cs="Times New Roman"/>
                <w:sz w:val="20"/>
                <w:szCs w:val="20"/>
              </w:rPr>
              <w:t>около 46 384</w:t>
            </w:r>
          </w:p>
        </w:tc>
        <w:tc>
          <w:tcPr>
            <w:tcW w:w="1701" w:type="dxa"/>
            <w:shd w:val="clear" w:color="auto" w:fill="E7E6E6" w:themeFill="background2"/>
            <w:vAlign w:val="center"/>
          </w:tcPr>
          <w:p w14:paraId="69B5E1C3" w14:textId="77777777" w:rsidR="00CB0A97" w:rsidRPr="00E2571A" w:rsidRDefault="00CB0A97" w:rsidP="00CB0A97">
            <w:pPr>
              <w:jc w:val="both"/>
              <w:rPr>
                <w:rFonts w:ascii="Times New Roman" w:eastAsia="Times New Roman" w:hAnsi="Times New Roman" w:cs="Times New Roman"/>
                <w:sz w:val="20"/>
                <w:szCs w:val="20"/>
              </w:rPr>
            </w:pPr>
            <w:r w:rsidRPr="00E2571A">
              <w:rPr>
                <w:rFonts w:ascii="Times New Roman" w:eastAsia="Times New Roman" w:hAnsi="Times New Roman" w:cs="Times New Roman"/>
                <w:b/>
                <w:bCs/>
                <w:sz w:val="20"/>
                <w:szCs w:val="20"/>
              </w:rPr>
              <w:t>≈ 8,2</w:t>
            </w:r>
          </w:p>
        </w:tc>
      </w:tr>
      <w:tr w:rsidR="00CB0A97" w:rsidRPr="00E2571A" w14:paraId="4BAEBE27" w14:textId="77777777" w:rsidTr="00E2571A">
        <w:tc>
          <w:tcPr>
            <w:tcW w:w="2830" w:type="dxa"/>
            <w:shd w:val="clear" w:color="auto" w:fill="BDD6EE" w:themeFill="accent1" w:themeFillTint="66"/>
            <w:vAlign w:val="center"/>
          </w:tcPr>
          <w:p w14:paraId="6044FE04" w14:textId="77777777" w:rsidR="00CB0A97" w:rsidRPr="00E2571A" w:rsidRDefault="00CB0A97" w:rsidP="00CB0A97">
            <w:pPr>
              <w:jc w:val="both"/>
              <w:rPr>
                <w:rFonts w:ascii="Times New Roman" w:eastAsia="Times New Roman" w:hAnsi="Times New Roman" w:cs="Times New Roman"/>
                <w:sz w:val="20"/>
                <w:szCs w:val="20"/>
                <w:lang w:val="ru-RU"/>
              </w:rPr>
            </w:pPr>
            <w:r w:rsidRPr="00E2571A">
              <w:rPr>
                <w:rFonts w:ascii="Times New Roman" w:eastAsia="Times New Roman" w:hAnsi="Times New Roman" w:cs="Times New Roman"/>
                <w:b/>
                <w:bCs/>
                <w:sz w:val="20"/>
                <w:szCs w:val="20"/>
                <w:lang w:val="ru-RU"/>
              </w:rPr>
              <w:t>Вариант 2: „Регулаторен - промени в действащата правна уредба“</w:t>
            </w:r>
          </w:p>
        </w:tc>
        <w:tc>
          <w:tcPr>
            <w:tcW w:w="1701" w:type="dxa"/>
            <w:shd w:val="clear" w:color="auto" w:fill="E7E6E6" w:themeFill="background2"/>
            <w:vAlign w:val="center"/>
          </w:tcPr>
          <w:p w14:paraId="51D1CCA0" w14:textId="77777777" w:rsidR="00CB0A97" w:rsidRPr="00E2571A" w:rsidRDefault="00CB0A97" w:rsidP="00CB0A97">
            <w:pPr>
              <w:jc w:val="both"/>
              <w:rPr>
                <w:rFonts w:ascii="Times New Roman" w:eastAsia="Times New Roman" w:hAnsi="Times New Roman" w:cs="Times New Roman"/>
                <w:sz w:val="20"/>
                <w:szCs w:val="20"/>
              </w:rPr>
            </w:pPr>
            <w:r w:rsidRPr="00E2571A">
              <w:rPr>
                <w:rFonts w:ascii="Times New Roman" w:eastAsia="Times New Roman" w:hAnsi="Times New Roman" w:cs="Times New Roman"/>
                <w:sz w:val="20"/>
                <w:szCs w:val="20"/>
              </w:rPr>
              <w:t>≈ 92 600</w:t>
            </w:r>
          </w:p>
        </w:tc>
        <w:tc>
          <w:tcPr>
            <w:tcW w:w="1701" w:type="dxa"/>
            <w:shd w:val="clear" w:color="auto" w:fill="E7E6E6" w:themeFill="background2"/>
            <w:vAlign w:val="center"/>
          </w:tcPr>
          <w:p w14:paraId="78A3EE03" w14:textId="77777777" w:rsidR="00CB0A97" w:rsidRPr="00E2571A" w:rsidRDefault="00CB0A97" w:rsidP="00CB0A97">
            <w:pPr>
              <w:jc w:val="both"/>
              <w:rPr>
                <w:rFonts w:ascii="Times New Roman" w:eastAsia="Times New Roman" w:hAnsi="Times New Roman" w:cs="Times New Roman"/>
                <w:sz w:val="20"/>
                <w:szCs w:val="20"/>
              </w:rPr>
            </w:pPr>
            <w:r w:rsidRPr="00E2571A">
              <w:rPr>
                <w:rFonts w:ascii="Times New Roman" w:eastAsia="Times New Roman" w:hAnsi="Times New Roman" w:cs="Times New Roman"/>
                <w:sz w:val="20"/>
                <w:szCs w:val="20"/>
              </w:rPr>
              <w:t>около 0</w:t>
            </w:r>
          </w:p>
        </w:tc>
        <w:tc>
          <w:tcPr>
            <w:tcW w:w="1701" w:type="dxa"/>
            <w:shd w:val="clear" w:color="auto" w:fill="E7E6E6" w:themeFill="background2"/>
            <w:vAlign w:val="center"/>
          </w:tcPr>
          <w:p w14:paraId="43EEEBC4" w14:textId="77777777" w:rsidR="00CB0A97" w:rsidRPr="00E2571A" w:rsidRDefault="00CB0A97" w:rsidP="00CB0A97">
            <w:pPr>
              <w:jc w:val="both"/>
              <w:rPr>
                <w:rFonts w:ascii="Times New Roman" w:eastAsia="Times New Roman" w:hAnsi="Times New Roman" w:cs="Times New Roman"/>
                <w:sz w:val="20"/>
                <w:szCs w:val="20"/>
              </w:rPr>
            </w:pPr>
            <w:r w:rsidRPr="00E2571A">
              <w:rPr>
                <w:rFonts w:ascii="Times New Roman" w:eastAsia="Times New Roman" w:hAnsi="Times New Roman" w:cs="Times New Roman"/>
                <w:sz w:val="20"/>
                <w:szCs w:val="20"/>
              </w:rPr>
              <w:t>около 20 790</w:t>
            </w:r>
          </w:p>
        </w:tc>
        <w:tc>
          <w:tcPr>
            <w:tcW w:w="1701" w:type="dxa"/>
            <w:shd w:val="clear" w:color="auto" w:fill="E7E6E6" w:themeFill="background2"/>
            <w:vAlign w:val="center"/>
          </w:tcPr>
          <w:p w14:paraId="3FD78FA7" w14:textId="77777777" w:rsidR="00CB0A97" w:rsidRPr="00E2571A" w:rsidRDefault="00CB0A97" w:rsidP="00CB0A97">
            <w:pPr>
              <w:jc w:val="both"/>
              <w:rPr>
                <w:rFonts w:ascii="Times New Roman" w:eastAsia="Times New Roman" w:hAnsi="Times New Roman" w:cs="Times New Roman"/>
                <w:sz w:val="20"/>
                <w:szCs w:val="20"/>
              </w:rPr>
            </w:pPr>
            <w:r w:rsidRPr="00E2571A">
              <w:rPr>
                <w:rFonts w:ascii="Times New Roman" w:eastAsia="Times New Roman" w:hAnsi="Times New Roman" w:cs="Times New Roman"/>
                <w:sz w:val="20"/>
                <w:szCs w:val="20"/>
              </w:rPr>
              <w:t>→ ∞ᵃ</w:t>
            </w:r>
          </w:p>
        </w:tc>
      </w:tr>
      <w:tr w:rsidR="00CB0A97" w:rsidRPr="00E2571A" w14:paraId="102F63ED" w14:textId="77777777" w:rsidTr="00E2571A">
        <w:tc>
          <w:tcPr>
            <w:tcW w:w="2830" w:type="dxa"/>
            <w:shd w:val="clear" w:color="auto" w:fill="BDD6EE" w:themeFill="accent1" w:themeFillTint="66"/>
            <w:vAlign w:val="center"/>
          </w:tcPr>
          <w:p w14:paraId="09C1B8C3" w14:textId="77777777" w:rsidR="00CB0A97" w:rsidRPr="00E2571A" w:rsidRDefault="00CB0A97" w:rsidP="00CB0A97">
            <w:pPr>
              <w:jc w:val="both"/>
              <w:rPr>
                <w:rFonts w:ascii="Times New Roman" w:eastAsia="Times New Roman" w:hAnsi="Times New Roman" w:cs="Times New Roman"/>
                <w:sz w:val="20"/>
                <w:szCs w:val="20"/>
              </w:rPr>
            </w:pPr>
            <w:bookmarkStart w:id="35" w:name="_Hlk196491841"/>
            <w:r w:rsidRPr="00E2571A">
              <w:rPr>
                <w:rFonts w:ascii="Times New Roman" w:eastAsia="Times New Roman" w:hAnsi="Times New Roman" w:cs="Times New Roman"/>
                <w:b/>
                <w:bCs/>
                <w:sz w:val="20"/>
                <w:szCs w:val="20"/>
              </w:rPr>
              <w:t>Вариант 1: „Нерегулаторен“</w:t>
            </w:r>
            <w:bookmarkEnd w:id="35"/>
          </w:p>
        </w:tc>
        <w:tc>
          <w:tcPr>
            <w:tcW w:w="1701" w:type="dxa"/>
            <w:shd w:val="clear" w:color="auto" w:fill="E7E6E6" w:themeFill="background2"/>
            <w:vAlign w:val="center"/>
          </w:tcPr>
          <w:p w14:paraId="67D9B51A" w14:textId="77777777" w:rsidR="00CB0A97" w:rsidRPr="00E2571A" w:rsidRDefault="00CB0A97" w:rsidP="00CB0A97">
            <w:pPr>
              <w:jc w:val="both"/>
              <w:rPr>
                <w:rFonts w:ascii="Times New Roman" w:eastAsia="Times New Roman" w:hAnsi="Times New Roman" w:cs="Times New Roman"/>
                <w:sz w:val="20"/>
                <w:szCs w:val="20"/>
              </w:rPr>
            </w:pPr>
            <w:r w:rsidRPr="00E2571A">
              <w:rPr>
                <w:rFonts w:ascii="Times New Roman" w:eastAsia="Times New Roman" w:hAnsi="Times New Roman" w:cs="Times New Roman"/>
                <w:sz w:val="20"/>
                <w:szCs w:val="20"/>
              </w:rPr>
              <w:t>≈ 23 150</w:t>
            </w:r>
          </w:p>
        </w:tc>
        <w:tc>
          <w:tcPr>
            <w:tcW w:w="1701" w:type="dxa"/>
            <w:shd w:val="clear" w:color="auto" w:fill="E7E6E6" w:themeFill="background2"/>
            <w:vAlign w:val="center"/>
          </w:tcPr>
          <w:p w14:paraId="2605A35A" w14:textId="77777777" w:rsidR="00CB0A97" w:rsidRPr="00E2571A" w:rsidRDefault="00CB0A97" w:rsidP="00CB0A97">
            <w:pPr>
              <w:jc w:val="both"/>
              <w:rPr>
                <w:rFonts w:ascii="Times New Roman" w:eastAsia="Times New Roman" w:hAnsi="Times New Roman" w:cs="Times New Roman"/>
                <w:sz w:val="20"/>
                <w:szCs w:val="20"/>
              </w:rPr>
            </w:pPr>
            <w:r w:rsidRPr="00E2571A">
              <w:rPr>
                <w:rFonts w:ascii="Times New Roman" w:eastAsia="Times New Roman" w:hAnsi="Times New Roman" w:cs="Times New Roman"/>
                <w:sz w:val="20"/>
                <w:szCs w:val="20"/>
              </w:rPr>
              <w:t>около 0</w:t>
            </w:r>
          </w:p>
        </w:tc>
        <w:tc>
          <w:tcPr>
            <w:tcW w:w="1701" w:type="dxa"/>
            <w:shd w:val="clear" w:color="auto" w:fill="E7E6E6" w:themeFill="background2"/>
            <w:vAlign w:val="center"/>
          </w:tcPr>
          <w:p w14:paraId="415885AB" w14:textId="77777777" w:rsidR="00CB0A97" w:rsidRPr="00E2571A" w:rsidRDefault="00CB0A97" w:rsidP="00CB0A97">
            <w:pPr>
              <w:jc w:val="both"/>
              <w:rPr>
                <w:rFonts w:ascii="Times New Roman" w:eastAsia="Times New Roman" w:hAnsi="Times New Roman" w:cs="Times New Roman"/>
                <w:sz w:val="20"/>
                <w:szCs w:val="20"/>
              </w:rPr>
            </w:pPr>
            <w:r w:rsidRPr="00E2571A">
              <w:rPr>
                <w:rFonts w:ascii="Times New Roman" w:eastAsia="Times New Roman" w:hAnsi="Times New Roman" w:cs="Times New Roman"/>
                <w:sz w:val="20"/>
                <w:szCs w:val="20"/>
              </w:rPr>
              <w:t>около 5 200</w:t>
            </w:r>
          </w:p>
        </w:tc>
        <w:tc>
          <w:tcPr>
            <w:tcW w:w="1701" w:type="dxa"/>
            <w:shd w:val="clear" w:color="auto" w:fill="E7E6E6" w:themeFill="background2"/>
            <w:vAlign w:val="center"/>
          </w:tcPr>
          <w:p w14:paraId="7C0CC004" w14:textId="77777777" w:rsidR="00CB0A97" w:rsidRPr="00E2571A" w:rsidRDefault="00CB0A97" w:rsidP="00CB0A97">
            <w:pPr>
              <w:jc w:val="both"/>
              <w:rPr>
                <w:rFonts w:ascii="Times New Roman" w:eastAsia="Times New Roman" w:hAnsi="Times New Roman" w:cs="Times New Roman"/>
                <w:sz w:val="20"/>
                <w:szCs w:val="20"/>
              </w:rPr>
            </w:pPr>
            <w:r w:rsidRPr="00E2571A">
              <w:rPr>
                <w:rFonts w:ascii="Times New Roman" w:eastAsia="Times New Roman" w:hAnsi="Times New Roman" w:cs="Times New Roman"/>
                <w:sz w:val="20"/>
                <w:szCs w:val="20"/>
              </w:rPr>
              <w:t>→ ∞ᵇ</w:t>
            </w:r>
          </w:p>
        </w:tc>
      </w:tr>
      <w:tr w:rsidR="00CB0A97" w:rsidRPr="00E2571A" w14:paraId="0BAE1ED1" w14:textId="77777777" w:rsidTr="00E2571A">
        <w:tc>
          <w:tcPr>
            <w:tcW w:w="2830" w:type="dxa"/>
            <w:shd w:val="clear" w:color="auto" w:fill="BDD6EE" w:themeFill="accent1" w:themeFillTint="66"/>
            <w:vAlign w:val="center"/>
          </w:tcPr>
          <w:p w14:paraId="051921FD" w14:textId="77777777" w:rsidR="00CB0A97" w:rsidRPr="00E2571A" w:rsidRDefault="00CB0A97" w:rsidP="00CB0A97">
            <w:pPr>
              <w:jc w:val="both"/>
              <w:rPr>
                <w:rFonts w:ascii="Times New Roman" w:eastAsia="Times New Roman" w:hAnsi="Times New Roman" w:cs="Times New Roman"/>
                <w:sz w:val="20"/>
                <w:szCs w:val="20"/>
              </w:rPr>
            </w:pPr>
            <w:r w:rsidRPr="00E2571A">
              <w:rPr>
                <w:rFonts w:ascii="Times New Roman" w:eastAsia="Times New Roman" w:hAnsi="Times New Roman" w:cs="Times New Roman"/>
                <w:b/>
                <w:bCs/>
                <w:sz w:val="20"/>
                <w:szCs w:val="20"/>
              </w:rPr>
              <w:t>Вариант 0: „Без действие“</w:t>
            </w:r>
          </w:p>
        </w:tc>
        <w:tc>
          <w:tcPr>
            <w:tcW w:w="1701" w:type="dxa"/>
            <w:shd w:val="clear" w:color="auto" w:fill="E7E6E6" w:themeFill="background2"/>
            <w:vAlign w:val="center"/>
          </w:tcPr>
          <w:p w14:paraId="3039A4CD" w14:textId="77777777" w:rsidR="00CB0A97" w:rsidRPr="00E2571A" w:rsidRDefault="00CB0A97" w:rsidP="00CB0A97">
            <w:pPr>
              <w:jc w:val="both"/>
              <w:rPr>
                <w:rFonts w:ascii="Times New Roman" w:eastAsia="Times New Roman" w:hAnsi="Times New Roman" w:cs="Times New Roman"/>
                <w:sz w:val="20"/>
                <w:szCs w:val="20"/>
              </w:rPr>
            </w:pPr>
            <w:r w:rsidRPr="00E2571A">
              <w:rPr>
                <w:rFonts w:ascii="Times New Roman" w:eastAsia="Times New Roman" w:hAnsi="Times New Roman" w:cs="Times New Roman"/>
                <w:b/>
                <w:bCs/>
                <w:sz w:val="20"/>
                <w:szCs w:val="20"/>
              </w:rPr>
              <w:t>≈ –231 500</w:t>
            </w:r>
          </w:p>
        </w:tc>
        <w:tc>
          <w:tcPr>
            <w:tcW w:w="1701" w:type="dxa"/>
            <w:shd w:val="clear" w:color="auto" w:fill="E7E6E6" w:themeFill="background2"/>
            <w:vAlign w:val="center"/>
          </w:tcPr>
          <w:p w14:paraId="2E7427A9" w14:textId="77777777" w:rsidR="00CB0A97" w:rsidRPr="00E2571A" w:rsidRDefault="00CB0A97" w:rsidP="00CB0A97">
            <w:pPr>
              <w:jc w:val="both"/>
              <w:rPr>
                <w:rFonts w:ascii="Times New Roman" w:eastAsia="Times New Roman" w:hAnsi="Times New Roman" w:cs="Times New Roman"/>
                <w:sz w:val="20"/>
                <w:szCs w:val="20"/>
              </w:rPr>
            </w:pPr>
            <w:r w:rsidRPr="00E2571A">
              <w:rPr>
                <w:rFonts w:ascii="Times New Roman" w:eastAsia="Times New Roman" w:hAnsi="Times New Roman" w:cs="Times New Roman"/>
                <w:sz w:val="20"/>
                <w:szCs w:val="20"/>
              </w:rPr>
              <w:t>около 51 970</w:t>
            </w:r>
          </w:p>
        </w:tc>
        <w:tc>
          <w:tcPr>
            <w:tcW w:w="1701" w:type="dxa"/>
            <w:shd w:val="clear" w:color="auto" w:fill="E7E6E6" w:themeFill="background2"/>
            <w:vAlign w:val="center"/>
          </w:tcPr>
          <w:p w14:paraId="39225A68" w14:textId="77777777" w:rsidR="00CB0A97" w:rsidRPr="00E2571A" w:rsidRDefault="00CB0A97" w:rsidP="00CB0A97">
            <w:pPr>
              <w:jc w:val="both"/>
              <w:rPr>
                <w:rFonts w:ascii="Times New Roman" w:eastAsia="Times New Roman" w:hAnsi="Times New Roman" w:cs="Times New Roman"/>
                <w:sz w:val="20"/>
                <w:szCs w:val="20"/>
              </w:rPr>
            </w:pPr>
            <w:r w:rsidRPr="00E2571A">
              <w:rPr>
                <w:rFonts w:ascii="Times New Roman" w:eastAsia="Times New Roman" w:hAnsi="Times New Roman" w:cs="Times New Roman"/>
                <w:sz w:val="20"/>
                <w:szCs w:val="20"/>
              </w:rPr>
              <w:t>0</w:t>
            </w:r>
          </w:p>
        </w:tc>
        <w:tc>
          <w:tcPr>
            <w:tcW w:w="1701" w:type="dxa"/>
            <w:shd w:val="clear" w:color="auto" w:fill="E7E6E6" w:themeFill="background2"/>
            <w:vAlign w:val="center"/>
          </w:tcPr>
          <w:p w14:paraId="75F323B7" w14:textId="77777777" w:rsidR="00CB0A97" w:rsidRPr="00E2571A" w:rsidRDefault="00CB0A97" w:rsidP="00CB0A97">
            <w:pPr>
              <w:jc w:val="both"/>
              <w:rPr>
                <w:rFonts w:ascii="Times New Roman" w:eastAsia="Times New Roman" w:hAnsi="Times New Roman" w:cs="Times New Roman"/>
                <w:sz w:val="20"/>
                <w:szCs w:val="20"/>
              </w:rPr>
            </w:pPr>
            <w:r w:rsidRPr="00E2571A">
              <w:rPr>
                <w:rFonts w:ascii="Times New Roman" w:eastAsia="Times New Roman" w:hAnsi="Times New Roman" w:cs="Times New Roman"/>
                <w:sz w:val="20"/>
                <w:szCs w:val="20"/>
              </w:rPr>
              <w:t>0</w:t>
            </w:r>
          </w:p>
        </w:tc>
      </w:tr>
    </w:tbl>
    <w:p w14:paraId="6CD9D55E" w14:textId="77777777" w:rsidR="00E2571A" w:rsidRDefault="00E2571A" w:rsidP="00CB0A97">
      <w:pPr>
        <w:spacing w:after="0" w:line="240" w:lineRule="auto"/>
        <w:ind w:firstLine="567"/>
        <w:jc w:val="both"/>
        <w:rPr>
          <w:rFonts w:ascii="Times New Roman" w:eastAsia="Times New Roman" w:hAnsi="Times New Roman" w:cs="Times New Roman"/>
          <w:sz w:val="24"/>
          <w:szCs w:val="24"/>
          <w:lang w:val="ru-RU"/>
        </w:rPr>
      </w:pPr>
    </w:p>
    <w:p w14:paraId="31E0EACE" w14:textId="77777777" w:rsidR="00CB0A97" w:rsidRDefault="00CB0A97" w:rsidP="00CB0A97">
      <w:pPr>
        <w:spacing w:after="0" w:line="240" w:lineRule="auto"/>
        <w:ind w:firstLine="567"/>
        <w:jc w:val="both"/>
        <w:rPr>
          <w:rFonts w:ascii="Times New Roman" w:eastAsia="Times New Roman" w:hAnsi="Times New Roman" w:cs="Times New Roman"/>
          <w:sz w:val="24"/>
          <w:szCs w:val="24"/>
          <w:lang w:val="ru-RU"/>
        </w:rPr>
      </w:pPr>
      <w:r w:rsidRPr="008523A0">
        <w:rPr>
          <w:rFonts w:ascii="Times New Roman" w:eastAsia="Times New Roman" w:hAnsi="Times New Roman" w:cs="Times New Roman"/>
          <w:sz w:val="24"/>
          <w:szCs w:val="24"/>
          <w:lang w:val="ru-RU"/>
        </w:rPr>
        <w:t>При Вариант</w:t>
      </w:r>
      <w:r w:rsidRPr="008A1F6F">
        <w:rPr>
          <w:rFonts w:ascii="Times New Roman" w:eastAsia="Times New Roman" w:hAnsi="Times New Roman" w:cs="Times New Roman"/>
          <w:sz w:val="24"/>
          <w:szCs w:val="24"/>
        </w:rPr>
        <w:t> </w:t>
      </w:r>
      <w:r w:rsidRPr="008523A0">
        <w:rPr>
          <w:rFonts w:ascii="Times New Roman" w:eastAsia="Times New Roman" w:hAnsi="Times New Roman" w:cs="Times New Roman"/>
          <w:sz w:val="24"/>
          <w:szCs w:val="24"/>
          <w:lang w:val="ru-RU"/>
        </w:rPr>
        <w:t xml:space="preserve">2 и 1 разходите са пренебрежимо малки, поради което коефициентът </w:t>
      </w:r>
      <w:r w:rsidRPr="008A1F6F">
        <w:rPr>
          <w:rFonts w:ascii="Times New Roman" w:eastAsia="Times New Roman" w:hAnsi="Times New Roman" w:cs="Times New Roman"/>
          <w:sz w:val="24"/>
          <w:szCs w:val="24"/>
        </w:rPr>
        <w:t>AVB</w:t>
      </w:r>
      <w:r w:rsidRPr="008523A0">
        <w:rPr>
          <w:rFonts w:ascii="Times New Roman" w:eastAsia="Times New Roman" w:hAnsi="Times New Roman" w:cs="Times New Roman"/>
          <w:sz w:val="24"/>
          <w:szCs w:val="24"/>
          <w:lang w:val="ru-RU"/>
        </w:rPr>
        <w:t>/</w:t>
      </w:r>
      <w:r w:rsidRPr="008A1F6F">
        <w:rPr>
          <w:rFonts w:ascii="Times New Roman" w:eastAsia="Times New Roman" w:hAnsi="Times New Roman" w:cs="Times New Roman"/>
          <w:sz w:val="24"/>
          <w:szCs w:val="24"/>
        </w:rPr>
        <w:t>AVC</w:t>
      </w:r>
      <w:r w:rsidRPr="008523A0">
        <w:rPr>
          <w:rFonts w:ascii="Times New Roman" w:eastAsia="Times New Roman" w:hAnsi="Times New Roman" w:cs="Times New Roman"/>
          <w:sz w:val="24"/>
          <w:szCs w:val="24"/>
          <w:lang w:val="ru-RU"/>
        </w:rPr>
        <w:t xml:space="preserve"> клони към много висока стойност (математически, безкрайност). Това не означава, че тези варианти са по-добри от Вариант</w:t>
      </w:r>
      <w:r w:rsidRPr="008A1F6F">
        <w:rPr>
          <w:rFonts w:ascii="Times New Roman" w:eastAsia="Times New Roman" w:hAnsi="Times New Roman" w:cs="Times New Roman"/>
          <w:sz w:val="24"/>
          <w:szCs w:val="24"/>
        </w:rPr>
        <w:t> </w:t>
      </w:r>
      <w:r>
        <w:rPr>
          <w:rFonts w:ascii="Times New Roman" w:eastAsia="Times New Roman" w:hAnsi="Times New Roman" w:cs="Times New Roman"/>
          <w:sz w:val="24"/>
          <w:szCs w:val="24"/>
          <w:lang w:val="ru-RU"/>
        </w:rPr>
        <w:t>3 т.к.</w:t>
      </w:r>
      <w:r w:rsidRPr="008523A0">
        <w:rPr>
          <w:rFonts w:ascii="Times New Roman" w:eastAsia="Times New Roman" w:hAnsi="Times New Roman" w:cs="Times New Roman"/>
          <w:sz w:val="24"/>
          <w:szCs w:val="24"/>
          <w:lang w:val="ru-RU"/>
        </w:rPr>
        <w:t xml:space="preserve"> оценката трябва да отчита и размера на реализираните ползи. Вариант</w:t>
      </w:r>
      <w:r w:rsidRPr="008A1F6F">
        <w:rPr>
          <w:rFonts w:ascii="Times New Roman" w:eastAsia="Times New Roman" w:hAnsi="Times New Roman" w:cs="Times New Roman"/>
          <w:sz w:val="24"/>
          <w:szCs w:val="24"/>
        </w:rPr>
        <w:t> </w:t>
      </w:r>
      <w:r w:rsidRPr="008523A0">
        <w:rPr>
          <w:rFonts w:ascii="Times New Roman" w:eastAsia="Times New Roman" w:hAnsi="Times New Roman" w:cs="Times New Roman"/>
          <w:sz w:val="24"/>
          <w:szCs w:val="24"/>
          <w:lang w:val="ru-RU"/>
        </w:rPr>
        <w:t>3 има най-висок абсолютен ефект, макар че изисква и разходи. Вариант</w:t>
      </w:r>
      <w:r w:rsidRPr="008A1F6F">
        <w:rPr>
          <w:rFonts w:ascii="Times New Roman" w:eastAsia="Times New Roman" w:hAnsi="Times New Roman" w:cs="Times New Roman"/>
          <w:sz w:val="24"/>
          <w:szCs w:val="24"/>
        </w:rPr>
        <w:t> </w:t>
      </w:r>
      <w:r w:rsidRPr="008523A0">
        <w:rPr>
          <w:rFonts w:ascii="Times New Roman" w:eastAsia="Times New Roman" w:hAnsi="Times New Roman" w:cs="Times New Roman"/>
          <w:sz w:val="24"/>
          <w:szCs w:val="24"/>
          <w:lang w:val="ru-RU"/>
        </w:rPr>
        <w:t xml:space="preserve">0 е със силно отрицателна </w:t>
      </w:r>
      <w:r w:rsidRPr="008A1F6F">
        <w:rPr>
          <w:rFonts w:ascii="Times New Roman" w:eastAsia="Times New Roman" w:hAnsi="Times New Roman" w:cs="Times New Roman"/>
          <w:sz w:val="24"/>
          <w:szCs w:val="24"/>
        </w:rPr>
        <w:t>NPV</w:t>
      </w:r>
      <w:r w:rsidRPr="008523A0">
        <w:rPr>
          <w:rFonts w:ascii="Times New Roman" w:eastAsia="Times New Roman" w:hAnsi="Times New Roman" w:cs="Times New Roman"/>
          <w:sz w:val="24"/>
          <w:szCs w:val="24"/>
          <w:lang w:val="ru-RU"/>
        </w:rPr>
        <w:t>, което показва загуби при бездействие.</w:t>
      </w:r>
    </w:p>
    <w:p w14:paraId="1C9CA120" w14:textId="3910FD86" w:rsidR="00CB0A97" w:rsidRPr="00201156" w:rsidRDefault="00CB0A97" w:rsidP="00CB0A97">
      <w:pPr>
        <w:spacing w:after="0" w:line="240" w:lineRule="auto"/>
        <w:ind w:firstLine="567"/>
        <w:jc w:val="both"/>
        <w:rPr>
          <w:rFonts w:ascii="Times New Roman" w:eastAsia="Times New Roman" w:hAnsi="Times New Roman" w:cs="Times New Roman"/>
          <w:sz w:val="24"/>
          <w:szCs w:val="24"/>
          <w:lang w:val="ru-RU"/>
        </w:rPr>
      </w:pPr>
      <w:r w:rsidRPr="00201156">
        <w:rPr>
          <w:rFonts w:ascii="Times New Roman" w:eastAsia="Times New Roman" w:hAnsi="Times New Roman" w:cs="Times New Roman"/>
          <w:sz w:val="24"/>
          <w:szCs w:val="24"/>
          <w:lang w:val="ru-RU"/>
        </w:rPr>
        <w:t xml:space="preserve">Анализът показва ясно, че </w:t>
      </w:r>
      <w:r w:rsidRPr="00201156">
        <w:rPr>
          <w:rFonts w:ascii="Times New Roman" w:eastAsia="Times New Roman" w:hAnsi="Times New Roman" w:cs="Times New Roman"/>
          <w:bCs/>
          <w:sz w:val="24"/>
          <w:szCs w:val="24"/>
          <w:lang w:val="ru-RU"/>
        </w:rPr>
        <w:t>Вариант 3: „Регулаторен – изцяло нов специален закон“</w:t>
      </w:r>
      <w:r w:rsidRPr="00201156">
        <w:rPr>
          <w:rFonts w:ascii="Times New Roman" w:eastAsia="Times New Roman" w:hAnsi="Times New Roman" w:cs="Times New Roman"/>
          <w:bCs/>
          <w:sz w:val="24"/>
          <w:szCs w:val="24"/>
        </w:rPr>
        <w:t xml:space="preserve"> </w:t>
      </w:r>
      <w:r w:rsidRPr="00201156">
        <w:rPr>
          <w:rFonts w:ascii="Times New Roman" w:eastAsia="Times New Roman" w:hAnsi="Times New Roman" w:cs="Times New Roman"/>
          <w:bCs/>
          <w:sz w:val="24"/>
          <w:szCs w:val="24"/>
          <w:lang w:val="ru-RU"/>
        </w:rPr>
        <w:t>е най-благоприятен в нетно изражение</w:t>
      </w:r>
      <w:r w:rsidR="001A57D8">
        <w:rPr>
          <w:rFonts w:ascii="Times New Roman" w:eastAsia="Times New Roman" w:hAnsi="Times New Roman" w:cs="Times New Roman"/>
          <w:sz w:val="24"/>
          <w:szCs w:val="24"/>
          <w:lang w:val="ru-RU"/>
        </w:rPr>
        <w:t>. Т</w:t>
      </w:r>
      <w:r w:rsidRPr="00201156">
        <w:rPr>
          <w:rFonts w:ascii="Times New Roman" w:eastAsia="Times New Roman" w:hAnsi="Times New Roman" w:cs="Times New Roman"/>
          <w:sz w:val="24"/>
          <w:szCs w:val="24"/>
          <w:lang w:val="ru-RU"/>
        </w:rPr>
        <w:t xml:space="preserve">ой постига </w:t>
      </w:r>
      <w:r w:rsidRPr="00201156">
        <w:rPr>
          <w:rFonts w:ascii="Times New Roman" w:eastAsia="Times New Roman" w:hAnsi="Times New Roman" w:cs="Times New Roman"/>
          <w:bCs/>
          <w:sz w:val="24"/>
          <w:szCs w:val="24"/>
          <w:lang w:val="ru-RU"/>
        </w:rPr>
        <w:t>най-голяма нетна настояща стойност</w:t>
      </w:r>
      <w:r w:rsidRPr="00201156">
        <w:rPr>
          <w:rFonts w:ascii="Times New Roman" w:eastAsia="Times New Roman" w:hAnsi="Times New Roman" w:cs="Times New Roman"/>
          <w:sz w:val="24"/>
          <w:szCs w:val="24"/>
          <w:lang w:val="ru-RU"/>
        </w:rPr>
        <w:t xml:space="preserve"> (над </w:t>
      </w:r>
      <w:r w:rsidR="006A55EA">
        <w:rPr>
          <w:rFonts w:ascii="Times New Roman" w:eastAsia="Times New Roman" w:hAnsi="Times New Roman" w:cs="Times New Roman"/>
          <w:sz w:val="24"/>
          <w:szCs w:val="24"/>
          <w:lang w:val="ru-RU"/>
        </w:rPr>
        <w:t>2</w:t>
      </w:r>
      <w:r w:rsidRPr="00201156">
        <w:rPr>
          <w:rFonts w:ascii="Times New Roman" w:eastAsia="Times New Roman" w:hAnsi="Times New Roman" w:cs="Times New Roman"/>
          <w:sz w:val="24"/>
          <w:szCs w:val="24"/>
          <w:lang w:val="ru-RU"/>
        </w:rPr>
        <w:t>0</w:t>
      </w:r>
      <w:r w:rsidR="006A55EA">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lang w:val="ru-RU"/>
        </w:rPr>
        <w:t xml:space="preserve"> </w:t>
      </w:r>
      <w:r w:rsidRPr="00201156">
        <w:rPr>
          <w:rFonts w:ascii="Times New Roman" w:eastAsia="Times New Roman" w:hAnsi="Times New Roman" w:cs="Times New Roman"/>
          <w:sz w:val="24"/>
          <w:szCs w:val="24"/>
          <w:lang w:val="ru-RU"/>
        </w:rPr>
        <w:t>млн. лв. за 5</w:t>
      </w:r>
      <w:r w:rsidRPr="00201156">
        <w:rPr>
          <w:rFonts w:ascii="Times New Roman" w:eastAsia="Times New Roman" w:hAnsi="Times New Roman" w:cs="Times New Roman"/>
          <w:sz w:val="24"/>
          <w:szCs w:val="24"/>
        </w:rPr>
        <w:t> </w:t>
      </w:r>
      <w:r w:rsidRPr="00201156">
        <w:rPr>
          <w:rFonts w:ascii="Times New Roman" w:eastAsia="Times New Roman" w:hAnsi="Times New Roman" w:cs="Times New Roman"/>
          <w:sz w:val="24"/>
          <w:szCs w:val="24"/>
          <w:lang w:val="ru-RU"/>
        </w:rPr>
        <w:t>години) и много добра ефективност (</w:t>
      </w:r>
      <w:r w:rsidR="006A55EA">
        <w:rPr>
          <w:rFonts w:ascii="Times New Roman" w:eastAsia="Times New Roman" w:hAnsi="Times New Roman" w:cs="Times New Roman"/>
          <w:sz w:val="24"/>
          <w:szCs w:val="24"/>
          <w:lang w:val="ru-RU"/>
        </w:rPr>
        <w:t>около</w:t>
      </w:r>
      <w:r w:rsidRPr="00201156">
        <w:rPr>
          <w:rFonts w:ascii="Times New Roman" w:eastAsia="Times New Roman" w:hAnsi="Times New Roman" w:cs="Times New Roman"/>
          <w:sz w:val="24"/>
          <w:szCs w:val="24"/>
          <w:lang w:val="ru-RU"/>
        </w:rPr>
        <w:t xml:space="preserve"> </w:t>
      </w:r>
      <w:r w:rsidRPr="00201156">
        <w:rPr>
          <w:rFonts w:ascii="Times New Roman" w:eastAsia="Times New Roman" w:hAnsi="Times New Roman" w:cs="Times New Roman"/>
          <w:bCs/>
          <w:sz w:val="24"/>
          <w:szCs w:val="24"/>
        </w:rPr>
        <w:t>8</w:t>
      </w:r>
      <w:r w:rsidRPr="00201156">
        <w:rPr>
          <w:rFonts w:ascii="Times New Roman" w:eastAsia="Times New Roman" w:hAnsi="Times New Roman" w:cs="Times New Roman"/>
          <w:sz w:val="24"/>
          <w:szCs w:val="24"/>
          <w:lang w:val="ru-RU"/>
        </w:rPr>
        <w:t xml:space="preserve"> лв. полза за всеки 1 лв. разход). </w:t>
      </w:r>
      <w:r w:rsidRPr="00201156">
        <w:rPr>
          <w:rFonts w:ascii="Times New Roman" w:eastAsia="Times New Roman" w:hAnsi="Times New Roman" w:cs="Times New Roman"/>
          <w:bCs/>
          <w:sz w:val="24"/>
          <w:szCs w:val="24"/>
          <w:lang w:val="ru-RU"/>
        </w:rPr>
        <w:t>Вариант</w:t>
      </w:r>
      <w:r w:rsidRPr="00201156">
        <w:rPr>
          <w:rFonts w:ascii="Times New Roman" w:eastAsia="Times New Roman" w:hAnsi="Times New Roman" w:cs="Times New Roman"/>
          <w:bCs/>
          <w:sz w:val="24"/>
          <w:szCs w:val="24"/>
        </w:rPr>
        <w:t> </w:t>
      </w:r>
      <w:r w:rsidRPr="00201156">
        <w:rPr>
          <w:rFonts w:ascii="Times New Roman" w:eastAsia="Times New Roman" w:hAnsi="Times New Roman" w:cs="Times New Roman"/>
          <w:bCs/>
          <w:sz w:val="24"/>
          <w:szCs w:val="24"/>
          <w:lang w:val="ru-RU"/>
        </w:rPr>
        <w:t>2</w:t>
      </w:r>
      <w:r w:rsidRPr="00201156">
        <w:rPr>
          <w:rFonts w:ascii="Times New Roman" w:eastAsia="Times New Roman" w:hAnsi="Times New Roman" w:cs="Times New Roman"/>
          <w:sz w:val="24"/>
          <w:szCs w:val="24"/>
          <w:lang w:val="ru-RU"/>
        </w:rPr>
        <w:t xml:space="preserve"> също има висок </w:t>
      </w:r>
      <w:r w:rsidRPr="00201156">
        <w:rPr>
          <w:rFonts w:ascii="Times New Roman" w:eastAsia="Times New Roman" w:hAnsi="Times New Roman" w:cs="Times New Roman"/>
          <w:sz w:val="24"/>
          <w:szCs w:val="24"/>
        </w:rPr>
        <w:t>NPV</w:t>
      </w:r>
      <w:r w:rsidRPr="00201156">
        <w:rPr>
          <w:rFonts w:ascii="Times New Roman" w:eastAsia="Times New Roman" w:hAnsi="Times New Roman" w:cs="Times New Roman"/>
          <w:sz w:val="24"/>
          <w:szCs w:val="24"/>
          <w:lang w:val="ru-RU"/>
        </w:rPr>
        <w:t xml:space="preserve"> (около 92,6 млн. лв.), но реализира приблизително на половина по-малка обща полза от </w:t>
      </w:r>
      <w:r w:rsidR="00A00153" w:rsidRPr="00201156">
        <w:rPr>
          <w:rFonts w:ascii="Times New Roman" w:eastAsia="Times New Roman" w:hAnsi="Times New Roman" w:cs="Times New Roman"/>
          <w:sz w:val="24"/>
          <w:szCs w:val="24"/>
          <w:lang w:val="ru-RU"/>
        </w:rPr>
        <w:t>Вариант</w:t>
      </w:r>
      <w:r w:rsidR="00A00153" w:rsidRPr="00201156">
        <w:rPr>
          <w:rFonts w:ascii="Times New Roman" w:eastAsia="Times New Roman" w:hAnsi="Times New Roman" w:cs="Times New Roman"/>
          <w:sz w:val="24"/>
          <w:szCs w:val="24"/>
        </w:rPr>
        <w:t> </w:t>
      </w:r>
      <w:r w:rsidRPr="00201156">
        <w:rPr>
          <w:rFonts w:ascii="Times New Roman" w:eastAsia="Times New Roman" w:hAnsi="Times New Roman" w:cs="Times New Roman"/>
          <w:sz w:val="24"/>
          <w:szCs w:val="24"/>
          <w:lang w:val="ru-RU"/>
        </w:rPr>
        <w:t xml:space="preserve">3. </w:t>
      </w:r>
      <w:r w:rsidRPr="00201156">
        <w:rPr>
          <w:rFonts w:ascii="Times New Roman" w:eastAsia="Times New Roman" w:hAnsi="Times New Roman" w:cs="Times New Roman"/>
          <w:bCs/>
          <w:sz w:val="24"/>
          <w:szCs w:val="24"/>
          <w:lang w:val="ru-RU"/>
        </w:rPr>
        <w:t>Вариант</w:t>
      </w:r>
      <w:r w:rsidRPr="00201156">
        <w:rPr>
          <w:rFonts w:ascii="Times New Roman" w:eastAsia="Times New Roman" w:hAnsi="Times New Roman" w:cs="Times New Roman"/>
          <w:bCs/>
          <w:sz w:val="24"/>
          <w:szCs w:val="24"/>
        </w:rPr>
        <w:t> </w:t>
      </w:r>
      <w:r w:rsidRPr="00201156">
        <w:rPr>
          <w:rFonts w:ascii="Times New Roman" w:eastAsia="Times New Roman" w:hAnsi="Times New Roman" w:cs="Times New Roman"/>
          <w:bCs/>
          <w:sz w:val="24"/>
          <w:szCs w:val="24"/>
          <w:lang w:val="ru-RU"/>
        </w:rPr>
        <w:t>1</w:t>
      </w:r>
      <w:r w:rsidRPr="00201156">
        <w:rPr>
          <w:rFonts w:ascii="Times New Roman" w:eastAsia="Times New Roman" w:hAnsi="Times New Roman" w:cs="Times New Roman"/>
          <w:sz w:val="24"/>
          <w:szCs w:val="24"/>
          <w:lang w:val="ru-RU"/>
        </w:rPr>
        <w:t xml:space="preserve"> практически не носи съществени ползи (</w:t>
      </w:r>
      <w:r w:rsidRPr="00201156">
        <w:rPr>
          <w:rFonts w:ascii="Times New Roman" w:eastAsia="Times New Roman" w:hAnsi="Times New Roman" w:cs="Times New Roman"/>
          <w:sz w:val="24"/>
          <w:szCs w:val="24"/>
        </w:rPr>
        <w:t>NPV</w:t>
      </w:r>
      <w:r w:rsidRPr="00201156">
        <w:rPr>
          <w:rFonts w:ascii="Times New Roman" w:eastAsia="Times New Roman" w:hAnsi="Times New Roman" w:cs="Times New Roman"/>
          <w:sz w:val="24"/>
          <w:szCs w:val="24"/>
          <w:lang w:val="ru-RU"/>
        </w:rPr>
        <w:t xml:space="preserve"> около 23 млн. лв. е много под потенциала), въпреки че не изисква ресурс. </w:t>
      </w:r>
      <w:r w:rsidRPr="00201156">
        <w:rPr>
          <w:rFonts w:ascii="Times New Roman" w:eastAsia="Times New Roman" w:hAnsi="Times New Roman" w:cs="Times New Roman"/>
          <w:bCs/>
          <w:sz w:val="24"/>
          <w:szCs w:val="24"/>
          <w:lang w:val="ru-RU"/>
        </w:rPr>
        <w:t>Вариант</w:t>
      </w:r>
      <w:r w:rsidRPr="00201156">
        <w:rPr>
          <w:rFonts w:ascii="Times New Roman" w:eastAsia="Times New Roman" w:hAnsi="Times New Roman" w:cs="Times New Roman"/>
          <w:bCs/>
          <w:sz w:val="24"/>
          <w:szCs w:val="24"/>
        </w:rPr>
        <w:t> </w:t>
      </w:r>
      <w:r w:rsidRPr="00201156">
        <w:rPr>
          <w:rFonts w:ascii="Times New Roman" w:eastAsia="Times New Roman" w:hAnsi="Times New Roman" w:cs="Times New Roman"/>
          <w:bCs/>
          <w:sz w:val="24"/>
          <w:szCs w:val="24"/>
          <w:lang w:val="ru-RU"/>
        </w:rPr>
        <w:t>0</w:t>
      </w:r>
      <w:r w:rsidRPr="00201156">
        <w:rPr>
          <w:rFonts w:ascii="Times New Roman" w:eastAsia="Times New Roman" w:hAnsi="Times New Roman" w:cs="Times New Roman"/>
          <w:sz w:val="24"/>
          <w:szCs w:val="24"/>
          <w:lang w:val="ru-RU"/>
        </w:rPr>
        <w:t xml:space="preserve"> води до големи обществени загуби и не е приемлив.</w:t>
      </w:r>
    </w:p>
    <w:p w14:paraId="3FDE1C9F" w14:textId="2C96FB9C" w:rsidR="00CB0A97" w:rsidRPr="00201156" w:rsidRDefault="00CB0A97" w:rsidP="00CB0A97">
      <w:pPr>
        <w:spacing w:after="0" w:line="240" w:lineRule="auto"/>
        <w:ind w:firstLine="567"/>
        <w:jc w:val="both"/>
        <w:rPr>
          <w:rFonts w:ascii="Times New Roman" w:eastAsia="Times New Roman" w:hAnsi="Times New Roman" w:cs="Times New Roman"/>
          <w:sz w:val="24"/>
          <w:szCs w:val="24"/>
          <w:lang w:val="ru-RU"/>
        </w:rPr>
      </w:pPr>
      <w:r w:rsidRPr="00201156">
        <w:rPr>
          <w:rFonts w:ascii="Times New Roman" w:eastAsia="Times New Roman" w:hAnsi="Times New Roman" w:cs="Times New Roman"/>
          <w:sz w:val="24"/>
          <w:szCs w:val="24"/>
          <w:lang w:val="ru-RU"/>
        </w:rPr>
        <w:t xml:space="preserve">Ключовият показател </w:t>
      </w:r>
      <w:r w:rsidRPr="00201156">
        <w:rPr>
          <w:rFonts w:ascii="Times New Roman" w:eastAsia="Times New Roman" w:hAnsi="Times New Roman" w:cs="Times New Roman"/>
          <w:bCs/>
          <w:sz w:val="24"/>
          <w:szCs w:val="24"/>
          <w:lang w:val="ru-RU"/>
        </w:rPr>
        <w:t xml:space="preserve">коефициент </w:t>
      </w:r>
      <w:r w:rsidRPr="00201156">
        <w:rPr>
          <w:rFonts w:ascii="Times New Roman" w:eastAsia="Times New Roman" w:hAnsi="Times New Roman" w:cs="Times New Roman"/>
          <w:bCs/>
          <w:sz w:val="24"/>
          <w:szCs w:val="24"/>
        </w:rPr>
        <w:t>AVB</w:t>
      </w:r>
      <w:r w:rsidRPr="00201156">
        <w:rPr>
          <w:rFonts w:ascii="Times New Roman" w:eastAsia="Times New Roman" w:hAnsi="Times New Roman" w:cs="Times New Roman"/>
          <w:bCs/>
          <w:sz w:val="24"/>
          <w:szCs w:val="24"/>
          <w:lang w:val="ru-RU"/>
        </w:rPr>
        <w:t>/</w:t>
      </w:r>
      <w:r w:rsidRPr="00201156">
        <w:rPr>
          <w:rFonts w:ascii="Times New Roman" w:eastAsia="Times New Roman" w:hAnsi="Times New Roman" w:cs="Times New Roman"/>
          <w:bCs/>
          <w:sz w:val="24"/>
          <w:szCs w:val="24"/>
        </w:rPr>
        <w:t>AVC</w:t>
      </w:r>
      <w:r w:rsidRPr="00201156">
        <w:rPr>
          <w:rFonts w:ascii="Times New Roman" w:eastAsia="Times New Roman" w:hAnsi="Times New Roman" w:cs="Times New Roman"/>
          <w:sz w:val="24"/>
          <w:szCs w:val="24"/>
          <w:lang w:val="ru-RU"/>
        </w:rPr>
        <w:t xml:space="preserve"> е над 1 за всички варианти с намеса, като специално за Вариант</w:t>
      </w:r>
      <w:r w:rsidRPr="00201156">
        <w:rPr>
          <w:rFonts w:ascii="Times New Roman" w:eastAsia="Times New Roman" w:hAnsi="Times New Roman" w:cs="Times New Roman"/>
          <w:sz w:val="24"/>
          <w:szCs w:val="24"/>
        </w:rPr>
        <w:t> </w:t>
      </w:r>
      <w:r w:rsidRPr="00201156">
        <w:rPr>
          <w:rFonts w:ascii="Times New Roman" w:eastAsia="Times New Roman" w:hAnsi="Times New Roman" w:cs="Times New Roman"/>
          <w:sz w:val="24"/>
          <w:szCs w:val="24"/>
          <w:lang w:val="ru-RU"/>
        </w:rPr>
        <w:t xml:space="preserve">3 той е </w:t>
      </w:r>
      <w:r w:rsidRPr="00201156">
        <w:rPr>
          <w:rFonts w:ascii="Times New Roman" w:eastAsia="Times New Roman" w:hAnsi="Times New Roman" w:cs="Times New Roman"/>
          <w:bCs/>
          <w:sz w:val="24"/>
          <w:szCs w:val="24"/>
          <w:lang w:val="ru-RU"/>
        </w:rPr>
        <w:t>около 8</w:t>
      </w:r>
      <w:r w:rsidRPr="00201156">
        <w:rPr>
          <w:rFonts w:ascii="Times New Roman" w:eastAsia="Times New Roman" w:hAnsi="Times New Roman" w:cs="Times New Roman"/>
          <w:sz w:val="24"/>
          <w:szCs w:val="24"/>
          <w:lang w:val="ru-RU"/>
        </w:rPr>
        <w:t>, което показва висока икономическа възвръщаемост. При Вариант</w:t>
      </w:r>
      <w:r w:rsidRPr="00201156">
        <w:rPr>
          <w:rFonts w:ascii="Times New Roman" w:eastAsia="Times New Roman" w:hAnsi="Times New Roman" w:cs="Times New Roman"/>
          <w:sz w:val="24"/>
          <w:szCs w:val="24"/>
        </w:rPr>
        <w:t> </w:t>
      </w:r>
      <w:r w:rsidRPr="00201156">
        <w:rPr>
          <w:rFonts w:ascii="Times New Roman" w:eastAsia="Times New Roman" w:hAnsi="Times New Roman" w:cs="Times New Roman"/>
          <w:sz w:val="24"/>
          <w:szCs w:val="24"/>
          <w:lang w:val="ru-RU"/>
        </w:rPr>
        <w:t>2 и 1 този коефициент формално е изключително голям (поради нищожните разходи), но трябва</w:t>
      </w:r>
      <w:r w:rsidR="00A00153">
        <w:rPr>
          <w:rFonts w:ascii="Times New Roman" w:eastAsia="Times New Roman" w:hAnsi="Times New Roman" w:cs="Times New Roman"/>
          <w:sz w:val="24"/>
          <w:szCs w:val="24"/>
          <w:lang w:val="ru-RU"/>
        </w:rPr>
        <w:t xml:space="preserve"> да се интерпретира предпазливо.</w:t>
      </w:r>
      <w:r w:rsidRPr="00201156">
        <w:rPr>
          <w:rFonts w:ascii="Times New Roman" w:eastAsia="Times New Roman" w:hAnsi="Times New Roman" w:cs="Times New Roman"/>
          <w:sz w:val="24"/>
          <w:szCs w:val="24"/>
          <w:lang w:val="ru-RU"/>
        </w:rPr>
        <w:t xml:space="preserve"> </w:t>
      </w:r>
      <w:r w:rsidRPr="00201156">
        <w:rPr>
          <w:rFonts w:ascii="Times New Roman" w:eastAsia="Times New Roman" w:hAnsi="Times New Roman" w:cs="Times New Roman"/>
          <w:bCs/>
          <w:sz w:val="24"/>
          <w:szCs w:val="24"/>
          <w:lang w:val="ru-RU"/>
        </w:rPr>
        <w:t>Вариант</w:t>
      </w:r>
      <w:r w:rsidRPr="00201156">
        <w:rPr>
          <w:rFonts w:ascii="Times New Roman" w:eastAsia="Times New Roman" w:hAnsi="Times New Roman" w:cs="Times New Roman"/>
          <w:bCs/>
          <w:sz w:val="24"/>
          <w:szCs w:val="24"/>
        </w:rPr>
        <w:t> </w:t>
      </w:r>
      <w:r w:rsidRPr="00201156">
        <w:rPr>
          <w:rFonts w:ascii="Times New Roman" w:eastAsia="Times New Roman" w:hAnsi="Times New Roman" w:cs="Times New Roman"/>
          <w:bCs/>
          <w:sz w:val="24"/>
          <w:szCs w:val="24"/>
          <w:lang w:val="ru-RU"/>
        </w:rPr>
        <w:t>2 и 1, макар и „евтини“, не решават проблема в необходимата степен</w:t>
      </w:r>
      <w:r w:rsidRPr="00201156">
        <w:rPr>
          <w:rFonts w:ascii="Times New Roman" w:eastAsia="Times New Roman" w:hAnsi="Times New Roman" w:cs="Times New Roman"/>
          <w:sz w:val="24"/>
          <w:szCs w:val="24"/>
          <w:lang w:val="ru-RU"/>
        </w:rPr>
        <w:t xml:space="preserve">. За политиката е от значение </w:t>
      </w:r>
      <w:r w:rsidRPr="00201156">
        <w:rPr>
          <w:rFonts w:ascii="Times New Roman" w:eastAsia="Times New Roman" w:hAnsi="Times New Roman" w:cs="Times New Roman"/>
          <w:bCs/>
          <w:sz w:val="24"/>
          <w:szCs w:val="24"/>
          <w:lang w:val="ru-RU"/>
        </w:rPr>
        <w:t>размерът на ползите</w:t>
      </w:r>
      <w:r w:rsidRPr="00201156">
        <w:rPr>
          <w:rFonts w:ascii="Times New Roman" w:eastAsia="Times New Roman" w:hAnsi="Times New Roman" w:cs="Times New Roman"/>
          <w:sz w:val="24"/>
          <w:szCs w:val="24"/>
          <w:lang w:val="ru-RU"/>
        </w:rPr>
        <w:t>, не само съотношението. В това отношение</w:t>
      </w:r>
      <w:r w:rsidR="00F557F5">
        <w:rPr>
          <w:rFonts w:ascii="Times New Roman" w:eastAsia="Times New Roman" w:hAnsi="Times New Roman" w:cs="Times New Roman"/>
          <w:sz w:val="24"/>
          <w:szCs w:val="24"/>
          <w:lang w:val="ru-RU"/>
        </w:rPr>
        <w:t>,</w:t>
      </w:r>
      <w:r w:rsidRPr="00201156">
        <w:rPr>
          <w:rFonts w:ascii="Times New Roman" w:eastAsia="Times New Roman" w:hAnsi="Times New Roman" w:cs="Times New Roman"/>
          <w:sz w:val="24"/>
          <w:szCs w:val="24"/>
          <w:lang w:val="ru-RU"/>
        </w:rPr>
        <w:t xml:space="preserve"> </w:t>
      </w:r>
      <w:r w:rsidRPr="00201156">
        <w:rPr>
          <w:rFonts w:ascii="Times New Roman" w:eastAsia="Times New Roman" w:hAnsi="Times New Roman" w:cs="Times New Roman"/>
          <w:bCs/>
          <w:sz w:val="24"/>
          <w:szCs w:val="24"/>
          <w:lang w:val="ru-RU"/>
        </w:rPr>
        <w:t>Вариант</w:t>
      </w:r>
      <w:r w:rsidRPr="00201156">
        <w:rPr>
          <w:rFonts w:ascii="Times New Roman" w:eastAsia="Times New Roman" w:hAnsi="Times New Roman" w:cs="Times New Roman"/>
          <w:bCs/>
          <w:sz w:val="24"/>
          <w:szCs w:val="24"/>
        </w:rPr>
        <w:t> </w:t>
      </w:r>
      <w:r w:rsidRPr="00201156">
        <w:rPr>
          <w:rFonts w:ascii="Times New Roman" w:eastAsia="Times New Roman" w:hAnsi="Times New Roman" w:cs="Times New Roman"/>
          <w:bCs/>
          <w:sz w:val="24"/>
          <w:szCs w:val="24"/>
          <w:lang w:val="ru-RU"/>
        </w:rPr>
        <w:t xml:space="preserve">3 </w:t>
      </w:r>
      <w:r w:rsidR="001A57D8">
        <w:rPr>
          <w:rFonts w:ascii="Times New Roman" w:eastAsia="Times New Roman" w:hAnsi="Times New Roman" w:cs="Times New Roman"/>
          <w:bCs/>
          <w:sz w:val="24"/>
          <w:szCs w:val="24"/>
          <w:lang w:val="ru-RU"/>
        </w:rPr>
        <w:t xml:space="preserve">отново </w:t>
      </w:r>
      <w:r w:rsidRPr="00201156">
        <w:rPr>
          <w:rFonts w:ascii="Times New Roman" w:eastAsia="Times New Roman" w:hAnsi="Times New Roman" w:cs="Times New Roman"/>
          <w:bCs/>
          <w:sz w:val="24"/>
          <w:szCs w:val="24"/>
          <w:lang w:val="ru-RU"/>
        </w:rPr>
        <w:t>доминира</w:t>
      </w:r>
      <w:r w:rsidR="001A57D8">
        <w:rPr>
          <w:rFonts w:ascii="Times New Roman" w:eastAsia="Times New Roman" w:hAnsi="Times New Roman" w:cs="Times New Roman"/>
          <w:bCs/>
          <w:sz w:val="24"/>
          <w:szCs w:val="24"/>
          <w:lang w:val="ru-RU"/>
        </w:rPr>
        <w:t>. Т</w:t>
      </w:r>
      <w:r w:rsidRPr="00201156">
        <w:rPr>
          <w:rFonts w:ascii="Times New Roman" w:eastAsia="Times New Roman" w:hAnsi="Times New Roman" w:cs="Times New Roman"/>
          <w:bCs/>
          <w:sz w:val="24"/>
          <w:szCs w:val="24"/>
          <w:lang w:val="ru-RU"/>
        </w:rPr>
        <w:t>ой носи най-голям годишен обществен доход (</w:t>
      </w:r>
      <w:r w:rsidR="006A55EA">
        <w:rPr>
          <w:rFonts w:ascii="Times New Roman" w:eastAsia="Times New Roman" w:hAnsi="Times New Roman" w:cs="Times New Roman"/>
          <w:bCs/>
          <w:sz w:val="24"/>
          <w:szCs w:val="24"/>
          <w:lang w:val="ru-RU"/>
        </w:rPr>
        <w:t>над</w:t>
      </w:r>
      <w:r w:rsidRPr="00201156">
        <w:rPr>
          <w:rFonts w:ascii="Times New Roman" w:eastAsia="Times New Roman" w:hAnsi="Times New Roman" w:cs="Times New Roman"/>
          <w:bCs/>
          <w:sz w:val="24"/>
          <w:szCs w:val="24"/>
          <w:lang w:val="ru-RU"/>
        </w:rPr>
        <w:t xml:space="preserve"> 4</w:t>
      </w:r>
      <w:r w:rsidR="009F2D8D">
        <w:rPr>
          <w:rFonts w:ascii="Times New Roman" w:eastAsia="Times New Roman" w:hAnsi="Times New Roman" w:cs="Times New Roman"/>
          <w:bCs/>
          <w:sz w:val="24"/>
          <w:szCs w:val="24"/>
          <w:lang w:val="ru-RU"/>
        </w:rPr>
        <w:t>6</w:t>
      </w:r>
      <w:r w:rsidRPr="00201156">
        <w:rPr>
          <w:rFonts w:ascii="Times New Roman" w:eastAsia="Times New Roman" w:hAnsi="Times New Roman" w:cs="Times New Roman"/>
          <w:bCs/>
          <w:sz w:val="24"/>
          <w:szCs w:val="24"/>
          <w:lang w:val="ru-RU"/>
        </w:rPr>
        <w:t xml:space="preserve"> млн. лв)</w:t>
      </w:r>
      <w:r w:rsidRPr="00201156">
        <w:rPr>
          <w:rFonts w:ascii="Times New Roman" w:eastAsia="Times New Roman" w:hAnsi="Times New Roman" w:cs="Times New Roman"/>
          <w:sz w:val="24"/>
          <w:szCs w:val="24"/>
          <w:lang w:val="ru-RU"/>
        </w:rPr>
        <w:t>, докато Вариант</w:t>
      </w:r>
      <w:r w:rsidRPr="00201156">
        <w:rPr>
          <w:rFonts w:ascii="Times New Roman" w:eastAsia="Times New Roman" w:hAnsi="Times New Roman" w:cs="Times New Roman"/>
          <w:sz w:val="24"/>
          <w:szCs w:val="24"/>
        </w:rPr>
        <w:t> </w:t>
      </w:r>
      <w:r w:rsidRPr="00201156">
        <w:rPr>
          <w:rFonts w:ascii="Times New Roman" w:eastAsia="Times New Roman" w:hAnsi="Times New Roman" w:cs="Times New Roman"/>
          <w:sz w:val="24"/>
          <w:szCs w:val="24"/>
          <w:lang w:val="ru-RU"/>
        </w:rPr>
        <w:t>2 – средни ползи (около 20 млн. лв./год.), а Вариант</w:t>
      </w:r>
      <w:r w:rsidRPr="00201156">
        <w:rPr>
          <w:rFonts w:ascii="Times New Roman" w:eastAsia="Times New Roman" w:hAnsi="Times New Roman" w:cs="Times New Roman"/>
          <w:sz w:val="24"/>
          <w:szCs w:val="24"/>
        </w:rPr>
        <w:t> </w:t>
      </w:r>
      <w:r w:rsidRPr="00201156">
        <w:rPr>
          <w:rFonts w:ascii="Times New Roman" w:eastAsia="Times New Roman" w:hAnsi="Times New Roman" w:cs="Times New Roman"/>
          <w:sz w:val="24"/>
          <w:szCs w:val="24"/>
          <w:lang w:val="ru-RU"/>
        </w:rPr>
        <w:t>1 – минимални (около 5 млн. лв./год.).</w:t>
      </w:r>
    </w:p>
    <w:p w14:paraId="46FCCAFD" w14:textId="77777777" w:rsidR="00CB0A97" w:rsidRPr="003A6F6E" w:rsidRDefault="00CB0A97" w:rsidP="00CB0A97">
      <w:pPr>
        <w:spacing w:after="0" w:line="240" w:lineRule="auto"/>
        <w:ind w:firstLine="567"/>
        <w:jc w:val="both"/>
        <w:rPr>
          <w:rFonts w:ascii="Times New Roman" w:eastAsia="Times New Roman" w:hAnsi="Times New Roman" w:cs="Times New Roman"/>
          <w:sz w:val="24"/>
          <w:szCs w:val="24"/>
          <w:lang w:val="ru-RU"/>
        </w:rPr>
      </w:pPr>
      <w:r w:rsidRPr="003A6F6E">
        <w:rPr>
          <w:rFonts w:ascii="Times New Roman" w:eastAsia="Times New Roman" w:hAnsi="Times New Roman" w:cs="Times New Roman"/>
          <w:sz w:val="24"/>
          <w:szCs w:val="24"/>
          <w:lang w:val="ru-RU"/>
        </w:rPr>
        <w:t xml:space="preserve">На базата на анализа като </w:t>
      </w:r>
      <w:r w:rsidRPr="003A6F6E">
        <w:rPr>
          <w:rFonts w:ascii="Times New Roman" w:eastAsia="Times New Roman" w:hAnsi="Times New Roman" w:cs="Times New Roman"/>
          <w:bCs/>
          <w:sz w:val="24"/>
          <w:szCs w:val="24"/>
          <w:lang w:val="ru-RU"/>
        </w:rPr>
        <w:t>препоръчителен може да бъде посочен Вариант</w:t>
      </w:r>
      <w:r w:rsidRPr="003A6F6E">
        <w:rPr>
          <w:rFonts w:ascii="Times New Roman" w:eastAsia="Times New Roman" w:hAnsi="Times New Roman" w:cs="Times New Roman"/>
          <w:bCs/>
          <w:sz w:val="24"/>
          <w:szCs w:val="24"/>
        </w:rPr>
        <w:t> </w:t>
      </w:r>
      <w:r w:rsidRPr="003A6F6E">
        <w:rPr>
          <w:rFonts w:ascii="Times New Roman" w:eastAsia="Times New Roman" w:hAnsi="Times New Roman" w:cs="Times New Roman"/>
          <w:bCs/>
          <w:sz w:val="24"/>
          <w:szCs w:val="24"/>
          <w:lang w:val="ru-RU"/>
        </w:rPr>
        <w:t>3</w:t>
      </w:r>
      <w:r>
        <w:rPr>
          <w:rFonts w:ascii="Times New Roman" w:eastAsia="Times New Roman" w:hAnsi="Times New Roman" w:cs="Times New Roman"/>
          <w:bCs/>
          <w:sz w:val="24"/>
          <w:szCs w:val="24"/>
          <w:lang w:val="ru-RU"/>
        </w:rPr>
        <w:t xml:space="preserve">: </w:t>
      </w:r>
      <w:r w:rsidRPr="003A6F6E">
        <w:rPr>
          <w:rFonts w:ascii="Times New Roman" w:eastAsia="Times New Roman" w:hAnsi="Times New Roman" w:cs="Times New Roman"/>
          <w:bCs/>
          <w:sz w:val="24"/>
          <w:szCs w:val="24"/>
          <w:lang w:val="ru-RU"/>
        </w:rPr>
        <w:t>„Регулаторен – изцяло нов специален закон“</w:t>
      </w:r>
      <w:r w:rsidRPr="003A6F6E">
        <w:rPr>
          <w:rFonts w:ascii="Times New Roman" w:eastAsia="Times New Roman" w:hAnsi="Times New Roman" w:cs="Times New Roman"/>
          <w:sz w:val="24"/>
          <w:szCs w:val="24"/>
          <w:lang w:val="ru-RU"/>
        </w:rPr>
        <w:t>.</w:t>
      </w:r>
      <w:r w:rsidRPr="008523A0">
        <w:rPr>
          <w:rFonts w:ascii="Times New Roman" w:eastAsia="Times New Roman" w:hAnsi="Times New Roman" w:cs="Times New Roman"/>
          <w:sz w:val="24"/>
          <w:szCs w:val="24"/>
          <w:lang w:val="ru-RU"/>
        </w:rPr>
        <w:t xml:space="preserve"> </w:t>
      </w:r>
      <w:r w:rsidRPr="003A6F6E">
        <w:rPr>
          <w:rFonts w:ascii="Times New Roman" w:eastAsia="Times New Roman" w:hAnsi="Times New Roman" w:cs="Times New Roman"/>
          <w:sz w:val="24"/>
          <w:szCs w:val="24"/>
          <w:lang w:val="ru-RU"/>
        </w:rPr>
        <w:t xml:space="preserve">Той предоставя най-добра комбинация от високи ползи и оправдани разходи, като </w:t>
      </w:r>
      <w:r w:rsidRPr="003A6F6E">
        <w:rPr>
          <w:rFonts w:ascii="Times New Roman" w:eastAsia="Times New Roman" w:hAnsi="Times New Roman" w:cs="Times New Roman"/>
          <w:bCs/>
          <w:sz w:val="24"/>
          <w:szCs w:val="24"/>
          <w:lang w:val="ru-RU"/>
        </w:rPr>
        <w:t>максимизира положителния ефект за най-уязвимите участници по веригата на доставки, каквито са земеделските производители и малкия бизнес</w:t>
      </w:r>
      <w:r w:rsidRPr="003A6F6E">
        <w:rPr>
          <w:rFonts w:ascii="Times New Roman" w:eastAsia="Times New Roman" w:hAnsi="Times New Roman" w:cs="Times New Roman"/>
          <w:sz w:val="24"/>
          <w:szCs w:val="24"/>
          <w:lang w:val="ru-RU"/>
        </w:rPr>
        <w:t>. Вариант</w:t>
      </w:r>
      <w:r w:rsidRPr="003A6F6E">
        <w:rPr>
          <w:rFonts w:ascii="Times New Roman" w:eastAsia="Times New Roman" w:hAnsi="Times New Roman" w:cs="Times New Roman"/>
          <w:sz w:val="24"/>
          <w:szCs w:val="24"/>
        </w:rPr>
        <w:t> </w:t>
      </w:r>
      <w:r w:rsidRPr="003A6F6E">
        <w:rPr>
          <w:rFonts w:ascii="Times New Roman" w:eastAsia="Times New Roman" w:hAnsi="Times New Roman" w:cs="Times New Roman"/>
          <w:sz w:val="24"/>
          <w:szCs w:val="24"/>
          <w:lang w:val="ru-RU"/>
        </w:rPr>
        <w:t>3 най-пълно постига целите за прозрачност, проследимост и равнопоставеност по веригата на доставки, съответно допринася оптимално към икономическите и социални приоритети (</w:t>
      </w:r>
      <w:r>
        <w:rPr>
          <w:rFonts w:ascii="Times New Roman" w:eastAsia="Times New Roman" w:hAnsi="Times New Roman" w:cs="Times New Roman"/>
          <w:sz w:val="24"/>
          <w:szCs w:val="24"/>
          <w:lang w:val="ru-RU"/>
        </w:rPr>
        <w:t>подпомагане на земеделските производители</w:t>
      </w:r>
      <w:r w:rsidRPr="003A6F6E">
        <w:rPr>
          <w:rFonts w:ascii="Times New Roman" w:eastAsia="Times New Roman" w:hAnsi="Times New Roman" w:cs="Times New Roman"/>
          <w:sz w:val="24"/>
          <w:szCs w:val="24"/>
          <w:lang w:val="ru-RU"/>
        </w:rPr>
        <w:t>, продоволствена сигурност, устойчива търговия).</w:t>
      </w:r>
    </w:p>
    <w:p w14:paraId="6B0433D5" w14:textId="77777777" w:rsidR="00CB0A97" w:rsidRPr="003A6F6E" w:rsidRDefault="00CB0A97" w:rsidP="00CB0A97">
      <w:pPr>
        <w:spacing w:after="0" w:line="240" w:lineRule="auto"/>
        <w:ind w:firstLine="567"/>
        <w:jc w:val="both"/>
        <w:rPr>
          <w:rFonts w:ascii="Times New Roman" w:eastAsia="Times New Roman" w:hAnsi="Times New Roman" w:cs="Times New Roman"/>
          <w:sz w:val="24"/>
          <w:szCs w:val="24"/>
          <w:lang w:val="ru-RU"/>
        </w:rPr>
      </w:pPr>
      <w:r w:rsidRPr="003A6F6E">
        <w:rPr>
          <w:rFonts w:ascii="Times New Roman" w:eastAsia="Times New Roman" w:hAnsi="Times New Roman" w:cs="Times New Roman"/>
          <w:sz w:val="24"/>
          <w:szCs w:val="24"/>
          <w:lang w:val="ru-RU"/>
        </w:rPr>
        <w:t>Вариант 2: „Регулаторен - промени в действащата правна уредба“</w:t>
      </w:r>
      <w:r w:rsidRPr="003A6F6E">
        <w:rPr>
          <w:rFonts w:ascii="Times New Roman" w:eastAsia="Times New Roman" w:hAnsi="Times New Roman" w:cs="Times New Roman"/>
          <w:sz w:val="24"/>
          <w:szCs w:val="24"/>
        </w:rPr>
        <w:t xml:space="preserve"> </w:t>
      </w:r>
      <w:r w:rsidRPr="003A6F6E">
        <w:rPr>
          <w:rFonts w:ascii="Times New Roman" w:eastAsia="Times New Roman" w:hAnsi="Times New Roman" w:cs="Times New Roman"/>
          <w:sz w:val="24"/>
          <w:szCs w:val="24"/>
          <w:lang w:val="ru-RU"/>
        </w:rPr>
        <w:t xml:space="preserve">се откроява като </w:t>
      </w:r>
      <w:r w:rsidRPr="003A6F6E">
        <w:rPr>
          <w:rFonts w:ascii="Times New Roman" w:eastAsia="Times New Roman" w:hAnsi="Times New Roman" w:cs="Times New Roman"/>
          <w:bCs/>
          <w:sz w:val="24"/>
          <w:szCs w:val="24"/>
          <w:lang w:val="ru-RU"/>
        </w:rPr>
        <w:t>втора по резултат алтернатива</w:t>
      </w:r>
      <w:r w:rsidRPr="003A6F6E">
        <w:rPr>
          <w:rFonts w:ascii="Times New Roman" w:eastAsia="Times New Roman" w:hAnsi="Times New Roman" w:cs="Times New Roman"/>
          <w:sz w:val="24"/>
          <w:szCs w:val="24"/>
          <w:lang w:val="ru-RU"/>
        </w:rPr>
        <w:t xml:space="preserve">. Той е икономически изгоден, но </w:t>
      </w:r>
      <w:r w:rsidRPr="003A6F6E">
        <w:rPr>
          <w:rFonts w:ascii="Times New Roman" w:eastAsia="Times New Roman" w:hAnsi="Times New Roman" w:cs="Times New Roman"/>
          <w:bCs/>
          <w:sz w:val="24"/>
          <w:szCs w:val="24"/>
          <w:lang w:val="ru-RU"/>
        </w:rPr>
        <w:t>пропуска значителна част от потенциалните ползи</w:t>
      </w:r>
      <w:r w:rsidRPr="003A6F6E">
        <w:rPr>
          <w:rFonts w:ascii="Times New Roman" w:eastAsia="Times New Roman" w:hAnsi="Times New Roman" w:cs="Times New Roman"/>
          <w:sz w:val="24"/>
          <w:szCs w:val="24"/>
          <w:lang w:val="ru-RU"/>
        </w:rPr>
        <w:t>. Вариант 1: „Нерегулаторен“</w:t>
      </w:r>
      <w:r w:rsidRPr="003A6F6E">
        <w:rPr>
          <w:rFonts w:ascii="Times New Roman" w:eastAsia="Times New Roman" w:hAnsi="Times New Roman" w:cs="Times New Roman"/>
          <w:sz w:val="24"/>
          <w:szCs w:val="24"/>
        </w:rPr>
        <w:t xml:space="preserve"> </w:t>
      </w:r>
      <w:r w:rsidRPr="003A6F6E">
        <w:rPr>
          <w:rFonts w:ascii="Times New Roman" w:eastAsia="Times New Roman" w:hAnsi="Times New Roman" w:cs="Times New Roman"/>
          <w:sz w:val="24"/>
          <w:szCs w:val="24"/>
          <w:lang w:val="ru-RU"/>
        </w:rPr>
        <w:t>и Вариант 0: „Без действие“</w:t>
      </w:r>
      <w:r>
        <w:rPr>
          <w:rFonts w:ascii="Times New Roman" w:eastAsia="Times New Roman" w:hAnsi="Times New Roman" w:cs="Times New Roman"/>
          <w:sz w:val="24"/>
          <w:szCs w:val="24"/>
          <w:lang w:val="ru-RU"/>
        </w:rPr>
        <w:t xml:space="preserve"> </w:t>
      </w:r>
      <w:r w:rsidRPr="003A6F6E">
        <w:rPr>
          <w:rFonts w:ascii="Times New Roman" w:eastAsia="Times New Roman" w:hAnsi="Times New Roman" w:cs="Times New Roman"/>
          <w:sz w:val="24"/>
          <w:szCs w:val="24"/>
          <w:lang w:val="ru-RU"/>
        </w:rPr>
        <w:t xml:space="preserve">се класират далеч назад – първият поради </w:t>
      </w:r>
      <w:r w:rsidRPr="003A6F6E">
        <w:rPr>
          <w:rFonts w:ascii="Times New Roman" w:eastAsia="Times New Roman" w:hAnsi="Times New Roman" w:cs="Times New Roman"/>
          <w:bCs/>
          <w:sz w:val="24"/>
          <w:szCs w:val="24"/>
          <w:lang w:val="ru-RU"/>
        </w:rPr>
        <w:t>нисък ефект</w:t>
      </w:r>
      <w:r w:rsidRPr="003A6F6E">
        <w:rPr>
          <w:rFonts w:ascii="Times New Roman" w:eastAsia="Times New Roman" w:hAnsi="Times New Roman" w:cs="Times New Roman"/>
          <w:sz w:val="24"/>
          <w:szCs w:val="24"/>
          <w:lang w:val="ru-RU"/>
        </w:rPr>
        <w:t xml:space="preserve">, вторият поради </w:t>
      </w:r>
      <w:r w:rsidRPr="003A6F6E">
        <w:rPr>
          <w:rFonts w:ascii="Times New Roman" w:eastAsia="Times New Roman" w:hAnsi="Times New Roman" w:cs="Times New Roman"/>
          <w:bCs/>
          <w:sz w:val="24"/>
          <w:szCs w:val="24"/>
          <w:lang w:val="ru-RU"/>
        </w:rPr>
        <w:t>високите щети от бездействие</w:t>
      </w:r>
      <w:r w:rsidRPr="003A6F6E">
        <w:rPr>
          <w:rFonts w:ascii="Times New Roman" w:eastAsia="Times New Roman" w:hAnsi="Times New Roman" w:cs="Times New Roman"/>
          <w:sz w:val="24"/>
          <w:szCs w:val="24"/>
          <w:lang w:val="ru-RU"/>
        </w:rPr>
        <w:t>.</w:t>
      </w:r>
    </w:p>
    <w:p w14:paraId="1B45701C" w14:textId="18C29202" w:rsidR="00CB0A97" w:rsidRPr="003A6F6E" w:rsidRDefault="00CB0A97" w:rsidP="00CB0A97">
      <w:pPr>
        <w:spacing w:after="0" w:line="240" w:lineRule="auto"/>
        <w:ind w:firstLine="567"/>
        <w:jc w:val="both"/>
        <w:rPr>
          <w:rFonts w:ascii="Times New Roman" w:eastAsia="Times New Roman" w:hAnsi="Times New Roman" w:cs="Times New Roman"/>
          <w:sz w:val="24"/>
          <w:szCs w:val="24"/>
          <w:lang w:val="ru-RU"/>
        </w:rPr>
      </w:pPr>
      <w:r w:rsidRPr="003A6F6E">
        <w:rPr>
          <w:rFonts w:ascii="Times New Roman" w:eastAsia="Times New Roman" w:hAnsi="Times New Roman" w:cs="Times New Roman"/>
          <w:sz w:val="24"/>
          <w:szCs w:val="24"/>
          <w:lang w:val="ru-RU"/>
        </w:rPr>
        <w:lastRenderedPageBreak/>
        <w:t>Количествен</w:t>
      </w:r>
      <w:r w:rsidRPr="003A6F6E">
        <w:rPr>
          <w:rFonts w:ascii="Times New Roman" w:eastAsia="Times New Roman" w:hAnsi="Times New Roman" w:cs="Times New Roman"/>
          <w:sz w:val="24"/>
          <w:szCs w:val="24"/>
        </w:rPr>
        <w:t>ият</w:t>
      </w:r>
      <w:r w:rsidRPr="008523A0">
        <w:rPr>
          <w:rFonts w:ascii="Times New Roman" w:eastAsia="Times New Roman" w:hAnsi="Times New Roman" w:cs="Times New Roman"/>
          <w:sz w:val="24"/>
          <w:szCs w:val="24"/>
          <w:lang w:val="ru-RU"/>
        </w:rPr>
        <w:t xml:space="preserve"> анализ на разходите и ползите подкрепя реализирането на </w:t>
      </w:r>
      <w:r w:rsidRPr="003A6F6E">
        <w:rPr>
          <w:rFonts w:ascii="Times New Roman" w:eastAsia="Times New Roman" w:hAnsi="Times New Roman" w:cs="Times New Roman"/>
          <w:bCs/>
          <w:sz w:val="24"/>
          <w:szCs w:val="24"/>
          <w:lang w:val="ru-RU"/>
        </w:rPr>
        <w:t>Вариант</w:t>
      </w:r>
      <w:r w:rsidRPr="003A6F6E">
        <w:rPr>
          <w:rFonts w:ascii="Times New Roman" w:eastAsia="Times New Roman" w:hAnsi="Times New Roman" w:cs="Times New Roman"/>
          <w:bCs/>
          <w:sz w:val="24"/>
          <w:szCs w:val="24"/>
        </w:rPr>
        <w:t> </w:t>
      </w:r>
      <w:r w:rsidRPr="003A6F6E">
        <w:rPr>
          <w:rFonts w:ascii="Times New Roman" w:eastAsia="Times New Roman" w:hAnsi="Times New Roman" w:cs="Times New Roman"/>
          <w:bCs/>
          <w:sz w:val="24"/>
          <w:szCs w:val="24"/>
          <w:lang w:val="ru-RU"/>
        </w:rPr>
        <w:t>3</w:t>
      </w:r>
      <w:r w:rsidRPr="008523A0">
        <w:rPr>
          <w:rFonts w:ascii="Times New Roman" w:eastAsia="Times New Roman" w:hAnsi="Times New Roman" w:cs="Times New Roman"/>
          <w:sz w:val="24"/>
          <w:szCs w:val="24"/>
          <w:lang w:val="ru-RU"/>
        </w:rPr>
        <w:t xml:space="preserve">. Този вариант, макар и свързан с известни преки разходи за държавата (които са напълно поносими в рамките на бюджета) </w:t>
      </w:r>
      <w:r w:rsidRPr="003A6F6E">
        <w:rPr>
          <w:rFonts w:ascii="Times New Roman" w:eastAsia="Times New Roman" w:hAnsi="Times New Roman" w:cs="Times New Roman"/>
          <w:sz w:val="24"/>
          <w:szCs w:val="24"/>
          <w:lang w:val="ru-RU"/>
        </w:rPr>
        <w:t xml:space="preserve">и за бизнеса, ще донесе </w:t>
      </w:r>
      <w:r w:rsidRPr="003A6F6E">
        <w:rPr>
          <w:rFonts w:ascii="Times New Roman" w:eastAsia="Times New Roman" w:hAnsi="Times New Roman" w:cs="Times New Roman"/>
          <w:bCs/>
          <w:sz w:val="24"/>
          <w:szCs w:val="24"/>
          <w:lang w:val="ru-RU"/>
        </w:rPr>
        <w:t>значителни нетни ползи за българското земеделие и общество</w:t>
      </w:r>
      <w:r w:rsidRPr="008523A0">
        <w:rPr>
          <w:rFonts w:ascii="Times New Roman" w:eastAsia="Times New Roman" w:hAnsi="Times New Roman" w:cs="Times New Roman"/>
          <w:sz w:val="24"/>
          <w:szCs w:val="24"/>
          <w:lang w:val="ru-RU"/>
        </w:rPr>
        <w:t xml:space="preserve">. Коефициентът на икономическа ефективност е висок, а нетната настояща стойност – положителна, което означава, че инвестицията в тази </w:t>
      </w:r>
      <w:r>
        <w:rPr>
          <w:rFonts w:ascii="Times New Roman" w:eastAsia="Times New Roman" w:hAnsi="Times New Roman" w:cs="Times New Roman"/>
          <w:sz w:val="24"/>
          <w:szCs w:val="24"/>
          <w:lang w:val="ru-RU"/>
        </w:rPr>
        <w:t xml:space="preserve">възможна </w:t>
      </w:r>
      <w:r w:rsidRPr="008523A0">
        <w:rPr>
          <w:rFonts w:ascii="Times New Roman" w:eastAsia="Times New Roman" w:hAnsi="Times New Roman" w:cs="Times New Roman"/>
          <w:sz w:val="24"/>
          <w:szCs w:val="24"/>
          <w:lang w:val="ru-RU"/>
        </w:rPr>
        <w:t xml:space="preserve">регулация е оправдана и желана от обществена гледна точка. </w:t>
      </w:r>
      <w:r w:rsidRPr="003A6F6E">
        <w:rPr>
          <w:rFonts w:ascii="Times New Roman" w:eastAsia="Times New Roman" w:hAnsi="Times New Roman" w:cs="Times New Roman"/>
          <w:sz w:val="24"/>
          <w:szCs w:val="24"/>
          <w:lang w:val="ru-RU"/>
        </w:rPr>
        <w:t>Вариант</w:t>
      </w:r>
      <w:r w:rsidRPr="003A6F6E">
        <w:rPr>
          <w:rFonts w:ascii="Times New Roman" w:eastAsia="Times New Roman" w:hAnsi="Times New Roman" w:cs="Times New Roman"/>
          <w:sz w:val="24"/>
          <w:szCs w:val="24"/>
        </w:rPr>
        <w:t> </w:t>
      </w:r>
      <w:r w:rsidRPr="003A6F6E">
        <w:rPr>
          <w:rFonts w:ascii="Times New Roman" w:eastAsia="Times New Roman" w:hAnsi="Times New Roman" w:cs="Times New Roman"/>
          <w:sz w:val="24"/>
          <w:szCs w:val="24"/>
          <w:lang w:val="ru-RU"/>
        </w:rPr>
        <w:t>3 реализира най-добро съотношение между постигнати цели и направени разхо</w:t>
      </w:r>
      <w:r w:rsidR="00240046">
        <w:rPr>
          <w:rFonts w:ascii="Times New Roman" w:eastAsia="Times New Roman" w:hAnsi="Times New Roman" w:cs="Times New Roman"/>
          <w:sz w:val="24"/>
          <w:szCs w:val="24"/>
          <w:lang w:val="ru-RU"/>
        </w:rPr>
        <w:t>ди</w:t>
      </w:r>
      <w:r w:rsidRPr="003A6F6E">
        <w:rPr>
          <w:rFonts w:ascii="Times New Roman" w:eastAsia="Times New Roman" w:hAnsi="Times New Roman" w:cs="Times New Roman"/>
          <w:sz w:val="24"/>
          <w:szCs w:val="24"/>
          <w:lang w:val="ru-RU"/>
        </w:rPr>
        <w:t xml:space="preserve"> и затова се явява </w:t>
      </w:r>
      <w:r w:rsidRPr="003A6F6E">
        <w:rPr>
          <w:rFonts w:ascii="Times New Roman" w:eastAsia="Times New Roman" w:hAnsi="Times New Roman" w:cs="Times New Roman"/>
          <w:bCs/>
          <w:sz w:val="24"/>
          <w:szCs w:val="24"/>
          <w:lang w:val="ru-RU"/>
        </w:rPr>
        <w:t>препоръчителен</w:t>
      </w:r>
      <w:r w:rsidRPr="003A6F6E">
        <w:rPr>
          <w:rFonts w:ascii="Times New Roman" w:eastAsia="Times New Roman" w:hAnsi="Times New Roman" w:cs="Times New Roman"/>
          <w:sz w:val="24"/>
          <w:szCs w:val="24"/>
          <w:lang w:val="ru-RU"/>
        </w:rPr>
        <w:t xml:space="preserve"> за действие.</w:t>
      </w:r>
    </w:p>
    <w:p w14:paraId="5F613FE7" w14:textId="77777777" w:rsidR="00CB0A97" w:rsidRDefault="00CB0A97" w:rsidP="00DA4688">
      <w:pPr>
        <w:jc w:val="center"/>
        <w:rPr>
          <w:rFonts w:ascii="Times New Roman" w:eastAsia="Calibri" w:hAnsi="Times New Roman" w:cs="Times New Roman"/>
          <w:b/>
          <w:color w:val="000000" w:themeColor="text1"/>
          <w:sz w:val="24"/>
          <w:szCs w:val="24"/>
        </w:rPr>
      </w:pPr>
    </w:p>
    <w:p w14:paraId="0BBF9301" w14:textId="2ED7BB1F" w:rsidR="0078064C" w:rsidRPr="007B4A99" w:rsidRDefault="008977CB" w:rsidP="00B8646D">
      <w:pPr>
        <w:pStyle w:val="Heading1"/>
        <w:rPr>
          <w:rFonts w:ascii="Times New Roman" w:hAnsi="Times New Roman"/>
        </w:rPr>
      </w:pPr>
      <w:bookmarkStart w:id="36" w:name="_Toc198633093"/>
      <w:r w:rsidRPr="007B4A99">
        <w:rPr>
          <w:rFonts w:ascii="Times New Roman" w:hAnsi="Times New Roman"/>
        </w:rPr>
        <w:t>Сравн</w:t>
      </w:r>
      <w:r w:rsidR="00A957DE" w:rsidRPr="007B4A99">
        <w:rPr>
          <w:rFonts w:ascii="Times New Roman" w:hAnsi="Times New Roman"/>
        </w:rPr>
        <w:t>яване</w:t>
      </w:r>
      <w:r w:rsidRPr="007B4A99">
        <w:rPr>
          <w:rFonts w:ascii="Times New Roman" w:hAnsi="Times New Roman"/>
        </w:rPr>
        <w:t xml:space="preserve"> на вариантите</w:t>
      </w:r>
      <w:bookmarkEnd w:id="36"/>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376BFB" w:rsidRPr="007B4A99" w14:paraId="7D21776A" w14:textId="77777777" w:rsidTr="00F20A3A">
        <w:tc>
          <w:tcPr>
            <w:tcW w:w="8702" w:type="dxa"/>
          </w:tcPr>
          <w:p w14:paraId="4F773E24" w14:textId="77777777" w:rsidR="00376BFB" w:rsidRPr="007B4A99" w:rsidRDefault="00376BFB" w:rsidP="00376BFB">
            <w:pPr>
              <w:pStyle w:val="7878"/>
              <w:rPr>
                <w:rFonts w:ascii="Times New Roman" w:hAnsi="Times New Roman"/>
              </w:rPr>
            </w:pPr>
            <w:r w:rsidRPr="007B4A99">
              <w:rPr>
                <w:rFonts w:ascii="Times New Roman" w:hAnsi="Times New Roman"/>
              </w:rPr>
              <w:t>[Сравняването на вариантите е процес, при който се извършва:</w:t>
            </w:r>
          </w:p>
          <w:p w14:paraId="2C97CE6F" w14:textId="77777777" w:rsidR="00376BFB" w:rsidRPr="007B4A99" w:rsidRDefault="00376BFB" w:rsidP="00376BFB">
            <w:pPr>
              <w:pStyle w:val="7878"/>
              <w:rPr>
                <w:rFonts w:ascii="Times New Roman" w:hAnsi="Times New Roman"/>
              </w:rPr>
            </w:pPr>
            <w:r w:rsidRPr="007B4A99">
              <w:rPr>
                <w:rFonts w:ascii="Times New Roman" w:hAnsi="Times New Roman"/>
              </w:rPr>
              <w:t>1. сравняване на ключовите положителни и отрицателни въздействия на всеки вариант;</w:t>
            </w:r>
          </w:p>
          <w:p w14:paraId="56D74C9E" w14:textId="77777777" w:rsidR="00376BFB" w:rsidRPr="007B4A99" w:rsidRDefault="00376BFB" w:rsidP="00376BFB">
            <w:pPr>
              <w:pStyle w:val="7878"/>
              <w:rPr>
                <w:rFonts w:ascii="Times New Roman" w:hAnsi="Times New Roman"/>
              </w:rPr>
            </w:pPr>
            <w:r w:rsidRPr="007B4A99">
              <w:rPr>
                <w:rFonts w:ascii="Times New Roman" w:hAnsi="Times New Roman"/>
              </w:rPr>
              <w:t>2. сравняване на вариантите;</w:t>
            </w:r>
          </w:p>
          <w:p w14:paraId="1CA33081" w14:textId="77777777" w:rsidR="00376BFB" w:rsidRPr="007B4A99" w:rsidRDefault="00376BFB" w:rsidP="00376BFB">
            <w:pPr>
              <w:pStyle w:val="7878"/>
              <w:rPr>
                <w:rFonts w:ascii="Times New Roman" w:hAnsi="Times New Roman"/>
              </w:rPr>
            </w:pPr>
            <w:r w:rsidRPr="007B4A99">
              <w:rPr>
                <w:rFonts w:ascii="Times New Roman" w:hAnsi="Times New Roman"/>
              </w:rPr>
              <w:t>3. класиране на вариантите и идентифициране на препоръчителен вариант.</w:t>
            </w:r>
            <w:r w:rsidRPr="007B4A99">
              <w:rPr>
                <w:rFonts w:ascii="Times New Roman" w:hAnsi="Times New Roman"/>
              </w:rPr>
              <w:cr/>
              <w:t>(Ръководство, РМС № 728 от 2019 г., стр. 59).]</w:t>
            </w:r>
          </w:p>
          <w:p w14:paraId="3B8875F1" w14:textId="77777777" w:rsidR="00376BFB" w:rsidRPr="007B4A99" w:rsidRDefault="00376BFB" w:rsidP="00376BFB">
            <w:pPr>
              <w:jc w:val="both"/>
              <w:rPr>
                <w:rFonts w:ascii="Times New Roman" w:hAnsi="Times New Roman" w:cs="Times New Roman"/>
                <w:i/>
              </w:rPr>
            </w:pPr>
            <w:r w:rsidRPr="007B4A99">
              <w:rPr>
                <w:rFonts w:ascii="Times New Roman" w:hAnsi="Times New Roman" w:cs="Times New Roman"/>
                <w:i/>
              </w:rPr>
              <w:t>Сравнете описаните варианти въз основа на данните и изчисленията при анализа на въздействията.</w:t>
            </w:r>
          </w:p>
        </w:tc>
      </w:tr>
    </w:tbl>
    <w:p w14:paraId="09A01A4E" w14:textId="77777777" w:rsidR="00A46824" w:rsidRPr="007B4A99" w:rsidRDefault="00A46824" w:rsidP="00A46824"/>
    <w:p w14:paraId="46B4E57B" w14:textId="77777777" w:rsidR="00CD1168" w:rsidRPr="007B4A99" w:rsidRDefault="00CD1168" w:rsidP="00CD1168">
      <w:pPr>
        <w:pStyle w:val="Heading2"/>
        <w:numPr>
          <w:ilvl w:val="1"/>
          <w:numId w:val="1"/>
        </w:numPr>
        <w:tabs>
          <w:tab w:val="left" w:pos="900"/>
        </w:tabs>
        <w:ind w:left="360" w:firstLine="0"/>
        <w:rPr>
          <w:rFonts w:ascii="Times New Roman" w:hAnsi="Times New Roman"/>
        </w:rPr>
      </w:pPr>
      <w:bookmarkStart w:id="37" w:name="_Toc198633094"/>
      <w:r w:rsidRPr="007B4A99">
        <w:rPr>
          <w:rFonts w:ascii="Times New Roman" w:hAnsi="Times New Roman"/>
        </w:rPr>
        <w:t>Сравняване на ключовите положителни и отрицателни въздействия на всеки вариант</w:t>
      </w:r>
      <w:r w:rsidRPr="007B4A99">
        <w:rPr>
          <w:rStyle w:val="FootnoteReference"/>
          <w:rFonts w:ascii="Times New Roman" w:hAnsi="Times New Roman"/>
        </w:rPr>
        <w:footnoteReference w:id="64"/>
      </w:r>
      <w:bookmarkEnd w:id="37"/>
    </w:p>
    <w:tbl>
      <w:tblPr>
        <w:tblW w:w="0" w:type="auto"/>
        <w:tblInd w:w="343" w:type="dxa"/>
        <w:tblLook w:val="04A0" w:firstRow="1" w:lastRow="0" w:firstColumn="1" w:lastColumn="0" w:noHBand="0" w:noVBand="1"/>
      </w:tblPr>
      <w:tblGrid>
        <w:gridCol w:w="1966"/>
        <w:gridCol w:w="1694"/>
        <w:gridCol w:w="1841"/>
        <w:gridCol w:w="1697"/>
        <w:gridCol w:w="1431"/>
        <w:gridCol w:w="92"/>
      </w:tblGrid>
      <w:tr w:rsidR="00CD1168" w:rsidRPr="007B4A99" w14:paraId="08CABE63" w14:textId="77777777" w:rsidTr="00144BC5">
        <w:trPr>
          <w:gridAfter w:val="1"/>
          <w:wAfter w:w="92" w:type="dxa"/>
        </w:trPr>
        <w:tc>
          <w:tcPr>
            <w:tcW w:w="8629" w:type="dxa"/>
            <w:gridSpan w:val="5"/>
          </w:tcPr>
          <w:p w14:paraId="24D48A4F" w14:textId="77777777" w:rsidR="00CD1168" w:rsidRPr="007B4A99" w:rsidRDefault="00CD1168" w:rsidP="000874A2">
            <w:pPr>
              <w:pStyle w:val="7878"/>
              <w:ind w:left="0"/>
              <w:rPr>
                <w:rFonts w:ascii="Times New Roman" w:hAnsi="Times New Roman"/>
              </w:rPr>
            </w:pPr>
            <w:r w:rsidRPr="007B4A99">
              <w:rPr>
                <w:rFonts w:ascii="Times New Roman" w:hAnsi="Times New Roman"/>
              </w:rPr>
              <w:t>[(Ръководство, РМС № 728 от 2019 г., стр. 59).]</w:t>
            </w:r>
          </w:p>
        </w:tc>
      </w:tr>
      <w:tr w:rsidR="00612E2F" w:rsidRPr="007B4A99" w14:paraId="1407A750" w14:textId="77777777" w:rsidTr="00144B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000" w:firstRow="0" w:lastRow="0" w:firstColumn="0" w:lastColumn="0" w:noHBand="0" w:noVBand="0"/>
        </w:tblPrEx>
        <w:trPr>
          <w:trHeight w:val="389"/>
        </w:trPr>
        <w:tc>
          <w:tcPr>
            <w:tcW w:w="1966" w:type="dxa"/>
            <w:shd w:val="clear" w:color="auto" w:fill="9CC2E5" w:themeFill="accent1" w:themeFillTint="99"/>
          </w:tcPr>
          <w:p w14:paraId="57D4C400" w14:textId="77777777" w:rsidR="00612E2F" w:rsidRPr="007B4A99" w:rsidRDefault="00612E2F" w:rsidP="0087338E">
            <w:pPr>
              <w:spacing w:after="120" w:line="276" w:lineRule="auto"/>
              <w:contextualSpacing/>
              <w:jc w:val="center"/>
              <w:rPr>
                <w:rFonts w:ascii="Times New Roman" w:eastAsia="Times New Roman" w:hAnsi="Times New Roman" w:cs="Times New Roman"/>
                <w:b/>
                <w:sz w:val="16"/>
                <w:szCs w:val="16"/>
                <w:lang w:eastAsia="bg-BG"/>
              </w:rPr>
            </w:pPr>
          </w:p>
        </w:tc>
        <w:tc>
          <w:tcPr>
            <w:tcW w:w="1694" w:type="dxa"/>
            <w:shd w:val="clear" w:color="auto" w:fill="9CC2E5" w:themeFill="accent1" w:themeFillTint="99"/>
            <w:vAlign w:val="center"/>
          </w:tcPr>
          <w:p w14:paraId="18701F86" w14:textId="77777777" w:rsidR="00612E2F" w:rsidRPr="007B4A99" w:rsidRDefault="00612E2F" w:rsidP="0087338E">
            <w:pPr>
              <w:spacing w:after="120" w:line="276" w:lineRule="auto"/>
              <w:ind w:left="-160"/>
              <w:contextualSpacing/>
              <w:jc w:val="center"/>
              <w:rPr>
                <w:rFonts w:ascii="Times New Roman" w:eastAsia="Times New Roman" w:hAnsi="Times New Roman" w:cs="Times New Roman"/>
                <w:b/>
                <w:sz w:val="16"/>
                <w:szCs w:val="16"/>
                <w:lang w:eastAsia="bg-BG"/>
              </w:rPr>
            </w:pPr>
            <w:r w:rsidRPr="007B4A99">
              <w:rPr>
                <w:rFonts w:ascii="Times New Roman" w:eastAsia="Times New Roman" w:hAnsi="Times New Roman" w:cs="Times New Roman"/>
                <w:b/>
                <w:sz w:val="16"/>
                <w:szCs w:val="16"/>
                <w:lang w:eastAsia="bg-BG"/>
              </w:rPr>
              <w:t>Вариант 0: „Без действие“</w:t>
            </w:r>
          </w:p>
        </w:tc>
        <w:tc>
          <w:tcPr>
            <w:tcW w:w="1841" w:type="dxa"/>
            <w:shd w:val="clear" w:color="auto" w:fill="9CC2E5" w:themeFill="accent1" w:themeFillTint="99"/>
            <w:vAlign w:val="center"/>
          </w:tcPr>
          <w:p w14:paraId="20762442" w14:textId="5DA69461" w:rsidR="00612E2F" w:rsidRPr="007B4A99" w:rsidRDefault="00612E2F" w:rsidP="00303CEA">
            <w:pPr>
              <w:spacing w:after="120" w:line="276" w:lineRule="auto"/>
              <w:ind w:left="7"/>
              <w:contextualSpacing/>
              <w:jc w:val="center"/>
              <w:rPr>
                <w:rFonts w:ascii="Times New Roman" w:eastAsia="Times New Roman" w:hAnsi="Times New Roman" w:cs="Times New Roman"/>
                <w:b/>
                <w:sz w:val="16"/>
                <w:szCs w:val="16"/>
                <w:lang w:eastAsia="bg-BG"/>
              </w:rPr>
            </w:pPr>
            <w:r w:rsidRPr="007B4A99">
              <w:rPr>
                <w:rFonts w:ascii="Times New Roman" w:eastAsia="Times New Roman" w:hAnsi="Times New Roman" w:cs="Times New Roman"/>
                <w:b/>
                <w:sz w:val="16"/>
                <w:szCs w:val="16"/>
                <w:lang w:eastAsia="bg-BG"/>
              </w:rPr>
              <w:t xml:space="preserve">Вариант 1: </w:t>
            </w:r>
            <w:r w:rsidR="00303CEA" w:rsidRPr="007B4A99">
              <w:rPr>
                <w:rFonts w:ascii="Times New Roman" w:eastAsia="Times New Roman" w:hAnsi="Times New Roman" w:cs="Times New Roman"/>
                <w:b/>
                <w:sz w:val="16"/>
                <w:szCs w:val="16"/>
                <w:lang w:eastAsia="bg-BG"/>
              </w:rPr>
              <w:t>„Нерегулаторен“</w:t>
            </w:r>
          </w:p>
        </w:tc>
        <w:tc>
          <w:tcPr>
            <w:tcW w:w="1697" w:type="dxa"/>
            <w:shd w:val="clear" w:color="auto" w:fill="9CC2E5" w:themeFill="accent1" w:themeFillTint="99"/>
            <w:vAlign w:val="center"/>
          </w:tcPr>
          <w:p w14:paraId="6F59C3E0" w14:textId="15076ACC" w:rsidR="00612E2F" w:rsidRPr="007B4A99" w:rsidRDefault="00612E2F" w:rsidP="00303CEA">
            <w:pPr>
              <w:spacing w:after="120" w:line="276" w:lineRule="auto"/>
              <w:contextualSpacing/>
              <w:jc w:val="center"/>
              <w:rPr>
                <w:rFonts w:ascii="Times New Roman" w:eastAsia="Times New Roman" w:hAnsi="Times New Roman" w:cs="Times New Roman"/>
                <w:b/>
                <w:sz w:val="16"/>
                <w:szCs w:val="16"/>
                <w:lang w:eastAsia="bg-BG"/>
              </w:rPr>
            </w:pPr>
            <w:r w:rsidRPr="007B4A99">
              <w:rPr>
                <w:rFonts w:ascii="Times New Roman" w:eastAsia="Times New Roman" w:hAnsi="Times New Roman" w:cs="Times New Roman"/>
                <w:b/>
                <w:sz w:val="16"/>
                <w:szCs w:val="16"/>
                <w:lang w:eastAsia="bg-BG"/>
              </w:rPr>
              <w:t>Вариант 2: „Регулатор</w:t>
            </w:r>
            <w:r w:rsidR="00303CEA" w:rsidRPr="007B4A99">
              <w:rPr>
                <w:rFonts w:ascii="Times New Roman" w:eastAsia="Times New Roman" w:hAnsi="Times New Roman" w:cs="Times New Roman"/>
                <w:b/>
                <w:sz w:val="16"/>
                <w:szCs w:val="16"/>
                <w:lang w:eastAsia="bg-BG"/>
              </w:rPr>
              <w:t>е</w:t>
            </w:r>
            <w:r w:rsidRPr="007B4A99">
              <w:rPr>
                <w:rFonts w:ascii="Times New Roman" w:eastAsia="Times New Roman" w:hAnsi="Times New Roman" w:cs="Times New Roman"/>
                <w:b/>
                <w:sz w:val="16"/>
                <w:szCs w:val="16"/>
                <w:lang w:eastAsia="bg-BG"/>
              </w:rPr>
              <w:t>н</w:t>
            </w:r>
            <w:r w:rsidR="00303CEA" w:rsidRPr="007B4A99">
              <w:rPr>
                <w:rFonts w:ascii="Times New Roman" w:eastAsia="Times New Roman" w:hAnsi="Times New Roman" w:cs="Times New Roman"/>
                <w:b/>
                <w:sz w:val="16"/>
                <w:szCs w:val="16"/>
                <w:lang w:eastAsia="bg-BG"/>
              </w:rPr>
              <w:t xml:space="preserve"> - </w:t>
            </w:r>
            <w:r w:rsidRPr="007B4A99">
              <w:rPr>
                <w:rFonts w:ascii="Times New Roman" w:eastAsia="Times New Roman" w:hAnsi="Times New Roman" w:cs="Times New Roman"/>
                <w:b/>
                <w:sz w:val="16"/>
                <w:szCs w:val="16"/>
                <w:lang w:eastAsia="bg-BG"/>
              </w:rPr>
              <w:t xml:space="preserve">промени в действащата </w:t>
            </w:r>
            <w:r w:rsidR="00303CEA" w:rsidRPr="007B4A99">
              <w:rPr>
                <w:rFonts w:ascii="Times New Roman" w:eastAsia="Times New Roman" w:hAnsi="Times New Roman" w:cs="Times New Roman"/>
                <w:b/>
                <w:sz w:val="16"/>
                <w:szCs w:val="16"/>
                <w:lang w:eastAsia="bg-BG"/>
              </w:rPr>
              <w:t xml:space="preserve">правна </w:t>
            </w:r>
            <w:r w:rsidRPr="007B4A99">
              <w:rPr>
                <w:rFonts w:ascii="Times New Roman" w:eastAsia="Times New Roman" w:hAnsi="Times New Roman" w:cs="Times New Roman"/>
                <w:b/>
                <w:sz w:val="16"/>
                <w:szCs w:val="16"/>
                <w:lang w:eastAsia="bg-BG"/>
              </w:rPr>
              <w:t>уредба“</w:t>
            </w:r>
          </w:p>
        </w:tc>
        <w:tc>
          <w:tcPr>
            <w:tcW w:w="1523" w:type="dxa"/>
            <w:gridSpan w:val="2"/>
            <w:shd w:val="clear" w:color="auto" w:fill="9CC2E5" w:themeFill="accent1" w:themeFillTint="99"/>
            <w:vAlign w:val="center"/>
          </w:tcPr>
          <w:p w14:paraId="15407136" w14:textId="662968CE" w:rsidR="00612E2F" w:rsidRPr="007B4A99" w:rsidRDefault="00612E2F" w:rsidP="0087338E">
            <w:pPr>
              <w:spacing w:after="120" w:line="276" w:lineRule="auto"/>
              <w:contextualSpacing/>
              <w:jc w:val="center"/>
              <w:rPr>
                <w:rFonts w:ascii="Times New Roman" w:eastAsia="Times New Roman" w:hAnsi="Times New Roman" w:cs="Times New Roman"/>
                <w:b/>
                <w:sz w:val="16"/>
                <w:szCs w:val="16"/>
                <w:lang w:eastAsia="bg-BG"/>
              </w:rPr>
            </w:pPr>
            <w:r w:rsidRPr="007B4A99">
              <w:rPr>
                <w:rFonts w:ascii="Times New Roman" w:eastAsia="Times New Roman" w:hAnsi="Times New Roman" w:cs="Times New Roman"/>
                <w:b/>
                <w:sz w:val="16"/>
                <w:szCs w:val="16"/>
                <w:lang w:eastAsia="bg-BG"/>
              </w:rPr>
              <w:t xml:space="preserve">Вариант 3: </w:t>
            </w:r>
          </w:p>
          <w:p w14:paraId="61BC68A7" w14:textId="06663910" w:rsidR="00303CEA" w:rsidRPr="007B4A99" w:rsidRDefault="00303CEA" w:rsidP="00303CEA">
            <w:pPr>
              <w:spacing w:after="120" w:line="276" w:lineRule="auto"/>
              <w:contextualSpacing/>
              <w:jc w:val="center"/>
              <w:rPr>
                <w:rFonts w:ascii="Times New Roman" w:eastAsia="Times New Roman" w:hAnsi="Times New Roman" w:cs="Times New Roman"/>
                <w:b/>
                <w:sz w:val="16"/>
                <w:szCs w:val="16"/>
                <w:lang w:eastAsia="bg-BG"/>
              </w:rPr>
            </w:pPr>
            <w:r w:rsidRPr="007B4A99">
              <w:rPr>
                <w:rFonts w:ascii="Times New Roman" w:eastAsia="Times New Roman" w:hAnsi="Times New Roman" w:cs="Times New Roman"/>
                <w:b/>
                <w:sz w:val="16"/>
                <w:szCs w:val="16"/>
                <w:lang w:eastAsia="bg-BG"/>
              </w:rPr>
              <w:t>„Регулаторен - изцяло нов специален закон“</w:t>
            </w:r>
          </w:p>
        </w:tc>
      </w:tr>
      <w:tr w:rsidR="00612E2F" w:rsidRPr="007B4A99" w14:paraId="7C5A12E4" w14:textId="77777777" w:rsidTr="00144B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000" w:firstRow="0" w:lastRow="0" w:firstColumn="0" w:lastColumn="0" w:noHBand="0" w:noVBand="0"/>
        </w:tblPrEx>
        <w:trPr>
          <w:trHeight w:val="256"/>
        </w:trPr>
        <w:tc>
          <w:tcPr>
            <w:tcW w:w="1966" w:type="dxa"/>
            <w:shd w:val="clear" w:color="auto" w:fill="9CC2E5" w:themeFill="accent1" w:themeFillTint="99"/>
          </w:tcPr>
          <w:p w14:paraId="04AA56F9" w14:textId="77777777" w:rsidR="00612E2F" w:rsidRPr="007B4A99" w:rsidRDefault="00612E2F" w:rsidP="0087338E">
            <w:pPr>
              <w:widowControl w:val="0"/>
              <w:kinsoku w:val="0"/>
              <w:overflowPunct w:val="0"/>
              <w:autoSpaceDE w:val="0"/>
              <w:autoSpaceDN w:val="0"/>
              <w:adjustRightInd w:val="0"/>
              <w:spacing w:after="0" w:line="240" w:lineRule="auto"/>
              <w:ind w:left="113"/>
              <w:jc w:val="both"/>
              <w:rPr>
                <w:rFonts w:ascii="Times New Roman" w:eastAsia="Times New Roman" w:hAnsi="Times New Roman" w:cs="Times New Roman"/>
                <w:b/>
                <w:bCs/>
                <w:iCs/>
                <w:w w:val="105"/>
                <w:sz w:val="16"/>
                <w:szCs w:val="16"/>
                <w:lang w:eastAsia="bg-BG"/>
              </w:rPr>
            </w:pPr>
            <w:r w:rsidRPr="007B4A99">
              <w:rPr>
                <w:rFonts w:ascii="Times New Roman" w:eastAsia="Times New Roman" w:hAnsi="Times New Roman" w:cs="Times New Roman"/>
                <w:b/>
                <w:bCs/>
                <w:iCs/>
                <w:w w:val="105"/>
                <w:sz w:val="16"/>
                <w:szCs w:val="16"/>
                <w:lang w:eastAsia="bg-BG"/>
              </w:rPr>
              <w:t>Икономически въздействия</w:t>
            </w:r>
          </w:p>
        </w:tc>
        <w:tc>
          <w:tcPr>
            <w:tcW w:w="6755" w:type="dxa"/>
            <w:gridSpan w:val="5"/>
            <w:shd w:val="clear" w:color="auto" w:fill="FFFFFF"/>
          </w:tcPr>
          <w:p w14:paraId="15D736B2" w14:textId="77777777" w:rsidR="00612E2F" w:rsidRPr="007B4A99" w:rsidRDefault="00612E2F" w:rsidP="0087338E">
            <w:pPr>
              <w:widowControl w:val="0"/>
              <w:kinsoku w:val="0"/>
              <w:overflowPunct w:val="0"/>
              <w:autoSpaceDE w:val="0"/>
              <w:autoSpaceDN w:val="0"/>
              <w:adjustRightInd w:val="0"/>
              <w:spacing w:before="47" w:after="0" w:line="240" w:lineRule="auto"/>
              <w:ind w:left="52"/>
              <w:rPr>
                <w:rFonts w:ascii="Times New Roman" w:eastAsia="Times New Roman" w:hAnsi="Times New Roman" w:cs="Times New Roman"/>
                <w:w w:val="120"/>
                <w:sz w:val="16"/>
                <w:szCs w:val="16"/>
                <w:lang w:eastAsia="bg-BG"/>
              </w:rPr>
            </w:pPr>
          </w:p>
        </w:tc>
      </w:tr>
      <w:tr w:rsidR="00612E2F" w:rsidRPr="007B4A99" w14:paraId="5BE2DBEA" w14:textId="77777777" w:rsidTr="00144B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000" w:firstRow="0" w:lastRow="0" w:firstColumn="0" w:lastColumn="0" w:noHBand="0" w:noVBand="0"/>
        </w:tblPrEx>
        <w:trPr>
          <w:trHeight w:val="256"/>
        </w:trPr>
        <w:tc>
          <w:tcPr>
            <w:tcW w:w="1966" w:type="dxa"/>
            <w:shd w:val="clear" w:color="auto" w:fill="FFFFFF"/>
          </w:tcPr>
          <w:p w14:paraId="2693B8EE" w14:textId="2E7D1A4F" w:rsidR="00612E2F" w:rsidRPr="007B4A99" w:rsidRDefault="00612E2F" w:rsidP="0087338E">
            <w:pPr>
              <w:widowControl w:val="0"/>
              <w:kinsoku w:val="0"/>
              <w:overflowPunct w:val="0"/>
              <w:autoSpaceDE w:val="0"/>
              <w:autoSpaceDN w:val="0"/>
              <w:adjustRightInd w:val="0"/>
              <w:spacing w:after="0" w:line="240" w:lineRule="auto"/>
              <w:ind w:left="113"/>
              <w:rPr>
                <w:rFonts w:ascii="Times New Roman" w:eastAsia="Times New Roman" w:hAnsi="Times New Roman" w:cs="Times New Roman"/>
                <w:b/>
                <w:bCs/>
                <w:iCs/>
                <w:w w:val="105"/>
                <w:sz w:val="16"/>
                <w:szCs w:val="16"/>
                <w:lang w:eastAsia="bg-BG"/>
              </w:rPr>
            </w:pPr>
            <w:r w:rsidRPr="007B4A99">
              <w:rPr>
                <w:rFonts w:ascii="Times New Roman" w:eastAsia="Times New Roman" w:hAnsi="Times New Roman" w:cs="Times New Roman"/>
                <w:b/>
                <w:bCs/>
                <w:iCs/>
                <w:w w:val="105"/>
                <w:sz w:val="16"/>
                <w:szCs w:val="16"/>
                <w:lang w:eastAsia="bg-BG"/>
              </w:rPr>
              <w:t>1.</w:t>
            </w:r>
            <w:r w:rsidRPr="007B4A99">
              <w:rPr>
                <w:rFonts w:ascii="Times New Roman" w:hAnsi="Times New Roman" w:cs="Times New Roman"/>
                <w:b/>
                <w:sz w:val="24"/>
                <w:szCs w:val="24"/>
              </w:rPr>
              <w:t xml:space="preserve"> </w:t>
            </w:r>
            <w:r w:rsidR="0091327B" w:rsidRPr="0091327B">
              <w:rPr>
                <w:rFonts w:ascii="Times New Roman" w:eastAsia="Times New Roman" w:hAnsi="Times New Roman" w:cs="Times New Roman"/>
                <w:b/>
                <w:bCs/>
                <w:iCs/>
                <w:w w:val="105"/>
                <w:sz w:val="16"/>
                <w:szCs w:val="16"/>
                <w:lang w:eastAsia="bg-BG"/>
              </w:rPr>
              <w:t xml:space="preserve">Положително влияние върху конкуренцията, увеличаването на  избора на </w:t>
            </w:r>
            <w:r w:rsidR="0091327B" w:rsidRPr="0091327B">
              <w:rPr>
                <w:rFonts w:ascii="Times New Roman" w:eastAsia="Times New Roman" w:hAnsi="Times New Roman" w:cs="Times New Roman"/>
                <w:b/>
                <w:bCs/>
                <w:iCs/>
                <w:w w:val="105"/>
                <w:sz w:val="16"/>
                <w:szCs w:val="16"/>
                <w:lang w:eastAsia="bg-BG"/>
              </w:rPr>
              <w:lastRenderedPageBreak/>
              <w:t>потребителите и постигане на по-ниски цени на основните земеделски продукти и храни</w:t>
            </w:r>
          </w:p>
        </w:tc>
        <w:tc>
          <w:tcPr>
            <w:tcW w:w="1694" w:type="dxa"/>
            <w:shd w:val="clear" w:color="auto" w:fill="FFFFFF"/>
            <w:vAlign w:val="center"/>
          </w:tcPr>
          <w:p w14:paraId="0C2A3EEE" w14:textId="59FFFB6C" w:rsidR="00612E2F" w:rsidRPr="00144BC5" w:rsidRDefault="00144BC5" w:rsidP="005015F3">
            <w:pPr>
              <w:widowControl w:val="0"/>
              <w:kinsoku w:val="0"/>
              <w:overflowPunct w:val="0"/>
              <w:autoSpaceDE w:val="0"/>
              <w:autoSpaceDN w:val="0"/>
              <w:adjustRightInd w:val="0"/>
              <w:spacing w:before="47" w:after="0" w:line="240" w:lineRule="auto"/>
              <w:ind w:left="6"/>
              <w:jc w:val="center"/>
              <w:rPr>
                <w:rFonts w:ascii="Times New Roman" w:eastAsia="Times New Roman" w:hAnsi="Times New Roman" w:cs="Times New Roman"/>
                <w:b/>
                <w:w w:val="106"/>
                <w:sz w:val="24"/>
                <w:szCs w:val="24"/>
                <w:lang w:eastAsia="bg-BG"/>
              </w:rPr>
            </w:pPr>
            <w:r>
              <w:rPr>
                <w:rFonts w:ascii="Times New Roman" w:eastAsia="Times New Roman" w:hAnsi="Times New Roman" w:cs="Times New Roman"/>
                <w:b/>
                <w:w w:val="106"/>
                <w:sz w:val="24"/>
                <w:szCs w:val="24"/>
                <w:lang w:eastAsia="bg-BG"/>
              </w:rPr>
              <w:lastRenderedPageBreak/>
              <w:t>(</w:t>
            </w:r>
            <w:r w:rsidR="005015F3" w:rsidRPr="00144BC5">
              <w:rPr>
                <w:rFonts w:ascii="Times New Roman" w:eastAsia="Times New Roman" w:hAnsi="Times New Roman" w:cs="Times New Roman"/>
                <w:b/>
                <w:w w:val="106"/>
                <w:sz w:val="24"/>
                <w:szCs w:val="24"/>
                <w:lang w:eastAsia="bg-BG"/>
              </w:rPr>
              <w:t>–</w:t>
            </w:r>
            <w:r>
              <w:rPr>
                <w:rFonts w:ascii="Times New Roman" w:eastAsia="Times New Roman" w:hAnsi="Times New Roman" w:cs="Times New Roman"/>
                <w:b/>
                <w:w w:val="106"/>
                <w:sz w:val="24"/>
                <w:szCs w:val="24"/>
                <w:lang w:eastAsia="bg-BG"/>
              </w:rPr>
              <w:t>)</w:t>
            </w:r>
            <w:r w:rsidR="005015F3" w:rsidRPr="00144BC5">
              <w:rPr>
                <w:rFonts w:ascii="Times New Roman" w:eastAsia="Times New Roman" w:hAnsi="Times New Roman" w:cs="Times New Roman"/>
                <w:b/>
                <w:w w:val="106"/>
                <w:sz w:val="24"/>
                <w:szCs w:val="24"/>
                <w:lang w:eastAsia="bg-BG"/>
              </w:rPr>
              <w:t xml:space="preserve"> </w:t>
            </w:r>
          </w:p>
        </w:tc>
        <w:tc>
          <w:tcPr>
            <w:tcW w:w="1841" w:type="dxa"/>
            <w:shd w:val="clear" w:color="auto" w:fill="FFFFFF"/>
            <w:vAlign w:val="center"/>
          </w:tcPr>
          <w:p w14:paraId="4BBCFA57" w14:textId="2F821218" w:rsidR="00612E2F" w:rsidRPr="00144BC5" w:rsidRDefault="00144BC5" w:rsidP="0087338E">
            <w:pPr>
              <w:widowControl w:val="0"/>
              <w:kinsoku w:val="0"/>
              <w:overflowPunct w:val="0"/>
              <w:autoSpaceDE w:val="0"/>
              <w:autoSpaceDN w:val="0"/>
              <w:adjustRightInd w:val="0"/>
              <w:spacing w:before="47" w:after="0" w:line="240" w:lineRule="auto"/>
              <w:ind w:left="14"/>
              <w:jc w:val="center"/>
              <w:rPr>
                <w:rFonts w:ascii="Times New Roman" w:eastAsia="Times New Roman" w:hAnsi="Times New Roman" w:cs="Times New Roman"/>
                <w:b/>
                <w:w w:val="135"/>
                <w:sz w:val="24"/>
                <w:szCs w:val="24"/>
                <w:lang w:eastAsia="bg-BG"/>
              </w:rPr>
            </w:pPr>
            <w:r>
              <w:rPr>
                <w:rFonts w:ascii="Times New Roman" w:eastAsia="Times New Roman" w:hAnsi="Times New Roman" w:cs="Times New Roman"/>
                <w:b/>
                <w:w w:val="106"/>
                <w:sz w:val="24"/>
                <w:szCs w:val="24"/>
                <w:lang w:eastAsia="bg-BG"/>
              </w:rPr>
              <w:t>(</w:t>
            </w:r>
            <w:r w:rsidR="005015F3" w:rsidRPr="00144BC5">
              <w:rPr>
                <w:rFonts w:ascii="Times New Roman" w:eastAsia="Times New Roman" w:hAnsi="Times New Roman" w:cs="Times New Roman"/>
                <w:b/>
                <w:w w:val="106"/>
                <w:sz w:val="24"/>
                <w:szCs w:val="24"/>
                <w:lang w:eastAsia="bg-BG"/>
              </w:rPr>
              <w:t>– – –</w:t>
            </w:r>
            <w:r>
              <w:rPr>
                <w:rFonts w:ascii="Times New Roman" w:eastAsia="Times New Roman" w:hAnsi="Times New Roman" w:cs="Times New Roman"/>
                <w:b/>
                <w:w w:val="106"/>
                <w:sz w:val="24"/>
                <w:szCs w:val="24"/>
                <w:lang w:eastAsia="bg-BG"/>
              </w:rPr>
              <w:t>)</w:t>
            </w:r>
          </w:p>
        </w:tc>
        <w:tc>
          <w:tcPr>
            <w:tcW w:w="1697" w:type="dxa"/>
            <w:shd w:val="clear" w:color="auto" w:fill="FFFFFF"/>
            <w:vAlign w:val="center"/>
          </w:tcPr>
          <w:p w14:paraId="2BDCB931" w14:textId="0AF33C0F" w:rsidR="00612E2F" w:rsidRPr="00144BC5" w:rsidRDefault="001E3B2A" w:rsidP="0087338E">
            <w:pPr>
              <w:widowControl w:val="0"/>
              <w:kinsoku w:val="0"/>
              <w:overflowPunct w:val="0"/>
              <w:autoSpaceDE w:val="0"/>
              <w:autoSpaceDN w:val="0"/>
              <w:adjustRightInd w:val="0"/>
              <w:spacing w:before="47" w:after="0" w:line="240" w:lineRule="auto"/>
              <w:ind w:left="52"/>
              <w:jc w:val="center"/>
              <w:rPr>
                <w:rFonts w:ascii="Times New Roman" w:eastAsia="Times New Roman" w:hAnsi="Times New Roman" w:cs="Times New Roman"/>
                <w:b/>
                <w:w w:val="120"/>
                <w:sz w:val="24"/>
                <w:szCs w:val="24"/>
                <w:lang w:eastAsia="bg-BG"/>
              </w:rPr>
            </w:pPr>
            <w:r w:rsidRPr="00144BC5">
              <w:rPr>
                <w:rFonts w:ascii="Times New Roman" w:hAnsi="Times New Roman"/>
                <w:b/>
              </w:rPr>
              <w:t>(+?)</w:t>
            </w:r>
          </w:p>
        </w:tc>
        <w:tc>
          <w:tcPr>
            <w:tcW w:w="1523" w:type="dxa"/>
            <w:gridSpan w:val="2"/>
            <w:shd w:val="clear" w:color="auto" w:fill="FFFFFF"/>
            <w:vAlign w:val="center"/>
          </w:tcPr>
          <w:p w14:paraId="4DB9619E" w14:textId="77508214" w:rsidR="00612E2F" w:rsidRPr="00144BC5" w:rsidRDefault="00144BC5" w:rsidP="0087338E">
            <w:pPr>
              <w:widowControl w:val="0"/>
              <w:kinsoku w:val="0"/>
              <w:overflowPunct w:val="0"/>
              <w:autoSpaceDE w:val="0"/>
              <w:autoSpaceDN w:val="0"/>
              <w:adjustRightInd w:val="0"/>
              <w:spacing w:before="47" w:after="0" w:line="240" w:lineRule="auto"/>
              <w:ind w:left="52"/>
              <w:jc w:val="center"/>
              <w:rPr>
                <w:rFonts w:ascii="Times New Roman" w:eastAsia="Times New Roman" w:hAnsi="Times New Roman" w:cs="Times New Roman"/>
                <w:b/>
                <w:w w:val="120"/>
                <w:sz w:val="24"/>
                <w:szCs w:val="24"/>
                <w:lang w:eastAsia="bg-BG"/>
              </w:rPr>
            </w:pPr>
            <w:r>
              <w:rPr>
                <w:rFonts w:ascii="Times New Roman" w:eastAsia="Times New Roman" w:hAnsi="Times New Roman" w:cs="Times New Roman"/>
                <w:b/>
                <w:w w:val="135"/>
                <w:sz w:val="24"/>
                <w:szCs w:val="24"/>
                <w:lang w:eastAsia="bg-BG"/>
              </w:rPr>
              <w:t>(</w:t>
            </w:r>
            <w:r w:rsidR="00303CEA" w:rsidRPr="00144BC5">
              <w:rPr>
                <w:rFonts w:ascii="Times New Roman" w:eastAsia="Times New Roman" w:hAnsi="Times New Roman" w:cs="Times New Roman"/>
                <w:b/>
                <w:w w:val="135"/>
                <w:sz w:val="24"/>
                <w:szCs w:val="24"/>
                <w:lang w:eastAsia="bg-BG"/>
              </w:rPr>
              <w:t>+</w:t>
            </w:r>
            <w:r>
              <w:rPr>
                <w:rFonts w:ascii="Times New Roman" w:eastAsia="Times New Roman" w:hAnsi="Times New Roman" w:cs="Times New Roman"/>
                <w:b/>
                <w:w w:val="135"/>
                <w:sz w:val="24"/>
                <w:szCs w:val="24"/>
                <w:lang w:eastAsia="bg-BG"/>
              </w:rPr>
              <w:t>)</w:t>
            </w:r>
          </w:p>
        </w:tc>
      </w:tr>
      <w:tr w:rsidR="00144BC5" w:rsidRPr="007B4A99" w14:paraId="61BAD2F4" w14:textId="77777777" w:rsidTr="00144B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000" w:firstRow="0" w:lastRow="0" w:firstColumn="0" w:lastColumn="0" w:noHBand="0" w:noVBand="0"/>
        </w:tblPrEx>
        <w:trPr>
          <w:trHeight w:val="256"/>
        </w:trPr>
        <w:tc>
          <w:tcPr>
            <w:tcW w:w="1966" w:type="dxa"/>
            <w:shd w:val="clear" w:color="auto" w:fill="FFFFFF"/>
          </w:tcPr>
          <w:p w14:paraId="291B80F7" w14:textId="5227CD26" w:rsidR="00144BC5" w:rsidRPr="007B4A99" w:rsidRDefault="00144BC5" w:rsidP="001C549F">
            <w:pPr>
              <w:widowControl w:val="0"/>
              <w:kinsoku w:val="0"/>
              <w:overflowPunct w:val="0"/>
              <w:autoSpaceDE w:val="0"/>
              <w:autoSpaceDN w:val="0"/>
              <w:adjustRightInd w:val="0"/>
              <w:spacing w:after="0" w:line="240" w:lineRule="auto"/>
              <w:ind w:left="113"/>
              <w:rPr>
                <w:rFonts w:ascii="Times New Roman" w:eastAsia="Times New Roman" w:hAnsi="Times New Roman" w:cs="Times New Roman"/>
                <w:b/>
                <w:bCs/>
                <w:iCs/>
                <w:w w:val="105"/>
                <w:sz w:val="16"/>
                <w:szCs w:val="16"/>
                <w:lang w:eastAsia="bg-BG"/>
              </w:rPr>
            </w:pPr>
            <w:r w:rsidRPr="00B83A67">
              <w:rPr>
                <w:rFonts w:ascii="Times New Roman" w:eastAsia="Times New Roman" w:hAnsi="Times New Roman" w:cs="Times New Roman"/>
                <w:b/>
                <w:bCs/>
                <w:iCs/>
                <w:w w:val="105"/>
                <w:sz w:val="16"/>
                <w:szCs w:val="16"/>
                <w:lang w:eastAsia="bg-BG"/>
              </w:rPr>
              <w:t xml:space="preserve">2. </w:t>
            </w:r>
            <w:r w:rsidR="001C549F" w:rsidRPr="00B83A67">
              <w:rPr>
                <w:rFonts w:ascii="Times New Roman" w:eastAsia="Times New Roman" w:hAnsi="Times New Roman" w:cs="Times New Roman"/>
                <w:b/>
                <w:bCs/>
                <w:iCs/>
                <w:w w:val="105"/>
                <w:sz w:val="16"/>
                <w:szCs w:val="16"/>
                <w:lang w:eastAsia="bg-BG"/>
              </w:rPr>
              <w:t>П</w:t>
            </w:r>
            <w:r w:rsidRPr="00B83A67">
              <w:rPr>
                <w:rFonts w:ascii="Times New Roman" w:eastAsia="Times New Roman" w:hAnsi="Times New Roman" w:cs="Times New Roman"/>
                <w:b/>
                <w:bCs/>
                <w:iCs/>
                <w:w w:val="105"/>
                <w:sz w:val="16"/>
                <w:szCs w:val="16"/>
                <w:lang w:eastAsia="bg-BG"/>
              </w:rPr>
              <w:t xml:space="preserve">остигане на </w:t>
            </w:r>
            <w:r w:rsidR="001C549F" w:rsidRPr="00B83A67">
              <w:rPr>
                <w:rFonts w:ascii="Times New Roman" w:eastAsia="Times New Roman" w:hAnsi="Times New Roman" w:cs="Times New Roman"/>
                <w:b/>
                <w:bCs/>
                <w:iCs/>
                <w:w w:val="105"/>
                <w:sz w:val="16"/>
                <w:szCs w:val="16"/>
                <w:lang w:eastAsia="bg-BG"/>
              </w:rPr>
              <w:t xml:space="preserve">продоволствена </w:t>
            </w:r>
            <w:r w:rsidRPr="00B83A67">
              <w:rPr>
                <w:rFonts w:ascii="Times New Roman" w:eastAsia="Times New Roman" w:hAnsi="Times New Roman" w:cs="Times New Roman"/>
                <w:b/>
                <w:bCs/>
                <w:iCs/>
                <w:w w:val="105"/>
                <w:sz w:val="16"/>
                <w:szCs w:val="16"/>
                <w:lang w:eastAsia="bg-BG"/>
              </w:rPr>
              <w:t>сигурност и на устойчиво селско стопанство</w:t>
            </w:r>
          </w:p>
        </w:tc>
        <w:tc>
          <w:tcPr>
            <w:tcW w:w="1694" w:type="dxa"/>
            <w:shd w:val="clear" w:color="auto" w:fill="FFFFFF"/>
            <w:vAlign w:val="center"/>
          </w:tcPr>
          <w:p w14:paraId="1F2F5F38" w14:textId="38DB5C86" w:rsidR="00144BC5" w:rsidRPr="0091327B" w:rsidRDefault="00144BC5" w:rsidP="00144BC5">
            <w:pPr>
              <w:widowControl w:val="0"/>
              <w:kinsoku w:val="0"/>
              <w:overflowPunct w:val="0"/>
              <w:autoSpaceDE w:val="0"/>
              <w:autoSpaceDN w:val="0"/>
              <w:adjustRightInd w:val="0"/>
              <w:spacing w:before="47" w:after="0" w:line="240" w:lineRule="auto"/>
              <w:ind w:left="6"/>
              <w:jc w:val="center"/>
              <w:rPr>
                <w:rFonts w:ascii="Times New Roman" w:eastAsia="Times New Roman" w:hAnsi="Times New Roman" w:cs="Times New Roman"/>
                <w:w w:val="106"/>
                <w:sz w:val="24"/>
                <w:szCs w:val="24"/>
                <w:highlight w:val="green"/>
                <w:lang w:eastAsia="bg-BG"/>
              </w:rPr>
            </w:pPr>
            <w:r>
              <w:rPr>
                <w:rFonts w:ascii="Times New Roman" w:eastAsia="Times New Roman" w:hAnsi="Times New Roman" w:cs="Times New Roman"/>
                <w:b/>
                <w:w w:val="106"/>
                <w:sz w:val="24"/>
                <w:szCs w:val="24"/>
                <w:lang w:eastAsia="bg-BG"/>
              </w:rPr>
              <w:t>(</w:t>
            </w:r>
            <w:r w:rsidRPr="00144BC5">
              <w:rPr>
                <w:rFonts w:ascii="Times New Roman" w:eastAsia="Times New Roman" w:hAnsi="Times New Roman" w:cs="Times New Roman"/>
                <w:b/>
                <w:w w:val="106"/>
                <w:sz w:val="24"/>
                <w:szCs w:val="24"/>
                <w:lang w:eastAsia="bg-BG"/>
              </w:rPr>
              <w:t>–</w:t>
            </w:r>
            <w:r>
              <w:rPr>
                <w:rFonts w:ascii="Times New Roman" w:eastAsia="Times New Roman" w:hAnsi="Times New Roman" w:cs="Times New Roman"/>
                <w:b/>
                <w:w w:val="106"/>
                <w:sz w:val="24"/>
                <w:szCs w:val="24"/>
                <w:lang w:eastAsia="bg-BG"/>
              </w:rPr>
              <w:t>)</w:t>
            </w:r>
            <w:r w:rsidRPr="00144BC5">
              <w:rPr>
                <w:rFonts w:ascii="Times New Roman" w:eastAsia="Times New Roman" w:hAnsi="Times New Roman" w:cs="Times New Roman"/>
                <w:b/>
                <w:w w:val="106"/>
                <w:sz w:val="24"/>
                <w:szCs w:val="24"/>
                <w:lang w:eastAsia="bg-BG"/>
              </w:rPr>
              <w:t xml:space="preserve"> </w:t>
            </w:r>
          </w:p>
        </w:tc>
        <w:tc>
          <w:tcPr>
            <w:tcW w:w="1841" w:type="dxa"/>
            <w:shd w:val="clear" w:color="auto" w:fill="FFFFFF"/>
            <w:vAlign w:val="center"/>
          </w:tcPr>
          <w:p w14:paraId="7764B8DD" w14:textId="4978E914" w:rsidR="00144BC5" w:rsidRPr="0091327B" w:rsidRDefault="00144BC5" w:rsidP="00144BC5">
            <w:pPr>
              <w:widowControl w:val="0"/>
              <w:kinsoku w:val="0"/>
              <w:overflowPunct w:val="0"/>
              <w:autoSpaceDE w:val="0"/>
              <w:autoSpaceDN w:val="0"/>
              <w:adjustRightInd w:val="0"/>
              <w:spacing w:before="47" w:after="0" w:line="240" w:lineRule="auto"/>
              <w:ind w:left="14"/>
              <w:jc w:val="center"/>
              <w:rPr>
                <w:rFonts w:ascii="Times New Roman" w:eastAsia="Times New Roman" w:hAnsi="Times New Roman" w:cs="Times New Roman"/>
                <w:w w:val="135"/>
                <w:sz w:val="24"/>
                <w:szCs w:val="24"/>
                <w:highlight w:val="green"/>
                <w:lang w:eastAsia="bg-BG"/>
              </w:rPr>
            </w:pPr>
            <w:r>
              <w:rPr>
                <w:rFonts w:ascii="Times New Roman" w:hAnsi="Times New Roman"/>
                <w:b/>
              </w:rPr>
              <w:t>(</w:t>
            </w:r>
            <w:r w:rsidRPr="00C77099">
              <w:rPr>
                <w:rFonts w:ascii="Times New Roman" w:hAnsi="Times New Roman"/>
                <w:b/>
              </w:rPr>
              <w:t>–?</w:t>
            </w:r>
            <w:r>
              <w:rPr>
                <w:rFonts w:ascii="Times New Roman" w:hAnsi="Times New Roman"/>
                <w:b/>
              </w:rPr>
              <w:t>)</w:t>
            </w:r>
          </w:p>
        </w:tc>
        <w:tc>
          <w:tcPr>
            <w:tcW w:w="1697" w:type="dxa"/>
            <w:shd w:val="clear" w:color="auto" w:fill="FFFFFF"/>
            <w:vAlign w:val="center"/>
          </w:tcPr>
          <w:p w14:paraId="6E14E819" w14:textId="623EC72D" w:rsidR="00144BC5" w:rsidRPr="0091327B" w:rsidRDefault="00144BC5" w:rsidP="00144BC5">
            <w:pPr>
              <w:widowControl w:val="0"/>
              <w:kinsoku w:val="0"/>
              <w:overflowPunct w:val="0"/>
              <w:autoSpaceDE w:val="0"/>
              <w:autoSpaceDN w:val="0"/>
              <w:adjustRightInd w:val="0"/>
              <w:spacing w:before="47" w:after="0" w:line="240" w:lineRule="auto"/>
              <w:ind w:left="52"/>
              <w:jc w:val="center"/>
              <w:rPr>
                <w:rFonts w:ascii="Times New Roman" w:eastAsia="Times New Roman" w:hAnsi="Times New Roman" w:cs="Times New Roman"/>
                <w:w w:val="120"/>
                <w:sz w:val="24"/>
                <w:szCs w:val="24"/>
                <w:highlight w:val="green"/>
                <w:lang w:eastAsia="bg-BG"/>
              </w:rPr>
            </w:pPr>
            <w:r>
              <w:rPr>
                <w:rFonts w:ascii="Times New Roman" w:hAnsi="Times New Roman"/>
                <w:b/>
              </w:rPr>
              <w:t>(0)</w:t>
            </w:r>
          </w:p>
        </w:tc>
        <w:tc>
          <w:tcPr>
            <w:tcW w:w="1523" w:type="dxa"/>
            <w:gridSpan w:val="2"/>
            <w:shd w:val="clear" w:color="auto" w:fill="FFFFFF"/>
            <w:vAlign w:val="center"/>
          </w:tcPr>
          <w:p w14:paraId="331903FD" w14:textId="6F52ABB0" w:rsidR="00144BC5" w:rsidRPr="0091327B" w:rsidRDefault="00144BC5" w:rsidP="00144BC5">
            <w:pPr>
              <w:widowControl w:val="0"/>
              <w:kinsoku w:val="0"/>
              <w:overflowPunct w:val="0"/>
              <w:autoSpaceDE w:val="0"/>
              <w:autoSpaceDN w:val="0"/>
              <w:adjustRightInd w:val="0"/>
              <w:spacing w:before="47" w:after="0" w:line="240" w:lineRule="auto"/>
              <w:ind w:left="52"/>
              <w:jc w:val="center"/>
              <w:rPr>
                <w:rFonts w:ascii="Times New Roman" w:eastAsia="Times New Roman" w:hAnsi="Times New Roman" w:cs="Times New Roman"/>
                <w:w w:val="120"/>
                <w:sz w:val="24"/>
                <w:szCs w:val="24"/>
                <w:highlight w:val="green"/>
                <w:lang w:eastAsia="bg-BG"/>
              </w:rPr>
            </w:pPr>
            <w:r>
              <w:rPr>
                <w:rFonts w:ascii="Times New Roman" w:eastAsia="Times New Roman" w:hAnsi="Times New Roman" w:cs="Times New Roman"/>
                <w:b/>
                <w:w w:val="135"/>
                <w:sz w:val="24"/>
                <w:szCs w:val="24"/>
                <w:lang w:eastAsia="bg-BG"/>
              </w:rPr>
              <w:t>(</w:t>
            </w:r>
            <w:r w:rsidRPr="00144BC5">
              <w:rPr>
                <w:rFonts w:ascii="Times New Roman" w:eastAsia="Times New Roman" w:hAnsi="Times New Roman" w:cs="Times New Roman"/>
                <w:b/>
                <w:w w:val="135"/>
                <w:sz w:val="24"/>
                <w:szCs w:val="24"/>
                <w:lang w:eastAsia="bg-BG"/>
              </w:rPr>
              <w:t>+</w:t>
            </w:r>
            <w:r>
              <w:rPr>
                <w:rFonts w:ascii="Times New Roman" w:eastAsia="Times New Roman" w:hAnsi="Times New Roman" w:cs="Times New Roman"/>
                <w:b/>
                <w:w w:val="135"/>
                <w:sz w:val="24"/>
                <w:szCs w:val="24"/>
                <w:lang w:eastAsia="bg-BG"/>
              </w:rPr>
              <w:t>)</w:t>
            </w:r>
          </w:p>
        </w:tc>
      </w:tr>
      <w:tr w:rsidR="00144BC5" w:rsidRPr="007B4A99" w14:paraId="76CF327F" w14:textId="77777777" w:rsidTr="00144B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000" w:firstRow="0" w:lastRow="0" w:firstColumn="0" w:lastColumn="0" w:noHBand="0" w:noVBand="0"/>
        </w:tblPrEx>
        <w:trPr>
          <w:trHeight w:val="256"/>
        </w:trPr>
        <w:tc>
          <w:tcPr>
            <w:tcW w:w="1966" w:type="dxa"/>
            <w:shd w:val="clear" w:color="auto" w:fill="FFFFFF"/>
          </w:tcPr>
          <w:p w14:paraId="6CF92ABA" w14:textId="3AAA9135" w:rsidR="00144BC5" w:rsidRPr="007B4A99" w:rsidRDefault="00144BC5" w:rsidP="00144BC5">
            <w:pPr>
              <w:widowControl w:val="0"/>
              <w:kinsoku w:val="0"/>
              <w:overflowPunct w:val="0"/>
              <w:autoSpaceDE w:val="0"/>
              <w:autoSpaceDN w:val="0"/>
              <w:adjustRightInd w:val="0"/>
              <w:spacing w:after="0" w:line="240" w:lineRule="auto"/>
              <w:ind w:left="113"/>
              <w:rPr>
                <w:rFonts w:ascii="Times New Roman" w:eastAsia="Times New Roman" w:hAnsi="Times New Roman" w:cs="Times New Roman"/>
                <w:b/>
                <w:bCs/>
                <w:iCs/>
                <w:w w:val="105"/>
                <w:sz w:val="16"/>
                <w:szCs w:val="16"/>
                <w:lang w:eastAsia="bg-BG"/>
              </w:rPr>
            </w:pPr>
            <w:r w:rsidRPr="0091327B">
              <w:rPr>
                <w:rFonts w:ascii="Times New Roman" w:eastAsia="Times New Roman" w:hAnsi="Times New Roman" w:cs="Times New Roman"/>
                <w:b/>
                <w:bCs/>
                <w:iCs/>
                <w:w w:val="105"/>
                <w:sz w:val="16"/>
                <w:szCs w:val="16"/>
                <w:lang w:eastAsia="bg-BG"/>
              </w:rPr>
              <w:t>3.</w:t>
            </w:r>
            <w:r>
              <w:rPr>
                <w:rFonts w:ascii="Times New Roman" w:eastAsia="Times New Roman" w:hAnsi="Times New Roman" w:cs="Times New Roman"/>
                <w:b/>
                <w:bCs/>
                <w:iCs/>
                <w:w w:val="105"/>
                <w:sz w:val="16"/>
                <w:szCs w:val="16"/>
                <w:lang w:eastAsia="bg-BG"/>
              </w:rPr>
              <w:t xml:space="preserve"> </w:t>
            </w:r>
            <w:r w:rsidRPr="0091327B">
              <w:rPr>
                <w:rFonts w:ascii="Times New Roman" w:eastAsia="Times New Roman" w:hAnsi="Times New Roman" w:cs="Times New Roman"/>
                <w:b/>
                <w:bCs/>
                <w:iCs/>
                <w:w w:val="105"/>
                <w:sz w:val="16"/>
                <w:szCs w:val="16"/>
                <w:lang w:eastAsia="bg-BG"/>
              </w:rPr>
              <w:t>Реална конкурентна среда, правна сигурност, равнопоставеност в отношенията по веригата и пропорционалност при разпределението на добавената стойност по нея</w:t>
            </w:r>
          </w:p>
        </w:tc>
        <w:tc>
          <w:tcPr>
            <w:tcW w:w="1694" w:type="dxa"/>
            <w:shd w:val="clear" w:color="auto" w:fill="FFFFFF"/>
            <w:vAlign w:val="center"/>
          </w:tcPr>
          <w:p w14:paraId="2DE90753" w14:textId="701F6D50" w:rsidR="00144BC5" w:rsidRPr="0091327B" w:rsidRDefault="00144BC5" w:rsidP="00144BC5">
            <w:pPr>
              <w:widowControl w:val="0"/>
              <w:kinsoku w:val="0"/>
              <w:overflowPunct w:val="0"/>
              <w:autoSpaceDE w:val="0"/>
              <w:autoSpaceDN w:val="0"/>
              <w:adjustRightInd w:val="0"/>
              <w:spacing w:before="47" w:after="0" w:line="240" w:lineRule="auto"/>
              <w:ind w:left="6"/>
              <w:jc w:val="center"/>
              <w:rPr>
                <w:rFonts w:ascii="Times New Roman" w:eastAsia="Times New Roman" w:hAnsi="Times New Roman" w:cs="Times New Roman"/>
                <w:w w:val="106"/>
                <w:sz w:val="24"/>
                <w:szCs w:val="24"/>
                <w:highlight w:val="green"/>
                <w:lang w:eastAsia="bg-BG"/>
              </w:rPr>
            </w:pPr>
            <w:r>
              <w:rPr>
                <w:rFonts w:ascii="Times New Roman" w:eastAsia="Times New Roman" w:hAnsi="Times New Roman" w:cs="Times New Roman"/>
                <w:b/>
                <w:w w:val="106"/>
                <w:sz w:val="24"/>
                <w:szCs w:val="24"/>
                <w:lang w:eastAsia="bg-BG"/>
              </w:rPr>
              <w:t>(</w:t>
            </w:r>
            <w:r w:rsidRPr="00144BC5">
              <w:rPr>
                <w:rFonts w:ascii="Times New Roman" w:eastAsia="Times New Roman" w:hAnsi="Times New Roman" w:cs="Times New Roman"/>
                <w:b/>
                <w:w w:val="106"/>
                <w:sz w:val="24"/>
                <w:szCs w:val="24"/>
                <w:lang w:eastAsia="bg-BG"/>
              </w:rPr>
              <w:t>–</w:t>
            </w:r>
            <w:r>
              <w:rPr>
                <w:rFonts w:ascii="Times New Roman" w:eastAsia="Times New Roman" w:hAnsi="Times New Roman" w:cs="Times New Roman"/>
                <w:b/>
                <w:w w:val="106"/>
                <w:sz w:val="24"/>
                <w:szCs w:val="24"/>
                <w:lang w:eastAsia="bg-BG"/>
              </w:rPr>
              <w:t>)</w:t>
            </w:r>
            <w:r w:rsidRPr="00144BC5">
              <w:rPr>
                <w:rFonts w:ascii="Times New Roman" w:eastAsia="Times New Roman" w:hAnsi="Times New Roman" w:cs="Times New Roman"/>
                <w:b/>
                <w:w w:val="106"/>
                <w:sz w:val="24"/>
                <w:szCs w:val="24"/>
                <w:lang w:eastAsia="bg-BG"/>
              </w:rPr>
              <w:t xml:space="preserve"> </w:t>
            </w:r>
          </w:p>
        </w:tc>
        <w:tc>
          <w:tcPr>
            <w:tcW w:w="1841" w:type="dxa"/>
            <w:shd w:val="clear" w:color="auto" w:fill="FFFFFF"/>
            <w:vAlign w:val="center"/>
          </w:tcPr>
          <w:p w14:paraId="5FCAC867" w14:textId="37BEE1CC" w:rsidR="00144BC5" w:rsidRPr="0091327B" w:rsidRDefault="00144BC5" w:rsidP="00144BC5">
            <w:pPr>
              <w:widowControl w:val="0"/>
              <w:kinsoku w:val="0"/>
              <w:overflowPunct w:val="0"/>
              <w:autoSpaceDE w:val="0"/>
              <w:autoSpaceDN w:val="0"/>
              <w:adjustRightInd w:val="0"/>
              <w:spacing w:before="47" w:after="0" w:line="240" w:lineRule="auto"/>
              <w:ind w:left="14"/>
              <w:jc w:val="center"/>
              <w:rPr>
                <w:rFonts w:ascii="Times New Roman" w:eastAsia="Times New Roman" w:hAnsi="Times New Roman" w:cs="Times New Roman"/>
                <w:w w:val="120"/>
                <w:sz w:val="24"/>
                <w:szCs w:val="24"/>
                <w:highlight w:val="green"/>
                <w:lang w:eastAsia="bg-BG"/>
              </w:rPr>
            </w:pPr>
            <w:r>
              <w:rPr>
                <w:rFonts w:ascii="Times New Roman" w:eastAsia="Times New Roman" w:hAnsi="Times New Roman" w:cs="Times New Roman"/>
                <w:b/>
                <w:w w:val="106"/>
                <w:sz w:val="24"/>
                <w:szCs w:val="24"/>
                <w:lang w:eastAsia="bg-BG"/>
              </w:rPr>
              <w:t>(</w:t>
            </w:r>
            <w:r w:rsidRPr="00144BC5">
              <w:rPr>
                <w:rFonts w:ascii="Times New Roman" w:eastAsia="Times New Roman" w:hAnsi="Times New Roman" w:cs="Times New Roman"/>
                <w:b/>
                <w:w w:val="106"/>
                <w:sz w:val="24"/>
                <w:szCs w:val="24"/>
                <w:lang w:eastAsia="bg-BG"/>
              </w:rPr>
              <w:t>– – –</w:t>
            </w:r>
            <w:r>
              <w:rPr>
                <w:rFonts w:ascii="Times New Roman" w:eastAsia="Times New Roman" w:hAnsi="Times New Roman" w:cs="Times New Roman"/>
                <w:b/>
                <w:w w:val="106"/>
                <w:sz w:val="24"/>
                <w:szCs w:val="24"/>
                <w:lang w:eastAsia="bg-BG"/>
              </w:rPr>
              <w:t>)</w:t>
            </w:r>
          </w:p>
        </w:tc>
        <w:tc>
          <w:tcPr>
            <w:tcW w:w="1697" w:type="dxa"/>
            <w:shd w:val="clear" w:color="auto" w:fill="FFFFFF"/>
            <w:vAlign w:val="center"/>
          </w:tcPr>
          <w:p w14:paraId="0176FBAD" w14:textId="2813E35F" w:rsidR="00144BC5" w:rsidRPr="0091327B" w:rsidRDefault="00144BC5" w:rsidP="00144BC5">
            <w:pPr>
              <w:widowControl w:val="0"/>
              <w:kinsoku w:val="0"/>
              <w:overflowPunct w:val="0"/>
              <w:autoSpaceDE w:val="0"/>
              <w:autoSpaceDN w:val="0"/>
              <w:adjustRightInd w:val="0"/>
              <w:spacing w:before="47" w:after="0" w:line="240" w:lineRule="auto"/>
              <w:ind w:left="52"/>
              <w:jc w:val="center"/>
              <w:rPr>
                <w:rFonts w:ascii="Times New Roman" w:eastAsia="Times New Roman" w:hAnsi="Times New Roman" w:cs="Times New Roman"/>
                <w:w w:val="120"/>
                <w:sz w:val="24"/>
                <w:szCs w:val="24"/>
                <w:highlight w:val="green"/>
                <w:lang w:eastAsia="bg-BG"/>
              </w:rPr>
            </w:pPr>
            <w:r w:rsidRPr="00144BC5">
              <w:rPr>
                <w:rFonts w:ascii="Times New Roman" w:hAnsi="Times New Roman"/>
                <w:b/>
              </w:rPr>
              <w:t>(+?)</w:t>
            </w:r>
          </w:p>
        </w:tc>
        <w:tc>
          <w:tcPr>
            <w:tcW w:w="1523" w:type="dxa"/>
            <w:gridSpan w:val="2"/>
            <w:shd w:val="clear" w:color="auto" w:fill="FFFFFF"/>
            <w:vAlign w:val="center"/>
          </w:tcPr>
          <w:p w14:paraId="4CA1D0AC" w14:textId="55ECB811" w:rsidR="00144BC5" w:rsidRPr="0091327B" w:rsidRDefault="00144BC5" w:rsidP="00144BC5">
            <w:pPr>
              <w:widowControl w:val="0"/>
              <w:kinsoku w:val="0"/>
              <w:overflowPunct w:val="0"/>
              <w:autoSpaceDE w:val="0"/>
              <w:autoSpaceDN w:val="0"/>
              <w:adjustRightInd w:val="0"/>
              <w:spacing w:before="47" w:after="0" w:line="240" w:lineRule="auto"/>
              <w:ind w:left="52"/>
              <w:jc w:val="center"/>
              <w:rPr>
                <w:rFonts w:ascii="Times New Roman" w:eastAsia="Times New Roman" w:hAnsi="Times New Roman" w:cs="Times New Roman"/>
                <w:w w:val="135"/>
                <w:sz w:val="24"/>
                <w:szCs w:val="24"/>
                <w:highlight w:val="green"/>
                <w:lang w:eastAsia="bg-BG"/>
              </w:rPr>
            </w:pPr>
            <w:r>
              <w:rPr>
                <w:rFonts w:ascii="Times New Roman" w:eastAsia="Times New Roman" w:hAnsi="Times New Roman" w:cs="Times New Roman"/>
                <w:b/>
                <w:w w:val="135"/>
                <w:sz w:val="24"/>
                <w:szCs w:val="24"/>
                <w:lang w:eastAsia="bg-BG"/>
              </w:rPr>
              <w:t>(</w:t>
            </w:r>
            <w:r w:rsidRPr="00144BC5">
              <w:rPr>
                <w:rFonts w:ascii="Times New Roman" w:eastAsia="Times New Roman" w:hAnsi="Times New Roman" w:cs="Times New Roman"/>
                <w:b/>
                <w:w w:val="135"/>
                <w:sz w:val="24"/>
                <w:szCs w:val="24"/>
                <w:lang w:eastAsia="bg-BG"/>
              </w:rPr>
              <w:t>+</w:t>
            </w:r>
            <w:r>
              <w:rPr>
                <w:rFonts w:ascii="Times New Roman" w:eastAsia="Times New Roman" w:hAnsi="Times New Roman" w:cs="Times New Roman"/>
                <w:b/>
                <w:w w:val="135"/>
                <w:sz w:val="24"/>
                <w:szCs w:val="24"/>
                <w:lang w:eastAsia="bg-BG"/>
              </w:rPr>
              <w:t>)</w:t>
            </w:r>
          </w:p>
        </w:tc>
      </w:tr>
      <w:tr w:rsidR="00612E2F" w:rsidRPr="007B4A99" w14:paraId="2EF8EC44" w14:textId="77777777" w:rsidTr="00144B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000" w:firstRow="0" w:lastRow="0" w:firstColumn="0" w:lastColumn="0" w:noHBand="0" w:noVBand="0"/>
        </w:tblPrEx>
        <w:trPr>
          <w:trHeight w:val="256"/>
        </w:trPr>
        <w:tc>
          <w:tcPr>
            <w:tcW w:w="1966" w:type="dxa"/>
            <w:shd w:val="clear" w:color="auto" w:fill="9CC2E5" w:themeFill="accent1" w:themeFillTint="99"/>
          </w:tcPr>
          <w:p w14:paraId="573BD6DF" w14:textId="77777777" w:rsidR="00612E2F" w:rsidRPr="007B4A99" w:rsidRDefault="00612E2F" w:rsidP="0087338E">
            <w:pPr>
              <w:widowControl w:val="0"/>
              <w:kinsoku w:val="0"/>
              <w:overflowPunct w:val="0"/>
              <w:autoSpaceDE w:val="0"/>
              <w:autoSpaceDN w:val="0"/>
              <w:adjustRightInd w:val="0"/>
              <w:spacing w:after="0" w:line="240" w:lineRule="auto"/>
              <w:ind w:left="113"/>
              <w:rPr>
                <w:rFonts w:ascii="Times New Roman" w:eastAsia="Times New Roman" w:hAnsi="Times New Roman" w:cs="Times New Roman"/>
                <w:b/>
                <w:bCs/>
                <w:iCs/>
                <w:w w:val="105"/>
                <w:sz w:val="16"/>
                <w:szCs w:val="16"/>
                <w:lang w:eastAsia="bg-BG"/>
              </w:rPr>
            </w:pPr>
            <w:r w:rsidRPr="007B4A99">
              <w:rPr>
                <w:rFonts w:ascii="Times New Roman" w:eastAsia="Times New Roman" w:hAnsi="Times New Roman" w:cs="Times New Roman"/>
                <w:b/>
                <w:bCs/>
                <w:iCs/>
                <w:w w:val="105"/>
                <w:sz w:val="16"/>
                <w:szCs w:val="16"/>
                <w:lang w:eastAsia="bg-BG"/>
              </w:rPr>
              <w:t>Социални въздействия</w:t>
            </w:r>
          </w:p>
        </w:tc>
        <w:tc>
          <w:tcPr>
            <w:tcW w:w="6755" w:type="dxa"/>
            <w:gridSpan w:val="5"/>
            <w:shd w:val="clear" w:color="auto" w:fill="FFFFFF"/>
            <w:vAlign w:val="center"/>
          </w:tcPr>
          <w:p w14:paraId="2DAF08FF" w14:textId="77777777" w:rsidR="00612E2F" w:rsidRPr="0091327B" w:rsidRDefault="00612E2F" w:rsidP="0087338E">
            <w:pPr>
              <w:widowControl w:val="0"/>
              <w:kinsoku w:val="0"/>
              <w:overflowPunct w:val="0"/>
              <w:autoSpaceDE w:val="0"/>
              <w:autoSpaceDN w:val="0"/>
              <w:adjustRightInd w:val="0"/>
              <w:spacing w:before="47" w:after="0" w:line="240" w:lineRule="auto"/>
              <w:ind w:left="52"/>
              <w:jc w:val="center"/>
              <w:rPr>
                <w:rFonts w:ascii="Times New Roman" w:eastAsia="Times New Roman" w:hAnsi="Times New Roman" w:cs="Times New Roman"/>
                <w:w w:val="120"/>
                <w:sz w:val="24"/>
                <w:szCs w:val="24"/>
                <w:highlight w:val="green"/>
                <w:lang w:eastAsia="bg-BG"/>
              </w:rPr>
            </w:pPr>
          </w:p>
        </w:tc>
      </w:tr>
      <w:tr w:rsidR="00144BC5" w:rsidRPr="007B4A99" w14:paraId="7D3212FB" w14:textId="77777777" w:rsidTr="00144B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000" w:firstRow="0" w:lastRow="0" w:firstColumn="0" w:lastColumn="0" w:noHBand="0" w:noVBand="0"/>
        </w:tblPrEx>
        <w:trPr>
          <w:trHeight w:val="256"/>
        </w:trPr>
        <w:tc>
          <w:tcPr>
            <w:tcW w:w="1966" w:type="dxa"/>
            <w:shd w:val="clear" w:color="auto" w:fill="FFFFFF"/>
          </w:tcPr>
          <w:p w14:paraId="1E8CA713" w14:textId="6EE92437" w:rsidR="00144BC5" w:rsidRPr="007B4A99" w:rsidRDefault="00144BC5" w:rsidP="00144BC5">
            <w:pPr>
              <w:widowControl w:val="0"/>
              <w:kinsoku w:val="0"/>
              <w:overflowPunct w:val="0"/>
              <w:autoSpaceDE w:val="0"/>
              <w:autoSpaceDN w:val="0"/>
              <w:adjustRightInd w:val="0"/>
              <w:spacing w:after="0" w:line="240" w:lineRule="auto"/>
              <w:ind w:left="113"/>
              <w:rPr>
                <w:rFonts w:ascii="Times New Roman" w:eastAsia="Times New Roman" w:hAnsi="Times New Roman" w:cs="Times New Roman"/>
                <w:b/>
                <w:bCs/>
                <w:iCs/>
                <w:w w:val="105"/>
                <w:sz w:val="16"/>
                <w:szCs w:val="16"/>
                <w:lang w:eastAsia="bg-BG"/>
              </w:rPr>
            </w:pPr>
            <w:r w:rsidRPr="007B4A99">
              <w:rPr>
                <w:rFonts w:ascii="Times New Roman" w:eastAsia="Times New Roman" w:hAnsi="Times New Roman" w:cs="Times New Roman"/>
                <w:b/>
                <w:bCs/>
                <w:iCs/>
                <w:w w:val="105"/>
                <w:sz w:val="16"/>
                <w:szCs w:val="16"/>
                <w:lang w:eastAsia="bg-BG"/>
              </w:rPr>
              <w:t xml:space="preserve">1. </w:t>
            </w:r>
            <w:r w:rsidRPr="0091327B">
              <w:rPr>
                <w:rFonts w:ascii="Times New Roman" w:eastAsia="Times New Roman" w:hAnsi="Times New Roman" w:cs="Times New Roman"/>
                <w:b/>
                <w:bCs/>
                <w:iCs/>
                <w:w w:val="105"/>
                <w:sz w:val="16"/>
                <w:szCs w:val="16"/>
                <w:lang w:eastAsia="bg-BG"/>
              </w:rPr>
              <w:t>Осигуряване на общественото здраве, чрез гарантиране на доставката на достатъчно висококачествени и безопасни храни</w:t>
            </w:r>
          </w:p>
        </w:tc>
        <w:tc>
          <w:tcPr>
            <w:tcW w:w="1694" w:type="dxa"/>
            <w:shd w:val="clear" w:color="auto" w:fill="FFFFFF"/>
            <w:vAlign w:val="center"/>
          </w:tcPr>
          <w:p w14:paraId="14F24A7D" w14:textId="429ECFCB" w:rsidR="00144BC5" w:rsidRPr="0091327B" w:rsidRDefault="00144BC5" w:rsidP="00144BC5">
            <w:pPr>
              <w:widowControl w:val="0"/>
              <w:kinsoku w:val="0"/>
              <w:overflowPunct w:val="0"/>
              <w:autoSpaceDE w:val="0"/>
              <w:autoSpaceDN w:val="0"/>
              <w:adjustRightInd w:val="0"/>
              <w:spacing w:before="47" w:after="0" w:line="240" w:lineRule="auto"/>
              <w:ind w:left="6"/>
              <w:jc w:val="center"/>
              <w:rPr>
                <w:rFonts w:ascii="Times New Roman" w:eastAsia="Times New Roman" w:hAnsi="Times New Roman" w:cs="Times New Roman"/>
                <w:w w:val="106"/>
                <w:sz w:val="24"/>
                <w:szCs w:val="24"/>
                <w:highlight w:val="green"/>
                <w:lang w:eastAsia="bg-BG"/>
              </w:rPr>
            </w:pPr>
            <w:r>
              <w:rPr>
                <w:rFonts w:ascii="Times New Roman" w:eastAsia="Times New Roman" w:hAnsi="Times New Roman" w:cs="Times New Roman"/>
                <w:b/>
                <w:w w:val="106"/>
                <w:sz w:val="24"/>
                <w:szCs w:val="24"/>
                <w:lang w:eastAsia="bg-BG"/>
              </w:rPr>
              <w:t>(</w:t>
            </w:r>
            <w:r w:rsidRPr="00144BC5">
              <w:rPr>
                <w:rFonts w:ascii="Times New Roman" w:eastAsia="Times New Roman" w:hAnsi="Times New Roman" w:cs="Times New Roman"/>
                <w:b/>
                <w:w w:val="106"/>
                <w:sz w:val="24"/>
                <w:szCs w:val="24"/>
                <w:lang w:eastAsia="bg-BG"/>
              </w:rPr>
              <w:t>–</w:t>
            </w:r>
            <w:r>
              <w:rPr>
                <w:rFonts w:ascii="Times New Roman" w:eastAsia="Times New Roman" w:hAnsi="Times New Roman" w:cs="Times New Roman"/>
                <w:b/>
                <w:w w:val="106"/>
                <w:sz w:val="24"/>
                <w:szCs w:val="24"/>
                <w:lang w:eastAsia="bg-BG"/>
              </w:rPr>
              <w:t>)</w:t>
            </w:r>
            <w:r w:rsidRPr="00144BC5">
              <w:rPr>
                <w:rFonts w:ascii="Times New Roman" w:eastAsia="Times New Roman" w:hAnsi="Times New Roman" w:cs="Times New Roman"/>
                <w:b/>
                <w:w w:val="106"/>
                <w:sz w:val="24"/>
                <w:szCs w:val="24"/>
                <w:lang w:eastAsia="bg-BG"/>
              </w:rPr>
              <w:t xml:space="preserve"> </w:t>
            </w:r>
          </w:p>
        </w:tc>
        <w:tc>
          <w:tcPr>
            <w:tcW w:w="1841" w:type="dxa"/>
            <w:shd w:val="clear" w:color="auto" w:fill="FFFFFF"/>
            <w:vAlign w:val="center"/>
          </w:tcPr>
          <w:p w14:paraId="2E2054EF" w14:textId="138F93E8" w:rsidR="00144BC5" w:rsidRPr="0091327B" w:rsidRDefault="00144BC5" w:rsidP="00144BC5">
            <w:pPr>
              <w:widowControl w:val="0"/>
              <w:kinsoku w:val="0"/>
              <w:overflowPunct w:val="0"/>
              <w:autoSpaceDE w:val="0"/>
              <w:autoSpaceDN w:val="0"/>
              <w:adjustRightInd w:val="0"/>
              <w:spacing w:before="47" w:after="0" w:line="240" w:lineRule="auto"/>
              <w:ind w:left="14"/>
              <w:jc w:val="center"/>
              <w:rPr>
                <w:rFonts w:ascii="Times New Roman" w:eastAsia="Times New Roman" w:hAnsi="Times New Roman" w:cs="Times New Roman"/>
                <w:w w:val="135"/>
                <w:sz w:val="24"/>
                <w:szCs w:val="24"/>
                <w:highlight w:val="green"/>
                <w:lang w:eastAsia="bg-BG"/>
              </w:rPr>
            </w:pPr>
            <w:r>
              <w:rPr>
                <w:rFonts w:ascii="Times New Roman" w:hAnsi="Times New Roman"/>
                <w:b/>
              </w:rPr>
              <w:t>(</w:t>
            </w:r>
            <w:r w:rsidRPr="00C77099">
              <w:rPr>
                <w:rFonts w:ascii="Times New Roman" w:hAnsi="Times New Roman"/>
                <w:b/>
              </w:rPr>
              <w:t>–?</w:t>
            </w:r>
            <w:r>
              <w:rPr>
                <w:rFonts w:ascii="Times New Roman" w:hAnsi="Times New Roman"/>
                <w:b/>
              </w:rPr>
              <w:t>)</w:t>
            </w:r>
          </w:p>
        </w:tc>
        <w:tc>
          <w:tcPr>
            <w:tcW w:w="1697" w:type="dxa"/>
            <w:shd w:val="clear" w:color="auto" w:fill="FFFFFF"/>
            <w:vAlign w:val="center"/>
          </w:tcPr>
          <w:p w14:paraId="29671F28" w14:textId="653E5430" w:rsidR="00144BC5" w:rsidRPr="0091327B" w:rsidRDefault="00144BC5" w:rsidP="00144BC5">
            <w:pPr>
              <w:widowControl w:val="0"/>
              <w:kinsoku w:val="0"/>
              <w:overflowPunct w:val="0"/>
              <w:autoSpaceDE w:val="0"/>
              <w:autoSpaceDN w:val="0"/>
              <w:adjustRightInd w:val="0"/>
              <w:spacing w:before="47" w:after="0" w:line="240" w:lineRule="auto"/>
              <w:ind w:left="52"/>
              <w:jc w:val="center"/>
              <w:rPr>
                <w:rFonts w:ascii="Times New Roman" w:eastAsia="Times New Roman" w:hAnsi="Times New Roman" w:cs="Times New Roman"/>
                <w:w w:val="120"/>
                <w:sz w:val="24"/>
                <w:szCs w:val="24"/>
                <w:highlight w:val="green"/>
                <w:lang w:eastAsia="bg-BG"/>
              </w:rPr>
            </w:pPr>
            <w:r w:rsidRPr="00144BC5">
              <w:rPr>
                <w:rFonts w:ascii="Times New Roman" w:hAnsi="Times New Roman"/>
                <w:b/>
              </w:rPr>
              <w:t>(+?)</w:t>
            </w:r>
          </w:p>
        </w:tc>
        <w:tc>
          <w:tcPr>
            <w:tcW w:w="1523" w:type="dxa"/>
            <w:gridSpan w:val="2"/>
            <w:shd w:val="clear" w:color="auto" w:fill="FFFFFF"/>
            <w:vAlign w:val="center"/>
          </w:tcPr>
          <w:p w14:paraId="7422FC32" w14:textId="0D630D2F" w:rsidR="00144BC5" w:rsidRPr="0091327B" w:rsidRDefault="00144BC5" w:rsidP="00144BC5">
            <w:pPr>
              <w:widowControl w:val="0"/>
              <w:kinsoku w:val="0"/>
              <w:overflowPunct w:val="0"/>
              <w:autoSpaceDE w:val="0"/>
              <w:autoSpaceDN w:val="0"/>
              <w:adjustRightInd w:val="0"/>
              <w:spacing w:before="47" w:after="0" w:line="240" w:lineRule="auto"/>
              <w:ind w:left="52"/>
              <w:jc w:val="center"/>
              <w:rPr>
                <w:rFonts w:ascii="Times New Roman" w:eastAsia="Times New Roman" w:hAnsi="Times New Roman" w:cs="Times New Roman"/>
                <w:w w:val="120"/>
                <w:sz w:val="24"/>
                <w:szCs w:val="24"/>
                <w:highlight w:val="green"/>
                <w:lang w:eastAsia="bg-BG"/>
              </w:rPr>
            </w:pPr>
            <w:r>
              <w:rPr>
                <w:rFonts w:ascii="Times New Roman" w:eastAsia="Times New Roman" w:hAnsi="Times New Roman" w:cs="Times New Roman"/>
                <w:b/>
                <w:w w:val="135"/>
                <w:sz w:val="24"/>
                <w:szCs w:val="24"/>
                <w:lang w:eastAsia="bg-BG"/>
              </w:rPr>
              <w:t>(</w:t>
            </w:r>
            <w:r w:rsidRPr="00144BC5">
              <w:rPr>
                <w:rFonts w:ascii="Times New Roman" w:eastAsia="Times New Roman" w:hAnsi="Times New Roman" w:cs="Times New Roman"/>
                <w:b/>
                <w:w w:val="135"/>
                <w:sz w:val="24"/>
                <w:szCs w:val="24"/>
                <w:lang w:eastAsia="bg-BG"/>
              </w:rPr>
              <w:t>+</w:t>
            </w:r>
            <w:r>
              <w:rPr>
                <w:rFonts w:ascii="Times New Roman" w:eastAsia="Times New Roman" w:hAnsi="Times New Roman" w:cs="Times New Roman"/>
                <w:b/>
                <w:w w:val="135"/>
                <w:sz w:val="24"/>
                <w:szCs w:val="24"/>
                <w:lang w:eastAsia="bg-BG"/>
              </w:rPr>
              <w:t>)</w:t>
            </w:r>
          </w:p>
        </w:tc>
      </w:tr>
      <w:tr w:rsidR="00144BC5" w:rsidRPr="007B4A99" w14:paraId="3AB81A5F" w14:textId="77777777" w:rsidTr="00144B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000" w:firstRow="0" w:lastRow="0" w:firstColumn="0" w:lastColumn="0" w:noHBand="0" w:noVBand="0"/>
        </w:tblPrEx>
        <w:trPr>
          <w:trHeight w:val="256"/>
        </w:trPr>
        <w:tc>
          <w:tcPr>
            <w:tcW w:w="1966" w:type="dxa"/>
            <w:shd w:val="clear" w:color="auto" w:fill="FFFFFF"/>
          </w:tcPr>
          <w:p w14:paraId="050F1B1A" w14:textId="5C957D8B" w:rsidR="00144BC5" w:rsidRPr="007B4A99" w:rsidRDefault="00144BC5" w:rsidP="00144BC5">
            <w:pPr>
              <w:widowControl w:val="0"/>
              <w:kinsoku w:val="0"/>
              <w:overflowPunct w:val="0"/>
              <w:autoSpaceDE w:val="0"/>
              <w:autoSpaceDN w:val="0"/>
              <w:adjustRightInd w:val="0"/>
              <w:spacing w:after="0" w:line="240" w:lineRule="auto"/>
              <w:ind w:left="113"/>
              <w:rPr>
                <w:rFonts w:ascii="Times New Roman" w:eastAsia="Times New Roman" w:hAnsi="Times New Roman" w:cs="Times New Roman"/>
                <w:b/>
                <w:bCs/>
                <w:iCs/>
                <w:w w:val="105"/>
                <w:sz w:val="16"/>
                <w:szCs w:val="16"/>
                <w:lang w:eastAsia="bg-BG"/>
              </w:rPr>
            </w:pPr>
            <w:r w:rsidRPr="007B4A99">
              <w:rPr>
                <w:rFonts w:ascii="Times New Roman" w:eastAsia="Times New Roman" w:hAnsi="Times New Roman" w:cs="Times New Roman"/>
                <w:b/>
                <w:bCs/>
                <w:iCs/>
                <w:w w:val="105"/>
                <w:sz w:val="16"/>
                <w:szCs w:val="16"/>
                <w:lang w:eastAsia="bg-BG"/>
              </w:rPr>
              <w:t xml:space="preserve">2. </w:t>
            </w:r>
            <w:r>
              <w:rPr>
                <w:rFonts w:ascii="Times New Roman" w:eastAsia="Times New Roman" w:hAnsi="Times New Roman" w:cs="Times New Roman"/>
                <w:b/>
                <w:bCs/>
                <w:iCs/>
                <w:w w:val="105"/>
                <w:sz w:val="16"/>
                <w:szCs w:val="16"/>
                <w:lang w:eastAsia="bg-BG"/>
              </w:rPr>
              <w:t>Подобряване</w:t>
            </w:r>
            <w:r w:rsidRPr="0091327B">
              <w:rPr>
                <w:rFonts w:ascii="Times New Roman" w:eastAsia="Times New Roman" w:hAnsi="Times New Roman" w:cs="Times New Roman"/>
                <w:b/>
                <w:bCs/>
                <w:iCs/>
                <w:w w:val="105"/>
                <w:sz w:val="16"/>
                <w:szCs w:val="16"/>
                <w:lang w:eastAsia="bg-BG"/>
              </w:rPr>
              <w:t xml:space="preserve"> благосъстоянието на възрастните хора и другите социално уязвими групи от обществото</w:t>
            </w:r>
          </w:p>
        </w:tc>
        <w:tc>
          <w:tcPr>
            <w:tcW w:w="1694" w:type="dxa"/>
            <w:shd w:val="clear" w:color="auto" w:fill="FFFFFF"/>
            <w:vAlign w:val="center"/>
          </w:tcPr>
          <w:p w14:paraId="2F8F67EC" w14:textId="152080A4" w:rsidR="00144BC5" w:rsidRPr="0091327B" w:rsidRDefault="00144BC5" w:rsidP="00144BC5">
            <w:pPr>
              <w:widowControl w:val="0"/>
              <w:kinsoku w:val="0"/>
              <w:overflowPunct w:val="0"/>
              <w:autoSpaceDE w:val="0"/>
              <w:autoSpaceDN w:val="0"/>
              <w:adjustRightInd w:val="0"/>
              <w:spacing w:before="47" w:after="0" w:line="240" w:lineRule="auto"/>
              <w:ind w:left="6"/>
              <w:jc w:val="center"/>
              <w:rPr>
                <w:rFonts w:ascii="Times New Roman" w:eastAsia="Times New Roman" w:hAnsi="Times New Roman" w:cs="Times New Roman"/>
                <w:w w:val="106"/>
                <w:sz w:val="24"/>
                <w:szCs w:val="24"/>
                <w:highlight w:val="green"/>
                <w:lang w:eastAsia="bg-BG"/>
              </w:rPr>
            </w:pPr>
            <w:r>
              <w:rPr>
                <w:rFonts w:ascii="Times New Roman" w:eastAsia="Times New Roman" w:hAnsi="Times New Roman" w:cs="Times New Roman"/>
                <w:b/>
                <w:w w:val="106"/>
                <w:sz w:val="24"/>
                <w:szCs w:val="24"/>
                <w:lang w:eastAsia="bg-BG"/>
              </w:rPr>
              <w:t>(</w:t>
            </w:r>
            <w:r w:rsidRPr="00144BC5">
              <w:rPr>
                <w:rFonts w:ascii="Times New Roman" w:eastAsia="Times New Roman" w:hAnsi="Times New Roman" w:cs="Times New Roman"/>
                <w:b/>
                <w:w w:val="106"/>
                <w:sz w:val="24"/>
                <w:szCs w:val="24"/>
                <w:lang w:eastAsia="bg-BG"/>
              </w:rPr>
              <w:t>–</w:t>
            </w:r>
            <w:r>
              <w:rPr>
                <w:rFonts w:ascii="Times New Roman" w:eastAsia="Times New Roman" w:hAnsi="Times New Roman" w:cs="Times New Roman"/>
                <w:b/>
                <w:w w:val="106"/>
                <w:sz w:val="24"/>
                <w:szCs w:val="24"/>
                <w:lang w:eastAsia="bg-BG"/>
              </w:rPr>
              <w:t>)</w:t>
            </w:r>
            <w:r w:rsidRPr="00144BC5">
              <w:rPr>
                <w:rFonts w:ascii="Times New Roman" w:eastAsia="Times New Roman" w:hAnsi="Times New Roman" w:cs="Times New Roman"/>
                <w:b/>
                <w:w w:val="106"/>
                <w:sz w:val="24"/>
                <w:szCs w:val="24"/>
                <w:lang w:eastAsia="bg-BG"/>
              </w:rPr>
              <w:t xml:space="preserve"> </w:t>
            </w:r>
          </w:p>
        </w:tc>
        <w:tc>
          <w:tcPr>
            <w:tcW w:w="1841" w:type="dxa"/>
            <w:shd w:val="clear" w:color="auto" w:fill="FFFFFF"/>
            <w:vAlign w:val="center"/>
          </w:tcPr>
          <w:p w14:paraId="2B929A68" w14:textId="141FC1A9" w:rsidR="00144BC5" w:rsidRPr="0091327B" w:rsidRDefault="00144BC5" w:rsidP="00144BC5">
            <w:pPr>
              <w:widowControl w:val="0"/>
              <w:kinsoku w:val="0"/>
              <w:overflowPunct w:val="0"/>
              <w:autoSpaceDE w:val="0"/>
              <w:autoSpaceDN w:val="0"/>
              <w:adjustRightInd w:val="0"/>
              <w:spacing w:before="47" w:after="0" w:line="240" w:lineRule="auto"/>
              <w:ind w:left="14"/>
              <w:jc w:val="center"/>
              <w:rPr>
                <w:rFonts w:ascii="Times New Roman" w:eastAsia="Times New Roman" w:hAnsi="Times New Roman" w:cs="Times New Roman"/>
                <w:w w:val="135"/>
                <w:sz w:val="24"/>
                <w:szCs w:val="24"/>
                <w:highlight w:val="green"/>
                <w:lang w:eastAsia="bg-BG"/>
              </w:rPr>
            </w:pPr>
            <w:r>
              <w:rPr>
                <w:rFonts w:ascii="Times New Roman" w:eastAsia="Times New Roman" w:hAnsi="Times New Roman" w:cs="Times New Roman"/>
                <w:b/>
                <w:w w:val="106"/>
                <w:sz w:val="24"/>
                <w:szCs w:val="24"/>
                <w:lang w:eastAsia="bg-BG"/>
              </w:rPr>
              <w:t>(</w:t>
            </w:r>
            <w:r w:rsidRPr="00144BC5">
              <w:rPr>
                <w:rFonts w:ascii="Times New Roman" w:eastAsia="Times New Roman" w:hAnsi="Times New Roman" w:cs="Times New Roman"/>
                <w:b/>
                <w:w w:val="106"/>
                <w:sz w:val="24"/>
                <w:szCs w:val="24"/>
                <w:lang w:eastAsia="bg-BG"/>
              </w:rPr>
              <w:t>– – –</w:t>
            </w:r>
            <w:r>
              <w:rPr>
                <w:rFonts w:ascii="Times New Roman" w:eastAsia="Times New Roman" w:hAnsi="Times New Roman" w:cs="Times New Roman"/>
                <w:b/>
                <w:w w:val="106"/>
                <w:sz w:val="24"/>
                <w:szCs w:val="24"/>
                <w:lang w:eastAsia="bg-BG"/>
              </w:rPr>
              <w:t>)</w:t>
            </w:r>
          </w:p>
        </w:tc>
        <w:tc>
          <w:tcPr>
            <w:tcW w:w="1697" w:type="dxa"/>
            <w:shd w:val="clear" w:color="auto" w:fill="FFFFFF"/>
            <w:vAlign w:val="center"/>
          </w:tcPr>
          <w:p w14:paraId="323A612C" w14:textId="1A33CFA4" w:rsidR="00144BC5" w:rsidRPr="0091327B" w:rsidRDefault="00144BC5" w:rsidP="00144BC5">
            <w:pPr>
              <w:widowControl w:val="0"/>
              <w:kinsoku w:val="0"/>
              <w:overflowPunct w:val="0"/>
              <w:autoSpaceDE w:val="0"/>
              <w:autoSpaceDN w:val="0"/>
              <w:adjustRightInd w:val="0"/>
              <w:spacing w:before="47" w:after="0" w:line="240" w:lineRule="auto"/>
              <w:ind w:left="52"/>
              <w:jc w:val="center"/>
              <w:rPr>
                <w:rFonts w:ascii="Times New Roman" w:eastAsia="Times New Roman" w:hAnsi="Times New Roman" w:cs="Times New Roman"/>
                <w:w w:val="120"/>
                <w:sz w:val="24"/>
                <w:szCs w:val="24"/>
                <w:highlight w:val="green"/>
                <w:lang w:eastAsia="bg-BG"/>
              </w:rPr>
            </w:pPr>
            <w:r>
              <w:rPr>
                <w:rFonts w:ascii="Times New Roman" w:hAnsi="Times New Roman"/>
                <w:b/>
              </w:rPr>
              <w:t>(0)</w:t>
            </w:r>
          </w:p>
        </w:tc>
        <w:tc>
          <w:tcPr>
            <w:tcW w:w="1523" w:type="dxa"/>
            <w:gridSpan w:val="2"/>
            <w:shd w:val="clear" w:color="auto" w:fill="FFFFFF"/>
            <w:vAlign w:val="center"/>
          </w:tcPr>
          <w:p w14:paraId="04AEA337" w14:textId="362DCA67" w:rsidR="00144BC5" w:rsidRPr="0091327B" w:rsidRDefault="00144BC5" w:rsidP="00144BC5">
            <w:pPr>
              <w:widowControl w:val="0"/>
              <w:kinsoku w:val="0"/>
              <w:overflowPunct w:val="0"/>
              <w:autoSpaceDE w:val="0"/>
              <w:autoSpaceDN w:val="0"/>
              <w:adjustRightInd w:val="0"/>
              <w:spacing w:before="47" w:after="0" w:line="240" w:lineRule="auto"/>
              <w:ind w:left="52"/>
              <w:jc w:val="center"/>
              <w:rPr>
                <w:rFonts w:ascii="Times New Roman" w:eastAsia="Times New Roman" w:hAnsi="Times New Roman" w:cs="Times New Roman"/>
                <w:w w:val="120"/>
                <w:sz w:val="24"/>
                <w:szCs w:val="24"/>
                <w:highlight w:val="green"/>
                <w:lang w:eastAsia="bg-BG"/>
              </w:rPr>
            </w:pPr>
            <w:r>
              <w:rPr>
                <w:rFonts w:ascii="Times New Roman" w:eastAsia="Times New Roman" w:hAnsi="Times New Roman" w:cs="Times New Roman"/>
                <w:b/>
                <w:w w:val="135"/>
                <w:sz w:val="24"/>
                <w:szCs w:val="24"/>
                <w:lang w:eastAsia="bg-BG"/>
              </w:rPr>
              <w:t>(</w:t>
            </w:r>
            <w:r w:rsidRPr="00144BC5">
              <w:rPr>
                <w:rFonts w:ascii="Times New Roman" w:eastAsia="Times New Roman" w:hAnsi="Times New Roman" w:cs="Times New Roman"/>
                <w:b/>
                <w:w w:val="135"/>
                <w:sz w:val="24"/>
                <w:szCs w:val="24"/>
                <w:lang w:eastAsia="bg-BG"/>
              </w:rPr>
              <w:t>+</w:t>
            </w:r>
            <w:r>
              <w:rPr>
                <w:rFonts w:ascii="Times New Roman" w:eastAsia="Times New Roman" w:hAnsi="Times New Roman" w:cs="Times New Roman"/>
                <w:b/>
                <w:w w:val="135"/>
                <w:sz w:val="24"/>
                <w:szCs w:val="24"/>
                <w:lang w:eastAsia="bg-BG"/>
              </w:rPr>
              <w:t>)</w:t>
            </w:r>
          </w:p>
        </w:tc>
      </w:tr>
      <w:tr w:rsidR="005015F3" w:rsidRPr="007B4A99" w14:paraId="6B4EB889" w14:textId="77777777" w:rsidTr="00144B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000" w:firstRow="0" w:lastRow="0" w:firstColumn="0" w:lastColumn="0" w:noHBand="0" w:noVBand="0"/>
        </w:tblPrEx>
        <w:trPr>
          <w:trHeight w:val="256"/>
        </w:trPr>
        <w:tc>
          <w:tcPr>
            <w:tcW w:w="1966" w:type="dxa"/>
            <w:shd w:val="clear" w:color="auto" w:fill="FFFFFF"/>
          </w:tcPr>
          <w:p w14:paraId="50437DD6" w14:textId="468ED5B5" w:rsidR="005015F3" w:rsidRPr="00144BC5" w:rsidRDefault="005015F3" w:rsidP="005015F3">
            <w:pPr>
              <w:widowControl w:val="0"/>
              <w:kinsoku w:val="0"/>
              <w:overflowPunct w:val="0"/>
              <w:autoSpaceDE w:val="0"/>
              <w:autoSpaceDN w:val="0"/>
              <w:adjustRightInd w:val="0"/>
              <w:spacing w:after="0" w:line="240" w:lineRule="auto"/>
              <w:ind w:left="113"/>
              <w:rPr>
                <w:rFonts w:ascii="Times New Roman" w:eastAsia="Times New Roman" w:hAnsi="Times New Roman" w:cs="Times New Roman"/>
                <w:b/>
                <w:bCs/>
                <w:iCs/>
                <w:w w:val="105"/>
                <w:sz w:val="16"/>
                <w:szCs w:val="16"/>
                <w:lang w:eastAsia="bg-BG"/>
              </w:rPr>
            </w:pPr>
            <w:r w:rsidRPr="00144BC5">
              <w:rPr>
                <w:rFonts w:ascii="Times New Roman" w:hAnsi="Times New Roman" w:cs="Times New Roman"/>
                <w:b/>
                <w:sz w:val="16"/>
                <w:szCs w:val="16"/>
              </w:rPr>
              <w:t>3</w:t>
            </w:r>
            <w:r w:rsidRPr="00144BC5">
              <w:rPr>
                <w:rFonts w:ascii="Times New Roman" w:hAnsi="Times New Roman" w:cs="Times New Roman"/>
                <w:sz w:val="16"/>
                <w:szCs w:val="16"/>
              </w:rPr>
              <w:t xml:space="preserve">. </w:t>
            </w:r>
            <w:r w:rsidRPr="00144BC5">
              <w:rPr>
                <w:rFonts w:ascii="Times New Roman" w:hAnsi="Times New Roman" w:cs="Times New Roman"/>
                <w:b/>
                <w:sz w:val="16"/>
                <w:szCs w:val="16"/>
              </w:rPr>
              <w:t>Гарантиране на продоволствената сигурност, чрез най-пълноценното функциониране на веригата на доставка на храни и земеделска продукция</w:t>
            </w:r>
          </w:p>
        </w:tc>
        <w:tc>
          <w:tcPr>
            <w:tcW w:w="1694" w:type="dxa"/>
            <w:shd w:val="clear" w:color="auto" w:fill="FFFFFF"/>
            <w:vAlign w:val="center"/>
          </w:tcPr>
          <w:p w14:paraId="483F4BE4" w14:textId="3D4A01D0" w:rsidR="005015F3" w:rsidRPr="0091327B" w:rsidRDefault="00144BC5" w:rsidP="005015F3">
            <w:pPr>
              <w:widowControl w:val="0"/>
              <w:kinsoku w:val="0"/>
              <w:overflowPunct w:val="0"/>
              <w:autoSpaceDE w:val="0"/>
              <w:autoSpaceDN w:val="0"/>
              <w:adjustRightInd w:val="0"/>
              <w:spacing w:before="47" w:after="0" w:line="240" w:lineRule="auto"/>
              <w:ind w:left="6"/>
              <w:jc w:val="center"/>
              <w:rPr>
                <w:rFonts w:ascii="Times New Roman" w:eastAsia="Times New Roman" w:hAnsi="Times New Roman" w:cs="Times New Roman"/>
                <w:w w:val="106"/>
                <w:sz w:val="24"/>
                <w:szCs w:val="24"/>
                <w:highlight w:val="green"/>
                <w:lang w:eastAsia="bg-BG"/>
              </w:rPr>
            </w:pPr>
            <w:r>
              <w:rPr>
                <w:rFonts w:ascii="Times New Roman" w:eastAsia="Times New Roman" w:hAnsi="Times New Roman" w:cs="Times New Roman"/>
                <w:b/>
                <w:w w:val="106"/>
                <w:sz w:val="24"/>
                <w:szCs w:val="24"/>
                <w:lang w:eastAsia="bg-BG"/>
              </w:rPr>
              <w:t>(</w:t>
            </w:r>
            <w:r w:rsidRPr="00144BC5">
              <w:rPr>
                <w:rFonts w:ascii="Times New Roman" w:eastAsia="Times New Roman" w:hAnsi="Times New Roman" w:cs="Times New Roman"/>
                <w:b/>
                <w:w w:val="106"/>
                <w:sz w:val="24"/>
                <w:szCs w:val="24"/>
                <w:lang w:eastAsia="bg-BG"/>
              </w:rPr>
              <w:t>–</w:t>
            </w:r>
            <w:r>
              <w:rPr>
                <w:rFonts w:ascii="Times New Roman" w:eastAsia="Times New Roman" w:hAnsi="Times New Roman" w:cs="Times New Roman"/>
                <w:b/>
                <w:w w:val="106"/>
                <w:sz w:val="24"/>
                <w:szCs w:val="24"/>
                <w:lang w:eastAsia="bg-BG"/>
              </w:rPr>
              <w:t>)</w:t>
            </w:r>
          </w:p>
        </w:tc>
        <w:tc>
          <w:tcPr>
            <w:tcW w:w="1841" w:type="dxa"/>
            <w:shd w:val="clear" w:color="auto" w:fill="FFFFFF"/>
            <w:vAlign w:val="center"/>
          </w:tcPr>
          <w:p w14:paraId="3F4F38CE" w14:textId="12F40061" w:rsidR="005015F3" w:rsidRPr="0091327B" w:rsidRDefault="00144BC5" w:rsidP="005015F3">
            <w:pPr>
              <w:widowControl w:val="0"/>
              <w:kinsoku w:val="0"/>
              <w:overflowPunct w:val="0"/>
              <w:autoSpaceDE w:val="0"/>
              <w:autoSpaceDN w:val="0"/>
              <w:adjustRightInd w:val="0"/>
              <w:spacing w:before="47" w:after="0" w:line="240" w:lineRule="auto"/>
              <w:ind w:left="14"/>
              <w:jc w:val="center"/>
              <w:rPr>
                <w:rFonts w:ascii="Times New Roman" w:eastAsia="Times New Roman" w:hAnsi="Times New Roman" w:cs="Times New Roman"/>
                <w:w w:val="120"/>
                <w:sz w:val="24"/>
                <w:szCs w:val="24"/>
                <w:highlight w:val="green"/>
                <w:lang w:eastAsia="bg-BG"/>
              </w:rPr>
            </w:pPr>
            <w:r>
              <w:rPr>
                <w:rFonts w:ascii="Times New Roman" w:hAnsi="Times New Roman"/>
                <w:b/>
              </w:rPr>
              <w:t>(</w:t>
            </w:r>
            <w:r w:rsidRPr="00C77099">
              <w:rPr>
                <w:rFonts w:ascii="Times New Roman" w:hAnsi="Times New Roman"/>
                <w:b/>
              </w:rPr>
              <w:t>–?</w:t>
            </w:r>
            <w:r>
              <w:rPr>
                <w:rFonts w:ascii="Times New Roman" w:hAnsi="Times New Roman"/>
                <w:b/>
              </w:rPr>
              <w:t>)</w:t>
            </w:r>
          </w:p>
        </w:tc>
        <w:tc>
          <w:tcPr>
            <w:tcW w:w="1697" w:type="dxa"/>
            <w:shd w:val="clear" w:color="auto" w:fill="FFFFFF"/>
            <w:vAlign w:val="center"/>
          </w:tcPr>
          <w:p w14:paraId="5D42FB8B" w14:textId="73C6BBE5" w:rsidR="005015F3" w:rsidRPr="0091327B" w:rsidRDefault="00144BC5" w:rsidP="005015F3">
            <w:pPr>
              <w:widowControl w:val="0"/>
              <w:kinsoku w:val="0"/>
              <w:overflowPunct w:val="0"/>
              <w:autoSpaceDE w:val="0"/>
              <w:autoSpaceDN w:val="0"/>
              <w:adjustRightInd w:val="0"/>
              <w:spacing w:before="47" w:after="0" w:line="240" w:lineRule="auto"/>
              <w:ind w:left="52"/>
              <w:jc w:val="center"/>
              <w:rPr>
                <w:rFonts w:ascii="Times New Roman" w:eastAsia="Times New Roman" w:hAnsi="Times New Roman" w:cs="Times New Roman"/>
                <w:w w:val="120"/>
                <w:sz w:val="24"/>
                <w:szCs w:val="24"/>
                <w:highlight w:val="green"/>
                <w:lang w:eastAsia="bg-BG"/>
              </w:rPr>
            </w:pPr>
            <w:r>
              <w:rPr>
                <w:rFonts w:ascii="Times New Roman" w:hAnsi="Times New Roman"/>
                <w:b/>
              </w:rPr>
              <w:t>(0)</w:t>
            </w:r>
          </w:p>
        </w:tc>
        <w:tc>
          <w:tcPr>
            <w:tcW w:w="1523" w:type="dxa"/>
            <w:gridSpan w:val="2"/>
            <w:shd w:val="clear" w:color="auto" w:fill="FFFFFF"/>
            <w:vAlign w:val="center"/>
          </w:tcPr>
          <w:p w14:paraId="6DB8F2FD" w14:textId="4BE1063B" w:rsidR="005015F3" w:rsidRPr="0091327B" w:rsidRDefault="00144BC5" w:rsidP="005015F3">
            <w:pPr>
              <w:widowControl w:val="0"/>
              <w:kinsoku w:val="0"/>
              <w:overflowPunct w:val="0"/>
              <w:autoSpaceDE w:val="0"/>
              <w:autoSpaceDN w:val="0"/>
              <w:adjustRightInd w:val="0"/>
              <w:spacing w:before="47" w:after="0" w:line="240" w:lineRule="auto"/>
              <w:ind w:left="52"/>
              <w:jc w:val="center"/>
              <w:rPr>
                <w:rFonts w:ascii="Times New Roman" w:eastAsia="Times New Roman" w:hAnsi="Times New Roman" w:cs="Times New Roman"/>
                <w:w w:val="135"/>
                <w:sz w:val="24"/>
                <w:szCs w:val="24"/>
                <w:highlight w:val="green"/>
                <w:lang w:eastAsia="bg-BG"/>
              </w:rPr>
            </w:pPr>
            <w:r>
              <w:rPr>
                <w:rFonts w:ascii="Times New Roman" w:eastAsia="Times New Roman" w:hAnsi="Times New Roman" w:cs="Times New Roman"/>
                <w:b/>
                <w:w w:val="135"/>
                <w:sz w:val="24"/>
                <w:szCs w:val="24"/>
                <w:lang w:eastAsia="bg-BG"/>
              </w:rPr>
              <w:t>(</w:t>
            </w:r>
            <w:r w:rsidRPr="00144BC5">
              <w:rPr>
                <w:rFonts w:ascii="Times New Roman" w:eastAsia="Times New Roman" w:hAnsi="Times New Roman" w:cs="Times New Roman"/>
                <w:b/>
                <w:w w:val="135"/>
                <w:sz w:val="24"/>
                <w:szCs w:val="24"/>
                <w:lang w:eastAsia="bg-BG"/>
              </w:rPr>
              <w:t>+</w:t>
            </w:r>
            <w:r>
              <w:rPr>
                <w:rFonts w:ascii="Times New Roman" w:eastAsia="Times New Roman" w:hAnsi="Times New Roman" w:cs="Times New Roman"/>
                <w:b/>
                <w:w w:val="135"/>
                <w:sz w:val="24"/>
                <w:szCs w:val="24"/>
                <w:lang w:eastAsia="bg-BG"/>
              </w:rPr>
              <w:t>)</w:t>
            </w:r>
          </w:p>
        </w:tc>
      </w:tr>
      <w:tr w:rsidR="00612E2F" w:rsidRPr="007B4A99" w14:paraId="43C587C4" w14:textId="77777777" w:rsidTr="00144B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000" w:firstRow="0" w:lastRow="0" w:firstColumn="0" w:lastColumn="0" w:noHBand="0" w:noVBand="0"/>
        </w:tblPrEx>
        <w:trPr>
          <w:trHeight w:val="256"/>
        </w:trPr>
        <w:tc>
          <w:tcPr>
            <w:tcW w:w="1966" w:type="dxa"/>
            <w:shd w:val="clear" w:color="auto" w:fill="9CC2E5" w:themeFill="accent1" w:themeFillTint="99"/>
          </w:tcPr>
          <w:p w14:paraId="43D87A7D" w14:textId="77777777" w:rsidR="00612E2F" w:rsidRPr="007B4A99" w:rsidRDefault="00612E2F" w:rsidP="0087338E">
            <w:pPr>
              <w:widowControl w:val="0"/>
              <w:kinsoku w:val="0"/>
              <w:overflowPunct w:val="0"/>
              <w:autoSpaceDE w:val="0"/>
              <w:autoSpaceDN w:val="0"/>
              <w:adjustRightInd w:val="0"/>
              <w:spacing w:after="0" w:line="240" w:lineRule="auto"/>
              <w:ind w:left="113"/>
              <w:rPr>
                <w:rFonts w:ascii="Times New Roman" w:eastAsia="Times New Roman" w:hAnsi="Times New Roman" w:cs="Times New Roman"/>
                <w:b/>
                <w:bCs/>
                <w:iCs/>
                <w:w w:val="105"/>
                <w:sz w:val="16"/>
                <w:szCs w:val="16"/>
                <w:lang w:eastAsia="bg-BG"/>
              </w:rPr>
            </w:pPr>
            <w:r w:rsidRPr="007B4A99">
              <w:rPr>
                <w:rFonts w:ascii="Times New Roman" w:eastAsia="Times New Roman" w:hAnsi="Times New Roman" w:cs="Times New Roman"/>
                <w:b/>
                <w:bCs/>
                <w:iCs/>
                <w:w w:val="105"/>
                <w:sz w:val="16"/>
                <w:szCs w:val="16"/>
                <w:lang w:eastAsia="bg-BG"/>
              </w:rPr>
              <w:t>Екологични въздействия</w:t>
            </w:r>
          </w:p>
        </w:tc>
        <w:tc>
          <w:tcPr>
            <w:tcW w:w="6755" w:type="dxa"/>
            <w:gridSpan w:val="5"/>
            <w:shd w:val="clear" w:color="auto" w:fill="FFFFFF"/>
            <w:vAlign w:val="center"/>
          </w:tcPr>
          <w:p w14:paraId="62DFEE4A" w14:textId="77777777" w:rsidR="00612E2F" w:rsidRPr="0091327B" w:rsidRDefault="00612E2F" w:rsidP="0087338E">
            <w:pPr>
              <w:widowControl w:val="0"/>
              <w:kinsoku w:val="0"/>
              <w:overflowPunct w:val="0"/>
              <w:autoSpaceDE w:val="0"/>
              <w:autoSpaceDN w:val="0"/>
              <w:adjustRightInd w:val="0"/>
              <w:spacing w:before="47" w:after="0" w:line="240" w:lineRule="auto"/>
              <w:ind w:left="52"/>
              <w:jc w:val="center"/>
              <w:rPr>
                <w:rFonts w:ascii="Times New Roman" w:eastAsia="Times New Roman" w:hAnsi="Times New Roman" w:cs="Times New Roman"/>
                <w:w w:val="120"/>
                <w:sz w:val="24"/>
                <w:szCs w:val="24"/>
                <w:highlight w:val="green"/>
                <w:lang w:eastAsia="bg-BG"/>
              </w:rPr>
            </w:pPr>
          </w:p>
        </w:tc>
      </w:tr>
      <w:tr w:rsidR="00612E2F" w:rsidRPr="007B4A99" w14:paraId="002430A5" w14:textId="77777777" w:rsidTr="00144B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000" w:firstRow="0" w:lastRow="0" w:firstColumn="0" w:lastColumn="0" w:noHBand="0" w:noVBand="0"/>
        </w:tblPrEx>
        <w:trPr>
          <w:trHeight w:val="256"/>
        </w:trPr>
        <w:tc>
          <w:tcPr>
            <w:tcW w:w="1966" w:type="dxa"/>
            <w:shd w:val="clear" w:color="auto" w:fill="FFFFFF"/>
          </w:tcPr>
          <w:p w14:paraId="0BF63FDA" w14:textId="0B1D3DCD" w:rsidR="00612E2F" w:rsidRPr="007B4A99" w:rsidRDefault="00612E2F" w:rsidP="0087338E">
            <w:pPr>
              <w:widowControl w:val="0"/>
              <w:kinsoku w:val="0"/>
              <w:overflowPunct w:val="0"/>
              <w:autoSpaceDE w:val="0"/>
              <w:autoSpaceDN w:val="0"/>
              <w:adjustRightInd w:val="0"/>
              <w:spacing w:after="0" w:line="240" w:lineRule="auto"/>
              <w:ind w:left="113"/>
              <w:rPr>
                <w:rFonts w:ascii="Times New Roman" w:eastAsia="Times New Roman" w:hAnsi="Times New Roman" w:cs="Times New Roman"/>
                <w:b/>
                <w:bCs/>
                <w:iCs/>
                <w:w w:val="105"/>
                <w:sz w:val="16"/>
                <w:szCs w:val="16"/>
                <w:lang w:eastAsia="bg-BG"/>
              </w:rPr>
            </w:pPr>
            <w:r w:rsidRPr="007B4A99">
              <w:rPr>
                <w:rFonts w:ascii="Times New Roman" w:eastAsia="Times New Roman" w:hAnsi="Times New Roman" w:cs="Times New Roman"/>
                <w:b/>
                <w:bCs/>
                <w:iCs/>
                <w:w w:val="105"/>
                <w:sz w:val="16"/>
                <w:szCs w:val="16"/>
                <w:lang w:eastAsia="bg-BG"/>
              </w:rPr>
              <w:t xml:space="preserve">1. </w:t>
            </w:r>
            <w:r w:rsidR="0091327B" w:rsidRPr="0091327B">
              <w:rPr>
                <w:rFonts w:ascii="Times New Roman" w:eastAsia="Times New Roman" w:hAnsi="Times New Roman" w:cs="Times New Roman"/>
                <w:b/>
                <w:bCs/>
                <w:iCs/>
                <w:w w:val="105"/>
                <w:sz w:val="16"/>
                <w:szCs w:val="16"/>
                <w:lang w:eastAsia="bg-BG"/>
              </w:rPr>
              <w:t>Оптимално ниво на подготвеност за посрещане на евентуални негативни ефекти от настъпването на климатични промени</w:t>
            </w:r>
          </w:p>
        </w:tc>
        <w:tc>
          <w:tcPr>
            <w:tcW w:w="1694" w:type="dxa"/>
            <w:shd w:val="clear" w:color="auto" w:fill="FFFFFF"/>
            <w:vAlign w:val="center"/>
          </w:tcPr>
          <w:p w14:paraId="00FC32EA" w14:textId="014B96A4" w:rsidR="00612E2F" w:rsidRPr="0091327B" w:rsidRDefault="00144BC5" w:rsidP="0007553B">
            <w:pPr>
              <w:widowControl w:val="0"/>
              <w:kinsoku w:val="0"/>
              <w:overflowPunct w:val="0"/>
              <w:autoSpaceDE w:val="0"/>
              <w:autoSpaceDN w:val="0"/>
              <w:adjustRightInd w:val="0"/>
              <w:spacing w:before="47" w:after="0" w:line="240" w:lineRule="auto"/>
              <w:ind w:left="6"/>
              <w:jc w:val="center"/>
              <w:rPr>
                <w:rFonts w:ascii="Times New Roman" w:eastAsia="Times New Roman" w:hAnsi="Times New Roman" w:cs="Times New Roman"/>
                <w:w w:val="106"/>
                <w:sz w:val="24"/>
                <w:szCs w:val="24"/>
                <w:highlight w:val="green"/>
                <w:lang w:eastAsia="bg-BG"/>
              </w:rPr>
            </w:pPr>
            <w:r>
              <w:rPr>
                <w:rFonts w:ascii="Times New Roman" w:eastAsia="Times New Roman" w:hAnsi="Times New Roman" w:cs="Times New Roman"/>
                <w:b/>
                <w:w w:val="106"/>
                <w:sz w:val="24"/>
                <w:szCs w:val="24"/>
                <w:lang w:eastAsia="bg-BG"/>
              </w:rPr>
              <w:t>(</w:t>
            </w:r>
            <w:r w:rsidRPr="00144BC5">
              <w:rPr>
                <w:rFonts w:ascii="Times New Roman" w:eastAsia="Times New Roman" w:hAnsi="Times New Roman" w:cs="Times New Roman"/>
                <w:b/>
                <w:w w:val="106"/>
                <w:sz w:val="24"/>
                <w:szCs w:val="24"/>
                <w:lang w:eastAsia="bg-BG"/>
              </w:rPr>
              <w:t>–</w:t>
            </w:r>
            <w:r>
              <w:rPr>
                <w:rFonts w:ascii="Times New Roman" w:eastAsia="Times New Roman" w:hAnsi="Times New Roman" w:cs="Times New Roman"/>
                <w:b/>
                <w:w w:val="106"/>
                <w:sz w:val="24"/>
                <w:szCs w:val="24"/>
                <w:lang w:eastAsia="bg-BG"/>
              </w:rPr>
              <w:t>)</w:t>
            </w:r>
            <w:r w:rsidRPr="00144BC5">
              <w:rPr>
                <w:rFonts w:ascii="Times New Roman" w:eastAsia="Times New Roman" w:hAnsi="Times New Roman" w:cs="Times New Roman"/>
                <w:b/>
                <w:w w:val="106"/>
                <w:sz w:val="24"/>
                <w:szCs w:val="24"/>
                <w:lang w:eastAsia="bg-BG"/>
              </w:rPr>
              <w:t xml:space="preserve"> </w:t>
            </w:r>
            <w:r w:rsidR="00612E2F" w:rsidRPr="0091327B">
              <w:rPr>
                <w:rFonts w:ascii="Times New Roman" w:eastAsia="Times New Roman" w:hAnsi="Times New Roman" w:cs="Times New Roman"/>
                <w:w w:val="106"/>
                <w:sz w:val="24"/>
                <w:szCs w:val="24"/>
                <w:highlight w:val="green"/>
                <w:lang w:eastAsia="bg-BG"/>
              </w:rPr>
              <w:t xml:space="preserve"> </w:t>
            </w:r>
          </w:p>
        </w:tc>
        <w:tc>
          <w:tcPr>
            <w:tcW w:w="1841" w:type="dxa"/>
            <w:shd w:val="clear" w:color="auto" w:fill="FFFFFF"/>
            <w:vAlign w:val="center"/>
          </w:tcPr>
          <w:p w14:paraId="6639EEA2" w14:textId="063556E3" w:rsidR="00612E2F" w:rsidRPr="0091327B" w:rsidRDefault="00144BC5" w:rsidP="0087338E">
            <w:pPr>
              <w:widowControl w:val="0"/>
              <w:kinsoku w:val="0"/>
              <w:overflowPunct w:val="0"/>
              <w:autoSpaceDE w:val="0"/>
              <w:autoSpaceDN w:val="0"/>
              <w:adjustRightInd w:val="0"/>
              <w:spacing w:before="47" w:after="0" w:line="240" w:lineRule="auto"/>
              <w:ind w:left="14"/>
              <w:jc w:val="center"/>
              <w:rPr>
                <w:rFonts w:ascii="Times New Roman" w:eastAsia="Times New Roman" w:hAnsi="Times New Roman" w:cs="Times New Roman"/>
                <w:w w:val="135"/>
                <w:sz w:val="24"/>
                <w:szCs w:val="24"/>
                <w:highlight w:val="green"/>
                <w:lang w:eastAsia="bg-BG"/>
              </w:rPr>
            </w:pPr>
            <w:r>
              <w:rPr>
                <w:rFonts w:ascii="Times New Roman" w:hAnsi="Times New Roman"/>
                <w:b/>
              </w:rPr>
              <w:t>(</w:t>
            </w:r>
            <w:r w:rsidRPr="00C77099">
              <w:rPr>
                <w:rFonts w:ascii="Times New Roman" w:hAnsi="Times New Roman"/>
                <w:b/>
              </w:rPr>
              <w:t>–?</w:t>
            </w:r>
            <w:r>
              <w:rPr>
                <w:rFonts w:ascii="Times New Roman" w:hAnsi="Times New Roman"/>
                <w:b/>
              </w:rPr>
              <w:t>)</w:t>
            </w:r>
          </w:p>
        </w:tc>
        <w:tc>
          <w:tcPr>
            <w:tcW w:w="1697" w:type="dxa"/>
            <w:shd w:val="clear" w:color="auto" w:fill="FFFFFF"/>
            <w:vAlign w:val="center"/>
          </w:tcPr>
          <w:p w14:paraId="57849C76" w14:textId="48B7F82B" w:rsidR="00612E2F" w:rsidRPr="0091327B" w:rsidRDefault="00144BC5" w:rsidP="0087338E">
            <w:pPr>
              <w:widowControl w:val="0"/>
              <w:kinsoku w:val="0"/>
              <w:overflowPunct w:val="0"/>
              <w:autoSpaceDE w:val="0"/>
              <w:autoSpaceDN w:val="0"/>
              <w:adjustRightInd w:val="0"/>
              <w:spacing w:before="47" w:after="0" w:line="240" w:lineRule="auto"/>
              <w:ind w:left="52"/>
              <w:jc w:val="center"/>
              <w:rPr>
                <w:rFonts w:ascii="Times New Roman" w:eastAsia="Times New Roman" w:hAnsi="Times New Roman" w:cs="Times New Roman"/>
                <w:w w:val="120"/>
                <w:sz w:val="24"/>
                <w:szCs w:val="24"/>
                <w:highlight w:val="green"/>
                <w:lang w:eastAsia="bg-BG"/>
              </w:rPr>
            </w:pPr>
            <w:r>
              <w:rPr>
                <w:rFonts w:ascii="Times New Roman" w:eastAsia="Times New Roman" w:hAnsi="Times New Roman" w:cs="Times New Roman"/>
                <w:b/>
                <w:w w:val="106"/>
                <w:sz w:val="24"/>
                <w:szCs w:val="24"/>
                <w:lang w:eastAsia="bg-BG"/>
              </w:rPr>
              <w:t>(</w:t>
            </w:r>
            <w:r w:rsidRPr="00144BC5">
              <w:rPr>
                <w:rFonts w:ascii="Times New Roman" w:eastAsia="Times New Roman" w:hAnsi="Times New Roman" w:cs="Times New Roman"/>
                <w:b/>
                <w:w w:val="106"/>
                <w:sz w:val="24"/>
                <w:szCs w:val="24"/>
                <w:lang w:eastAsia="bg-BG"/>
              </w:rPr>
              <w:t>– – –</w:t>
            </w:r>
            <w:r>
              <w:rPr>
                <w:rFonts w:ascii="Times New Roman" w:eastAsia="Times New Roman" w:hAnsi="Times New Roman" w:cs="Times New Roman"/>
                <w:b/>
                <w:w w:val="106"/>
                <w:sz w:val="24"/>
                <w:szCs w:val="24"/>
                <w:lang w:eastAsia="bg-BG"/>
              </w:rPr>
              <w:t>)</w:t>
            </w:r>
          </w:p>
        </w:tc>
        <w:tc>
          <w:tcPr>
            <w:tcW w:w="1523" w:type="dxa"/>
            <w:gridSpan w:val="2"/>
            <w:shd w:val="clear" w:color="auto" w:fill="FFFFFF"/>
            <w:vAlign w:val="center"/>
          </w:tcPr>
          <w:p w14:paraId="1573377B" w14:textId="5A71258E" w:rsidR="00612E2F" w:rsidRPr="0091327B" w:rsidRDefault="00144BC5" w:rsidP="0087338E">
            <w:pPr>
              <w:widowControl w:val="0"/>
              <w:kinsoku w:val="0"/>
              <w:overflowPunct w:val="0"/>
              <w:autoSpaceDE w:val="0"/>
              <w:autoSpaceDN w:val="0"/>
              <w:adjustRightInd w:val="0"/>
              <w:spacing w:before="47" w:after="0" w:line="240" w:lineRule="auto"/>
              <w:ind w:left="52"/>
              <w:jc w:val="center"/>
              <w:rPr>
                <w:rFonts w:ascii="Times New Roman" w:eastAsia="Times New Roman" w:hAnsi="Times New Roman" w:cs="Times New Roman"/>
                <w:w w:val="120"/>
                <w:sz w:val="24"/>
                <w:szCs w:val="24"/>
                <w:highlight w:val="green"/>
                <w:lang w:eastAsia="bg-BG"/>
              </w:rPr>
            </w:pPr>
            <w:r>
              <w:rPr>
                <w:rFonts w:ascii="Times New Roman" w:eastAsia="Times New Roman" w:hAnsi="Times New Roman" w:cs="Times New Roman"/>
                <w:b/>
                <w:w w:val="135"/>
                <w:sz w:val="24"/>
                <w:szCs w:val="24"/>
                <w:lang w:eastAsia="bg-BG"/>
              </w:rPr>
              <w:t>(</w:t>
            </w:r>
            <w:r w:rsidRPr="00144BC5">
              <w:rPr>
                <w:rFonts w:ascii="Times New Roman" w:eastAsia="Times New Roman" w:hAnsi="Times New Roman" w:cs="Times New Roman"/>
                <w:b/>
                <w:w w:val="135"/>
                <w:sz w:val="24"/>
                <w:szCs w:val="24"/>
                <w:lang w:eastAsia="bg-BG"/>
              </w:rPr>
              <w:t>+</w:t>
            </w:r>
            <w:r>
              <w:rPr>
                <w:rFonts w:ascii="Times New Roman" w:eastAsia="Times New Roman" w:hAnsi="Times New Roman" w:cs="Times New Roman"/>
                <w:b/>
                <w:w w:val="135"/>
                <w:sz w:val="24"/>
                <w:szCs w:val="24"/>
                <w:lang w:eastAsia="bg-BG"/>
              </w:rPr>
              <w:t>)</w:t>
            </w:r>
          </w:p>
        </w:tc>
      </w:tr>
      <w:tr w:rsidR="0007553B" w:rsidRPr="007B4A99" w14:paraId="1105539E" w14:textId="77777777" w:rsidTr="00144B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000" w:firstRow="0" w:lastRow="0" w:firstColumn="0" w:lastColumn="0" w:noHBand="0" w:noVBand="0"/>
        </w:tblPrEx>
        <w:trPr>
          <w:trHeight w:val="256"/>
        </w:trPr>
        <w:tc>
          <w:tcPr>
            <w:tcW w:w="1966" w:type="dxa"/>
            <w:shd w:val="clear" w:color="auto" w:fill="FFFFFF"/>
          </w:tcPr>
          <w:p w14:paraId="076ADDF2" w14:textId="3EEBD84A" w:rsidR="0007553B" w:rsidRPr="007B4A99" w:rsidRDefault="0007553B" w:rsidP="0007553B">
            <w:pPr>
              <w:widowControl w:val="0"/>
              <w:kinsoku w:val="0"/>
              <w:overflowPunct w:val="0"/>
              <w:autoSpaceDE w:val="0"/>
              <w:autoSpaceDN w:val="0"/>
              <w:adjustRightInd w:val="0"/>
              <w:spacing w:after="0" w:line="240" w:lineRule="auto"/>
              <w:ind w:left="113"/>
              <w:rPr>
                <w:rFonts w:ascii="Times New Roman" w:eastAsia="Times New Roman" w:hAnsi="Times New Roman" w:cs="Times New Roman"/>
                <w:b/>
                <w:bCs/>
                <w:iCs/>
                <w:w w:val="105"/>
                <w:sz w:val="16"/>
                <w:szCs w:val="16"/>
                <w:lang w:eastAsia="bg-BG"/>
              </w:rPr>
            </w:pPr>
            <w:r w:rsidRPr="007B4A99">
              <w:rPr>
                <w:rFonts w:ascii="Times New Roman" w:eastAsia="Times New Roman" w:hAnsi="Times New Roman" w:cs="Times New Roman"/>
                <w:b/>
                <w:bCs/>
                <w:iCs/>
                <w:w w:val="105"/>
                <w:sz w:val="16"/>
                <w:szCs w:val="16"/>
                <w:lang w:eastAsia="bg-BG"/>
              </w:rPr>
              <w:t xml:space="preserve">2. </w:t>
            </w:r>
            <w:r w:rsidRPr="0091327B">
              <w:rPr>
                <w:rFonts w:ascii="Times New Roman" w:eastAsia="Times New Roman" w:hAnsi="Times New Roman" w:cs="Times New Roman"/>
                <w:b/>
                <w:bCs/>
                <w:iCs/>
                <w:w w:val="105"/>
                <w:sz w:val="16"/>
                <w:szCs w:val="16"/>
                <w:lang w:eastAsia="bg-BG"/>
              </w:rPr>
              <w:t>Намаляване на текущото ниво на образуване на отпадъци, поради възможностите за увеличаване обемите на реализация на произведени храни и друга земеделска продукция</w:t>
            </w:r>
          </w:p>
        </w:tc>
        <w:tc>
          <w:tcPr>
            <w:tcW w:w="1694" w:type="dxa"/>
            <w:shd w:val="clear" w:color="auto" w:fill="FFFFFF"/>
            <w:vAlign w:val="center"/>
          </w:tcPr>
          <w:p w14:paraId="29D142A4" w14:textId="3B79E46D" w:rsidR="0007553B" w:rsidRPr="0091327B" w:rsidRDefault="00144BC5" w:rsidP="0007553B">
            <w:pPr>
              <w:widowControl w:val="0"/>
              <w:kinsoku w:val="0"/>
              <w:overflowPunct w:val="0"/>
              <w:autoSpaceDE w:val="0"/>
              <w:autoSpaceDN w:val="0"/>
              <w:adjustRightInd w:val="0"/>
              <w:spacing w:before="47" w:after="0" w:line="240" w:lineRule="auto"/>
              <w:ind w:left="6"/>
              <w:jc w:val="center"/>
              <w:rPr>
                <w:rFonts w:ascii="Times New Roman" w:eastAsia="Times New Roman" w:hAnsi="Times New Roman" w:cs="Times New Roman"/>
                <w:w w:val="106"/>
                <w:sz w:val="24"/>
                <w:szCs w:val="24"/>
                <w:highlight w:val="green"/>
                <w:lang w:eastAsia="bg-BG"/>
              </w:rPr>
            </w:pPr>
            <w:r>
              <w:rPr>
                <w:rFonts w:ascii="Times New Roman" w:eastAsia="Times New Roman" w:hAnsi="Times New Roman" w:cs="Times New Roman"/>
                <w:b/>
                <w:w w:val="106"/>
                <w:sz w:val="24"/>
                <w:szCs w:val="24"/>
                <w:lang w:eastAsia="bg-BG"/>
              </w:rPr>
              <w:t>(</w:t>
            </w:r>
            <w:r w:rsidRPr="00144BC5">
              <w:rPr>
                <w:rFonts w:ascii="Times New Roman" w:eastAsia="Times New Roman" w:hAnsi="Times New Roman" w:cs="Times New Roman"/>
                <w:b/>
                <w:w w:val="106"/>
                <w:sz w:val="24"/>
                <w:szCs w:val="24"/>
                <w:lang w:eastAsia="bg-BG"/>
              </w:rPr>
              <w:t>–</w:t>
            </w:r>
            <w:r>
              <w:rPr>
                <w:rFonts w:ascii="Times New Roman" w:eastAsia="Times New Roman" w:hAnsi="Times New Roman" w:cs="Times New Roman"/>
                <w:b/>
                <w:w w:val="106"/>
                <w:sz w:val="24"/>
                <w:szCs w:val="24"/>
                <w:lang w:eastAsia="bg-BG"/>
              </w:rPr>
              <w:t>)</w:t>
            </w:r>
            <w:r w:rsidRPr="00144BC5">
              <w:rPr>
                <w:rFonts w:ascii="Times New Roman" w:eastAsia="Times New Roman" w:hAnsi="Times New Roman" w:cs="Times New Roman"/>
                <w:b/>
                <w:w w:val="106"/>
                <w:sz w:val="24"/>
                <w:szCs w:val="24"/>
                <w:lang w:eastAsia="bg-BG"/>
              </w:rPr>
              <w:t xml:space="preserve"> </w:t>
            </w:r>
            <w:r w:rsidR="0007553B" w:rsidRPr="0091327B">
              <w:rPr>
                <w:rFonts w:ascii="Times New Roman" w:eastAsia="Times New Roman" w:hAnsi="Times New Roman" w:cs="Times New Roman"/>
                <w:w w:val="106"/>
                <w:sz w:val="24"/>
                <w:szCs w:val="24"/>
                <w:highlight w:val="green"/>
                <w:lang w:eastAsia="bg-BG"/>
              </w:rPr>
              <w:t xml:space="preserve"> </w:t>
            </w:r>
          </w:p>
        </w:tc>
        <w:tc>
          <w:tcPr>
            <w:tcW w:w="1841" w:type="dxa"/>
            <w:shd w:val="clear" w:color="auto" w:fill="FFFFFF"/>
            <w:vAlign w:val="center"/>
          </w:tcPr>
          <w:p w14:paraId="5BF6587F" w14:textId="54981163" w:rsidR="0007553B" w:rsidRPr="0091327B" w:rsidRDefault="00144BC5" w:rsidP="0007553B">
            <w:pPr>
              <w:widowControl w:val="0"/>
              <w:kinsoku w:val="0"/>
              <w:overflowPunct w:val="0"/>
              <w:autoSpaceDE w:val="0"/>
              <w:autoSpaceDN w:val="0"/>
              <w:adjustRightInd w:val="0"/>
              <w:spacing w:before="47" w:after="0" w:line="240" w:lineRule="auto"/>
              <w:ind w:left="14"/>
              <w:jc w:val="center"/>
              <w:rPr>
                <w:rFonts w:ascii="Times New Roman" w:eastAsia="Times New Roman" w:hAnsi="Times New Roman" w:cs="Times New Roman"/>
                <w:w w:val="135"/>
                <w:sz w:val="24"/>
                <w:szCs w:val="24"/>
                <w:highlight w:val="green"/>
                <w:lang w:eastAsia="bg-BG"/>
              </w:rPr>
            </w:pPr>
            <w:r>
              <w:rPr>
                <w:rFonts w:ascii="Times New Roman" w:hAnsi="Times New Roman"/>
                <w:b/>
              </w:rPr>
              <w:t>(</w:t>
            </w:r>
            <w:r w:rsidRPr="00C77099">
              <w:rPr>
                <w:rFonts w:ascii="Times New Roman" w:hAnsi="Times New Roman"/>
                <w:b/>
              </w:rPr>
              <w:t>–?</w:t>
            </w:r>
            <w:r>
              <w:rPr>
                <w:rFonts w:ascii="Times New Roman" w:hAnsi="Times New Roman"/>
                <w:b/>
              </w:rPr>
              <w:t>)</w:t>
            </w:r>
          </w:p>
        </w:tc>
        <w:tc>
          <w:tcPr>
            <w:tcW w:w="1697" w:type="dxa"/>
            <w:shd w:val="clear" w:color="auto" w:fill="FFFFFF"/>
            <w:vAlign w:val="center"/>
          </w:tcPr>
          <w:p w14:paraId="14ADE34F" w14:textId="0B56B717" w:rsidR="0007553B" w:rsidRPr="0091327B" w:rsidRDefault="00144BC5" w:rsidP="0007553B">
            <w:pPr>
              <w:widowControl w:val="0"/>
              <w:kinsoku w:val="0"/>
              <w:overflowPunct w:val="0"/>
              <w:autoSpaceDE w:val="0"/>
              <w:autoSpaceDN w:val="0"/>
              <w:adjustRightInd w:val="0"/>
              <w:spacing w:before="47" w:after="0" w:line="240" w:lineRule="auto"/>
              <w:ind w:left="52"/>
              <w:jc w:val="center"/>
              <w:rPr>
                <w:rFonts w:ascii="Times New Roman" w:eastAsia="Times New Roman" w:hAnsi="Times New Roman" w:cs="Times New Roman"/>
                <w:w w:val="120"/>
                <w:sz w:val="24"/>
                <w:szCs w:val="24"/>
                <w:highlight w:val="green"/>
                <w:lang w:eastAsia="bg-BG"/>
              </w:rPr>
            </w:pPr>
            <w:r w:rsidRPr="00144BC5">
              <w:rPr>
                <w:rFonts w:ascii="Times New Roman" w:hAnsi="Times New Roman"/>
                <w:b/>
              </w:rPr>
              <w:t>(+?)</w:t>
            </w:r>
          </w:p>
        </w:tc>
        <w:tc>
          <w:tcPr>
            <w:tcW w:w="1523" w:type="dxa"/>
            <w:gridSpan w:val="2"/>
            <w:shd w:val="clear" w:color="auto" w:fill="FFFFFF"/>
            <w:vAlign w:val="center"/>
          </w:tcPr>
          <w:p w14:paraId="6DF5FD5A" w14:textId="30D4ABA3" w:rsidR="0007553B" w:rsidRPr="0091327B" w:rsidRDefault="00144BC5" w:rsidP="0007553B">
            <w:pPr>
              <w:widowControl w:val="0"/>
              <w:kinsoku w:val="0"/>
              <w:overflowPunct w:val="0"/>
              <w:autoSpaceDE w:val="0"/>
              <w:autoSpaceDN w:val="0"/>
              <w:adjustRightInd w:val="0"/>
              <w:spacing w:before="47" w:after="0" w:line="240" w:lineRule="auto"/>
              <w:ind w:left="52"/>
              <w:jc w:val="center"/>
              <w:rPr>
                <w:rFonts w:ascii="Times New Roman" w:eastAsia="Times New Roman" w:hAnsi="Times New Roman" w:cs="Times New Roman"/>
                <w:w w:val="120"/>
                <w:sz w:val="24"/>
                <w:szCs w:val="24"/>
                <w:highlight w:val="green"/>
                <w:lang w:eastAsia="bg-BG"/>
              </w:rPr>
            </w:pPr>
            <w:r>
              <w:rPr>
                <w:rFonts w:ascii="Times New Roman" w:eastAsia="Times New Roman" w:hAnsi="Times New Roman" w:cs="Times New Roman"/>
                <w:b/>
                <w:w w:val="135"/>
                <w:sz w:val="24"/>
                <w:szCs w:val="24"/>
                <w:lang w:eastAsia="bg-BG"/>
              </w:rPr>
              <w:t>(</w:t>
            </w:r>
            <w:r w:rsidRPr="00144BC5">
              <w:rPr>
                <w:rFonts w:ascii="Times New Roman" w:eastAsia="Times New Roman" w:hAnsi="Times New Roman" w:cs="Times New Roman"/>
                <w:b/>
                <w:w w:val="135"/>
                <w:sz w:val="24"/>
                <w:szCs w:val="24"/>
                <w:lang w:eastAsia="bg-BG"/>
              </w:rPr>
              <w:t>+</w:t>
            </w:r>
            <w:r>
              <w:rPr>
                <w:rFonts w:ascii="Times New Roman" w:eastAsia="Times New Roman" w:hAnsi="Times New Roman" w:cs="Times New Roman"/>
                <w:b/>
                <w:w w:val="135"/>
                <w:sz w:val="24"/>
                <w:szCs w:val="24"/>
                <w:lang w:eastAsia="bg-BG"/>
              </w:rPr>
              <w:t>)</w:t>
            </w:r>
          </w:p>
        </w:tc>
      </w:tr>
      <w:tr w:rsidR="0007553B" w:rsidRPr="007B4A99" w14:paraId="416B4029" w14:textId="77777777" w:rsidTr="00144B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000" w:firstRow="0" w:lastRow="0" w:firstColumn="0" w:lastColumn="0" w:noHBand="0" w:noVBand="0"/>
        </w:tblPrEx>
        <w:trPr>
          <w:trHeight w:val="256"/>
        </w:trPr>
        <w:tc>
          <w:tcPr>
            <w:tcW w:w="1966" w:type="dxa"/>
            <w:shd w:val="clear" w:color="auto" w:fill="FFFFFF"/>
          </w:tcPr>
          <w:p w14:paraId="7CBB291C" w14:textId="14292A99" w:rsidR="0007553B" w:rsidRPr="00144BC5" w:rsidRDefault="0007553B" w:rsidP="0007553B">
            <w:pPr>
              <w:widowControl w:val="0"/>
              <w:kinsoku w:val="0"/>
              <w:overflowPunct w:val="0"/>
              <w:autoSpaceDE w:val="0"/>
              <w:autoSpaceDN w:val="0"/>
              <w:adjustRightInd w:val="0"/>
              <w:spacing w:after="0" w:line="240" w:lineRule="auto"/>
              <w:ind w:left="113"/>
              <w:rPr>
                <w:rFonts w:ascii="Times New Roman" w:eastAsia="Times New Roman" w:hAnsi="Times New Roman" w:cs="Times New Roman"/>
                <w:b/>
                <w:bCs/>
                <w:iCs/>
                <w:w w:val="105"/>
                <w:sz w:val="16"/>
                <w:szCs w:val="16"/>
                <w:lang w:eastAsia="bg-BG"/>
              </w:rPr>
            </w:pPr>
            <w:r w:rsidRPr="00144BC5">
              <w:rPr>
                <w:rFonts w:ascii="Times New Roman" w:hAnsi="Times New Roman" w:cs="Times New Roman"/>
                <w:b/>
                <w:sz w:val="16"/>
                <w:szCs w:val="16"/>
              </w:rPr>
              <w:t xml:space="preserve">3. Въвеждане на устойчиви модели на потребление и производство за </w:t>
            </w:r>
            <w:r w:rsidRPr="00144BC5">
              <w:rPr>
                <w:rFonts w:ascii="Times New Roman" w:hAnsi="Times New Roman" w:cs="Times New Roman"/>
                <w:b/>
                <w:sz w:val="16"/>
                <w:szCs w:val="16"/>
              </w:rPr>
              <w:lastRenderedPageBreak/>
              <w:t>преминаване към по-щадящи околната среда работни процеси</w:t>
            </w:r>
          </w:p>
        </w:tc>
        <w:tc>
          <w:tcPr>
            <w:tcW w:w="1694" w:type="dxa"/>
            <w:shd w:val="clear" w:color="auto" w:fill="FFFFFF"/>
            <w:vAlign w:val="center"/>
          </w:tcPr>
          <w:p w14:paraId="332519C6" w14:textId="12C2D381" w:rsidR="0007553B" w:rsidRPr="0091327B" w:rsidRDefault="00144BC5" w:rsidP="0007553B">
            <w:pPr>
              <w:widowControl w:val="0"/>
              <w:kinsoku w:val="0"/>
              <w:overflowPunct w:val="0"/>
              <w:autoSpaceDE w:val="0"/>
              <w:autoSpaceDN w:val="0"/>
              <w:adjustRightInd w:val="0"/>
              <w:spacing w:before="47" w:after="0" w:line="240" w:lineRule="auto"/>
              <w:ind w:left="6"/>
              <w:jc w:val="center"/>
              <w:rPr>
                <w:rFonts w:ascii="Times New Roman" w:eastAsia="Times New Roman" w:hAnsi="Times New Roman" w:cs="Times New Roman"/>
                <w:w w:val="106"/>
                <w:sz w:val="24"/>
                <w:szCs w:val="24"/>
                <w:highlight w:val="green"/>
                <w:lang w:eastAsia="bg-BG"/>
              </w:rPr>
            </w:pPr>
            <w:r>
              <w:rPr>
                <w:rFonts w:ascii="Times New Roman" w:eastAsia="Times New Roman" w:hAnsi="Times New Roman" w:cs="Times New Roman"/>
                <w:b/>
                <w:w w:val="106"/>
                <w:sz w:val="24"/>
                <w:szCs w:val="24"/>
                <w:lang w:eastAsia="bg-BG"/>
              </w:rPr>
              <w:lastRenderedPageBreak/>
              <w:t>(</w:t>
            </w:r>
            <w:r w:rsidRPr="00144BC5">
              <w:rPr>
                <w:rFonts w:ascii="Times New Roman" w:eastAsia="Times New Roman" w:hAnsi="Times New Roman" w:cs="Times New Roman"/>
                <w:b/>
                <w:w w:val="106"/>
                <w:sz w:val="24"/>
                <w:szCs w:val="24"/>
                <w:lang w:eastAsia="bg-BG"/>
              </w:rPr>
              <w:t>–</w:t>
            </w:r>
            <w:r>
              <w:rPr>
                <w:rFonts w:ascii="Times New Roman" w:eastAsia="Times New Roman" w:hAnsi="Times New Roman" w:cs="Times New Roman"/>
                <w:b/>
                <w:w w:val="106"/>
                <w:sz w:val="24"/>
                <w:szCs w:val="24"/>
                <w:lang w:eastAsia="bg-BG"/>
              </w:rPr>
              <w:t>)</w:t>
            </w:r>
          </w:p>
        </w:tc>
        <w:tc>
          <w:tcPr>
            <w:tcW w:w="1841" w:type="dxa"/>
            <w:shd w:val="clear" w:color="auto" w:fill="FFFFFF"/>
            <w:vAlign w:val="center"/>
          </w:tcPr>
          <w:p w14:paraId="315A8B7C" w14:textId="20FC471D" w:rsidR="0007553B" w:rsidRPr="0091327B" w:rsidRDefault="00144BC5" w:rsidP="0007553B">
            <w:pPr>
              <w:widowControl w:val="0"/>
              <w:kinsoku w:val="0"/>
              <w:overflowPunct w:val="0"/>
              <w:autoSpaceDE w:val="0"/>
              <w:autoSpaceDN w:val="0"/>
              <w:adjustRightInd w:val="0"/>
              <w:spacing w:before="47" w:after="0" w:line="240" w:lineRule="auto"/>
              <w:ind w:left="14"/>
              <w:jc w:val="center"/>
              <w:rPr>
                <w:rFonts w:ascii="Times New Roman" w:eastAsia="Times New Roman" w:hAnsi="Times New Roman" w:cs="Times New Roman"/>
                <w:w w:val="120"/>
                <w:sz w:val="24"/>
                <w:szCs w:val="24"/>
                <w:highlight w:val="green"/>
                <w:lang w:eastAsia="bg-BG"/>
              </w:rPr>
            </w:pPr>
            <w:r>
              <w:rPr>
                <w:rFonts w:ascii="Times New Roman" w:eastAsia="Times New Roman" w:hAnsi="Times New Roman" w:cs="Times New Roman"/>
                <w:b/>
                <w:w w:val="106"/>
                <w:sz w:val="24"/>
                <w:szCs w:val="24"/>
                <w:lang w:eastAsia="bg-BG"/>
              </w:rPr>
              <w:t>(</w:t>
            </w:r>
            <w:r w:rsidRPr="00144BC5">
              <w:rPr>
                <w:rFonts w:ascii="Times New Roman" w:eastAsia="Times New Roman" w:hAnsi="Times New Roman" w:cs="Times New Roman"/>
                <w:b/>
                <w:w w:val="106"/>
                <w:sz w:val="24"/>
                <w:szCs w:val="24"/>
                <w:lang w:eastAsia="bg-BG"/>
              </w:rPr>
              <w:t>– – –</w:t>
            </w:r>
            <w:r>
              <w:rPr>
                <w:rFonts w:ascii="Times New Roman" w:eastAsia="Times New Roman" w:hAnsi="Times New Roman" w:cs="Times New Roman"/>
                <w:b/>
                <w:w w:val="106"/>
                <w:sz w:val="24"/>
                <w:szCs w:val="24"/>
                <w:lang w:eastAsia="bg-BG"/>
              </w:rPr>
              <w:t>)</w:t>
            </w:r>
          </w:p>
        </w:tc>
        <w:tc>
          <w:tcPr>
            <w:tcW w:w="1697" w:type="dxa"/>
            <w:shd w:val="clear" w:color="auto" w:fill="FFFFFF"/>
            <w:vAlign w:val="center"/>
          </w:tcPr>
          <w:p w14:paraId="79A5E39E" w14:textId="6CFE0BD0" w:rsidR="0007553B" w:rsidRPr="0091327B" w:rsidRDefault="00144BC5" w:rsidP="0007553B">
            <w:pPr>
              <w:widowControl w:val="0"/>
              <w:kinsoku w:val="0"/>
              <w:overflowPunct w:val="0"/>
              <w:autoSpaceDE w:val="0"/>
              <w:autoSpaceDN w:val="0"/>
              <w:adjustRightInd w:val="0"/>
              <w:spacing w:before="47" w:after="0" w:line="240" w:lineRule="auto"/>
              <w:ind w:left="52"/>
              <w:jc w:val="center"/>
              <w:rPr>
                <w:rFonts w:ascii="Times New Roman" w:eastAsia="Times New Roman" w:hAnsi="Times New Roman" w:cs="Times New Roman"/>
                <w:w w:val="120"/>
                <w:sz w:val="24"/>
                <w:szCs w:val="24"/>
                <w:highlight w:val="green"/>
                <w:lang w:eastAsia="bg-BG"/>
              </w:rPr>
            </w:pPr>
            <w:r>
              <w:rPr>
                <w:rFonts w:ascii="Times New Roman" w:eastAsia="Times New Roman" w:hAnsi="Times New Roman" w:cs="Times New Roman"/>
                <w:b/>
                <w:w w:val="106"/>
                <w:sz w:val="24"/>
                <w:szCs w:val="24"/>
                <w:lang w:eastAsia="bg-BG"/>
              </w:rPr>
              <w:t>(</w:t>
            </w:r>
            <w:r w:rsidRPr="00144BC5">
              <w:rPr>
                <w:rFonts w:ascii="Times New Roman" w:eastAsia="Times New Roman" w:hAnsi="Times New Roman" w:cs="Times New Roman"/>
                <w:b/>
                <w:w w:val="106"/>
                <w:sz w:val="24"/>
                <w:szCs w:val="24"/>
                <w:lang w:eastAsia="bg-BG"/>
              </w:rPr>
              <w:t>– – –</w:t>
            </w:r>
            <w:r>
              <w:rPr>
                <w:rFonts w:ascii="Times New Roman" w:eastAsia="Times New Roman" w:hAnsi="Times New Roman" w:cs="Times New Roman"/>
                <w:b/>
                <w:w w:val="106"/>
                <w:sz w:val="24"/>
                <w:szCs w:val="24"/>
                <w:lang w:eastAsia="bg-BG"/>
              </w:rPr>
              <w:t>)</w:t>
            </w:r>
          </w:p>
        </w:tc>
        <w:tc>
          <w:tcPr>
            <w:tcW w:w="1523" w:type="dxa"/>
            <w:gridSpan w:val="2"/>
            <w:shd w:val="clear" w:color="auto" w:fill="FFFFFF"/>
            <w:vAlign w:val="center"/>
          </w:tcPr>
          <w:p w14:paraId="6C1A20DA" w14:textId="6CCD6ABB" w:rsidR="0007553B" w:rsidRPr="0091327B" w:rsidRDefault="00144BC5" w:rsidP="0007553B">
            <w:pPr>
              <w:widowControl w:val="0"/>
              <w:kinsoku w:val="0"/>
              <w:overflowPunct w:val="0"/>
              <w:autoSpaceDE w:val="0"/>
              <w:autoSpaceDN w:val="0"/>
              <w:adjustRightInd w:val="0"/>
              <w:spacing w:before="47" w:after="0" w:line="240" w:lineRule="auto"/>
              <w:ind w:left="52"/>
              <w:jc w:val="center"/>
              <w:rPr>
                <w:rFonts w:ascii="Times New Roman" w:eastAsia="Times New Roman" w:hAnsi="Times New Roman" w:cs="Times New Roman"/>
                <w:w w:val="135"/>
                <w:sz w:val="24"/>
                <w:szCs w:val="24"/>
                <w:highlight w:val="green"/>
                <w:lang w:eastAsia="bg-BG"/>
              </w:rPr>
            </w:pPr>
            <w:r>
              <w:rPr>
                <w:rFonts w:ascii="Times New Roman" w:eastAsia="Times New Roman" w:hAnsi="Times New Roman" w:cs="Times New Roman"/>
                <w:b/>
                <w:w w:val="135"/>
                <w:sz w:val="24"/>
                <w:szCs w:val="24"/>
                <w:lang w:eastAsia="bg-BG"/>
              </w:rPr>
              <w:t>(</w:t>
            </w:r>
            <w:r w:rsidRPr="00144BC5">
              <w:rPr>
                <w:rFonts w:ascii="Times New Roman" w:eastAsia="Times New Roman" w:hAnsi="Times New Roman" w:cs="Times New Roman"/>
                <w:b/>
                <w:w w:val="135"/>
                <w:sz w:val="24"/>
                <w:szCs w:val="24"/>
                <w:lang w:eastAsia="bg-BG"/>
              </w:rPr>
              <w:t>+</w:t>
            </w:r>
            <w:r>
              <w:rPr>
                <w:rFonts w:ascii="Times New Roman" w:eastAsia="Times New Roman" w:hAnsi="Times New Roman" w:cs="Times New Roman"/>
                <w:b/>
                <w:w w:val="135"/>
                <w:sz w:val="24"/>
                <w:szCs w:val="24"/>
                <w:lang w:eastAsia="bg-BG"/>
              </w:rPr>
              <w:t>)</w:t>
            </w:r>
          </w:p>
        </w:tc>
      </w:tr>
    </w:tbl>
    <w:p w14:paraId="146599DC" w14:textId="77777777" w:rsidR="00612E2F" w:rsidRPr="007B4A99" w:rsidRDefault="00612E2F" w:rsidP="00CB4272"/>
    <w:p w14:paraId="18CC4F03" w14:textId="77777777" w:rsidR="00E2093A" w:rsidRPr="007B4A99" w:rsidRDefault="00E2093A" w:rsidP="008D0E15">
      <w:pPr>
        <w:pStyle w:val="Heading2"/>
        <w:numPr>
          <w:ilvl w:val="1"/>
          <w:numId w:val="1"/>
        </w:numPr>
        <w:tabs>
          <w:tab w:val="left" w:pos="900"/>
        </w:tabs>
        <w:ind w:left="360" w:firstLine="0"/>
        <w:rPr>
          <w:rFonts w:ascii="Times New Roman" w:hAnsi="Times New Roman"/>
        </w:rPr>
      </w:pPr>
      <w:bookmarkStart w:id="38" w:name="_Toc198633095"/>
      <w:r w:rsidRPr="007B4A99">
        <w:rPr>
          <w:rFonts w:ascii="Times New Roman" w:hAnsi="Times New Roman"/>
        </w:rPr>
        <w:t xml:space="preserve">Сравняване на </w:t>
      </w:r>
      <w:r w:rsidR="00A957DE" w:rsidRPr="007B4A99">
        <w:rPr>
          <w:rFonts w:ascii="Times New Roman" w:hAnsi="Times New Roman"/>
        </w:rPr>
        <w:t xml:space="preserve">изследваните </w:t>
      </w:r>
      <w:r w:rsidRPr="007B4A99">
        <w:rPr>
          <w:rFonts w:ascii="Times New Roman" w:hAnsi="Times New Roman"/>
        </w:rPr>
        <w:t>варианти</w:t>
      </w:r>
      <w:r w:rsidR="004E77B3" w:rsidRPr="007B4A99">
        <w:rPr>
          <w:rStyle w:val="FootnoteReference"/>
          <w:rFonts w:ascii="Times New Roman" w:hAnsi="Times New Roman"/>
        </w:rPr>
        <w:footnoteReference w:id="65"/>
      </w:r>
      <w:bookmarkEnd w:id="38"/>
    </w:p>
    <w:tbl>
      <w:tblPr>
        <w:tblW w:w="9073" w:type="dxa"/>
        <w:tblInd w:w="295" w:type="dxa"/>
        <w:tblLook w:val="04A0" w:firstRow="1" w:lastRow="0" w:firstColumn="1" w:lastColumn="0" w:noHBand="0" w:noVBand="1"/>
      </w:tblPr>
      <w:tblGrid>
        <w:gridCol w:w="1969"/>
        <w:gridCol w:w="1847"/>
        <w:gridCol w:w="1843"/>
        <w:gridCol w:w="1701"/>
        <w:gridCol w:w="1433"/>
        <w:gridCol w:w="280"/>
      </w:tblGrid>
      <w:tr w:rsidR="000A6665" w:rsidRPr="007B4A99" w14:paraId="49C1D9B9" w14:textId="77777777" w:rsidTr="008A3356">
        <w:trPr>
          <w:gridAfter w:val="1"/>
          <w:wAfter w:w="280" w:type="dxa"/>
        </w:trPr>
        <w:tc>
          <w:tcPr>
            <w:tcW w:w="8793" w:type="dxa"/>
            <w:gridSpan w:val="5"/>
          </w:tcPr>
          <w:p w14:paraId="7543EC01" w14:textId="6C18B91F" w:rsidR="000A6665" w:rsidRPr="007B4A99" w:rsidRDefault="000A6665" w:rsidP="000A6665">
            <w:pPr>
              <w:pStyle w:val="7878"/>
              <w:ind w:left="0"/>
              <w:jc w:val="left"/>
              <w:rPr>
                <w:rFonts w:ascii="Times New Roman" w:hAnsi="Times New Roman"/>
              </w:rPr>
            </w:pPr>
            <w:r w:rsidRPr="007B4A99">
              <w:rPr>
                <w:rFonts w:ascii="Times New Roman" w:hAnsi="Times New Roman"/>
              </w:rPr>
              <w:t>[(Ръководство, РМС № 728 от 2019 г., стр. 60).]</w:t>
            </w:r>
          </w:p>
        </w:tc>
      </w:tr>
      <w:tr w:rsidR="00E2093A" w:rsidRPr="007B4A99" w14:paraId="27651730" w14:textId="77777777" w:rsidTr="008A33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000" w:firstRow="0" w:lastRow="0" w:firstColumn="0" w:lastColumn="0" w:noHBand="0" w:noVBand="0"/>
        </w:tblPrEx>
        <w:trPr>
          <w:trHeight w:val="394"/>
        </w:trPr>
        <w:tc>
          <w:tcPr>
            <w:tcW w:w="1969" w:type="dxa"/>
            <w:shd w:val="clear" w:color="auto" w:fill="9CC2E5" w:themeFill="accent1" w:themeFillTint="99"/>
          </w:tcPr>
          <w:p w14:paraId="43AD4522" w14:textId="77777777" w:rsidR="00E2093A" w:rsidRPr="007B4A99" w:rsidRDefault="00E2093A" w:rsidP="00E2093A">
            <w:pPr>
              <w:spacing w:after="120" w:line="276" w:lineRule="auto"/>
              <w:contextualSpacing/>
              <w:jc w:val="center"/>
              <w:rPr>
                <w:rFonts w:ascii="Times New Roman" w:eastAsia="Times New Roman" w:hAnsi="Times New Roman" w:cs="Times New Roman"/>
                <w:b/>
                <w:sz w:val="16"/>
                <w:szCs w:val="16"/>
                <w:lang w:eastAsia="bg-BG"/>
              </w:rPr>
            </w:pPr>
          </w:p>
        </w:tc>
        <w:tc>
          <w:tcPr>
            <w:tcW w:w="1847" w:type="dxa"/>
            <w:shd w:val="clear" w:color="auto" w:fill="9CC2E5" w:themeFill="accent1" w:themeFillTint="99"/>
            <w:vAlign w:val="center"/>
          </w:tcPr>
          <w:p w14:paraId="6941F8EC" w14:textId="77777777" w:rsidR="00E2093A" w:rsidRPr="007B4A99" w:rsidRDefault="00E2093A" w:rsidP="00E2093A">
            <w:pPr>
              <w:spacing w:after="120" w:line="276" w:lineRule="auto"/>
              <w:ind w:left="-160"/>
              <w:contextualSpacing/>
              <w:jc w:val="center"/>
              <w:rPr>
                <w:rFonts w:ascii="Times New Roman" w:eastAsia="Times New Roman" w:hAnsi="Times New Roman" w:cs="Times New Roman"/>
                <w:b/>
                <w:sz w:val="16"/>
                <w:szCs w:val="16"/>
                <w:lang w:eastAsia="bg-BG"/>
              </w:rPr>
            </w:pPr>
            <w:r w:rsidRPr="007B4A99">
              <w:rPr>
                <w:rFonts w:ascii="Times New Roman" w:eastAsia="Times New Roman" w:hAnsi="Times New Roman" w:cs="Times New Roman"/>
                <w:b/>
                <w:sz w:val="16"/>
                <w:szCs w:val="16"/>
                <w:lang w:eastAsia="bg-BG"/>
              </w:rPr>
              <w:t>Вариант</w:t>
            </w:r>
            <w:r w:rsidR="00EC63C5" w:rsidRPr="007B4A99">
              <w:rPr>
                <w:rFonts w:ascii="Times New Roman" w:eastAsia="Times New Roman" w:hAnsi="Times New Roman" w:cs="Times New Roman"/>
                <w:b/>
                <w:sz w:val="16"/>
                <w:szCs w:val="16"/>
                <w:lang w:eastAsia="bg-BG"/>
              </w:rPr>
              <w:t xml:space="preserve"> 0:</w:t>
            </w:r>
          </w:p>
          <w:p w14:paraId="22F77231" w14:textId="77777777" w:rsidR="00E2093A" w:rsidRPr="007B4A99" w:rsidRDefault="00E2093A" w:rsidP="00E2093A">
            <w:pPr>
              <w:spacing w:after="120" w:line="276" w:lineRule="auto"/>
              <w:ind w:left="-160"/>
              <w:contextualSpacing/>
              <w:jc w:val="center"/>
              <w:rPr>
                <w:rFonts w:ascii="Times New Roman" w:eastAsia="Times New Roman" w:hAnsi="Times New Roman" w:cs="Times New Roman"/>
                <w:b/>
                <w:sz w:val="16"/>
                <w:szCs w:val="16"/>
                <w:lang w:eastAsia="bg-BG"/>
              </w:rPr>
            </w:pPr>
            <w:r w:rsidRPr="007B4A99">
              <w:rPr>
                <w:rFonts w:ascii="Times New Roman" w:eastAsia="Times New Roman" w:hAnsi="Times New Roman" w:cs="Times New Roman"/>
                <w:b/>
                <w:sz w:val="16"/>
                <w:szCs w:val="16"/>
                <w:lang w:eastAsia="bg-BG"/>
              </w:rPr>
              <w:t xml:space="preserve"> „Без действие“</w:t>
            </w:r>
          </w:p>
        </w:tc>
        <w:tc>
          <w:tcPr>
            <w:tcW w:w="1843" w:type="dxa"/>
            <w:shd w:val="clear" w:color="auto" w:fill="9CC2E5" w:themeFill="accent1" w:themeFillTint="99"/>
            <w:vAlign w:val="center"/>
          </w:tcPr>
          <w:p w14:paraId="09E49054" w14:textId="1AF27ACC" w:rsidR="00E2093A" w:rsidRPr="007B4A99" w:rsidRDefault="00EC63C5" w:rsidP="00303CEA">
            <w:pPr>
              <w:spacing w:after="120" w:line="276" w:lineRule="auto"/>
              <w:contextualSpacing/>
              <w:jc w:val="center"/>
              <w:rPr>
                <w:rFonts w:ascii="Times New Roman" w:eastAsia="Times New Roman" w:hAnsi="Times New Roman" w:cs="Times New Roman"/>
                <w:b/>
                <w:sz w:val="16"/>
                <w:szCs w:val="16"/>
                <w:lang w:eastAsia="bg-BG"/>
              </w:rPr>
            </w:pPr>
            <w:r w:rsidRPr="007B4A99">
              <w:rPr>
                <w:rFonts w:ascii="Times New Roman" w:eastAsia="Times New Roman" w:hAnsi="Times New Roman" w:cs="Times New Roman"/>
                <w:b/>
                <w:sz w:val="16"/>
                <w:szCs w:val="16"/>
                <w:lang w:eastAsia="bg-BG"/>
              </w:rPr>
              <w:t xml:space="preserve">Вариант 1: </w:t>
            </w:r>
            <w:r w:rsidR="00303CEA" w:rsidRPr="007B4A99">
              <w:rPr>
                <w:rFonts w:ascii="Times New Roman" w:eastAsia="Times New Roman" w:hAnsi="Times New Roman" w:cs="Times New Roman"/>
                <w:b/>
                <w:sz w:val="16"/>
                <w:szCs w:val="16"/>
                <w:lang w:eastAsia="bg-BG"/>
              </w:rPr>
              <w:t>„Нерегулаторен“</w:t>
            </w:r>
          </w:p>
        </w:tc>
        <w:tc>
          <w:tcPr>
            <w:tcW w:w="1701" w:type="dxa"/>
            <w:shd w:val="clear" w:color="auto" w:fill="9CC2E5" w:themeFill="accent1" w:themeFillTint="99"/>
            <w:vAlign w:val="center"/>
          </w:tcPr>
          <w:p w14:paraId="2081A7C8" w14:textId="0242EAD9" w:rsidR="00E2093A" w:rsidRPr="007B4A99" w:rsidRDefault="00EC63C5" w:rsidP="009B365E">
            <w:pPr>
              <w:spacing w:after="120" w:line="276" w:lineRule="auto"/>
              <w:contextualSpacing/>
              <w:jc w:val="center"/>
              <w:rPr>
                <w:rFonts w:ascii="Times New Roman" w:eastAsia="Times New Roman" w:hAnsi="Times New Roman" w:cs="Times New Roman"/>
                <w:b/>
                <w:sz w:val="16"/>
                <w:szCs w:val="16"/>
                <w:lang w:eastAsia="bg-BG"/>
              </w:rPr>
            </w:pPr>
            <w:r w:rsidRPr="007B4A99">
              <w:rPr>
                <w:rFonts w:ascii="Times New Roman" w:eastAsia="Times New Roman" w:hAnsi="Times New Roman" w:cs="Times New Roman"/>
                <w:b/>
                <w:sz w:val="16"/>
                <w:szCs w:val="16"/>
                <w:lang w:eastAsia="bg-BG"/>
              </w:rPr>
              <w:t>Вариант 2: „Регулатор</w:t>
            </w:r>
            <w:r w:rsidR="009B365E" w:rsidRPr="007B4A99">
              <w:rPr>
                <w:rFonts w:ascii="Times New Roman" w:eastAsia="Times New Roman" w:hAnsi="Times New Roman" w:cs="Times New Roman"/>
                <w:b/>
                <w:sz w:val="16"/>
                <w:szCs w:val="16"/>
                <w:lang w:eastAsia="bg-BG"/>
              </w:rPr>
              <w:t>е</w:t>
            </w:r>
            <w:r w:rsidRPr="007B4A99">
              <w:rPr>
                <w:rFonts w:ascii="Times New Roman" w:eastAsia="Times New Roman" w:hAnsi="Times New Roman" w:cs="Times New Roman"/>
                <w:b/>
                <w:sz w:val="16"/>
                <w:szCs w:val="16"/>
                <w:lang w:eastAsia="bg-BG"/>
              </w:rPr>
              <w:t>н</w:t>
            </w:r>
            <w:r w:rsidR="009B365E" w:rsidRPr="007B4A99">
              <w:rPr>
                <w:rFonts w:ascii="Times New Roman" w:eastAsia="Times New Roman" w:hAnsi="Times New Roman" w:cs="Times New Roman"/>
                <w:b/>
                <w:sz w:val="16"/>
                <w:szCs w:val="16"/>
                <w:lang w:eastAsia="bg-BG"/>
              </w:rPr>
              <w:t xml:space="preserve"> - </w:t>
            </w:r>
            <w:r w:rsidRPr="007B4A99">
              <w:rPr>
                <w:rFonts w:ascii="Times New Roman" w:eastAsia="Times New Roman" w:hAnsi="Times New Roman" w:cs="Times New Roman"/>
                <w:b/>
                <w:sz w:val="16"/>
                <w:szCs w:val="16"/>
                <w:lang w:eastAsia="bg-BG"/>
              </w:rPr>
              <w:t>промени в действащата</w:t>
            </w:r>
            <w:r w:rsidR="009B365E" w:rsidRPr="007B4A99">
              <w:rPr>
                <w:rFonts w:ascii="Times New Roman" w:eastAsia="Times New Roman" w:hAnsi="Times New Roman" w:cs="Times New Roman"/>
                <w:b/>
                <w:sz w:val="16"/>
                <w:szCs w:val="16"/>
                <w:lang w:eastAsia="bg-BG"/>
              </w:rPr>
              <w:t xml:space="preserve"> правна</w:t>
            </w:r>
            <w:r w:rsidRPr="007B4A99">
              <w:rPr>
                <w:rFonts w:ascii="Times New Roman" w:eastAsia="Times New Roman" w:hAnsi="Times New Roman" w:cs="Times New Roman"/>
                <w:b/>
                <w:sz w:val="16"/>
                <w:szCs w:val="16"/>
                <w:lang w:eastAsia="bg-BG"/>
              </w:rPr>
              <w:t xml:space="preserve"> уредба“</w:t>
            </w:r>
          </w:p>
        </w:tc>
        <w:tc>
          <w:tcPr>
            <w:tcW w:w="1713" w:type="dxa"/>
            <w:gridSpan w:val="2"/>
            <w:shd w:val="clear" w:color="auto" w:fill="9CC2E5" w:themeFill="accent1" w:themeFillTint="99"/>
            <w:vAlign w:val="center"/>
          </w:tcPr>
          <w:p w14:paraId="67BDF1C5" w14:textId="4030607D" w:rsidR="00E2093A" w:rsidRPr="007B4A99" w:rsidRDefault="00EC63C5" w:rsidP="00E2093A">
            <w:pPr>
              <w:spacing w:after="120" w:line="276" w:lineRule="auto"/>
              <w:contextualSpacing/>
              <w:jc w:val="center"/>
              <w:rPr>
                <w:rFonts w:ascii="Times New Roman" w:eastAsia="Times New Roman" w:hAnsi="Times New Roman" w:cs="Times New Roman"/>
                <w:b/>
                <w:sz w:val="16"/>
                <w:szCs w:val="16"/>
                <w:lang w:eastAsia="bg-BG"/>
              </w:rPr>
            </w:pPr>
            <w:r w:rsidRPr="007B4A99">
              <w:rPr>
                <w:rFonts w:ascii="Times New Roman" w:eastAsia="Times New Roman" w:hAnsi="Times New Roman" w:cs="Times New Roman"/>
                <w:b/>
                <w:sz w:val="16"/>
                <w:szCs w:val="16"/>
                <w:lang w:eastAsia="bg-BG"/>
              </w:rPr>
              <w:t xml:space="preserve">Вариант 3: </w:t>
            </w:r>
          </w:p>
          <w:p w14:paraId="290E5F27" w14:textId="2FDF1E9D" w:rsidR="00303CEA" w:rsidRPr="007B4A99" w:rsidRDefault="00303CEA" w:rsidP="00303CEA">
            <w:pPr>
              <w:spacing w:after="120" w:line="276" w:lineRule="auto"/>
              <w:contextualSpacing/>
              <w:jc w:val="center"/>
              <w:rPr>
                <w:rFonts w:ascii="Times New Roman" w:eastAsia="Times New Roman" w:hAnsi="Times New Roman" w:cs="Times New Roman"/>
                <w:b/>
                <w:sz w:val="16"/>
                <w:szCs w:val="16"/>
                <w:lang w:eastAsia="bg-BG"/>
              </w:rPr>
            </w:pPr>
            <w:r w:rsidRPr="007B4A99">
              <w:rPr>
                <w:rFonts w:ascii="Times New Roman" w:eastAsia="Times New Roman" w:hAnsi="Times New Roman" w:cs="Times New Roman"/>
                <w:b/>
                <w:sz w:val="16"/>
                <w:szCs w:val="16"/>
                <w:lang w:eastAsia="bg-BG"/>
              </w:rPr>
              <w:t>„Регулаторен -  изцяло нов специален закон“</w:t>
            </w:r>
          </w:p>
        </w:tc>
      </w:tr>
      <w:tr w:rsidR="00E2093A" w:rsidRPr="007B4A99" w14:paraId="0ADA682C" w14:textId="77777777" w:rsidTr="008A33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000" w:firstRow="0" w:lastRow="0" w:firstColumn="0" w:lastColumn="0" w:noHBand="0" w:noVBand="0"/>
        </w:tblPrEx>
        <w:trPr>
          <w:trHeight w:val="389"/>
        </w:trPr>
        <w:tc>
          <w:tcPr>
            <w:tcW w:w="1969" w:type="dxa"/>
            <w:shd w:val="clear" w:color="auto" w:fill="9CC2E5" w:themeFill="accent1" w:themeFillTint="99"/>
          </w:tcPr>
          <w:p w14:paraId="6C3752DE" w14:textId="77777777" w:rsidR="00E2093A" w:rsidRPr="007B4A99" w:rsidRDefault="00E2093A" w:rsidP="00E2093A">
            <w:pPr>
              <w:widowControl w:val="0"/>
              <w:kinsoku w:val="0"/>
              <w:overflowPunct w:val="0"/>
              <w:autoSpaceDE w:val="0"/>
              <w:autoSpaceDN w:val="0"/>
              <w:adjustRightInd w:val="0"/>
              <w:spacing w:before="13" w:after="0" w:line="240" w:lineRule="auto"/>
              <w:ind w:left="113"/>
              <w:rPr>
                <w:rFonts w:ascii="Times New Roman" w:eastAsia="Times New Roman" w:hAnsi="Times New Roman" w:cs="Times New Roman"/>
                <w:b/>
                <w:bCs/>
                <w:iCs/>
                <w:sz w:val="16"/>
                <w:szCs w:val="16"/>
                <w:lang w:eastAsia="bg-BG"/>
              </w:rPr>
            </w:pPr>
            <w:r w:rsidRPr="007B4A99">
              <w:rPr>
                <w:rFonts w:ascii="Times New Roman" w:eastAsia="Times New Roman" w:hAnsi="Times New Roman" w:cs="Times New Roman"/>
                <w:b/>
                <w:bCs/>
                <w:iCs/>
                <w:sz w:val="16"/>
                <w:szCs w:val="16"/>
                <w:lang w:eastAsia="bg-BG"/>
              </w:rPr>
              <w:t>Ефективност</w:t>
            </w:r>
          </w:p>
        </w:tc>
        <w:tc>
          <w:tcPr>
            <w:tcW w:w="1847" w:type="dxa"/>
            <w:shd w:val="clear" w:color="auto" w:fill="FFFFFF"/>
          </w:tcPr>
          <w:p w14:paraId="217304F6" w14:textId="77777777" w:rsidR="00E2093A" w:rsidRPr="007B4A99" w:rsidRDefault="00E2093A" w:rsidP="00E2093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lang w:eastAsia="bg-BG"/>
              </w:rPr>
            </w:pPr>
          </w:p>
        </w:tc>
        <w:tc>
          <w:tcPr>
            <w:tcW w:w="1843" w:type="dxa"/>
            <w:shd w:val="clear" w:color="auto" w:fill="FFFFFF"/>
          </w:tcPr>
          <w:p w14:paraId="54922403" w14:textId="77777777" w:rsidR="00E2093A" w:rsidRPr="007B4A99" w:rsidRDefault="00E2093A" w:rsidP="00E2093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lang w:eastAsia="bg-BG"/>
              </w:rPr>
            </w:pPr>
          </w:p>
        </w:tc>
        <w:tc>
          <w:tcPr>
            <w:tcW w:w="1701" w:type="dxa"/>
            <w:shd w:val="clear" w:color="auto" w:fill="FFFFFF"/>
          </w:tcPr>
          <w:p w14:paraId="057C6E58" w14:textId="77777777" w:rsidR="00E2093A" w:rsidRPr="007B4A99" w:rsidRDefault="00E2093A" w:rsidP="00E2093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lang w:eastAsia="bg-BG"/>
              </w:rPr>
            </w:pPr>
          </w:p>
        </w:tc>
        <w:tc>
          <w:tcPr>
            <w:tcW w:w="1713" w:type="dxa"/>
            <w:gridSpan w:val="2"/>
            <w:shd w:val="clear" w:color="auto" w:fill="FFFFFF"/>
          </w:tcPr>
          <w:p w14:paraId="11A1E4FD" w14:textId="77777777" w:rsidR="00E2093A" w:rsidRPr="007B4A99" w:rsidRDefault="00E2093A" w:rsidP="00E2093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lang w:eastAsia="bg-BG"/>
              </w:rPr>
            </w:pPr>
          </w:p>
        </w:tc>
      </w:tr>
      <w:tr w:rsidR="00E2093A" w:rsidRPr="007B4A99" w14:paraId="3012A0B9" w14:textId="77777777" w:rsidTr="008A33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000" w:firstRow="0" w:lastRow="0" w:firstColumn="0" w:lastColumn="0" w:noHBand="0" w:noVBand="0"/>
        </w:tblPrEx>
        <w:trPr>
          <w:trHeight w:val="640"/>
        </w:trPr>
        <w:tc>
          <w:tcPr>
            <w:tcW w:w="1969" w:type="dxa"/>
            <w:shd w:val="clear" w:color="auto" w:fill="FFFFFF"/>
          </w:tcPr>
          <w:p w14:paraId="77DB248A" w14:textId="77777777" w:rsidR="005E2822" w:rsidRPr="007B4A99" w:rsidRDefault="005E2822" w:rsidP="005E2822">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w w:val="105"/>
                <w:sz w:val="16"/>
                <w:szCs w:val="16"/>
                <w:lang w:eastAsia="bg-BG"/>
              </w:rPr>
            </w:pPr>
            <w:r w:rsidRPr="007B4A99">
              <w:rPr>
                <w:rFonts w:ascii="Times New Roman" w:eastAsia="Times New Roman" w:hAnsi="Times New Roman" w:cs="Times New Roman"/>
                <w:i/>
                <w:w w:val="105"/>
                <w:sz w:val="16"/>
                <w:szCs w:val="16"/>
                <w:lang w:eastAsia="bg-BG"/>
              </w:rPr>
              <w:t>Обща цел</w:t>
            </w:r>
            <w:r w:rsidR="00E2093A" w:rsidRPr="007B4A99">
              <w:rPr>
                <w:rFonts w:ascii="Times New Roman" w:eastAsia="Times New Roman" w:hAnsi="Times New Roman" w:cs="Times New Roman"/>
                <w:w w:val="105"/>
                <w:sz w:val="16"/>
                <w:szCs w:val="16"/>
                <w:lang w:eastAsia="bg-BG"/>
              </w:rPr>
              <w:t xml:space="preserve">: </w:t>
            </w:r>
          </w:p>
          <w:p w14:paraId="2D15CA0E" w14:textId="4D7D94C3" w:rsidR="00E2093A" w:rsidRPr="007B4A99" w:rsidRDefault="0091327B" w:rsidP="005E2822">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w w:val="105"/>
                <w:sz w:val="16"/>
                <w:szCs w:val="16"/>
                <w:lang w:eastAsia="bg-BG"/>
              </w:rPr>
            </w:pPr>
            <w:r w:rsidRPr="0091327B">
              <w:rPr>
                <w:rFonts w:ascii="Times New Roman" w:eastAsia="Times New Roman" w:hAnsi="Times New Roman" w:cs="Times New Roman"/>
                <w:w w:val="105"/>
                <w:sz w:val="16"/>
                <w:szCs w:val="16"/>
                <w:lang w:eastAsia="bg-BG"/>
              </w:rPr>
              <w:t>Цялостно подобряване на функционирането на веригата на доставки на земеделски продукти и храни, водещо до повишаване на нейната ефективност и ефикасност и до намаляване на дисбаланса в отношенията между различните участници в нея, в полза на потребителите и обществото като цяло</w:t>
            </w:r>
          </w:p>
        </w:tc>
        <w:tc>
          <w:tcPr>
            <w:tcW w:w="1847" w:type="dxa"/>
            <w:shd w:val="clear" w:color="auto" w:fill="FFFFFF"/>
            <w:vAlign w:val="center"/>
          </w:tcPr>
          <w:p w14:paraId="37F541BE" w14:textId="39F19DD7" w:rsidR="00E2093A" w:rsidRPr="00144BC5" w:rsidRDefault="00144BC5" w:rsidP="00E2093A">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b/>
                <w:w w:val="151"/>
                <w:sz w:val="24"/>
                <w:szCs w:val="24"/>
                <w:lang w:eastAsia="bg-BG"/>
              </w:rPr>
            </w:pPr>
            <w:r w:rsidRPr="00144BC5">
              <w:rPr>
                <w:rFonts w:ascii="Times New Roman" w:eastAsia="Times New Roman" w:hAnsi="Times New Roman" w:cs="Times New Roman"/>
                <w:b/>
                <w:w w:val="151"/>
                <w:sz w:val="24"/>
                <w:szCs w:val="24"/>
                <w:lang w:eastAsia="bg-BG"/>
              </w:rPr>
              <w:t>(</w:t>
            </w:r>
            <w:r w:rsidR="00E2093A" w:rsidRPr="00144BC5">
              <w:rPr>
                <w:rFonts w:ascii="Times New Roman" w:eastAsia="Times New Roman" w:hAnsi="Times New Roman" w:cs="Times New Roman"/>
                <w:b/>
                <w:w w:val="151"/>
                <w:sz w:val="24"/>
                <w:szCs w:val="24"/>
                <w:lang w:eastAsia="bg-BG"/>
              </w:rPr>
              <w:t>–</w:t>
            </w:r>
            <w:r w:rsidRPr="00144BC5">
              <w:rPr>
                <w:rFonts w:ascii="Times New Roman" w:eastAsia="Times New Roman" w:hAnsi="Times New Roman" w:cs="Times New Roman"/>
                <w:b/>
                <w:w w:val="151"/>
                <w:sz w:val="24"/>
                <w:szCs w:val="24"/>
                <w:lang w:eastAsia="bg-BG"/>
              </w:rPr>
              <w:t>)</w:t>
            </w:r>
          </w:p>
        </w:tc>
        <w:tc>
          <w:tcPr>
            <w:tcW w:w="1843" w:type="dxa"/>
            <w:shd w:val="clear" w:color="auto" w:fill="FFFFFF"/>
            <w:vAlign w:val="center"/>
          </w:tcPr>
          <w:p w14:paraId="56E7FAE0" w14:textId="2C4C37C1" w:rsidR="00303CEA" w:rsidRPr="00144BC5" w:rsidRDefault="00144BC5" w:rsidP="00E2093A">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b/>
                <w:w w:val="111"/>
                <w:sz w:val="24"/>
                <w:szCs w:val="24"/>
                <w:lang w:eastAsia="bg-BG"/>
              </w:rPr>
            </w:pPr>
            <w:r w:rsidRPr="00144BC5">
              <w:rPr>
                <w:rFonts w:ascii="Times New Roman" w:eastAsia="Times New Roman" w:hAnsi="Times New Roman" w:cs="Times New Roman"/>
                <w:b/>
                <w:sz w:val="24"/>
                <w:szCs w:val="24"/>
                <w:lang w:eastAsia="bg-BG"/>
              </w:rPr>
              <w:t>(</w:t>
            </w:r>
            <w:r w:rsidR="00303CEA" w:rsidRPr="00144BC5">
              <w:rPr>
                <w:rFonts w:ascii="Times New Roman" w:eastAsia="Times New Roman" w:hAnsi="Times New Roman" w:cs="Times New Roman"/>
                <w:b/>
                <w:sz w:val="24"/>
                <w:szCs w:val="24"/>
                <w:lang w:eastAsia="bg-BG"/>
              </w:rPr>
              <w:t>+/</w:t>
            </w:r>
            <w:r w:rsidR="00303CEA" w:rsidRPr="00144BC5">
              <w:rPr>
                <w:rFonts w:ascii="Times New Roman" w:eastAsia="Times New Roman" w:hAnsi="Times New Roman" w:cs="Times New Roman"/>
                <w:b/>
                <w:w w:val="151"/>
                <w:sz w:val="24"/>
                <w:szCs w:val="24"/>
                <w:lang w:eastAsia="bg-BG"/>
              </w:rPr>
              <w:t>–</w:t>
            </w:r>
            <w:r w:rsidRPr="00144BC5">
              <w:rPr>
                <w:rFonts w:ascii="Times New Roman" w:eastAsia="Times New Roman" w:hAnsi="Times New Roman" w:cs="Times New Roman"/>
                <w:b/>
                <w:w w:val="151"/>
                <w:sz w:val="24"/>
                <w:szCs w:val="24"/>
                <w:lang w:eastAsia="bg-BG"/>
              </w:rPr>
              <w:t>)</w:t>
            </w:r>
          </w:p>
        </w:tc>
        <w:tc>
          <w:tcPr>
            <w:tcW w:w="1701" w:type="dxa"/>
            <w:shd w:val="clear" w:color="auto" w:fill="FFFFFF"/>
            <w:vAlign w:val="center"/>
          </w:tcPr>
          <w:p w14:paraId="1C904FF3" w14:textId="67098325" w:rsidR="00E2093A" w:rsidRPr="00144BC5" w:rsidRDefault="00144BC5" w:rsidP="00E2093A">
            <w:pPr>
              <w:widowControl w:val="0"/>
              <w:kinsoku w:val="0"/>
              <w:overflowPunct w:val="0"/>
              <w:autoSpaceDE w:val="0"/>
              <w:autoSpaceDN w:val="0"/>
              <w:adjustRightInd w:val="0"/>
              <w:spacing w:before="28" w:after="0" w:line="240" w:lineRule="auto"/>
              <w:ind w:left="103" w:right="105"/>
              <w:jc w:val="center"/>
              <w:rPr>
                <w:rFonts w:ascii="Times New Roman" w:eastAsia="Times New Roman" w:hAnsi="Times New Roman" w:cs="Times New Roman"/>
                <w:b/>
                <w:w w:val="110"/>
                <w:sz w:val="24"/>
                <w:szCs w:val="24"/>
                <w:lang w:eastAsia="bg-BG"/>
              </w:rPr>
            </w:pPr>
            <w:r w:rsidRPr="00144BC5">
              <w:rPr>
                <w:rFonts w:ascii="Times New Roman" w:eastAsia="Times New Roman" w:hAnsi="Times New Roman" w:cs="Times New Roman"/>
                <w:b/>
                <w:w w:val="110"/>
                <w:sz w:val="24"/>
                <w:szCs w:val="24"/>
                <w:lang w:eastAsia="bg-BG"/>
              </w:rPr>
              <w:t>(</w:t>
            </w:r>
            <w:r w:rsidR="00E2093A" w:rsidRPr="00144BC5">
              <w:rPr>
                <w:rFonts w:ascii="Times New Roman" w:eastAsia="Times New Roman" w:hAnsi="Times New Roman" w:cs="Times New Roman"/>
                <w:b/>
                <w:w w:val="110"/>
                <w:sz w:val="24"/>
                <w:szCs w:val="24"/>
                <w:lang w:eastAsia="bg-BG"/>
              </w:rPr>
              <w:t>+</w:t>
            </w:r>
            <w:r w:rsidRPr="00144BC5">
              <w:rPr>
                <w:rFonts w:ascii="Times New Roman" w:eastAsia="Times New Roman" w:hAnsi="Times New Roman" w:cs="Times New Roman"/>
                <w:b/>
                <w:w w:val="110"/>
                <w:sz w:val="24"/>
                <w:szCs w:val="24"/>
                <w:lang w:eastAsia="bg-BG"/>
              </w:rPr>
              <w:t>)</w:t>
            </w:r>
          </w:p>
        </w:tc>
        <w:tc>
          <w:tcPr>
            <w:tcW w:w="1713" w:type="dxa"/>
            <w:gridSpan w:val="2"/>
            <w:shd w:val="clear" w:color="auto" w:fill="FFFFFF"/>
            <w:vAlign w:val="center"/>
          </w:tcPr>
          <w:p w14:paraId="0303AA8E" w14:textId="77777777" w:rsidR="00144BC5" w:rsidRPr="00144BC5" w:rsidRDefault="00144BC5" w:rsidP="00303CEA">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b/>
                <w:w w:val="110"/>
                <w:sz w:val="24"/>
                <w:szCs w:val="24"/>
                <w:lang w:eastAsia="bg-BG"/>
              </w:rPr>
            </w:pPr>
          </w:p>
          <w:p w14:paraId="313ADD45" w14:textId="571DEEDE" w:rsidR="00303CEA" w:rsidRPr="00144BC5" w:rsidRDefault="00144BC5" w:rsidP="00303CEA">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b/>
                <w:w w:val="110"/>
                <w:sz w:val="24"/>
                <w:szCs w:val="24"/>
                <w:lang w:eastAsia="bg-BG"/>
              </w:rPr>
            </w:pPr>
            <w:r w:rsidRPr="00144BC5">
              <w:rPr>
                <w:rFonts w:ascii="Times New Roman" w:eastAsia="Times New Roman" w:hAnsi="Times New Roman" w:cs="Times New Roman"/>
                <w:b/>
                <w:w w:val="110"/>
                <w:sz w:val="24"/>
                <w:szCs w:val="24"/>
                <w:lang w:eastAsia="bg-BG"/>
              </w:rPr>
              <w:t>(</w:t>
            </w:r>
            <w:r w:rsidR="00303CEA" w:rsidRPr="00144BC5">
              <w:rPr>
                <w:rFonts w:ascii="Times New Roman" w:eastAsia="Times New Roman" w:hAnsi="Times New Roman" w:cs="Times New Roman"/>
                <w:b/>
                <w:w w:val="110"/>
                <w:sz w:val="24"/>
                <w:szCs w:val="24"/>
                <w:lang w:eastAsia="bg-BG"/>
              </w:rPr>
              <w:t>++</w:t>
            </w:r>
            <w:r w:rsidRPr="00144BC5">
              <w:rPr>
                <w:rFonts w:ascii="Times New Roman" w:eastAsia="Times New Roman" w:hAnsi="Times New Roman" w:cs="Times New Roman"/>
                <w:b/>
                <w:w w:val="110"/>
                <w:sz w:val="24"/>
                <w:szCs w:val="24"/>
                <w:lang w:eastAsia="bg-BG"/>
              </w:rPr>
              <w:t>)</w:t>
            </w:r>
          </w:p>
          <w:p w14:paraId="6757D852" w14:textId="382FCA97" w:rsidR="00E2093A" w:rsidRPr="00144BC5" w:rsidRDefault="00E2093A" w:rsidP="00E2093A">
            <w:pPr>
              <w:widowControl w:val="0"/>
              <w:kinsoku w:val="0"/>
              <w:overflowPunct w:val="0"/>
              <w:autoSpaceDE w:val="0"/>
              <w:autoSpaceDN w:val="0"/>
              <w:adjustRightInd w:val="0"/>
              <w:spacing w:before="28" w:after="0" w:line="240" w:lineRule="auto"/>
              <w:ind w:right="42"/>
              <w:jc w:val="center"/>
              <w:rPr>
                <w:rFonts w:ascii="Times New Roman" w:eastAsia="Times New Roman" w:hAnsi="Times New Roman" w:cs="Times New Roman"/>
                <w:b/>
                <w:w w:val="111"/>
                <w:sz w:val="24"/>
                <w:szCs w:val="24"/>
                <w:lang w:eastAsia="bg-BG"/>
              </w:rPr>
            </w:pPr>
          </w:p>
        </w:tc>
      </w:tr>
      <w:tr w:rsidR="00E2093A" w:rsidRPr="007B4A99" w14:paraId="543F2C8C" w14:textId="77777777" w:rsidTr="008A33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000" w:firstRow="0" w:lastRow="0" w:firstColumn="0" w:lastColumn="0" w:noHBand="0" w:noVBand="0"/>
        </w:tblPrEx>
        <w:trPr>
          <w:trHeight w:val="640"/>
        </w:trPr>
        <w:tc>
          <w:tcPr>
            <w:tcW w:w="1969" w:type="dxa"/>
            <w:shd w:val="clear" w:color="auto" w:fill="FFFFFF"/>
          </w:tcPr>
          <w:p w14:paraId="55ACB85D" w14:textId="262C3FB1" w:rsidR="00E2093A" w:rsidRPr="007B4A99" w:rsidRDefault="005E2822" w:rsidP="00532807">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w w:val="105"/>
                <w:sz w:val="16"/>
                <w:szCs w:val="16"/>
                <w:lang w:eastAsia="bg-BG"/>
              </w:rPr>
            </w:pPr>
            <w:r w:rsidRPr="007B4A99">
              <w:rPr>
                <w:rFonts w:ascii="Times New Roman" w:eastAsia="Times New Roman" w:hAnsi="Times New Roman" w:cs="Times New Roman"/>
                <w:i/>
                <w:w w:val="105"/>
                <w:sz w:val="16"/>
                <w:szCs w:val="16"/>
                <w:lang w:eastAsia="bg-BG"/>
              </w:rPr>
              <w:t>Конкретна ц</w:t>
            </w:r>
            <w:r w:rsidR="00E2093A" w:rsidRPr="007B4A99">
              <w:rPr>
                <w:rFonts w:ascii="Times New Roman" w:eastAsia="Times New Roman" w:hAnsi="Times New Roman" w:cs="Times New Roman"/>
                <w:i/>
                <w:w w:val="105"/>
                <w:sz w:val="16"/>
                <w:szCs w:val="16"/>
                <w:lang w:eastAsia="bg-BG"/>
              </w:rPr>
              <w:t>ел</w:t>
            </w:r>
            <w:r w:rsidR="00E2093A" w:rsidRPr="007B4A99">
              <w:rPr>
                <w:rFonts w:ascii="Times New Roman" w:eastAsia="Times New Roman" w:hAnsi="Times New Roman" w:cs="Times New Roman"/>
                <w:w w:val="105"/>
                <w:sz w:val="16"/>
                <w:szCs w:val="16"/>
                <w:lang w:eastAsia="bg-BG"/>
              </w:rPr>
              <w:t xml:space="preserve">: </w:t>
            </w:r>
            <w:r w:rsidR="0091327B" w:rsidRPr="0091327B">
              <w:rPr>
                <w:rFonts w:ascii="Times New Roman" w:eastAsia="Times New Roman" w:hAnsi="Times New Roman" w:cs="Times New Roman"/>
                <w:w w:val="105"/>
                <w:sz w:val="16"/>
                <w:szCs w:val="16"/>
                <w:lang w:eastAsia="bg-BG"/>
              </w:rPr>
              <w:t xml:space="preserve">Установяването на ясни, честни и видими за цялото общество правила, по които възникват и се развиват отношенията между участниците по веригата на доставки на земеделски продукти и храни. Създаване на среда на прозрачност в договарянето, проследимост на функционирането и равнопоставеност в отношенията между участниците по веригата на доставки на земеделски продукти и </w:t>
            </w:r>
            <w:r w:rsidR="0091327B" w:rsidRPr="0091327B">
              <w:rPr>
                <w:rFonts w:ascii="Times New Roman" w:eastAsia="Times New Roman" w:hAnsi="Times New Roman" w:cs="Times New Roman"/>
                <w:w w:val="105"/>
                <w:sz w:val="16"/>
                <w:szCs w:val="16"/>
                <w:lang w:eastAsia="bg-BG"/>
              </w:rPr>
              <w:lastRenderedPageBreak/>
              <w:t>храни, която води и до базирано на лоялна конкуренция пропорционално разпределение на добавената стойност от нея</w:t>
            </w:r>
          </w:p>
        </w:tc>
        <w:tc>
          <w:tcPr>
            <w:tcW w:w="1847" w:type="dxa"/>
            <w:shd w:val="clear" w:color="auto" w:fill="auto"/>
            <w:vAlign w:val="center"/>
          </w:tcPr>
          <w:p w14:paraId="5E29BBD9" w14:textId="5F0F4CBE" w:rsidR="00E2093A" w:rsidRPr="00144BC5" w:rsidRDefault="00144BC5" w:rsidP="00E2093A">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b/>
                <w:w w:val="151"/>
                <w:sz w:val="24"/>
                <w:szCs w:val="24"/>
                <w:lang w:eastAsia="bg-BG"/>
              </w:rPr>
            </w:pPr>
            <w:r w:rsidRPr="00144BC5">
              <w:rPr>
                <w:rFonts w:ascii="Times New Roman" w:eastAsia="Times New Roman" w:hAnsi="Times New Roman" w:cs="Times New Roman"/>
                <w:b/>
                <w:w w:val="151"/>
                <w:sz w:val="24"/>
                <w:szCs w:val="24"/>
                <w:lang w:eastAsia="bg-BG"/>
              </w:rPr>
              <w:lastRenderedPageBreak/>
              <w:t>(</w:t>
            </w:r>
            <w:r w:rsidR="00E2093A" w:rsidRPr="00144BC5">
              <w:rPr>
                <w:rFonts w:ascii="Times New Roman" w:eastAsia="Times New Roman" w:hAnsi="Times New Roman" w:cs="Times New Roman"/>
                <w:b/>
                <w:w w:val="151"/>
                <w:sz w:val="24"/>
                <w:szCs w:val="24"/>
                <w:lang w:eastAsia="bg-BG"/>
              </w:rPr>
              <w:t>–</w:t>
            </w:r>
            <w:r w:rsidR="00C16C2C" w:rsidRPr="00144BC5">
              <w:rPr>
                <w:rFonts w:ascii="Times New Roman" w:eastAsia="Times New Roman" w:hAnsi="Times New Roman" w:cs="Times New Roman"/>
                <w:b/>
                <w:w w:val="151"/>
                <w:sz w:val="24"/>
                <w:szCs w:val="24"/>
                <w:lang w:eastAsia="bg-BG"/>
              </w:rPr>
              <w:t xml:space="preserve"> –</w:t>
            </w:r>
            <w:r w:rsidRPr="00144BC5">
              <w:rPr>
                <w:rFonts w:ascii="Times New Roman" w:eastAsia="Times New Roman" w:hAnsi="Times New Roman" w:cs="Times New Roman"/>
                <w:b/>
                <w:w w:val="151"/>
                <w:sz w:val="24"/>
                <w:szCs w:val="24"/>
                <w:lang w:eastAsia="bg-BG"/>
              </w:rPr>
              <w:t>)</w:t>
            </w:r>
          </w:p>
        </w:tc>
        <w:tc>
          <w:tcPr>
            <w:tcW w:w="1843" w:type="dxa"/>
            <w:shd w:val="clear" w:color="auto" w:fill="auto"/>
            <w:vAlign w:val="center"/>
          </w:tcPr>
          <w:p w14:paraId="02185B89" w14:textId="67107B47" w:rsidR="00E2093A" w:rsidRPr="00144BC5" w:rsidRDefault="00144BC5" w:rsidP="00E2093A">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b/>
                <w:w w:val="111"/>
                <w:sz w:val="24"/>
                <w:szCs w:val="24"/>
                <w:lang w:eastAsia="bg-BG"/>
              </w:rPr>
            </w:pPr>
            <w:r w:rsidRPr="00144BC5">
              <w:rPr>
                <w:rFonts w:ascii="Times New Roman" w:eastAsia="Times New Roman" w:hAnsi="Times New Roman" w:cs="Times New Roman"/>
                <w:b/>
                <w:sz w:val="24"/>
                <w:szCs w:val="24"/>
                <w:lang w:eastAsia="bg-BG"/>
              </w:rPr>
              <w:t>(0)</w:t>
            </w:r>
          </w:p>
        </w:tc>
        <w:tc>
          <w:tcPr>
            <w:tcW w:w="1701" w:type="dxa"/>
            <w:shd w:val="clear" w:color="auto" w:fill="auto"/>
            <w:vAlign w:val="center"/>
          </w:tcPr>
          <w:p w14:paraId="7B7C593A" w14:textId="4FBAFDD1" w:rsidR="00E2093A" w:rsidRPr="00144BC5" w:rsidRDefault="00144BC5" w:rsidP="00E2093A">
            <w:pPr>
              <w:widowControl w:val="0"/>
              <w:kinsoku w:val="0"/>
              <w:overflowPunct w:val="0"/>
              <w:autoSpaceDE w:val="0"/>
              <w:autoSpaceDN w:val="0"/>
              <w:adjustRightInd w:val="0"/>
              <w:spacing w:before="40" w:after="0" w:line="240" w:lineRule="auto"/>
              <w:ind w:left="103" w:right="105"/>
              <w:jc w:val="center"/>
              <w:rPr>
                <w:rFonts w:ascii="Times New Roman" w:eastAsia="Times New Roman" w:hAnsi="Times New Roman" w:cs="Times New Roman"/>
                <w:b/>
                <w:w w:val="110"/>
                <w:sz w:val="24"/>
                <w:szCs w:val="24"/>
                <w:lang w:eastAsia="bg-BG"/>
              </w:rPr>
            </w:pPr>
            <w:r w:rsidRPr="00144BC5">
              <w:rPr>
                <w:rFonts w:ascii="Times New Roman" w:eastAsia="Times New Roman" w:hAnsi="Times New Roman" w:cs="Times New Roman"/>
                <w:b/>
                <w:sz w:val="24"/>
                <w:szCs w:val="24"/>
                <w:lang w:eastAsia="bg-BG"/>
              </w:rPr>
              <w:t>(</w:t>
            </w:r>
            <w:r w:rsidR="00D6059C" w:rsidRPr="00144BC5">
              <w:rPr>
                <w:rFonts w:ascii="Times New Roman" w:eastAsia="Times New Roman" w:hAnsi="Times New Roman" w:cs="Times New Roman"/>
                <w:b/>
                <w:sz w:val="24"/>
                <w:szCs w:val="24"/>
                <w:lang w:eastAsia="bg-BG"/>
              </w:rPr>
              <w:t>+/</w:t>
            </w:r>
            <w:r w:rsidR="00D6059C" w:rsidRPr="00144BC5">
              <w:rPr>
                <w:rFonts w:ascii="Times New Roman" w:eastAsia="Times New Roman" w:hAnsi="Times New Roman" w:cs="Times New Roman"/>
                <w:b/>
                <w:w w:val="151"/>
                <w:sz w:val="24"/>
                <w:szCs w:val="24"/>
                <w:lang w:eastAsia="bg-BG"/>
              </w:rPr>
              <w:t>–</w:t>
            </w:r>
            <w:r w:rsidRPr="00144BC5">
              <w:rPr>
                <w:rFonts w:ascii="Times New Roman" w:eastAsia="Times New Roman" w:hAnsi="Times New Roman" w:cs="Times New Roman"/>
                <w:b/>
                <w:w w:val="151"/>
                <w:sz w:val="24"/>
                <w:szCs w:val="24"/>
                <w:lang w:eastAsia="bg-BG"/>
              </w:rPr>
              <w:t>)</w:t>
            </w:r>
          </w:p>
        </w:tc>
        <w:tc>
          <w:tcPr>
            <w:tcW w:w="1713" w:type="dxa"/>
            <w:gridSpan w:val="2"/>
            <w:shd w:val="clear" w:color="auto" w:fill="auto"/>
            <w:vAlign w:val="center"/>
          </w:tcPr>
          <w:p w14:paraId="6C780AB1" w14:textId="755C1067" w:rsidR="00E2093A" w:rsidRPr="00144BC5" w:rsidRDefault="00144BC5" w:rsidP="00E2093A">
            <w:pPr>
              <w:widowControl w:val="0"/>
              <w:kinsoku w:val="0"/>
              <w:overflowPunct w:val="0"/>
              <w:autoSpaceDE w:val="0"/>
              <w:autoSpaceDN w:val="0"/>
              <w:adjustRightInd w:val="0"/>
              <w:spacing w:before="40" w:after="0" w:line="240" w:lineRule="auto"/>
              <w:ind w:right="42"/>
              <w:jc w:val="center"/>
              <w:rPr>
                <w:rFonts w:ascii="Times New Roman" w:eastAsia="Times New Roman" w:hAnsi="Times New Roman" w:cs="Times New Roman"/>
                <w:b/>
                <w:w w:val="111"/>
                <w:sz w:val="24"/>
                <w:szCs w:val="24"/>
                <w:lang w:eastAsia="bg-BG"/>
              </w:rPr>
            </w:pPr>
            <w:r>
              <w:rPr>
                <w:rFonts w:ascii="Times New Roman" w:eastAsia="Times New Roman" w:hAnsi="Times New Roman" w:cs="Times New Roman"/>
                <w:b/>
                <w:w w:val="110"/>
                <w:sz w:val="24"/>
                <w:szCs w:val="24"/>
                <w:lang w:eastAsia="bg-BG"/>
              </w:rPr>
              <w:t>(</w:t>
            </w:r>
            <w:r w:rsidR="00303CEA" w:rsidRPr="00144BC5">
              <w:rPr>
                <w:rFonts w:ascii="Times New Roman" w:eastAsia="Times New Roman" w:hAnsi="Times New Roman" w:cs="Times New Roman"/>
                <w:b/>
                <w:w w:val="110"/>
                <w:sz w:val="24"/>
                <w:szCs w:val="24"/>
                <w:lang w:eastAsia="bg-BG"/>
              </w:rPr>
              <w:t>++</w:t>
            </w:r>
            <w:r>
              <w:rPr>
                <w:rFonts w:ascii="Times New Roman" w:eastAsia="Times New Roman" w:hAnsi="Times New Roman" w:cs="Times New Roman"/>
                <w:b/>
                <w:w w:val="110"/>
                <w:sz w:val="24"/>
                <w:szCs w:val="24"/>
                <w:lang w:eastAsia="bg-BG"/>
              </w:rPr>
              <w:t>)</w:t>
            </w:r>
          </w:p>
        </w:tc>
      </w:tr>
      <w:tr w:rsidR="00E2093A" w:rsidRPr="007B4A99" w14:paraId="4CB29817" w14:textId="77777777" w:rsidTr="008A33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000" w:firstRow="0" w:lastRow="0" w:firstColumn="0" w:lastColumn="0" w:noHBand="0" w:noVBand="0"/>
        </w:tblPrEx>
        <w:trPr>
          <w:trHeight w:val="640"/>
        </w:trPr>
        <w:tc>
          <w:tcPr>
            <w:tcW w:w="1969" w:type="dxa"/>
            <w:shd w:val="clear" w:color="auto" w:fill="FFFFFF"/>
          </w:tcPr>
          <w:p w14:paraId="169CE7A1" w14:textId="56FD0957" w:rsidR="00E2093A" w:rsidRPr="007B4A99" w:rsidRDefault="00532807" w:rsidP="00BD6C53">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w w:val="105"/>
                <w:sz w:val="16"/>
                <w:szCs w:val="16"/>
                <w:lang w:eastAsia="bg-BG"/>
              </w:rPr>
            </w:pPr>
            <w:r w:rsidRPr="007B4A99">
              <w:rPr>
                <w:rFonts w:ascii="Times New Roman" w:eastAsia="Times New Roman" w:hAnsi="Times New Roman" w:cs="Times New Roman"/>
                <w:i/>
                <w:w w:val="105"/>
                <w:sz w:val="16"/>
                <w:szCs w:val="16"/>
                <w:lang w:eastAsia="bg-BG"/>
              </w:rPr>
              <w:t>Оперативна</w:t>
            </w:r>
            <w:r w:rsidR="005E2822" w:rsidRPr="007B4A99">
              <w:rPr>
                <w:rFonts w:ascii="Times New Roman" w:eastAsia="Times New Roman" w:hAnsi="Times New Roman" w:cs="Times New Roman"/>
                <w:i/>
                <w:w w:val="105"/>
                <w:sz w:val="16"/>
                <w:szCs w:val="16"/>
                <w:lang w:eastAsia="bg-BG"/>
              </w:rPr>
              <w:t xml:space="preserve"> цел</w:t>
            </w:r>
            <w:r w:rsidR="00E2093A" w:rsidRPr="007B4A99">
              <w:rPr>
                <w:rFonts w:ascii="Times New Roman" w:eastAsia="Times New Roman" w:hAnsi="Times New Roman" w:cs="Times New Roman"/>
                <w:w w:val="105"/>
                <w:sz w:val="16"/>
                <w:szCs w:val="16"/>
                <w:lang w:eastAsia="bg-BG"/>
              </w:rPr>
              <w:t xml:space="preserve">: </w:t>
            </w:r>
            <w:r w:rsidR="0091327B" w:rsidRPr="0091327B">
              <w:rPr>
                <w:rFonts w:ascii="Times New Roman" w:eastAsia="Times New Roman" w:hAnsi="Times New Roman" w:cs="Times New Roman"/>
                <w:w w:val="105"/>
                <w:sz w:val="16"/>
                <w:szCs w:val="16"/>
                <w:lang w:eastAsia="bg-BG"/>
              </w:rPr>
              <w:t>Избор на вариант на действие, включващ въвеждането на мерки на национално ниво, водещи до пълноценно разрешаване на дефинираните проблеми, чрез отстраняване на двигателите, стоящи в тяхната основа и/или до прекъсване на причинно-следствената връзка между двигателите, проблемите и техните проявления</w:t>
            </w:r>
          </w:p>
        </w:tc>
        <w:tc>
          <w:tcPr>
            <w:tcW w:w="1847" w:type="dxa"/>
            <w:shd w:val="clear" w:color="auto" w:fill="FFFFFF"/>
            <w:vAlign w:val="center"/>
          </w:tcPr>
          <w:p w14:paraId="1C6ECD21" w14:textId="4F5B3BF7" w:rsidR="00E2093A" w:rsidRPr="0091327B" w:rsidRDefault="00144BC5" w:rsidP="00E2093A">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b/>
                <w:w w:val="111"/>
                <w:sz w:val="24"/>
                <w:szCs w:val="24"/>
                <w:highlight w:val="green"/>
                <w:lang w:eastAsia="bg-BG"/>
              </w:rPr>
            </w:pPr>
            <w:r w:rsidRPr="00144BC5">
              <w:rPr>
                <w:rFonts w:ascii="Times New Roman" w:eastAsia="Times New Roman" w:hAnsi="Times New Roman" w:cs="Times New Roman"/>
                <w:b/>
                <w:w w:val="151"/>
                <w:sz w:val="24"/>
                <w:szCs w:val="24"/>
                <w:lang w:eastAsia="bg-BG"/>
              </w:rPr>
              <w:t>(– –)</w:t>
            </w:r>
          </w:p>
        </w:tc>
        <w:tc>
          <w:tcPr>
            <w:tcW w:w="1843" w:type="dxa"/>
            <w:shd w:val="clear" w:color="auto" w:fill="FFFFFF"/>
            <w:vAlign w:val="center"/>
          </w:tcPr>
          <w:p w14:paraId="61C022F5" w14:textId="6A27B678" w:rsidR="00303CEA" w:rsidRPr="0091327B" w:rsidRDefault="00144BC5" w:rsidP="00E2093A">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b/>
                <w:w w:val="111"/>
                <w:sz w:val="24"/>
                <w:szCs w:val="24"/>
                <w:highlight w:val="green"/>
                <w:lang w:eastAsia="bg-BG"/>
              </w:rPr>
            </w:pPr>
            <w:r w:rsidRPr="00144BC5">
              <w:rPr>
                <w:rFonts w:ascii="Times New Roman" w:eastAsia="Times New Roman" w:hAnsi="Times New Roman" w:cs="Times New Roman"/>
                <w:b/>
                <w:sz w:val="24"/>
                <w:szCs w:val="24"/>
                <w:lang w:eastAsia="bg-BG"/>
              </w:rPr>
              <w:t>(0)</w:t>
            </w:r>
          </w:p>
        </w:tc>
        <w:tc>
          <w:tcPr>
            <w:tcW w:w="1701" w:type="dxa"/>
            <w:shd w:val="clear" w:color="auto" w:fill="FFFFFF"/>
            <w:vAlign w:val="center"/>
          </w:tcPr>
          <w:p w14:paraId="230A0525" w14:textId="4564913B" w:rsidR="00E2093A" w:rsidRPr="0091327B" w:rsidRDefault="00144BC5" w:rsidP="00E2093A">
            <w:pPr>
              <w:widowControl w:val="0"/>
              <w:kinsoku w:val="0"/>
              <w:overflowPunct w:val="0"/>
              <w:autoSpaceDE w:val="0"/>
              <w:autoSpaceDN w:val="0"/>
              <w:adjustRightInd w:val="0"/>
              <w:spacing w:before="33" w:after="0" w:line="240" w:lineRule="auto"/>
              <w:ind w:right="2"/>
              <w:jc w:val="center"/>
              <w:rPr>
                <w:rFonts w:ascii="Times New Roman" w:eastAsia="Times New Roman" w:hAnsi="Times New Roman" w:cs="Times New Roman"/>
                <w:b/>
                <w:w w:val="111"/>
                <w:sz w:val="24"/>
                <w:szCs w:val="24"/>
                <w:highlight w:val="green"/>
                <w:lang w:eastAsia="bg-BG"/>
              </w:rPr>
            </w:pPr>
            <w:r w:rsidRPr="00144BC5">
              <w:rPr>
                <w:rFonts w:ascii="Times New Roman" w:eastAsia="Times New Roman" w:hAnsi="Times New Roman" w:cs="Times New Roman"/>
                <w:b/>
                <w:sz w:val="24"/>
                <w:szCs w:val="24"/>
                <w:lang w:eastAsia="bg-BG"/>
              </w:rPr>
              <w:t>(+/</w:t>
            </w:r>
            <w:r w:rsidRPr="00144BC5">
              <w:rPr>
                <w:rFonts w:ascii="Times New Roman" w:eastAsia="Times New Roman" w:hAnsi="Times New Roman" w:cs="Times New Roman"/>
                <w:b/>
                <w:w w:val="151"/>
                <w:sz w:val="24"/>
                <w:szCs w:val="24"/>
                <w:lang w:eastAsia="bg-BG"/>
              </w:rPr>
              <w:t>–)</w:t>
            </w:r>
          </w:p>
        </w:tc>
        <w:tc>
          <w:tcPr>
            <w:tcW w:w="1713" w:type="dxa"/>
            <w:gridSpan w:val="2"/>
            <w:shd w:val="clear" w:color="auto" w:fill="FFFFFF"/>
            <w:vAlign w:val="center"/>
          </w:tcPr>
          <w:p w14:paraId="527424BF" w14:textId="7EFC63E9" w:rsidR="00E2093A" w:rsidRPr="0091327B" w:rsidRDefault="00144BC5" w:rsidP="00E2093A">
            <w:pPr>
              <w:widowControl w:val="0"/>
              <w:kinsoku w:val="0"/>
              <w:overflowPunct w:val="0"/>
              <w:autoSpaceDE w:val="0"/>
              <w:autoSpaceDN w:val="0"/>
              <w:adjustRightInd w:val="0"/>
              <w:spacing w:before="33" w:after="0" w:line="240" w:lineRule="auto"/>
              <w:ind w:left="44" w:right="85"/>
              <w:jc w:val="center"/>
              <w:rPr>
                <w:rFonts w:ascii="Times New Roman" w:eastAsia="Times New Roman" w:hAnsi="Times New Roman" w:cs="Times New Roman"/>
                <w:b/>
                <w:w w:val="110"/>
                <w:sz w:val="24"/>
                <w:szCs w:val="24"/>
                <w:highlight w:val="green"/>
                <w:lang w:eastAsia="bg-BG"/>
              </w:rPr>
            </w:pPr>
            <w:r>
              <w:rPr>
                <w:rFonts w:ascii="Times New Roman" w:eastAsia="Times New Roman" w:hAnsi="Times New Roman" w:cs="Times New Roman"/>
                <w:b/>
                <w:w w:val="110"/>
                <w:sz w:val="24"/>
                <w:szCs w:val="24"/>
                <w:lang w:eastAsia="bg-BG"/>
              </w:rPr>
              <w:t>(</w:t>
            </w:r>
            <w:r w:rsidRPr="00144BC5">
              <w:rPr>
                <w:rFonts w:ascii="Times New Roman" w:eastAsia="Times New Roman" w:hAnsi="Times New Roman" w:cs="Times New Roman"/>
                <w:b/>
                <w:w w:val="110"/>
                <w:sz w:val="24"/>
                <w:szCs w:val="24"/>
                <w:lang w:eastAsia="bg-BG"/>
              </w:rPr>
              <w:t>++</w:t>
            </w:r>
            <w:r>
              <w:rPr>
                <w:rFonts w:ascii="Times New Roman" w:eastAsia="Times New Roman" w:hAnsi="Times New Roman" w:cs="Times New Roman"/>
                <w:b/>
                <w:w w:val="110"/>
                <w:sz w:val="24"/>
                <w:szCs w:val="24"/>
                <w:lang w:eastAsia="bg-BG"/>
              </w:rPr>
              <w:t>)</w:t>
            </w:r>
          </w:p>
        </w:tc>
      </w:tr>
      <w:tr w:rsidR="00E2093A" w:rsidRPr="007B4A99" w14:paraId="107D69B7" w14:textId="77777777" w:rsidTr="008A33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000" w:firstRow="0" w:lastRow="0" w:firstColumn="0" w:lastColumn="0" w:noHBand="0" w:noVBand="0"/>
        </w:tblPrEx>
        <w:trPr>
          <w:trHeight w:val="373"/>
        </w:trPr>
        <w:tc>
          <w:tcPr>
            <w:tcW w:w="1969" w:type="dxa"/>
            <w:shd w:val="clear" w:color="auto" w:fill="9CC2E5" w:themeFill="accent1" w:themeFillTint="99"/>
          </w:tcPr>
          <w:p w14:paraId="7A8188FD" w14:textId="77777777" w:rsidR="00E2093A" w:rsidRPr="007B4A99" w:rsidRDefault="00E2093A" w:rsidP="00E2093A">
            <w:pPr>
              <w:widowControl w:val="0"/>
              <w:kinsoku w:val="0"/>
              <w:overflowPunct w:val="0"/>
              <w:autoSpaceDE w:val="0"/>
              <w:autoSpaceDN w:val="0"/>
              <w:adjustRightInd w:val="0"/>
              <w:spacing w:before="18" w:after="0" w:line="240" w:lineRule="auto"/>
              <w:ind w:left="113"/>
              <w:rPr>
                <w:rFonts w:ascii="Times New Roman" w:eastAsia="Times New Roman" w:hAnsi="Times New Roman" w:cs="Times New Roman"/>
                <w:b/>
                <w:bCs/>
                <w:iCs/>
                <w:sz w:val="16"/>
                <w:szCs w:val="16"/>
                <w:lang w:eastAsia="bg-BG"/>
              </w:rPr>
            </w:pPr>
            <w:r w:rsidRPr="007B4A99">
              <w:rPr>
                <w:rFonts w:ascii="Times New Roman" w:eastAsia="Times New Roman" w:hAnsi="Times New Roman" w:cs="Times New Roman"/>
                <w:b/>
                <w:bCs/>
                <w:iCs/>
                <w:sz w:val="16"/>
                <w:szCs w:val="16"/>
                <w:lang w:eastAsia="bg-BG"/>
              </w:rPr>
              <w:t>Ефикасност</w:t>
            </w:r>
          </w:p>
        </w:tc>
        <w:tc>
          <w:tcPr>
            <w:tcW w:w="1847" w:type="dxa"/>
            <w:shd w:val="clear" w:color="auto" w:fill="FFFFFF"/>
            <w:vAlign w:val="center"/>
          </w:tcPr>
          <w:p w14:paraId="56713B8F" w14:textId="0E2D67BC" w:rsidR="00E2093A" w:rsidRPr="008A3356" w:rsidRDefault="002203A9" w:rsidP="00E2093A">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b/>
                <w:w w:val="151"/>
                <w:sz w:val="24"/>
                <w:szCs w:val="24"/>
                <w:lang w:eastAsia="bg-BG"/>
              </w:rPr>
            </w:pPr>
            <w:r w:rsidRPr="008A3356">
              <w:rPr>
                <w:rFonts w:ascii="Times New Roman" w:eastAsia="Times New Roman" w:hAnsi="Times New Roman" w:cs="Times New Roman"/>
                <w:b/>
                <w:w w:val="151"/>
                <w:sz w:val="24"/>
                <w:szCs w:val="24"/>
                <w:lang w:eastAsia="bg-BG"/>
              </w:rPr>
              <w:t>(</w:t>
            </w:r>
            <w:r w:rsidR="00E2093A" w:rsidRPr="008A3356">
              <w:rPr>
                <w:rFonts w:ascii="Times New Roman" w:eastAsia="Times New Roman" w:hAnsi="Times New Roman" w:cs="Times New Roman"/>
                <w:b/>
                <w:w w:val="151"/>
                <w:sz w:val="24"/>
                <w:szCs w:val="24"/>
                <w:lang w:eastAsia="bg-BG"/>
              </w:rPr>
              <w:t>–</w:t>
            </w:r>
            <w:r w:rsidRPr="008A3356">
              <w:rPr>
                <w:rFonts w:ascii="Times New Roman" w:eastAsia="Times New Roman" w:hAnsi="Times New Roman" w:cs="Times New Roman"/>
                <w:b/>
                <w:w w:val="151"/>
                <w:sz w:val="24"/>
                <w:szCs w:val="24"/>
                <w:lang w:eastAsia="bg-BG"/>
              </w:rPr>
              <w:t>)</w:t>
            </w:r>
          </w:p>
        </w:tc>
        <w:tc>
          <w:tcPr>
            <w:tcW w:w="1843" w:type="dxa"/>
            <w:shd w:val="clear" w:color="auto" w:fill="FFFFFF"/>
            <w:vAlign w:val="center"/>
          </w:tcPr>
          <w:p w14:paraId="5106BB49" w14:textId="37AF122C" w:rsidR="00303CEA" w:rsidRPr="008A3356" w:rsidRDefault="002203A9" w:rsidP="00E2093A">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b/>
                <w:sz w:val="24"/>
                <w:szCs w:val="24"/>
                <w:lang w:eastAsia="bg-BG"/>
              </w:rPr>
            </w:pPr>
            <w:r w:rsidRPr="008A3356">
              <w:rPr>
                <w:rFonts w:ascii="Times New Roman" w:eastAsia="Times New Roman" w:hAnsi="Times New Roman" w:cs="Times New Roman"/>
                <w:b/>
                <w:sz w:val="24"/>
                <w:szCs w:val="24"/>
                <w:lang w:eastAsia="bg-BG"/>
              </w:rPr>
              <w:t>(</w:t>
            </w:r>
            <w:r w:rsidR="00303CEA" w:rsidRPr="008A3356">
              <w:rPr>
                <w:rFonts w:ascii="Times New Roman" w:eastAsia="Times New Roman" w:hAnsi="Times New Roman" w:cs="Times New Roman"/>
                <w:b/>
                <w:sz w:val="24"/>
                <w:szCs w:val="24"/>
                <w:lang w:eastAsia="bg-BG"/>
              </w:rPr>
              <w:t>+/–</w:t>
            </w:r>
            <w:r w:rsidRPr="008A3356">
              <w:rPr>
                <w:rFonts w:ascii="Times New Roman" w:eastAsia="Times New Roman" w:hAnsi="Times New Roman" w:cs="Times New Roman"/>
                <w:b/>
                <w:sz w:val="24"/>
                <w:szCs w:val="24"/>
                <w:lang w:eastAsia="bg-BG"/>
              </w:rPr>
              <w:t>)</w:t>
            </w:r>
          </w:p>
        </w:tc>
        <w:tc>
          <w:tcPr>
            <w:tcW w:w="1701" w:type="dxa"/>
            <w:shd w:val="clear" w:color="auto" w:fill="FFFFFF"/>
            <w:vAlign w:val="center"/>
          </w:tcPr>
          <w:p w14:paraId="0A4BAD4C" w14:textId="18A5DFB5" w:rsidR="00E2093A" w:rsidRPr="008A3356" w:rsidRDefault="002203A9" w:rsidP="00E2093A">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b/>
                <w:w w:val="151"/>
                <w:sz w:val="24"/>
                <w:szCs w:val="24"/>
                <w:lang w:eastAsia="bg-BG"/>
              </w:rPr>
            </w:pPr>
            <w:r w:rsidRPr="008A3356">
              <w:rPr>
                <w:rFonts w:ascii="Times New Roman" w:eastAsia="Times New Roman" w:hAnsi="Times New Roman" w:cs="Times New Roman"/>
                <w:b/>
                <w:w w:val="151"/>
                <w:sz w:val="24"/>
                <w:szCs w:val="24"/>
                <w:lang w:eastAsia="bg-BG"/>
              </w:rPr>
              <w:t>(</w:t>
            </w:r>
            <w:r w:rsidR="00E2093A" w:rsidRPr="008A3356">
              <w:rPr>
                <w:rFonts w:ascii="Times New Roman" w:eastAsia="Times New Roman" w:hAnsi="Times New Roman" w:cs="Times New Roman"/>
                <w:b/>
                <w:w w:val="151"/>
                <w:sz w:val="24"/>
                <w:szCs w:val="24"/>
                <w:lang w:eastAsia="bg-BG"/>
              </w:rPr>
              <w:t>–</w:t>
            </w:r>
            <w:r w:rsidR="008A3356" w:rsidRPr="008A3356">
              <w:rPr>
                <w:rFonts w:ascii="Times New Roman" w:eastAsia="Times New Roman" w:hAnsi="Times New Roman" w:cs="Times New Roman"/>
                <w:b/>
                <w:w w:val="151"/>
                <w:sz w:val="24"/>
                <w:szCs w:val="24"/>
                <w:lang w:eastAsia="bg-BG"/>
              </w:rPr>
              <w:t>)</w:t>
            </w:r>
          </w:p>
        </w:tc>
        <w:tc>
          <w:tcPr>
            <w:tcW w:w="1713" w:type="dxa"/>
            <w:gridSpan w:val="2"/>
            <w:shd w:val="clear" w:color="auto" w:fill="FFFFFF"/>
            <w:vAlign w:val="center"/>
          </w:tcPr>
          <w:p w14:paraId="7EF14573" w14:textId="77777777" w:rsidR="002203A9" w:rsidRPr="008A3356" w:rsidRDefault="002203A9" w:rsidP="00303CEA">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b/>
                <w:sz w:val="24"/>
                <w:szCs w:val="24"/>
                <w:lang w:eastAsia="bg-BG"/>
              </w:rPr>
            </w:pPr>
          </w:p>
          <w:p w14:paraId="3B9D38E6" w14:textId="151FCBB1" w:rsidR="00303CEA" w:rsidRPr="008A3356" w:rsidRDefault="008A3356" w:rsidP="00303CEA">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b/>
                <w:sz w:val="24"/>
                <w:szCs w:val="24"/>
                <w:lang w:eastAsia="bg-BG"/>
              </w:rPr>
            </w:pPr>
            <w:r w:rsidRPr="008A3356">
              <w:rPr>
                <w:rFonts w:ascii="Times New Roman" w:eastAsia="Times New Roman" w:hAnsi="Times New Roman" w:cs="Times New Roman"/>
                <w:b/>
                <w:sz w:val="24"/>
                <w:szCs w:val="24"/>
                <w:lang w:eastAsia="bg-BG"/>
              </w:rPr>
              <w:t>(</w:t>
            </w:r>
            <w:r w:rsidR="00303CEA" w:rsidRPr="008A3356">
              <w:rPr>
                <w:rFonts w:ascii="Times New Roman" w:eastAsia="Times New Roman" w:hAnsi="Times New Roman" w:cs="Times New Roman"/>
                <w:b/>
                <w:sz w:val="24"/>
                <w:szCs w:val="24"/>
                <w:lang w:eastAsia="bg-BG"/>
              </w:rPr>
              <w:t>+</w:t>
            </w:r>
            <w:r w:rsidRPr="008A3356">
              <w:rPr>
                <w:rFonts w:ascii="Times New Roman" w:eastAsia="Times New Roman" w:hAnsi="Times New Roman" w:cs="Times New Roman"/>
                <w:b/>
                <w:sz w:val="24"/>
                <w:szCs w:val="24"/>
                <w:lang w:eastAsia="bg-BG"/>
              </w:rPr>
              <w:t>)</w:t>
            </w:r>
          </w:p>
          <w:p w14:paraId="144404EB" w14:textId="48976A92" w:rsidR="00E2093A" w:rsidRPr="008A3356" w:rsidRDefault="00E2093A" w:rsidP="00E2093A">
            <w:pPr>
              <w:widowControl w:val="0"/>
              <w:kinsoku w:val="0"/>
              <w:overflowPunct w:val="0"/>
              <w:autoSpaceDE w:val="0"/>
              <w:autoSpaceDN w:val="0"/>
              <w:adjustRightInd w:val="0"/>
              <w:spacing w:before="33" w:after="0" w:line="240" w:lineRule="auto"/>
              <w:ind w:right="42"/>
              <w:jc w:val="center"/>
              <w:rPr>
                <w:rFonts w:ascii="Times New Roman" w:eastAsia="Times New Roman" w:hAnsi="Times New Roman" w:cs="Times New Roman"/>
                <w:b/>
                <w:w w:val="111"/>
                <w:sz w:val="24"/>
                <w:szCs w:val="24"/>
                <w:lang w:eastAsia="bg-BG"/>
              </w:rPr>
            </w:pPr>
          </w:p>
        </w:tc>
      </w:tr>
      <w:tr w:rsidR="00E2093A" w:rsidRPr="007B4A99" w14:paraId="450496BB" w14:textId="77777777" w:rsidTr="008A33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000" w:firstRow="0" w:lastRow="0" w:firstColumn="0" w:lastColumn="0" w:noHBand="0" w:noVBand="0"/>
        </w:tblPrEx>
        <w:trPr>
          <w:trHeight w:val="373"/>
        </w:trPr>
        <w:tc>
          <w:tcPr>
            <w:tcW w:w="1969" w:type="dxa"/>
            <w:shd w:val="clear" w:color="auto" w:fill="9CC2E5" w:themeFill="accent1" w:themeFillTint="99"/>
          </w:tcPr>
          <w:p w14:paraId="364D49C1" w14:textId="77777777" w:rsidR="00E2093A" w:rsidRPr="007B4A99" w:rsidRDefault="00E2093A" w:rsidP="00E2093A">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Cs/>
                <w:sz w:val="16"/>
                <w:szCs w:val="16"/>
                <w:lang w:eastAsia="bg-BG"/>
              </w:rPr>
            </w:pPr>
            <w:r w:rsidRPr="007B4A99">
              <w:rPr>
                <w:rFonts w:ascii="Times New Roman" w:eastAsia="Times New Roman" w:hAnsi="Times New Roman" w:cs="Times New Roman"/>
                <w:b/>
                <w:bCs/>
                <w:iCs/>
                <w:sz w:val="16"/>
                <w:szCs w:val="16"/>
                <w:lang w:eastAsia="bg-BG"/>
              </w:rPr>
              <w:t>Съгласуваност</w:t>
            </w:r>
          </w:p>
        </w:tc>
        <w:tc>
          <w:tcPr>
            <w:tcW w:w="1847" w:type="dxa"/>
            <w:shd w:val="clear" w:color="auto" w:fill="FFFFFF"/>
            <w:vAlign w:val="center"/>
          </w:tcPr>
          <w:p w14:paraId="4E133466" w14:textId="77777777" w:rsidR="00E2093A" w:rsidRPr="008A3356" w:rsidRDefault="00E2093A" w:rsidP="00E2093A">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16"/>
                <w:szCs w:val="16"/>
                <w:lang w:eastAsia="bg-BG"/>
              </w:rPr>
            </w:pPr>
            <w:r w:rsidRPr="008A3356">
              <w:rPr>
                <w:rFonts w:ascii="Times New Roman" w:eastAsia="Times New Roman" w:hAnsi="Times New Roman" w:cs="Times New Roman"/>
                <w:sz w:val="16"/>
                <w:szCs w:val="16"/>
                <w:lang w:eastAsia="bg-BG"/>
              </w:rPr>
              <w:t>Не.</w:t>
            </w:r>
          </w:p>
          <w:p w14:paraId="51CE0B3D" w14:textId="77777777" w:rsidR="00E2093A" w:rsidRPr="008A3356" w:rsidRDefault="00E2093A" w:rsidP="00E2093A">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16"/>
                <w:szCs w:val="16"/>
                <w:lang w:eastAsia="bg-BG"/>
              </w:rPr>
            </w:pPr>
            <w:r w:rsidRPr="008A3356">
              <w:rPr>
                <w:rFonts w:ascii="Times New Roman" w:eastAsia="Times New Roman" w:hAnsi="Times New Roman" w:cs="Times New Roman"/>
                <w:sz w:val="16"/>
                <w:szCs w:val="16"/>
                <w:lang w:eastAsia="bg-BG"/>
              </w:rPr>
              <w:t>Значителен компромис</w:t>
            </w:r>
          </w:p>
        </w:tc>
        <w:tc>
          <w:tcPr>
            <w:tcW w:w="1843" w:type="dxa"/>
            <w:shd w:val="clear" w:color="auto" w:fill="FFFFFF"/>
            <w:vAlign w:val="center"/>
          </w:tcPr>
          <w:p w14:paraId="6811B836" w14:textId="0F3A4C19" w:rsidR="00303CEA" w:rsidRPr="008A3356" w:rsidRDefault="008A3356" w:rsidP="00303CEA">
            <w:pPr>
              <w:widowControl w:val="0"/>
              <w:kinsoku w:val="0"/>
              <w:overflowPunct w:val="0"/>
              <w:autoSpaceDE w:val="0"/>
              <w:autoSpaceDN w:val="0"/>
              <w:adjustRightInd w:val="0"/>
              <w:spacing w:before="47" w:after="0" w:line="247" w:lineRule="auto"/>
              <w:ind w:left="58" w:right="95" w:hanging="2"/>
              <w:jc w:val="center"/>
              <w:rPr>
                <w:rFonts w:ascii="Times New Roman" w:eastAsia="Times New Roman" w:hAnsi="Times New Roman" w:cs="Times New Roman"/>
                <w:sz w:val="16"/>
                <w:szCs w:val="16"/>
                <w:lang w:eastAsia="bg-BG"/>
              </w:rPr>
            </w:pPr>
            <w:r w:rsidRPr="008A3356">
              <w:rPr>
                <w:rFonts w:ascii="Times New Roman" w:eastAsia="Times New Roman" w:hAnsi="Times New Roman" w:cs="Times New Roman"/>
                <w:sz w:val="16"/>
                <w:szCs w:val="16"/>
                <w:lang w:eastAsia="bg-BG"/>
              </w:rPr>
              <w:t>Не</w:t>
            </w:r>
            <w:r w:rsidR="00303CEA" w:rsidRPr="008A3356">
              <w:rPr>
                <w:rFonts w:ascii="Times New Roman" w:eastAsia="Times New Roman" w:hAnsi="Times New Roman" w:cs="Times New Roman"/>
                <w:sz w:val="16"/>
                <w:szCs w:val="16"/>
                <w:lang w:eastAsia="bg-BG"/>
              </w:rPr>
              <w:t>.</w:t>
            </w:r>
          </w:p>
          <w:p w14:paraId="457E0555" w14:textId="0AD4DF57" w:rsidR="00E2093A" w:rsidRPr="008A3356" w:rsidRDefault="00303CEA" w:rsidP="00303CEA">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16"/>
                <w:szCs w:val="16"/>
                <w:lang w:eastAsia="bg-BG"/>
              </w:rPr>
            </w:pPr>
            <w:r w:rsidRPr="008A3356">
              <w:rPr>
                <w:rFonts w:ascii="Times New Roman" w:eastAsia="Times New Roman" w:hAnsi="Times New Roman" w:cs="Times New Roman"/>
                <w:sz w:val="16"/>
                <w:szCs w:val="16"/>
                <w:lang w:eastAsia="bg-BG"/>
              </w:rPr>
              <w:t>Значителен компромис</w:t>
            </w:r>
          </w:p>
        </w:tc>
        <w:tc>
          <w:tcPr>
            <w:tcW w:w="1701" w:type="dxa"/>
            <w:shd w:val="clear" w:color="auto" w:fill="FFFFFF"/>
            <w:vAlign w:val="center"/>
          </w:tcPr>
          <w:p w14:paraId="0E9F71D6" w14:textId="77777777" w:rsidR="00E2093A" w:rsidRPr="008A3356" w:rsidRDefault="00E2093A" w:rsidP="00E2093A">
            <w:pPr>
              <w:widowControl w:val="0"/>
              <w:kinsoku w:val="0"/>
              <w:overflowPunct w:val="0"/>
              <w:autoSpaceDE w:val="0"/>
              <w:autoSpaceDN w:val="0"/>
              <w:adjustRightInd w:val="0"/>
              <w:spacing w:before="47" w:after="0" w:line="247" w:lineRule="auto"/>
              <w:ind w:left="62" w:right="62" w:firstLine="2"/>
              <w:jc w:val="center"/>
              <w:rPr>
                <w:rFonts w:ascii="Times New Roman" w:eastAsia="Times New Roman" w:hAnsi="Times New Roman" w:cs="Times New Roman"/>
                <w:sz w:val="16"/>
                <w:szCs w:val="16"/>
                <w:lang w:eastAsia="bg-BG"/>
              </w:rPr>
            </w:pPr>
            <w:r w:rsidRPr="008A3356">
              <w:rPr>
                <w:rFonts w:ascii="Times New Roman" w:eastAsia="Times New Roman" w:hAnsi="Times New Roman" w:cs="Times New Roman"/>
                <w:sz w:val="16"/>
                <w:szCs w:val="16"/>
                <w:lang w:eastAsia="bg-BG"/>
              </w:rPr>
              <w:t>Да.</w:t>
            </w:r>
          </w:p>
          <w:p w14:paraId="15DEDE0F" w14:textId="77777777" w:rsidR="00E2093A" w:rsidRPr="008A3356" w:rsidRDefault="00D6059C" w:rsidP="00E2093A">
            <w:pPr>
              <w:widowControl w:val="0"/>
              <w:kinsoku w:val="0"/>
              <w:overflowPunct w:val="0"/>
              <w:autoSpaceDE w:val="0"/>
              <w:autoSpaceDN w:val="0"/>
              <w:adjustRightInd w:val="0"/>
              <w:spacing w:before="47" w:after="0" w:line="247" w:lineRule="auto"/>
              <w:ind w:left="62" w:right="62" w:firstLine="2"/>
              <w:jc w:val="center"/>
              <w:rPr>
                <w:rFonts w:ascii="Times New Roman" w:eastAsia="Times New Roman" w:hAnsi="Times New Roman" w:cs="Times New Roman"/>
                <w:sz w:val="16"/>
                <w:szCs w:val="16"/>
                <w:lang w:eastAsia="bg-BG"/>
              </w:rPr>
            </w:pPr>
            <w:r w:rsidRPr="008A3356">
              <w:rPr>
                <w:rFonts w:ascii="Times New Roman" w:eastAsia="Times New Roman" w:hAnsi="Times New Roman" w:cs="Times New Roman"/>
                <w:sz w:val="16"/>
                <w:szCs w:val="16"/>
                <w:lang w:eastAsia="bg-BG"/>
              </w:rPr>
              <w:t>Ограничен компромис</w:t>
            </w:r>
          </w:p>
        </w:tc>
        <w:tc>
          <w:tcPr>
            <w:tcW w:w="1713" w:type="dxa"/>
            <w:gridSpan w:val="2"/>
            <w:shd w:val="clear" w:color="auto" w:fill="FFFFFF"/>
            <w:vAlign w:val="center"/>
          </w:tcPr>
          <w:p w14:paraId="02384D92" w14:textId="14330E19" w:rsidR="00E2093A" w:rsidRPr="008A3356" w:rsidRDefault="00D6059C" w:rsidP="00D6059C">
            <w:pPr>
              <w:widowControl w:val="0"/>
              <w:kinsoku w:val="0"/>
              <w:overflowPunct w:val="0"/>
              <w:autoSpaceDE w:val="0"/>
              <w:autoSpaceDN w:val="0"/>
              <w:adjustRightInd w:val="0"/>
              <w:spacing w:before="47" w:after="0" w:line="247" w:lineRule="auto"/>
              <w:ind w:left="58" w:right="95" w:hanging="2"/>
              <w:jc w:val="center"/>
              <w:rPr>
                <w:rFonts w:ascii="Times New Roman" w:eastAsia="Times New Roman" w:hAnsi="Times New Roman" w:cs="Times New Roman"/>
                <w:sz w:val="16"/>
                <w:szCs w:val="16"/>
                <w:lang w:eastAsia="bg-BG"/>
              </w:rPr>
            </w:pPr>
            <w:r w:rsidRPr="008A3356">
              <w:rPr>
                <w:rFonts w:ascii="Times New Roman" w:eastAsia="Times New Roman" w:hAnsi="Times New Roman" w:cs="Times New Roman"/>
                <w:sz w:val="16"/>
                <w:szCs w:val="16"/>
                <w:lang w:eastAsia="bg-BG"/>
              </w:rPr>
              <w:t xml:space="preserve"> </w:t>
            </w:r>
            <w:r w:rsidR="00303CEA" w:rsidRPr="008A3356">
              <w:rPr>
                <w:rFonts w:ascii="Times New Roman" w:eastAsia="Times New Roman" w:hAnsi="Times New Roman" w:cs="Times New Roman"/>
                <w:sz w:val="16"/>
                <w:szCs w:val="16"/>
                <w:lang w:eastAsia="bg-BG"/>
              </w:rPr>
              <w:t>Да.</w:t>
            </w:r>
          </w:p>
        </w:tc>
      </w:tr>
      <w:tr w:rsidR="00E2093A" w:rsidRPr="007B4A99" w14:paraId="67AEB36A" w14:textId="77777777" w:rsidTr="008A33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000" w:firstRow="0" w:lastRow="0" w:firstColumn="0" w:lastColumn="0" w:noHBand="0" w:noVBand="0"/>
        </w:tblPrEx>
        <w:trPr>
          <w:trHeight w:val="373"/>
        </w:trPr>
        <w:tc>
          <w:tcPr>
            <w:tcW w:w="1969" w:type="dxa"/>
            <w:shd w:val="clear" w:color="auto" w:fill="9CC2E5" w:themeFill="accent1" w:themeFillTint="99"/>
          </w:tcPr>
          <w:p w14:paraId="5C1762B8" w14:textId="77777777" w:rsidR="00E2093A" w:rsidRPr="007B4A99" w:rsidRDefault="00E2093A" w:rsidP="00E2093A">
            <w:pPr>
              <w:widowControl w:val="0"/>
              <w:kinsoku w:val="0"/>
              <w:overflowPunct w:val="0"/>
              <w:autoSpaceDE w:val="0"/>
              <w:autoSpaceDN w:val="0"/>
              <w:adjustRightInd w:val="0"/>
              <w:spacing w:before="8" w:after="0" w:line="240" w:lineRule="auto"/>
              <w:ind w:left="113"/>
              <w:rPr>
                <w:rFonts w:ascii="Times New Roman" w:eastAsia="Times New Roman" w:hAnsi="Times New Roman" w:cs="Times New Roman"/>
                <w:b/>
                <w:bCs/>
                <w:iCs/>
                <w:w w:val="95"/>
                <w:sz w:val="16"/>
                <w:szCs w:val="16"/>
                <w:lang w:eastAsia="bg-BG"/>
              </w:rPr>
            </w:pPr>
            <w:r w:rsidRPr="007B4A99">
              <w:rPr>
                <w:rFonts w:ascii="Times New Roman" w:eastAsia="Times New Roman" w:hAnsi="Times New Roman" w:cs="Times New Roman"/>
                <w:b/>
                <w:bCs/>
                <w:iCs/>
                <w:w w:val="95"/>
                <w:sz w:val="16"/>
                <w:szCs w:val="16"/>
                <w:lang w:eastAsia="bg-BG"/>
              </w:rPr>
              <w:t>Риск за прилагане</w:t>
            </w:r>
          </w:p>
        </w:tc>
        <w:tc>
          <w:tcPr>
            <w:tcW w:w="1847" w:type="dxa"/>
            <w:shd w:val="clear" w:color="auto" w:fill="FFFFFF"/>
            <w:vAlign w:val="center"/>
          </w:tcPr>
          <w:p w14:paraId="08331513" w14:textId="77777777" w:rsidR="00E2093A" w:rsidRPr="008A3356" w:rsidRDefault="00D6059C" w:rsidP="00E2093A">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16"/>
                <w:szCs w:val="16"/>
                <w:lang w:eastAsia="bg-BG"/>
              </w:rPr>
            </w:pPr>
            <w:r w:rsidRPr="008A3356">
              <w:rPr>
                <w:rFonts w:ascii="Times New Roman" w:eastAsia="Times New Roman" w:hAnsi="Times New Roman" w:cs="Times New Roman"/>
                <w:sz w:val="16"/>
                <w:szCs w:val="16"/>
                <w:lang w:eastAsia="bg-BG"/>
              </w:rPr>
              <w:t xml:space="preserve">Важни </w:t>
            </w:r>
            <w:r w:rsidR="00E2093A" w:rsidRPr="008A3356">
              <w:rPr>
                <w:rFonts w:ascii="Times New Roman" w:eastAsia="Times New Roman" w:hAnsi="Times New Roman" w:cs="Times New Roman"/>
                <w:sz w:val="16"/>
                <w:szCs w:val="16"/>
                <w:lang w:eastAsia="bg-BG"/>
              </w:rPr>
              <w:t>рискове</w:t>
            </w:r>
          </w:p>
        </w:tc>
        <w:tc>
          <w:tcPr>
            <w:tcW w:w="1843" w:type="dxa"/>
            <w:shd w:val="clear" w:color="auto" w:fill="FFFFFF"/>
            <w:vAlign w:val="center"/>
          </w:tcPr>
          <w:p w14:paraId="2ABC206B" w14:textId="77777777" w:rsidR="00E2093A" w:rsidRPr="008A3356" w:rsidRDefault="00E2093A" w:rsidP="00E2093A">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16"/>
                <w:szCs w:val="16"/>
                <w:lang w:eastAsia="bg-BG"/>
              </w:rPr>
            </w:pPr>
            <w:r w:rsidRPr="008A3356">
              <w:rPr>
                <w:rFonts w:ascii="Times New Roman" w:eastAsia="Times New Roman" w:hAnsi="Times New Roman" w:cs="Times New Roman"/>
                <w:sz w:val="16"/>
                <w:szCs w:val="16"/>
                <w:lang w:eastAsia="bg-BG"/>
              </w:rPr>
              <w:t>Ограничени рискове</w:t>
            </w:r>
          </w:p>
        </w:tc>
        <w:tc>
          <w:tcPr>
            <w:tcW w:w="1701" w:type="dxa"/>
            <w:shd w:val="clear" w:color="auto" w:fill="FFFFFF"/>
            <w:vAlign w:val="center"/>
          </w:tcPr>
          <w:p w14:paraId="0E346A49" w14:textId="77777777" w:rsidR="00E2093A" w:rsidRPr="008A3356" w:rsidRDefault="00D6059C" w:rsidP="00E2093A">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16"/>
                <w:szCs w:val="16"/>
                <w:lang w:eastAsia="bg-BG"/>
              </w:rPr>
            </w:pPr>
            <w:r w:rsidRPr="008A3356">
              <w:rPr>
                <w:rFonts w:ascii="Times New Roman" w:eastAsia="Times New Roman" w:hAnsi="Times New Roman" w:cs="Times New Roman"/>
                <w:sz w:val="16"/>
                <w:szCs w:val="16"/>
                <w:lang w:eastAsia="bg-BG"/>
              </w:rPr>
              <w:t xml:space="preserve">Ограничени </w:t>
            </w:r>
            <w:r w:rsidR="00E2093A" w:rsidRPr="008A3356">
              <w:rPr>
                <w:rFonts w:ascii="Times New Roman" w:eastAsia="Times New Roman" w:hAnsi="Times New Roman" w:cs="Times New Roman"/>
                <w:sz w:val="16"/>
                <w:szCs w:val="16"/>
                <w:lang w:eastAsia="bg-BG"/>
              </w:rPr>
              <w:t>рискове</w:t>
            </w:r>
          </w:p>
        </w:tc>
        <w:tc>
          <w:tcPr>
            <w:tcW w:w="1713" w:type="dxa"/>
            <w:gridSpan w:val="2"/>
            <w:shd w:val="clear" w:color="auto" w:fill="FFFFFF"/>
            <w:vAlign w:val="center"/>
          </w:tcPr>
          <w:p w14:paraId="0BDE3BF4" w14:textId="77777777" w:rsidR="00E2093A" w:rsidRPr="008A3356" w:rsidRDefault="00E2093A" w:rsidP="00E2093A">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16"/>
                <w:szCs w:val="16"/>
                <w:lang w:eastAsia="bg-BG"/>
              </w:rPr>
            </w:pPr>
            <w:r w:rsidRPr="008A3356">
              <w:rPr>
                <w:rFonts w:ascii="Times New Roman" w:eastAsia="Times New Roman" w:hAnsi="Times New Roman" w:cs="Times New Roman"/>
                <w:sz w:val="16"/>
                <w:szCs w:val="16"/>
                <w:lang w:eastAsia="bg-BG"/>
              </w:rPr>
              <w:t>Ограничени рискове</w:t>
            </w:r>
          </w:p>
        </w:tc>
      </w:tr>
    </w:tbl>
    <w:p w14:paraId="7D349269" w14:textId="77777777" w:rsidR="000D505B" w:rsidRPr="007B4A99" w:rsidRDefault="000D505B" w:rsidP="000D505B">
      <w:pPr>
        <w:pStyle w:val="Heading2"/>
        <w:numPr>
          <w:ilvl w:val="1"/>
          <w:numId w:val="1"/>
        </w:numPr>
        <w:tabs>
          <w:tab w:val="left" w:pos="900"/>
        </w:tabs>
        <w:rPr>
          <w:rFonts w:ascii="Times New Roman" w:hAnsi="Times New Roman"/>
        </w:rPr>
      </w:pPr>
      <w:bookmarkStart w:id="39" w:name="_Toc198633096"/>
      <w:r w:rsidRPr="007B4A99">
        <w:rPr>
          <w:rFonts w:ascii="Times New Roman" w:hAnsi="Times New Roman"/>
        </w:rPr>
        <w:t>Класиране на вариантите и идентифициране на препоръчителен вариант</w:t>
      </w:r>
      <w:bookmarkEnd w:id="39"/>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0D505B" w:rsidRPr="007B4A99" w14:paraId="446EF6E9" w14:textId="77777777" w:rsidTr="00F20A3A">
        <w:tc>
          <w:tcPr>
            <w:tcW w:w="8702" w:type="dxa"/>
          </w:tcPr>
          <w:p w14:paraId="64E1C5D2" w14:textId="77777777" w:rsidR="000D505B" w:rsidRPr="007B4A99" w:rsidRDefault="000D505B" w:rsidP="00375498">
            <w:pPr>
              <w:pStyle w:val="7878"/>
              <w:ind w:left="0"/>
              <w:rPr>
                <w:rFonts w:ascii="Times New Roman" w:hAnsi="Times New Roman"/>
              </w:rPr>
            </w:pPr>
            <w:r w:rsidRPr="007B4A99">
              <w:rPr>
                <w:rFonts w:ascii="Times New Roman" w:hAnsi="Times New Roman"/>
              </w:rPr>
              <w:t>[(Ръководство, РМС № 728 от 2019 г., стр. 61).]</w:t>
            </w:r>
          </w:p>
        </w:tc>
      </w:tr>
    </w:tbl>
    <w:p w14:paraId="605F8EEF" w14:textId="77777777" w:rsidR="00F20A3A" w:rsidRDefault="00F20A3A" w:rsidP="004E77B3">
      <w:pPr>
        <w:ind w:firstLine="567"/>
        <w:jc w:val="both"/>
        <w:rPr>
          <w:rFonts w:ascii="Times New Roman" w:hAnsi="Times New Roman" w:cs="Times New Roman"/>
          <w:sz w:val="24"/>
          <w:szCs w:val="24"/>
        </w:rPr>
      </w:pPr>
    </w:p>
    <w:p w14:paraId="03CF798E" w14:textId="1851BAB0" w:rsidR="00375498" w:rsidRPr="007B4A99" w:rsidRDefault="004E77B3" w:rsidP="004E77B3">
      <w:pPr>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Въз основа на направеното сравнение на оценените варианти, както и вземайки предвид извършеното класиране на база резултатите от </w:t>
      </w:r>
      <w:r w:rsidR="000A6665" w:rsidRPr="007B4A99">
        <w:rPr>
          <w:rFonts w:ascii="Times New Roman" w:hAnsi="Times New Roman" w:cs="Times New Roman"/>
          <w:sz w:val="24"/>
          <w:szCs w:val="24"/>
        </w:rPr>
        <w:t xml:space="preserve">мултикритерийния </w:t>
      </w:r>
      <w:r w:rsidRPr="007B4A99">
        <w:rPr>
          <w:rFonts w:ascii="Times New Roman" w:hAnsi="Times New Roman" w:cs="Times New Roman"/>
          <w:sz w:val="24"/>
          <w:szCs w:val="24"/>
        </w:rPr>
        <w:t>анализ</w:t>
      </w:r>
      <w:r w:rsidR="000A6665" w:rsidRPr="007B4A99">
        <w:rPr>
          <w:rFonts w:ascii="Times New Roman" w:hAnsi="Times New Roman" w:cs="Times New Roman"/>
          <w:sz w:val="24"/>
          <w:szCs w:val="24"/>
        </w:rPr>
        <w:t xml:space="preserve"> и представянето </w:t>
      </w:r>
      <w:r w:rsidRPr="007B4A99">
        <w:rPr>
          <w:rFonts w:ascii="Times New Roman" w:hAnsi="Times New Roman" w:cs="Times New Roman"/>
          <w:sz w:val="24"/>
          <w:szCs w:val="24"/>
        </w:rPr>
        <w:t xml:space="preserve">на разходите и ползите, оценката на въздействието </w:t>
      </w:r>
      <w:r w:rsidR="00B66754" w:rsidRPr="007B4A99">
        <w:rPr>
          <w:rFonts w:ascii="Times New Roman" w:hAnsi="Times New Roman" w:cs="Times New Roman"/>
          <w:sz w:val="24"/>
          <w:szCs w:val="24"/>
        </w:rPr>
        <w:t>идентифицира</w:t>
      </w:r>
      <w:r w:rsidR="00375498" w:rsidRPr="007B4A99">
        <w:rPr>
          <w:rFonts w:ascii="Times New Roman" w:hAnsi="Times New Roman" w:cs="Times New Roman"/>
          <w:sz w:val="24"/>
          <w:szCs w:val="24"/>
        </w:rPr>
        <w:t xml:space="preserve"> като най-подходящ за разрешаването на проблема и постигането на целите:</w:t>
      </w:r>
    </w:p>
    <w:p w14:paraId="239EDB7B" w14:textId="0A73048D" w:rsidR="004E77B3" w:rsidRPr="007B4A99" w:rsidRDefault="004E77B3" w:rsidP="00375498">
      <w:pPr>
        <w:jc w:val="center"/>
        <w:rPr>
          <w:rFonts w:ascii="Times New Roman" w:hAnsi="Times New Roman" w:cs="Times New Roman"/>
          <w:sz w:val="24"/>
          <w:szCs w:val="24"/>
        </w:rPr>
      </w:pPr>
      <w:r w:rsidRPr="007B4A99">
        <w:rPr>
          <w:rFonts w:ascii="Times New Roman" w:hAnsi="Times New Roman" w:cs="Times New Roman"/>
          <w:b/>
          <w:sz w:val="24"/>
          <w:szCs w:val="24"/>
        </w:rPr>
        <w:t xml:space="preserve">Вариант </w:t>
      </w:r>
      <w:r w:rsidR="00303CEA" w:rsidRPr="007B4A99">
        <w:rPr>
          <w:rFonts w:ascii="Times New Roman" w:hAnsi="Times New Roman" w:cs="Times New Roman"/>
          <w:b/>
          <w:sz w:val="24"/>
          <w:szCs w:val="24"/>
        </w:rPr>
        <w:t>3</w:t>
      </w:r>
      <w:r w:rsidRPr="007B4A99">
        <w:rPr>
          <w:rFonts w:ascii="Times New Roman" w:hAnsi="Times New Roman" w:cs="Times New Roman"/>
          <w:b/>
          <w:sz w:val="24"/>
          <w:szCs w:val="24"/>
        </w:rPr>
        <w:t>: “Регулатор</w:t>
      </w:r>
      <w:r w:rsidR="00303CEA" w:rsidRPr="007B4A99">
        <w:rPr>
          <w:rFonts w:ascii="Times New Roman" w:hAnsi="Times New Roman" w:cs="Times New Roman"/>
          <w:b/>
          <w:sz w:val="24"/>
          <w:szCs w:val="24"/>
        </w:rPr>
        <w:t>е</w:t>
      </w:r>
      <w:r w:rsidRPr="007B4A99">
        <w:rPr>
          <w:rFonts w:ascii="Times New Roman" w:hAnsi="Times New Roman" w:cs="Times New Roman"/>
          <w:b/>
          <w:sz w:val="24"/>
          <w:szCs w:val="24"/>
        </w:rPr>
        <w:t>н</w:t>
      </w:r>
      <w:r w:rsidR="00303CEA" w:rsidRPr="007B4A99">
        <w:rPr>
          <w:rFonts w:ascii="Times New Roman" w:hAnsi="Times New Roman" w:cs="Times New Roman"/>
          <w:b/>
          <w:sz w:val="24"/>
          <w:szCs w:val="24"/>
        </w:rPr>
        <w:t xml:space="preserve"> - </w:t>
      </w:r>
      <w:r w:rsidRPr="007B4A99">
        <w:rPr>
          <w:rFonts w:ascii="Times New Roman" w:hAnsi="Times New Roman" w:cs="Times New Roman"/>
          <w:b/>
          <w:sz w:val="24"/>
          <w:szCs w:val="24"/>
        </w:rPr>
        <w:t xml:space="preserve">изцяло нов </w:t>
      </w:r>
      <w:r w:rsidR="00303CEA" w:rsidRPr="007B4A99">
        <w:rPr>
          <w:rFonts w:ascii="Times New Roman" w:hAnsi="Times New Roman" w:cs="Times New Roman"/>
          <w:b/>
          <w:sz w:val="24"/>
          <w:szCs w:val="24"/>
        </w:rPr>
        <w:t xml:space="preserve">специален </w:t>
      </w:r>
      <w:r w:rsidRPr="007B4A99">
        <w:rPr>
          <w:rFonts w:ascii="Times New Roman" w:hAnsi="Times New Roman" w:cs="Times New Roman"/>
          <w:b/>
          <w:sz w:val="24"/>
          <w:szCs w:val="24"/>
        </w:rPr>
        <w:t>закон”</w:t>
      </w:r>
      <w:r w:rsidRPr="007B4A99">
        <w:rPr>
          <w:rFonts w:ascii="Times New Roman" w:hAnsi="Times New Roman" w:cs="Times New Roman"/>
          <w:sz w:val="24"/>
          <w:szCs w:val="24"/>
        </w:rPr>
        <w:t>.</w:t>
      </w:r>
    </w:p>
    <w:p w14:paraId="3C131E52" w14:textId="77777777" w:rsidR="00E2093A" w:rsidRPr="007B4A99" w:rsidRDefault="00E2093A" w:rsidP="00B8646D">
      <w:pPr>
        <w:pStyle w:val="Heading1"/>
        <w:rPr>
          <w:rFonts w:ascii="Times New Roman" w:hAnsi="Times New Roman"/>
        </w:rPr>
      </w:pPr>
      <w:bookmarkStart w:id="40" w:name="_Toc198633097"/>
      <w:r w:rsidRPr="007B4A99">
        <w:rPr>
          <w:rFonts w:ascii="Times New Roman" w:hAnsi="Times New Roman"/>
        </w:rPr>
        <w:t>Препоръчителен вариант</w:t>
      </w:r>
      <w:bookmarkEnd w:id="40"/>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376BFB" w:rsidRPr="007B4A99" w14:paraId="6EF4BA70" w14:textId="77777777" w:rsidTr="00240046">
        <w:tc>
          <w:tcPr>
            <w:tcW w:w="8702" w:type="dxa"/>
          </w:tcPr>
          <w:p w14:paraId="447F0B94" w14:textId="77777777" w:rsidR="00376BFB" w:rsidRPr="007B4A99" w:rsidRDefault="00376BFB" w:rsidP="00376BFB">
            <w:pPr>
              <w:pStyle w:val="7878"/>
              <w:rPr>
                <w:rFonts w:ascii="Times New Roman" w:hAnsi="Times New Roman"/>
              </w:rPr>
            </w:pPr>
            <w:r w:rsidRPr="007B4A99">
              <w:rPr>
                <w:rFonts w:ascii="Times New Roman" w:hAnsi="Times New Roman"/>
              </w:rPr>
              <w:t>[Представянето на препоръчителен вариант и обосновка към него въз основа на сравнението на вариантите в доклада за цялостна предварителна оценка на въздействието е задължително съгласно чл. 22, ал.</w:t>
            </w:r>
            <w:r w:rsidR="00D6059C" w:rsidRPr="007B4A99">
              <w:rPr>
                <w:rFonts w:ascii="Times New Roman" w:hAnsi="Times New Roman"/>
              </w:rPr>
              <w:t xml:space="preserve"> </w:t>
            </w:r>
            <w:r w:rsidRPr="007B4A99">
              <w:rPr>
                <w:rFonts w:ascii="Times New Roman" w:hAnsi="Times New Roman"/>
              </w:rPr>
              <w:t>2, т.</w:t>
            </w:r>
            <w:r w:rsidR="00D6059C" w:rsidRPr="007B4A99">
              <w:rPr>
                <w:rFonts w:ascii="Times New Roman" w:hAnsi="Times New Roman"/>
              </w:rPr>
              <w:t xml:space="preserve"> </w:t>
            </w:r>
            <w:r w:rsidRPr="007B4A99">
              <w:rPr>
                <w:rFonts w:ascii="Times New Roman" w:hAnsi="Times New Roman"/>
              </w:rPr>
              <w:t>11 от Наредбата за обхвата и методологията за извършване на оценка на въздействието]</w:t>
            </w:r>
          </w:p>
          <w:p w14:paraId="58EBF3CC" w14:textId="77777777" w:rsidR="00376BFB" w:rsidRPr="007B4A99" w:rsidRDefault="00376BFB" w:rsidP="00376BFB">
            <w:pPr>
              <w:jc w:val="both"/>
              <w:rPr>
                <w:rFonts w:ascii="Times New Roman" w:hAnsi="Times New Roman" w:cs="Times New Roman"/>
                <w:i/>
              </w:rPr>
            </w:pPr>
            <w:r w:rsidRPr="007B4A99">
              <w:rPr>
                <w:rFonts w:ascii="Times New Roman" w:hAnsi="Times New Roman" w:cs="Times New Roman"/>
                <w:i/>
              </w:rPr>
              <w:t>Опишете препоръчителния вариант, като го допълните с обосновка въз основа на сравнението на вариантите по точка 6.2.</w:t>
            </w:r>
          </w:p>
        </w:tc>
      </w:tr>
    </w:tbl>
    <w:p w14:paraId="0FEAF65D" w14:textId="6B4E1F25" w:rsidR="003257FA" w:rsidRPr="007B4A99" w:rsidRDefault="003257FA" w:rsidP="000C659B">
      <w:pPr>
        <w:spacing w:after="0" w:line="276" w:lineRule="exact"/>
        <w:ind w:firstLine="567"/>
        <w:rPr>
          <w:sz w:val="24"/>
          <w:szCs w:val="24"/>
          <w:highlight w:val="yellow"/>
        </w:rPr>
      </w:pPr>
    </w:p>
    <w:p w14:paraId="4E33B243" w14:textId="12453F30" w:rsidR="008245B6" w:rsidRPr="00AD3394" w:rsidRDefault="008245B6" w:rsidP="00386CCC">
      <w:pPr>
        <w:widowControl w:val="0"/>
        <w:autoSpaceDE w:val="0"/>
        <w:autoSpaceDN w:val="0"/>
        <w:adjustRightInd w:val="0"/>
        <w:spacing w:after="0" w:line="240" w:lineRule="auto"/>
        <w:ind w:firstLine="480"/>
        <w:jc w:val="both"/>
        <w:rPr>
          <w:rFonts w:ascii="Times New Roman" w:hAnsi="Times New Roman" w:cs="Times New Roman"/>
          <w:b/>
          <w:i/>
          <w:sz w:val="24"/>
          <w:szCs w:val="24"/>
          <w:highlight w:val="cyan"/>
        </w:rPr>
      </w:pPr>
      <w:r w:rsidRPr="00A50666">
        <w:rPr>
          <w:rFonts w:ascii="Times New Roman" w:hAnsi="Times New Roman" w:cs="Times New Roman"/>
          <w:b/>
          <w:i/>
          <w:sz w:val="24"/>
          <w:szCs w:val="24"/>
        </w:rPr>
        <w:t xml:space="preserve">Оценка за съответствие с правилата на конкуренция </w:t>
      </w:r>
    </w:p>
    <w:p w14:paraId="08C15E75" w14:textId="67370523" w:rsidR="006E0704" w:rsidRPr="006E0704" w:rsidRDefault="006E0704" w:rsidP="00386CCC">
      <w:pPr>
        <w:widowControl w:val="0"/>
        <w:autoSpaceDE w:val="0"/>
        <w:autoSpaceDN w:val="0"/>
        <w:adjustRightInd w:val="0"/>
        <w:spacing w:after="0" w:line="240" w:lineRule="auto"/>
        <w:ind w:firstLine="480"/>
        <w:jc w:val="both"/>
        <w:rPr>
          <w:rFonts w:ascii="Times New Roman" w:eastAsia="Calibri" w:hAnsi="Times New Roman" w:cs="Times New Roman"/>
          <w:iCs/>
          <w:sz w:val="24"/>
          <w:szCs w:val="24"/>
        </w:rPr>
      </w:pPr>
      <w:r w:rsidRPr="006E0704">
        <w:rPr>
          <w:rFonts w:ascii="Times New Roman" w:eastAsia="Calibri" w:hAnsi="Times New Roman" w:cs="Times New Roman"/>
          <w:iCs/>
          <w:sz w:val="24"/>
          <w:szCs w:val="24"/>
        </w:rPr>
        <w:t xml:space="preserve">Концепцията за нова публична политика на българското правителство за справяне с основните недостатъци, водещи до появата на наблюдаваните проблеми по веригата на доставки на земеделски продукти и храни от 2025 г., по същество въвежда механизми за по-добра проследимост, договорна стабилност и допълнително ограничаване на нелоялните практики във веригата за доставки, които са в синхрон с целите на Общата селскостопанска политика на ЕС и Регламент (ЕС) № 1308/2013. Планирани са три основни групи мерки: за прозрачност, изравнителни и за проследяване. Предложенията за въвеждане на писмени договори, регистрация на първи изкупвачи, електронна система за проследимост и </w:t>
      </w:r>
      <w:r w:rsidR="000121DA">
        <w:rPr>
          <w:rFonts w:ascii="Times New Roman" w:eastAsia="Calibri" w:hAnsi="Times New Roman" w:cs="Times New Roman"/>
          <w:iCs/>
          <w:sz w:val="24"/>
          <w:szCs w:val="24"/>
        </w:rPr>
        <w:t xml:space="preserve">за </w:t>
      </w:r>
      <w:r w:rsidRPr="006E0704">
        <w:rPr>
          <w:rFonts w:ascii="Times New Roman" w:eastAsia="Calibri" w:hAnsi="Times New Roman" w:cs="Times New Roman"/>
          <w:iCs/>
          <w:sz w:val="24"/>
          <w:szCs w:val="24"/>
        </w:rPr>
        <w:t xml:space="preserve">създаване на </w:t>
      </w:r>
      <w:r w:rsidR="000121DA">
        <w:rPr>
          <w:rFonts w:ascii="Times New Roman" w:eastAsia="Calibri" w:hAnsi="Times New Roman" w:cs="Times New Roman"/>
          <w:iCs/>
          <w:sz w:val="24"/>
          <w:szCs w:val="24"/>
        </w:rPr>
        <w:t>о</w:t>
      </w:r>
      <w:r w:rsidRPr="006E0704">
        <w:rPr>
          <w:rFonts w:ascii="Times New Roman" w:eastAsia="Calibri" w:hAnsi="Times New Roman" w:cs="Times New Roman"/>
          <w:iCs/>
          <w:sz w:val="24"/>
          <w:szCs w:val="24"/>
        </w:rPr>
        <w:t>бсерватория представляват мерки</w:t>
      </w:r>
      <w:r w:rsidR="000121DA">
        <w:rPr>
          <w:rFonts w:ascii="Times New Roman" w:eastAsia="Calibri" w:hAnsi="Times New Roman" w:cs="Times New Roman"/>
          <w:iCs/>
          <w:sz w:val="24"/>
          <w:szCs w:val="24"/>
        </w:rPr>
        <w:t>, целящи</w:t>
      </w:r>
      <w:r w:rsidRPr="006E0704">
        <w:rPr>
          <w:rFonts w:ascii="Times New Roman" w:eastAsia="Calibri" w:hAnsi="Times New Roman" w:cs="Times New Roman"/>
          <w:iCs/>
          <w:sz w:val="24"/>
          <w:szCs w:val="24"/>
        </w:rPr>
        <w:t xml:space="preserve"> </w:t>
      </w:r>
      <w:r w:rsidR="000121DA">
        <w:rPr>
          <w:rFonts w:ascii="Times New Roman" w:eastAsia="Calibri" w:hAnsi="Times New Roman" w:cs="Times New Roman"/>
          <w:iCs/>
          <w:sz w:val="24"/>
          <w:szCs w:val="24"/>
        </w:rPr>
        <w:t xml:space="preserve">повече </w:t>
      </w:r>
      <w:r w:rsidRPr="006E0704">
        <w:rPr>
          <w:rFonts w:ascii="Times New Roman" w:eastAsia="Calibri" w:hAnsi="Times New Roman" w:cs="Times New Roman"/>
          <w:iCs/>
          <w:sz w:val="24"/>
          <w:szCs w:val="24"/>
        </w:rPr>
        <w:t>прозрачност и проследя</w:t>
      </w:r>
      <w:r w:rsidR="000121DA">
        <w:rPr>
          <w:rFonts w:ascii="Times New Roman" w:eastAsia="Calibri" w:hAnsi="Times New Roman" w:cs="Times New Roman"/>
          <w:iCs/>
          <w:sz w:val="24"/>
          <w:szCs w:val="24"/>
        </w:rPr>
        <w:t>емост</w:t>
      </w:r>
      <w:r w:rsidRPr="006E0704">
        <w:rPr>
          <w:rFonts w:ascii="Times New Roman" w:eastAsia="Calibri" w:hAnsi="Times New Roman" w:cs="Times New Roman"/>
          <w:iCs/>
          <w:sz w:val="24"/>
          <w:szCs w:val="24"/>
        </w:rPr>
        <w:t>.</w:t>
      </w:r>
    </w:p>
    <w:p w14:paraId="35CF9DB3" w14:textId="7CBC44A8" w:rsidR="006E0704" w:rsidRPr="006E0704" w:rsidRDefault="006E0704" w:rsidP="00AA510E">
      <w:pPr>
        <w:widowControl w:val="0"/>
        <w:autoSpaceDE w:val="0"/>
        <w:autoSpaceDN w:val="0"/>
        <w:adjustRightInd w:val="0"/>
        <w:spacing w:after="0" w:line="240" w:lineRule="auto"/>
        <w:ind w:firstLine="480"/>
        <w:jc w:val="both"/>
        <w:rPr>
          <w:rFonts w:ascii="Times New Roman" w:eastAsia="Calibri" w:hAnsi="Times New Roman" w:cs="Times New Roman"/>
          <w:iCs/>
          <w:sz w:val="24"/>
          <w:szCs w:val="24"/>
        </w:rPr>
      </w:pPr>
      <w:r w:rsidRPr="006E0704">
        <w:rPr>
          <w:rFonts w:ascii="Times New Roman" w:eastAsia="Calibri" w:hAnsi="Times New Roman" w:cs="Times New Roman"/>
          <w:iCs/>
          <w:sz w:val="24"/>
          <w:szCs w:val="24"/>
        </w:rPr>
        <w:t>Същевременно, част от мерките за изравняване като регулиране</w:t>
      </w:r>
      <w:r w:rsidR="000121DA">
        <w:rPr>
          <w:rFonts w:ascii="Times New Roman" w:eastAsia="Calibri" w:hAnsi="Times New Roman" w:cs="Times New Roman"/>
          <w:iCs/>
          <w:sz w:val="24"/>
          <w:szCs w:val="24"/>
        </w:rPr>
        <w:t xml:space="preserve"> на надценки</w:t>
      </w:r>
      <w:r w:rsidRPr="006E0704">
        <w:rPr>
          <w:rFonts w:ascii="Times New Roman" w:eastAsia="Calibri" w:hAnsi="Times New Roman" w:cs="Times New Roman"/>
          <w:iCs/>
          <w:sz w:val="24"/>
          <w:szCs w:val="24"/>
        </w:rPr>
        <w:t>, изисквания за асортимент</w:t>
      </w:r>
      <w:r w:rsidR="005921ED">
        <w:rPr>
          <w:rFonts w:ascii="Times New Roman" w:eastAsia="Calibri" w:hAnsi="Times New Roman" w:cs="Times New Roman"/>
          <w:iCs/>
          <w:sz w:val="24"/>
          <w:szCs w:val="24"/>
        </w:rPr>
        <w:t xml:space="preserve"> следва така да бъдат формулирани и въведени, че да бъде предотвратен всякакъв</w:t>
      </w:r>
      <w:r w:rsidRPr="006E0704">
        <w:rPr>
          <w:rFonts w:ascii="Times New Roman" w:eastAsia="Calibri" w:hAnsi="Times New Roman" w:cs="Times New Roman"/>
          <w:iCs/>
          <w:sz w:val="24"/>
          <w:szCs w:val="24"/>
        </w:rPr>
        <w:t xml:space="preserve"> </w:t>
      </w:r>
      <w:r w:rsidR="005921ED" w:rsidRPr="00B83A67">
        <w:rPr>
          <w:rFonts w:ascii="Times New Roman" w:eastAsia="Calibri" w:hAnsi="Times New Roman" w:cs="Times New Roman"/>
          <w:iCs/>
          <w:sz w:val="24"/>
          <w:szCs w:val="24"/>
        </w:rPr>
        <w:t xml:space="preserve">възможен </w:t>
      </w:r>
      <w:r w:rsidRPr="00B83A67">
        <w:rPr>
          <w:rFonts w:ascii="Times New Roman" w:eastAsia="Calibri" w:hAnsi="Times New Roman" w:cs="Times New Roman"/>
          <w:iCs/>
          <w:sz w:val="24"/>
          <w:szCs w:val="24"/>
        </w:rPr>
        <w:t>риск от противоречие с правото на ЕС, включително</w:t>
      </w:r>
      <w:r w:rsidRPr="006E0704">
        <w:rPr>
          <w:rFonts w:ascii="Times New Roman" w:eastAsia="Calibri" w:hAnsi="Times New Roman" w:cs="Times New Roman"/>
          <w:iCs/>
          <w:sz w:val="24"/>
          <w:szCs w:val="24"/>
        </w:rPr>
        <w:t xml:space="preserve"> </w:t>
      </w:r>
      <w:r w:rsidR="005921ED">
        <w:rPr>
          <w:rFonts w:ascii="Times New Roman" w:eastAsia="Calibri" w:hAnsi="Times New Roman" w:cs="Times New Roman"/>
          <w:iCs/>
          <w:sz w:val="24"/>
          <w:szCs w:val="24"/>
        </w:rPr>
        <w:t>с</w:t>
      </w:r>
      <w:r w:rsidR="005921ED" w:rsidRPr="006E0704">
        <w:rPr>
          <w:rFonts w:ascii="Times New Roman" w:eastAsia="Calibri" w:hAnsi="Times New Roman" w:cs="Times New Roman"/>
          <w:iCs/>
          <w:sz w:val="24"/>
          <w:szCs w:val="24"/>
        </w:rPr>
        <w:t xml:space="preserve"> </w:t>
      </w:r>
      <w:r w:rsidRPr="006E0704">
        <w:rPr>
          <w:rFonts w:ascii="Times New Roman" w:eastAsia="Calibri" w:hAnsi="Times New Roman" w:cs="Times New Roman"/>
          <w:iCs/>
          <w:sz w:val="24"/>
          <w:szCs w:val="24"/>
        </w:rPr>
        <w:t xml:space="preserve">чл. 34 </w:t>
      </w:r>
      <w:r w:rsidR="009F5887">
        <w:rPr>
          <w:rFonts w:ascii="Times New Roman" w:eastAsia="Calibri" w:hAnsi="Times New Roman" w:cs="Times New Roman"/>
          <w:iCs/>
          <w:sz w:val="24"/>
          <w:szCs w:val="24"/>
        </w:rPr>
        <w:t xml:space="preserve">от </w:t>
      </w:r>
      <w:r w:rsidRPr="006E0704">
        <w:rPr>
          <w:rFonts w:ascii="Times New Roman" w:eastAsia="Calibri" w:hAnsi="Times New Roman" w:cs="Times New Roman"/>
          <w:iCs/>
          <w:sz w:val="24"/>
          <w:szCs w:val="24"/>
        </w:rPr>
        <w:t>Д</w:t>
      </w:r>
      <w:r w:rsidR="009F5887">
        <w:rPr>
          <w:rFonts w:ascii="Times New Roman" w:eastAsia="Calibri" w:hAnsi="Times New Roman" w:cs="Times New Roman"/>
          <w:iCs/>
          <w:sz w:val="24"/>
          <w:szCs w:val="24"/>
        </w:rPr>
        <w:t xml:space="preserve">оговора за функциониране на </w:t>
      </w:r>
      <w:r w:rsidRPr="006E0704">
        <w:rPr>
          <w:rFonts w:ascii="Times New Roman" w:eastAsia="Calibri" w:hAnsi="Times New Roman" w:cs="Times New Roman"/>
          <w:iCs/>
          <w:sz w:val="24"/>
          <w:szCs w:val="24"/>
        </w:rPr>
        <w:t xml:space="preserve">ЕС (свобода на движение на стоки), принципите на свободна конкуренция и свободна стопанска инициатива (чл. 16 от Хартата на основните права на ЕС и чл. 19 от Конституцията на РБ). </w:t>
      </w:r>
    </w:p>
    <w:p w14:paraId="78E1AB86" w14:textId="200EE8A7" w:rsidR="006E0704" w:rsidRPr="006E0704" w:rsidRDefault="006E0704" w:rsidP="00386CCC">
      <w:pPr>
        <w:widowControl w:val="0"/>
        <w:autoSpaceDE w:val="0"/>
        <w:autoSpaceDN w:val="0"/>
        <w:adjustRightInd w:val="0"/>
        <w:spacing w:after="0" w:line="240" w:lineRule="auto"/>
        <w:ind w:firstLine="567"/>
        <w:jc w:val="both"/>
        <w:rPr>
          <w:rFonts w:ascii="Times New Roman" w:eastAsia="Calibri" w:hAnsi="Times New Roman" w:cs="Times New Roman"/>
          <w:iCs/>
          <w:sz w:val="24"/>
          <w:szCs w:val="24"/>
        </w:rPr>
      </w:pPr>
      <w:r w:rsidRPr="006E0704">
        <w:rPr>
          <w:rFonts w:ascii="Times New Roman" w:eastAsia="Calibri" w:hAnsi="Times New Roman" w:cs="Times New Roman"/>
          <w:iCs/>
          <w:sz w:val="24"/>
          <w:szCs w:val="24"/>
        </w:rPr>
        <w:t xml:space="preserve">Експертите, изготвящи настоящата ОВ, нямат правомощия за извършването на оценка на съответствието </w:t>
      </w:r>
      <w:r w:rsidRPr="0088591D">
        <w:rPr>
          <w:rFonts w:ascii="Times New Roman" w:eastAsia="Calibri" w:hAnsi="Times New Roman" w:cs="Times New Roman"/>
          <w:iCs/>
          <w:sz w:val="24"/>
          <w:szCs w:val="24"/>
        </w:rPr>
        <w:t>на предлаганата концепция за нова публична политика на българското правителство</w:t>
      </w:r>
      <w:r w:rsidR="0088591D" w:rsidRPr="0088591D">
        <w:rPr>
          <w:rFonts w:ascii="Times New Roman" w:eastAsia="Calibri" w:hAnsi="Times New Roman" w:cs="Times New Roman"/>
          <w:iCs/>
          <w:sz w:val="24"/>
          <w:szCs w:val="24"/>
        </w:rPr>
        <w:t>, според Насоки</w:t>
      </w:r>
      <w:r w:rsidR="0088591D">
        <w:rPr>
          <w:rFonts w:ascii="Times New Roman" w:eastAsia="Calibri" w:hAnsi="Times New Roman" w:cs="Times New Roman"/>
          <w:iCs/>
          <w:sz w:val="24"/>
          <w:szCs w:val="24"/>
        </w:rPr>
        <w:t>те</w:t>
      </w:r>
      <w:r w:rsidR="0088591D" w:rsidRPr="0088591D">
        <w:rPr>
          <w:rFonts w:ascii="Times New Roman" w:eastAsia="Calibri" w:hAnsi="Times New Roman" w:cs="Times New Roman"/>
          <w:iCs/>
          <w:sz w:val="24"/>
          <w:szCs w:val="24"/>
        </w:rPr>
        <w:t xml:space="preserve"> за оценка за съответствието на нормативни и общи административни актове с правилата на конкуренция КЗК</w:t>
      </w:r>
      <w:r w:rsidR="0088591D" w:rsidRPr="0088591D">
        <w:rPr>
          <w:rFonts w:ascii="Times New Roman" w:eastAsia="Calibri" w:hAnsi="Times New Roman" w:cs="Times New Roman"/>
          <w:iCs/>
          <w:sz w:val="24"/>
          <w:szCs w:val="24"/>
          <w:vertAlign w:val="superscript"/>
        </w:rPr>
        <w:footnoteReference w:id="66"/>
      </w:r>
      <w:r w:rsidRPr="006E0704">
        <w:rPr>
          <w:rFonts w:ascii="Times New Roman" w:eastAsia="Calibri" w:hAnsi="Times New Roman" w:cs="Times New Roman"/>
          <w:iCs/>
          <w:sz w:val="24"/>
          <w:szCs w:val="24"/>
        </w:rPr>
        <w:t>. По тази причина аналитичният фокус е насочен към фактическото състояние във веригата на доставки на земеделски продукти и храни, с цел да се установи дали съществуват устойчиви практики, поведенчески модели или структурни бариери, които ограничават достъпа до пазара, нарушават равнопоставеността между участниците и възпрепятстват нормалното функциониране на конкуренцията.</w:t>
      </w:r>
    </w:p>
    <w:p w14:paraId="047E292C" w14:textId="1F1FB601" w:rsidR="006E0704" w:rsidRPr="006E0704" w:rsidRDefault="006E0704" w:rsidP="00386CCC">
      <w:pPr>
        <w:widowControl w:val="0"/>
        <w:autoSpaceDE w:val="0"/>
        <w:autoSpaceDN w:val="0"/>
        <w:adjustRightInd w:val="0"/>
        <w:spacing w:after="0" w:line="240" w:lineRule="auto"/>
        <w:ind w:firstLine="480"/>
        <w:jc w:val="both"/>
        <w:rPr>
          <w:rFonts w:ascii="Times New Roman" w:eastAsia="Calibri" w:hAnsi="Times New Roman" w:cs="Times New Roman"/>
          <w:iCs/>
          <w:sz w:val="24"/>
          <w:szCs w:val="24"/>
        </w:rPr>
      </w:pPr>
      <w:r w:rsidRPr="006E0704">
        <w:rPr>
          <w:rFonts w:ascii="Times New Roman" w:eastAsia="Calibri" w:hAnsi="Times New Roman" w:cs="Times New Roman"/>
          <w:iCs/>
          <w:sz w:val="24"/>
          <w:szCs w:val="24"/>
        </w:rPr>
        <w:t>Насоките за оценка за съответствието на нормативни и общи административни актове с правилата на конкуренция на КЗК съдържат изключително ясен механизъм за извършването на оценката, представен във формата на контролен лист, описващ няколко последователни аналитични стъпки, преминаването на които изисква отговор на четири основни въпроса:</w:t>
      </w:r>
    </w:p>
    <w:p w14:paraId="76FE2944" w14:textId="77777777" w:rsidR="006E0704" w:rsidRPr="006E0704" w:rsidRDefault="006E0704" w:rsidP="00386CCC">
      <w:pPr>
        <w:widowControl w:val="0"/>
        <w:autoSpaceDE w:val="0"/>
        <w:autoSpaceDN w:val="0"/>
        <w:adjustRightInd w:val="0"/>
        <w:spacing w:after="0" w:line="240" w:lineRule="auto"/>
        <w:ind w:firstLine="480"/>
        <w:jc w:val="both"/>
        <w:rPr>
          <w:rFonts w:ascii="Times New Roman" w:eastAsia="Calibri" w:hAnsi="Times New Roman" w:cs="Times New Roman"/>
          <w:i/>
          <w:sz w:val="24"/>
          <w:szCs w:val="24"/>
        </w:rPr>
      </w:pPr>
      <w:r w:rsidRPr="006E0704">
        <w:rPr>
          <w:rFonts w:ascii="Times New Roman" w:eastAsia="Calibri" w:hAnsi="Times New Roman" w:cs="Times New Roman"/>
          <w:i/>
          <w:sz w:val="24"/>
          <w:szCs w:val="24"/>
        </w:rPr>
        <w:t>1. Ограничава ли се броят или кръгът от участници на пазара?</w:t>
      </w:r>
    </w:p>
    <w:p w14:paraId="0F81FCF5" w14:textId="77777777" w:rsidR="006E0704" w:rsidRPr="006E0704" w:rsidRDefault="006E0704" w:rsidP="00386CCC">
      <w:pPr>
        <w:widowControl w:val="0"/>
        <w:autoSpaceDE w:val="0"/>
        <w:autoSpaceDN w:val="0"/>
        <w:adjustRightInd w:val="0"/>
        <w:spacing w:after="0" w:line="240" w:lineRule="auto"/>
        <w:ind w:firstLine="480"/>
        <w:jc w:val="both"/>
        <w:rPr>
          <w:rFonts w:ascii="Times New Roman" w:eastAsia="Calibri" w:hAnsi="Times New Roman" w:cs="Times New Roman"/>
          <w:i/>
          <w:sz w:val="24"/>
          <w:szCs w:val="24"/>
        </w:rPr>
      </w:pPr>
      <w:r w:rsidRPr="006E0704">
        <w:rPr>
          <w:rFonts w:ascii="Times New Roman" w:eastAsia="Calibri" w:hAnsi="Times New Roman" w:cs="Times New Roman"/>
          <w:i/>
          <w:sz w:val="24"/>
          <w:szCs w:val="24"/>
        </w:rPr>
        <w:t>2. Ограничават ли се възможностите на доставчиците да се конкурират?</w:t>
      </w:r>
    </w:p>
    <w:p w14:paraId="08D2022C" w14:textId="77777777" w:rsidR="006E0704" w:rsidRPr="006E0704" w:rsidRDefault="006E0704" w:rsidP="00386CCC">
      <w:pPr>
        <w:widowControl w:val="0"/>
        <w:autoSpaceDE w:val="0"/>
        <w:autoSpaceDN w:val="0"/>
        <w:adjustRightInd w:val="0"/>
        <w:spacing w:after="0" w:line="240" w:lineRule="auto"/>
        <w:ind w:firstLine="480"/>
        <w:jc w:val="both"/>
        <w:rPr>
          <w:rFonts w:ascii="Times New Roman" w:eastAsia="Calibri" w:hAnsi="Times New Roman" w:cs="Times New Roman"/>
          <w:i/>
          <w:sz w:val="24"/>
          <w:szCs w:val="24"/>
        </w:rPr>
      </w:pPr>
      <w:r w:rsidRPr="006E0704">
        <w:rPr>
          <w:rFonts w:ascii="Times New Roman" w:eastAsia="Calibri" w:hAnsi="Times New Roman" w:cs="Times New Roman"/>
          <w:i/>
          <w:sz w:val="24"/>
          <w:szCs w:val="24"/>
        </w:rPr>
        <w:t>3. Намаляват ли се стимулите на доставчиците да се конкурират активно?</w:t>
      </w:r>
    </w:p>
    <w:p w14:paraId="7BAA0A2D" w14:textId="77777777" w:rsidR="006E0704" w:rsidRPr="006E0704" w:rsidRDefault="006E0704" w:rsidP="00386CCC">
      <w:pPr>
        <w:widowControl w:val="0"/>
        <w:autoSpaceDE w:val="0"/>
        <w:autoSpaceDN w:val="0"/>
        <w:adjustRightInd w:val="0"/>
        <w:spacing w:after="0" w:line="240" w:lineRule="auto"/>
        <w:ind w:firstLine="480"/>
        <w:jc w:val="both"/>
        <w:rPr>
          <w:rFonts w:ascii="Times New Roman" w:eastAsia="Calibri" w:hAnsi="Times New Roman" w:cs="Times New Roman"/>
          <w:i/>
          <w:sz w:val="24"/>
          <w:szCs w:val="24"/>
        </w:rPr>
      </w:pPr>
      <w:r w:rsidRPr="006E0704">
        <w:rPr>
          <w:rFonts w:ascii="Times New Roman" w:eastAsia="Calibri" w:hAnsi="Times New Roman" w:cs="Times New Roman"/>
          <w:i/>
          <w:sz w:val="24"/>
          <w:szCs w:val="24"/>
        </w:rPr>
        <w:t>4. Ограничава ли се изборът и информацията на потребителите?</w:t>
      </w:r>
    </w:p>
    <w:p w14:paraId="45556964" w14:textId="0AD516D1" w:rsidR="006E0704" w:rsidRPr="006E0704" w:rsidRDefault="006E0704" w:rsidP="00386CCC">
      <w:pPr>
        <w:widowControl w:val="0"/>
        <w:autoSpaceDE w:val="0"/>
        <w:autoSpaceDN w:val="0"/>
        <w:adjustRightInd w:val="0"/>
        <w:spacing w:after="0" w:line="240" w:lineRule="auto"/>
        <w:ind w:firstLine="480"/>
        <w:jc w:val="both"/>
        <w:rPr>
          <w:rFonts w:ascii="Times New Roman" w:eastAsia="Calibri" w:hAnsi="Times New Roman" w:cs="Times New Roman"/>
          <w:iCs/>
          <w:sz w:val="24"/>
          <w:szCs w:val="24"/>
        </w:rPr>
      </w:pPr>
      <w:r w:rsidRPr="006E0704">
        <w:rPr>
          <w:rFonts w:ascii="Times New Roman" w:eastAsia="Calibri" w:hAnsi="Times New Roman" w:cs="Times New Roman"/>
          <w:iCs/>
          <w:sz w:val="24"/>
          <w:szCs w:val="24"/>
        </w:rPr>
        <w:t xml:space="preserve">При извършването на настоящата експериментална оценка вместо анализ на съответствието с правилата на конкуренцията на предлагани разпоредби от нормативни или общи административни актове </w:t>
      </w:r>
      <w:r w:rsidR="0088591D">
        <w:rPr>
          <w:rFonts w:ascii="Times New Roman" w:eastAsia="Calibri" w:hAnsi="Times New Roman" w:cs="Times New Roman"/>
          <w:iCs/>
          <w:sz w:val="24"/>
          <w:szCs w:val="24"/>
        </w:rPr>
        <w:t>са</w:t>
      </w:r>
      <w:r w:rsidRPr="006E0704">
        <w:rPr>
          <w:rFonts w:ascii="Times New Roman" w:eastAsia="Calibri" w:hAnsi="Times New Roman" w:cs="Times New Roman"/>
          <w:iCs/>
          <w:sz w:val="24"/>
          <w:szCs w:val="24"/>
        </w:rPr>
        <w:t xml:space="preserve"> изследвани фактически</w:t>
      </w:r>
      <w:r w:rsidR="009F5887">
        <w:rPr>
          <w:rFonts w:ascii="Times New Roman" w:eastAsia="Calibri" w:hAnsi="Times New Roman" w:cs="Times New Roman"/>
          <w:iCs/>
          <w:sz w:val="24"/>
          <w:szCs w:val="24"/>
        </w:rPr>
        <w:t>те</w:t>
      </w:r>
      <w:r w:rsidRPr="006E0704">
        <w:rPr>
          <w:rFonts w:ascii="Times New Roman" w:eastAsia="Calibri" w:hAnsi="Times New Roman" w:cs="Times New Roman"/>
          <w:iCs/>
          <w:sz w:val="24"/>
          <w:szCs w:val="24"/>
        </w:rPr>
        <w:t xml:space="preserve"> отношения и практики с презумпцията, че същите са установени и действат като своеобразни </w:t>
      </w:r>
      <w:r w:rsidRPr="006E0704">
        <w:rPr>
          <w:rFonts w:ascii="Times New Roman" w:eastAsia="Calibri" w:hAnsi="Times New Roman" w:cs="Times New Roman"/>
          <w:iCs/>
          <w:sz w:val="24"/>
          <w:szCs w:val="24"/>
          <w:lang w:val="en-US"/>
        </w:rPr>
        <w:t>de</w:t>
      </w:r>
      <w:r w:rsidRPr="00535D2C">
        <w:rPr>
          <w:rFonts w:ascii="Times New Roman" w:eastAsia="Calibri" w:hAnsi="Times New Roman" w:cs="Times New Roman"/>
          <w:iCs/>
          <w:sz w:val="24"/>
          <w:szCs w:val="24"/>
          <w:lang w:val="ru-RU"/>
        </w:rPr>
        <w:t xml:space="preserve"> </w:t>
      </w:r>
      <w:r w:rsidRPr="006E0704">
        <w:rPr>
          <w:rFonts w:ascii="Times New Roman" w:eastAsia="Calibri" w:hAnsi="Times New Roman" w:cs="Times New Roman"/>
          <w:iCs/>
          <w:sz w:val="24"/>
          <w:szCs w:val="24"/>
          <w:lang w:val="en-US"/>
        </w:rPr>
        <w:t>facto</w:t>
      </w:r>
      <w:r w:rsidRPr="006E0704">
        <w:rPr>
          <w:rFonts w:ascii="Times New Roman" w:eastAsia="Calibri" w:hAnsi="Times New Roman" w:cs="Times New Roman"/>
          <w:iCs/>
          <w:sz w:val="24"/>
          <w:szCs w:val="24"/>
        </w:rPr>
        <w:t xml:space="preserve"> регулации. Оценката се извършва при стриктно спазване на възприетите от КЗК </w:t>
      </w:r>
      <w:r w:rsidRPr="006E0704">
        <w:rPr>
          <w:rFonts w:ascii="Times New Roman" w:eastAsia="Calibri" w:hAnsi="Times New Roman" w:cs="Times New Roman"/>
          <w:iCs/>
          <w:sz w:val="24"/>
          <w:szCs w:val="24"/>
        </w:rPr>
        <w:lastRenderedPageBreak/>
        <w:t>критерии и принципи.</w:t>
      </w:r>
    </w:p>
    <w:p w14:paraId="78B903B5" w14:textId="77777777" w:rsidR="006E0704" w:rsidRPr="006E0704" w:rsidRDefault="006E0704" w:rsidP="00386CCC">
      <w:pPr>
        <w:widowControl w:val="0"/>
        <w:autoSpaceDE w:val="0"/>
        <w:autoSpaceDN w:val="0"/>
        <w:adjustRightInd w:val="0"/>
        <w:spacing w:after="0" w:line="240" w:lineRule="auto"/>
        <w:ind w:firstLine="480"/>
        <w:jc w:val="both"/>
        <w:rPr>
          <w:rFonts w:ascii="Times New Roman" w:eastAsia="Calibri" w:hAnsi="Times New Roman" w:cs="Times New Roman"/>
          <w:i/>
          <w:sz w:val="24"/>
          <w:szCs w:val="24"/>
        </w:rPr>
      </w:pPr>
    </w:p>
    <w:p w14:paraId="6CD0238C" w14:textId="77777777" w:rsidR="006E0704" w:rsidRPr="006E0704" w:rsidRDefault="006E0704" w:rsidP="00386CCC">
      <w:pPr>
        <w:widowControl w:val="0"/>
        <w:autoSpaceDE w:val="0"/>
        <w:autoSpaceDN w:val="0"/>
        <w:adjustRightInd w:val="0"/>
        <w:spacing w:after="0" w:line="240" w:lineRule="auto"/>
        <w:ind w:firstLine="480"/>
        <w:jc w:val="both"/>
        <w:rPr>
          <w:rFonts w:ascii="Times New Roman" w:eastAsia="Calibri" w:hAnsi="Times New Roman" w:cs="Times New Roman"/>
          <w:i/>
          <w:sz w:val="24"/>
          <w:szCs w:val="24"/>
        </w:rPr>
      </w:pPr>
      <w:r w:rsidRPr="006E0704">
        <w:rPr>
          <w:rFonts w:ascii="Times New Roman" w:eastAsia="Calibri" w:hAnsi="Times New Roman" w:cs="Times New Roman"/>
          <w:i/>
          <w:sz w:val="24"/>
          <w:szCs w:val="24"/>
        </w:rPr>
        <w:t>1. Ограничава ли се броят или кръгът от участници на пазара?</w:t>
      </w:r>
    </w:p>
    <w:p w14:paraId="07F0A82D" w14:textId="37BD7A8E" w:rsidR="006E0704" w:rsidRPr="006E0704" w:rsidRDefault="006E0704" w:rsidP="00386CCC">
      <w:pPr>
        <w:widowControl w:val="0"/>
        <w:autoSpaceDE w:val="0"/>
        <w:autoSpaceDN w:val="0"/>
        <w:adjustRightInd w:val="0"/>
        <w:spacing w:after="0" w:line="240" w:lineRule="auto"/>
        <w:ind w:firstLine="480"/>
        <w:jc w:val="both"/>
        <w:rPr>
          <w:rFonts w:ascii="Times New Roman" w:eastAsia="Calibri" w:hAnsi="Times New Roman" w:cs="Times New Roman"/>
          <w:iCs/>
          <w:sz w:val="24"/>
          <w:szCs w:val="24"/>
        </w:rPr>
      </w:pPr>
      <w:r w:rsidRPr="006E0704">
        <w:rPr>
          <w:rFonts w:ascii="Times New Roman" w:eastAsia="Calibri" w:hAnsi="Times New Roman" w:cs="Times New Roman"/>
          <w:iCs/>
          <w:sz w:val="24"/>
          <w:szCs w:val="24"/>
        </w:rPr>
        <w:t xml:space="preserve">Налице са белезите </w:t>
      </w:r>
      <w:r w:rsidR="0088591D">
        <w:rPr>
          <w:rFonts w:ascii="Times New Roman" w:eastAsia="Calibri" w:hAnsi="Times New Roman" w:cs="Times New Roman"/>
          <w:iCs/>
          <w:sz w:val="24"/>
          <w:szCs w:val="24"/>
        </w:rPr>
        <w:t>н</w:t>
      </w:r>
      <w:r w:rsidRPr="006E0704">
        <w:rPr>
          <w:rFonts w:ascii="Times New Roman" w:eastAsia="Calibri" w:hAnsi="Times New Roman" w:cs="Times New Roman"/>
          <w:iCs/>
          <w:sz w:val="24"/>
          <w:szCs w:val="24"/>
        </w:rPr>
        <w:t xml:space="preserve">а специфична </w:t>
      </w:r>
      <w:r w:rsidRPr="006E0704">
        <w:rPr>
          <w:rFonts w:ascii="Times New Roman" w:eastAsia="Calibri" w:hAnsi="Times New Roman" w:cs="Times New Roman"/>
          <w:kern w:val="2"/>
          <w:sz w:val="24"/>
          <w:szCs w:val="24"/>
          <w14:ligatures w14:val="standardContextual"/>
        </w:rPr>
        <w:t>привидна равнопоставеност</w:t>
      </w:r>
      <w:r w:rsidRPr="006E0704">
        <w:rPr>
          <w:rFonts w:ascii="Times New Roman" w:eastAsia="Calibri" w:hAnsi="Times New Roman" w:cs="Times New Roman"/>
          <w:iCs/>
          <w:sz w:val="24"/>
          <w:szCs w:val="24"/>
        </w:rPr>
        <w:t xml:space="preserve"> в отношенията между по-силните и по-слабите участници по веригата, зад която се крие възможност за икономическо изтласкване и структурна зависимост. </w:t>
      </w:r>
      <w:r w:rsidR="0088591D">
        <w:rPr>
          <w:rFonts w:ascii="Times New Roman" w:eastAsia="Calibri" w:hAnsi="Times New Roman" w:cs="Times New Roman"/>
          <w:iCs/>
          <w:sz w:val="24"/>
          <w:szCs w:val="24"/>
        </w:rPr>
        <w:t>Неконкурентната среда и</w:t>
      </w:r>
      <w:r w:rsidRPr="006E0704">
        <w:rPr>
          <w:rFonts w:ascii="Times New Roman" w:eastAsia="Calibri" w:hAnsi="Times New Roman" w:cs="Times New Roman"/>
          <w:iCs/>
          <w:sz w:val="24"/>
          <w:szCs w:val="24"/>
        </w:rPr>
        <w:t xml:space="preserve"> правната несигурност в отношенията по веригата</w:t>
      </w:r>
      <w:r w:rsidR="0088591D">
        <w:rPr>
          <w:rFonts w:ascii="Times New Roman" w:eastAsia="Calibri" w:hAnsi="Times New Roman" w:cs="Times New Roman"/>
          <w:iCs/>
          <w:sz w:val="24"/>
          <w:szCs w:val="24"/>
        </w:rPr>
        <w:t>, както</w:t>
      </w:r>
      <w:r w:rsidRPr="006E0704">
        <w:rPr>
          <w:rFonts w:ascii="Times New Roman" w:eastAsia="Calibri" w:hAnsi="Times New Roman" w:cs="Times New Roman"/>
          <w:iCs/>
          <w:sz w:val="24"/>
          <w:szCs w:val="24"/>
        </w:rPr>
        <w:t xml:space="preserve"> и непропорционалното разпределение на добавената стойност по нея могат да </w:t>
      </w:r>
      <w:r>
        <w:rPr>
          <w:rFonts w:ascii="Times New Roman" w:eastAsia="Calibri" w:hAnsi="Times New Roman" w:cs="Times New Roman"/>
          <w:iCs/>
          <w:sz w:val="24"/>
          <w:szCs w:val="24"/>
        </w:rPr>
        <w:t>доведат</w:t>
      </w:r>
      <w:r w:rsidRPr="006E0704">
        <w:rPr>
          <w:rFonts w:ascii="Times New Roman" w:eastAsia="Calibri" w:hAnsi="Times New Roman" w:cs="Times New Roman"/>
          <w:iCs/>
          <w:sz w:val="24"/>
          <w:szCs w:val="24"/>
        </w:rPr>
        <w:t xml:space="preserve"> до каскаден ценови натиск върху производителите и доставчиците на храни, който да има за ефект прекратяване на отношенията им с търговците на дребно или до ограничаване на обемите на реализираната продукция</w:t>
      </w:r>
      <w:r>
        <w:rPr>
          <w:rFonts w:ascii="Times New Roman" w:eastAsia="Calibri" w:hAnsi="Times New Roman" w:cs="Times New Roman"/>
          <w:iCs/>
          <w:sz w:val="24"/>
          <w:szCs w:val="24"/>
        </w:rPr>
        <w:t xml:space="preserve">. </w:t>
      </w:r>
      <w:r w:rsidRPr="006E0704">
        <w:rPr>
          <w:rFonts w:ascii="Times New Roman" w:eastAsia="Calibri" w:hAnsi="Times New Roman" w:cs="Times New Roman"/>
          <w:iCs/>
          <w:sz w:val="24"/>
          <w:szCs w:val="24"/>
        </w:rPr>
        <w:t>Това създава условия, при които определени участници се задържат трайно в периферията на пазара или напускат сектора, което</w:t>
      </w:r>
      <w:r w:rsidR="0088591D">
        <w:rPr>
          <w:rFonts w:ascii="Times New Roman" w:eastAsia="Calibri" w:hAnsi="Times New Roman" w:cs="Times New Roman"/>
          <w:iCs/>
          <w:sz w:val="24"/>
          <w:szCs w:val="24"/>
        </w:rPr>
        <w:t xml:space="preserve"> може да</w:t>
      </w:r>
      <w:r w:rsidRPr="006E0704">
        <w:rPr>
          <w:rFonts w:ascii="Times New Roman" w:eastAsia="Calibri" w:hAnsi="Times New Roman" w:cs="Times New Roman"/>
          <w:iCs/>
          <w:sz w:val="24"/>
          <w:szCs w:val="24"/>
        </w:rPr>
        <w:t xml:space="preserve"> води до реално ограничаване на броя на конкурентно активните субекти.</w:t>
      </w:r>
    </w:p>
    <w:p w14:paraId="367072A2" w14:textId="77777777" w:rsidR="006E0704" w:rsidRPr="006E0704" w:rsidRDefault="006E0704" w:rsidP="00386CCC">
      <w:pPr>
        <w:widowControl w:val="0"/>
        <w:autoSpaceDE w:val="0"/>
        <w:autoSpaceDN w:val="0"/>
        <w:adjustRightInd w:val="0"/>
        <w:spacing w:after="0" w:line="240" w:lineRule="auto"/>
        <w:ind w:firstLine="480"/>
        <w:jc w:val="both"/>
        <w:rPr>
          <w:rFonts w:ascii="Times New Roman" w:eastAsia="Calibri" w:hAnsi="Times New Roman" w:cs="Times New Roman"/>
          <w:i/>
          <w:sz w:val="24"/>
          <w:szCs w:val="24"/>
        </w:rPr>
      </w:pPr>
    </w:p>
    <w:p w14:paraId="12EA71BE" w14:textId="77777777" w:rsidR="006E0704" w:rsidRPr="006E0704" w:rsidRDefault="006E0704" w:rsidP="00386CCC">
      <w:pPr>
        <w:widowControl w:val="0"/>
        <w:autoSpaceDE w:val="0"/>
        <w:autoSpaceDN w:val="0"/>
        <w:adjustRightInd w:val="0"/>
        <w:spacing w:after="0" w:line="240" w:lineRule="auto"/>
        <w:ind w:firstLine="480"/>
        <w:jc w:val="both"/>
        <w:rPr>
          <w:rFonts w:ascii="Times New Roman" w:eastAsia="Calibri" w:hAnsi="Times New Roman" w:cs="Times New Roman"/>
          <w:i/>
          <w:sz w:val="24"/>
          <w:szCs w:val="24"/>
        </w:rPr>
      </w:pPr>
      <w:r w:rsidRPr="006E0704">
        <w:rPr>
          <w:rFonts w:ascii="Times New Roman" w:eastAsia="Calibri" w:hAnsi="Times New Roman" w:cs="Times New Roman"/>
          <w:i/>
          <w:sz w:val="24"/>
          <w:szCs w:val="24"/>
        </w:rPr>
        <w:t>2. Ограничават ли се възможностите на доставчиците да се конкурират?</w:t>
      </w:r>
    </w:p>
    <w:p w14:paraId="471A450A" w14:textId="7B1377D8" w:rsidR="006E0704" w:rsidRPr="006E0704" w:rsidRDefault="006E0704" w:rsidP="00386CCC">
      <w:pPr>
        <w:widowControl w:val="0"/>
        <w:autoSpaceDE w:val="0"/>
        <w:autoSpaceDN w:val="0"/>
        <w:adjustRightInd w:val="0"/>
        <w:spacing w:after="0" w:line="240" w:lineRule="auto"/>
        <w:ind w:firstLine="480"/>
        <w:jc w:val="both"/>
        <w:rPr>
          <w:rFonts w:ascii="Times New Roman" w:eastAsia="Calibri" w:hAnsi="Times New Roman" w:cs="Times New Roman"/>
          <w:iCs/>
          <w:sz w:val="24"/>
          <w:szCs w:val="24"/>
        </w:rPr>
      </w:pPr>
      <w:r w:rsidRPr="006E0704">
        <w:rPr>
          <w:rFonts w:ascii="Times New Roman" w:eastAsia="Calibri" w:hAnsi="Times New Roman" w:cs="Times New Roman"/>
          <w:iCs/>
          <w:sz w:val="24"/>
          <w:szCs w:val="24"/>
        </w:rPr>
        <w:t>Установено е, че все още взаимоотношенията между производители/доставчици и търговци се характеризират с краткосрочност, непредвидимост и едностранност, което възпрепятства конкуренцията.</w:t>
      </w:r>
      <w:r w:rsidRPr="006E0704">
        <w:rPr>
          <w:rFonts w:ascii="Times New Roman" w:eastAsia="Calibri" w:hAnsi="Times New Roman" w:cs="Times New Roman"/>
          <w:kern w:val="2"/>
          <w:sz w:val="24"/>
          <w:szCs w:val="24"/>
          <w14:ligatures w14:val="standardContextual"/>
        </w:rPr>
        <w:t xml:space="preserve"> Естествените крайни последици от тях са продължаваща неравнопоставеност в договорните отношения между страните по веригата и свързаната с нея непропорционалност при разпределението на добавената стойност от нея.</w:t>
      </w:r>
      <w:r w:rsidRPr="006E0704">
        <w:rPr>
          <w:rFonts w:ascii="Times New Roman" w:eastAsia="Calibri" w:hAnsi="Times New Roman" w:cs="Times New Roman"/>
          <w:iCs/>
          <w:sz w:val="24"/>
          <w:szCs w:val="24"/>
        </w:rPr>
        <w:t xml:space="preserve"> </w:t>
      </w:r>
      <w:r w:rsidR="006B2513" w:rsidRPr="006E0704">
        <w:rPr>
          <w:rFonts w:ascii="Times New Roman" w:eastAsia="Calibri" w:hAnsi="Times New Roman" w:cs="Times New Roman"/>
          <w:iCs/>
          <w:sz w:val="24"/>
          <w:szCs w:val="24"/>
        </w:rPr>
        <w:t>Потенциалът за едностранно налагани условия от страна на едни икономически оператори спрямо други възпира ефективната конкуренция и влошават бизнес климата, особено за по-слабите икономически субекти.</w:t>
      </w:r>
    </w:p>
    <w:p w14:paraId="55D76141" w14:textId="77777777" w:rsidR="006E0704" w:rsidRPr="006E0704" w:rsidRDefault="006E0704" w:rsidP="00386CCC">
      <w:pPr>
        <w:widowControl w:val="0"/>
        <w:autoSpaceDE w:val="0"/>
        <w:autoSpaceDN w:val="0"/>
        <w:adjustRightInd w:val="0"/>
        <w:spacing w:after="0" w:line="240" w:lineRule="auto"/>
        <w:ind w:firstLine="480"/>
        <w:jc w:val="both"/>
        <w:rPr>
          <w:rFonts w:ascii="Times New Roman" w:eastAsia="Calibri" w:hAnsi="Times New Roman" w:cs="Times New Roman"/>
          <w:i/>
          <w:sz w:val="24"/>
          <w:szCs w:val="24"/>
        </w:rPr>
      </w:pPr>
    </w:p>
    <w:p w14:paraId="42BAE589" w14:textId="77777777" w:rsidR="006E0704" w:rsidRPr="006E0704" w:rsidRDefault="006E0704" w:rsidP="00386CCC">
      <w:pPr>
        <w:widowControl w:val="0"/>
        <w:autoSpaceDE w:val="0"/>
        <w:autoSpaceDN w:val="0"/>
        <w:adjustRightInd w:val="0"/>
        <w:spacing w:after="0" w:line="240" w:lineRule="auto"/>
        <w:ind w:firstLine="480"/>
        <w:jc w:val="both"/>
        <w:rPr>
          <w:rFonts w:ascii="Times New Roman" w:eastAsia="Calibri" w:hAnsi="Times New Roman" w:cs="Times New Roman"/>
          <w:i/>
          <w:sz w:val="24"/>
          <w:szCs w:val="24"/>
        </w:rPr>
      </w:pPr>
      <w:r w:rsidRPr="006E0704">
        <w:rPr>
          <w:rFonts w:ascii="Times New Roman" w:eastAsia="Calibri" w:hAnsi="Times New Roman" w:cs="Times New Roman"/>
          <w:i/>
          <w:sz w:val="24"/>
          <w:szCs w:val="24"/>
        </w:rPr>
        <w:t xml:space="preserve">3. Намаляват ли се стимулите на доставчиците да се конкурират активно? </w:t>
      </w:r>
    </w:p>
    <w:p w14:paraId="17049A54" w14:textId="55350209" w:rsidR="006E0704" w:rsidRPr="006E0704" w:rsidRDefault="006E0704" w:rsidP="00386CCC">
      <w:pPr>
        <w:widowControl w:val="0"/>
        <w:autoSpaceDE w:val="0"/>
        <w:autoSpaceDN w:val="0"/>
        <w:adjustRightInd w:val="0"/>
        <w:spacing w:after="0" w:line="240" w:lineRule="auto"/>
        <w:ind w:firstLine="480"/>
        <w:jc w:val="both"/>
        <w:rPr>
          <w:rFonts w:ascii="Times New Roman" w:eastAsia="Calibri" w:hAnsi="Times New Roman" w:cs="Times New Roman"/>
          <w:sz w:val="24"/>
          <w:szCs w:val="24"/>
        </w:rPr>
      </w:pPr>
      <w:r w:rsidRPr="006E0704">
        <w:rPr>
          <w:rFonts w:ascii="Times New Roman" w:eastAsia="Calibri" w:hAnsi="Times New Roman" w:cs="Times New Roman"/>
          <w:sz w:val="24"/>
          <w:szCs w:val="24"/>
        </w:rPr>
        <w:t xml:space="preserve">Фактическите данни разкриват силно изразена правна и икономическа несигурност за нови или малки доставчици, което рязко редуцира стимулите за инвестиции, иновации и предприемаческа активност. При липса на гарантирани условия за равнопоставеност и предвидимост, стимулите за активно поведение се изместват към минимизиране на риска, а не към разширяване на пазарен дял или добавена стойност чрез конкуренция​. </w:t>
      </w:r>
      <w:r w:rsidR="006B2513" w:rsidRPr="006E0704">
        <w:rPr>
          <w:rFonts w:ascii="Times New Roman" w:eastAsia="Calibri" w:hAnsi="Times New Roman" w:cs="Times New Roman"/>
          <w:iCs/>
          <w:sz w:val="24"/>
          <w:szCs w:val="24"/>
        </w:rPr>
        <w:t>Липсват достатъчно данни и доказателства предприетите на държавно ниво мерки в последните десет години да са постигнали своите цели и да са довели до предотвратяване, преодоляване или ограничаване на нелоялните търговски практики по веригата на доставки на земеделски продукти и храни</w:t>
      </w:r>
      <w:r w:rsidR="006B2513">
        <w:rPr>
          <w:rFonts w:ascii="Times New Roman" w:eastAsia="Calibri" w:hAnsi="Times New Roman" w:cs="Times New Roman"/>
          <w:iCs/>
          <w:sz w:val="24"/>
          <w:szCs w:val="24"/>
        </w:rPr>
        <w:t>.</w:t>
      </w:r>
    </w:p>
    <w:p w14:paraId="26A14F06" w14:textId="77777777" w:rsidR="006E0704" w:rsidRPr="006E0704" w:rsidRDefault="006E0704" w:rsidP="00386CCC">
      <w:pPr>
        <w:widowControl w:val="0"/>
        <w:autoSpaceDE w:val="0"/>
        <w:autoSpaceDN w:val="0"/>
        <w:adjustRightInd w:val="0"/>
        <w:spacing w:after="0" w:line="240" w:lineRule="auto"/>
        <w:ind w:firstLine="480"/>
        <w:jc w:val="both"/>
        <w:rPr>
          <w:rFonts w:ascii="Times New Roman" w:eastAsia="Calibri" w:hAnsi="Times New Roman" w:cs="Times New Roman"/>
          <w:i/>
          <w:sz w:val="24"/>
          <w:szCs w:val="24"/>
        </w:rPr>
      </w:pPr>
    </w:p>
    <w:p w14:paraId="15617019" w14:textId="77777777" w:rsidR="006E0704" w:rsidRPr="006E0704" w:rsidRDefault="006E0704" w:rsidP="00386CCC">
      <w:pPr>
        <w:widowControl w:val="0"/>
        <w:autoSpaceDE w:val="0"/>
        <w:autoSpaceDN w:val="0"/>
        <w:adjustRightInd w:val="0"/>
        <w:spacing w:after="0" w:line="240" w:lineRule="auto"/>
        <w:ind w:firstLine="480"/>
        <w:jc w:val="both"/>
        <w:rPr>
          <w:rFonts w:ascii="Times New Roman" w:eastAsia="Calibri" w:hAnsi="Times New Roman" w:cs="Times New Roman"/>
          <w:i/>
          <w:sz w:val="24"/>
          <w:szCs w:val="24"/>
        </w:rPr>
      </w:pPr>
      <w:r w:rsidRPr="006E0704">
        <w:rPr>
          <w:rFonts w:ascii="Times New Roman" w:eastAsia="Calibri" w:hAnsi="Times New Roman" w:cs="Times New Roman"/>
          <w:i/>
          <w:sz w:val="24"/>
          <w:szCs w:val="24"/>
        </w:rPr>
        <w:t>4. Ограничава ли се изборът и информацията на потребителите?</w:t>
      </w:r>
    </w:p>
    <w:p w14:paraId="56163D88" w14:textId="5A7CC09C" w:rsidR="006E0704" w:rsidRDefault="006E0704" w:rsidP="00386CCC">
      <w:pPr>
        <w:widowControl w:val="0"/>
        <w:autoSpaceDE w:val="0"/>
        <w:autoSpaceDN w:val="0"/>
        <w:adjustRightInd w:val="0"/>
        <w:spacing w:after="0" w:line="240" w:lineRule="auto"/>
        <w:ind w:firstLine="480"/>
        <w:jc w:val="both"/>
        <w:rPr>
          <w:rFonts w:ascii="Times New Roman" w:eastAsia="Calibri" w:hAnsi="Times New Roman" w:cs="Times New Roman"/>
          <w:iCs/>
          <w:sz w:val="24"/>
          <w:szCs w:val="24"/>
        </w:rPr>
      </w:pPr>
      <w:r w:rsidRPr="006E0704">
        <w:rPr>
          <w:rFonts w:ascii="Times New Roman" w:eastAsia="Calibri" w:hAnsi="Times New Roman" w:cs="Times New Roman"/>
          <w:iCs/>
          <w:sz w:val="24"/>
          <w:szCs w:val="24"/>
        </w:rPr>
        <w:t>Въпреки видимото пазарно разнообразие, изборът на потребителите остава ограничен вследствие на повишаващите се цени и липсата на яснота относно условията на предлагане и цената на продуктите. При високи нива на информационна асиметрия и отсъствие на устойчиви</w:t>
      </w:r>
      <w:r w:rsidR="006B2513">
        <w:rPr>
          <w:rFonts w:ascii="Times New Roman" w:eastAsia="Calibri" w:hAnsi="Times New Roman" w:cs="Times New Roman"/>
          <w:iCs/>
          <w:sz w:val="24"/>
          <w:szCs w:val="24"/>
        </w:rPr>
        <w:t xml:space="preserve"> нормативни и институционални</w:t>
      </w:r>
      <w:r w:rsidRPr="006E0704">
        <w:rPr>
          <w:rFonts w:ascii="Times New Roman" w:eastAsia="Calibri" w:hAnsi="Times New Roman" w:cs="Times New Roman"/>
          <w:iCs/>
          <w:sz w:val="24"/>
          <w:szCs w:val="24"/>
        </w:rPr>
        <w:t xml:space="preserve"> механизми за проследимост, потребителят не разполага с необходимите инструменти да направи информиран избор. Това улеснява възможността за повишаване на цените без видима пазарна логика и отслабва контролната роля на търсенето.</w:t>
      </w:r>
    </w:p>
    <w:p w14:paraId="1DF298ED" w14:textId="77777777" w:rsidR="000121DA" w:rsidRDefault="000121DA" w:rsidP="00386CCC">
      <w:pPr>
        <w:widowControl w:val="0"/>
        <w:autoSpaceDE w:val="0"/>
        <w:autoSpaceDN w:val="0"/>
        <w:adjustRightInd w:val="0"/>
        <w:spacing w:after="0" w:line="240" w:lineRule="auto"/>
        <w:ind w:firstLine="480"/>
        <w:jc w:val="both"/>
        <w:rPr>
          <w:rFonts w:ascii="Times New Roman" w:eastAsia="Calibri" w:hAnsi="Times New Roman" w:cs="Times New Roman"/>
          <w:iCs/>
          <w:sz w:val="24"/>
          <w:szCs w:val="24"/>
        </w:rPr>
      </w:pPr>
    </w:p>
    <w:p w14:paraId="22C96964" w14:textId="387CD75A" w:rsidR="006E0704" w:rsidRPr="0007553B" w:rsidRDefault="006E0704" w:rsidP="00386CCC">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07553B">
        <w:rPr>
          <w:rFonts w:ascii="Times New Roman" w:eastAsia="Calibri" w:hAnsi="Times New Roman" w:cs="Times New Roman"/>
          <w:b/>
          <w:color w:val="000000"/>
          <w:sz w:val="24"/>
          <w:szCs w:val="24"/>
        </w:rPr>
        <w:lastRenderedPageBreak/>
        <w:t xml:space="preserve">Таблица </w:t>
      </w:r>
      <w:r w:rsidR="00D2171D" w:rsidRPr="0007553B">
        <w:rPr>
          <w:rFonts w:ascii="Times New Roman" w:eastAsia="Calibri" w:hAnsi="Times New Roman" w:cs="Times New Roman"/>
          <w:b/>
          <w:color w:val="000000"/>
          <w:sz w:val="24"/>
          <w:szCs w:val="24"/>
        </w:rPr>
        <w:t xml:space="preserve">№ </w:t>
      </w:r>
      <w:r w:rsidR="008C0E40">
        <w:rPr>
          <w:rFonts w:ascii="Times New Roman" w:eastAsia="Calibri" w:hAnsi="Times New Roman" w:cs="Times New Roman"/>
          <w:b/>
          <w:color w:val="000000"/>
          <w:sz w:val="24"/>
          <w:szCs w:val="24"/>
        </w:rPr>
        <w:t>18</w:t>
      </w:r>
      <w:r w:rsidRPr="0007553B">
        <w:rPr>
          <w:rFonts w:ascii="Times New Roman" w:eastAsia="Calibri" w:hAnsi="Times New Roman" w:cs="Times New Roman"/>
          <w:b/>
          <w:color w:val="000000"/>
          <w:sz w:val="24"/>
          <w:szCs w:val="24"/>
        </w:rPr>
        <w:t>. Резултати от е</w:t>
      </w:r>
      <w:r w:rsidRPr="0007553B">
        <w:rPr>
          <w:rFonts w:ascii="Times New Roman" w:eastAsia="Calibri" w:hAnsi="Times New Roman" w:cs="Times New Roman"/>
          <w:b/>
          <w:sz w:val="24"/>
          <w:szCs w:val="24"/>
        </w:rPr>
        <w:t>кспериментална оценка за съответствие на фактическите отношения по веригата на доставки с правилата на конкуренция</w:t>
      </w:r>
    </w:p>
    <w:p w14:paraId="23DCEB49" w14:textId="77777777" w:rsidR="006E0704" w:rsidRPr="006E0704" w:rsidRDefault="006E0704" w:rsidP="00386CCC">
      <w:pPr>
        <w:autoSpaceDE w:val="0"/>
        <w:autoSpaceDN w:val="0"/>
        <w:adjustRightInd w:val="0"/>
        <w:spacing w:after="0" w:line="240" w:lineRule="auto"/>
        <w:ind w:firstLine="540"/>
        <w:jc w:val="both"/>
        <w:rPr>
          <w:rFonts w:ascii="Times New Roman" w:eastAsia="Calibri"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5561"/>
      </w:tblGrid>
      <w:tr w:rsidR="006E0704" w:rsidRPr="006E0704" w14:paraId="75351189" w14:textId="77777777" w:rsidTr="002F7F79">
        <w:tc>
          <w:tcPr>
            <w:tcW w:w="3501" w:type="dxa"/>
            <w:shd w:val="clear" w:color="auto" w:fill="auto"/>
          </w:tcPr>
          <w:p w14:paraId="6D3B0DB5" w14:textId="0046C2A3" w:rsidR="006E0704" w:rsidRPr="00251AA1" w:rsidRDefault="006E0704" w:rsidP="00386CCC">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251AA1">
              <w:rPr>
                <w:rFonts w:ascii="Times New Roman" w:eastAsia="Calibri" w:hAnsi="Times New Roman" w:cs="Times New Roman"/>
                <w:b/>
                <w:sz w:val="24"/>
                <w:szCs w:val="24"/>
              </w:rPr>
              <w:t>Фактори на негативно влияние</w:t>
            </w:r>
          </w:p>
          <w:p w14:paraId="0D89CFD2" w14:textId="46B4310A" w:rsidR="006E0704" w:rsidRPr="00251AA1" w:rsidRDefault="006E0704" w:rsidP="00386CCC">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251AA1">
              <w:rPr>
                <w:rFonts w:ascii="Times New Roman" w:eastAsia="Calibri" w:hAnsi="Times New Roman" w:cs="Times New Roman"/>
                <w:b/>
                <w:sz w:val="24"/>
                <w:szCs w:val="24"/>
              </w:rPr>
              <w:t>върху конкурентната среда</w:t>
            </w:r>
          </w:p>
          <w:p w14:paraId="7AF65086" w14:textId="77777777" w:rsidR="006E0704" w:rsidRPr="00251AA1" w:rsidRDefault="006E0704" w:rsidP="00386CCC">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251AA1">
              <w:rPr>
                <w:rFonts w:ascii="Times New Roman" w:eastAsia="Calibri" w:hAnsi="Times New Roman" w:cs="Times New Roman"/>
                <w:b/>
                <w:sz w:val="24"/>
                <w:szCs w:val="24"/>
              </w:rPr>
              <w:t>според Комисията за защита на конкуренцията</w:t>
            </w:r>
          </w:p>
        </w:tc>
        <w:tc>
          <w:tcPr>
            <w:tcW w:w="5561" w:type="dxa"/>
            <w:shd w:val="clear" w:color="auto" w:fill="auto"/>
          </w:tcPr>
          <w:p w14:paraId="567C2F72" w14:textId="77777777" w:rsidR="006E0704" w:rsidRPr="00251AA1" w:rsidRDefault="006E0704" w:rsidP="00386CCC">
            <w:pPr>
              <w:spacing w:after="0" w:line="240" w:lineRule="auto"/>
              <w:jc w:val="center"/>
              <w:rPr>
                <w:rFonts w:ascii="Times New Roman" w:eastAsia="Calibri" w:hAnsi="Times New Roman" w:cs="Times New Roman"/>
                <w:b/>
                <w:sz w:val="24"/>
                <w:szCs w:val="24"/>
              </w:rPr>
            </w:pPr>
            <w:r w:rsidRPr="00251AA1">
              <w:rPr>
                <w:rFonts w:ascii="Times New Roman" w:eastAsia="Calibri" w:hAnsi="Times New Roman" w:cs="Times New Roman"/>
                <w:b/>
                <w:sz w:val="24"/>
                <w:szCs w:val="24"/>
              </w:rPr>
              <w:t>Фактически констатации от изследването на отношенията между икономическите оператори</w:t>
            </w:r>
          </w:p>
        </w:tc>
      </w:tr>
      <w:tr w:rsidR="00741AC3" w:rsidRPr="006E0704" w14:paraId="793EF53C" w14:textId="77777777" w:rsidTr="002F7F79">
        <w:tc>
          <w:tcPr>
            <w:tcW w:w="3501" w:type="dxa"/>
            <w:shd w:val="clear" w:color="auto" w:fill="auto"/>
          </w:tcPr>
          <w:p w14:paraId="39CEA893" w14:textId="0DE0F874" w:rsidR="00741AC3" w:rsidRPr="00251AA1" w:rsidRDefault="00741AC3" w:rsidP="00386CC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51AA1">
              <w:rPr>
                <w:rFonts w:ascii="Times New Roman" w:eastAsia="Calibri" w:hAnsi="Times New Roman" w:cs="Times New Roman"/>
                <w:sz w:val="24"/>
                <w:szCs w:val="24"/>
              </w:rPr>
              <w:t xml:space="preserve">1. Ограничаване на </w:t>
            </w:r>
            <w:r w:rsidR="009716A6">
              <w:rPr>
                <w:rFonts w:ascii="Times New Roman" w:eastAsia="Calibri" w:hAnsi="Times New Roman" w:cs="Times New Roman"/>
                <w:sz w:val="24"/>
                <w:szCs w:val="24"/>
              </w:rPr>
              <w:t xml:space="preserve">броя или </w:t>
            </w:r>
            <w:r w:rsidR="005A3045">
              <w:rPr>
                <w:rFonts w:ascii="Times New Roman" w:eastAsia="Calibri" w:hAnsi="Times New Roman" w:cs="Times New Roman"/>
                <w:sz w:val="24"/>
                <w:szCs w:val="24"/>
              </w:rPr>
              <w:t xml:space="preserve">кръга </w:t>
            </w:r>
            <w:r w:rsidR="009716A6">
              <w:rPr>
                <w:rFonts w:ascii="Times New Roman" w:eastAsia="Calibri" w:hAnsi="Times New Roman" w:cs="Times New Roman"/>
                <w:sz w:val="24"/>
                <w:szCs w:val="24"/>
              </w:rPr>
              <w:t>на участници на пазара</w:t>
            </w:r>
          </w:p>
          <w:p w14:paraId="2D019115" w14:textId="77777777" w:rsidR="00741AC3" w:rsidRPr="00251AA1" w:rsidRDefault="00741AC3" w:rsidP="00386CCC">
            <w:pPr>
              <w:widowControl w:val="0"/>
              <w:autoSpaceDE w:val="0"/>
              <w:autoSpaceDN w:val="0"/>
              <w:adjustRightInd w:val="0"/>
              <w:spacing w:after="0" w:line="240" w:lineRule="auto"/>
              <w:jc w:val="both"/>
              <w:rPr>
                <w:rFonts w:ascii="Times New Roman" w:eastAsia="Calibri" w:hAnsi="Times New Roman" w:cs="Times New Roman"/>
                <w:b/>
                <w:sz w:val="24"/>
                <w:szCs w:val="24"/>
              </w:rPr>
            </w:pPr>
          </w:p>
        </w:tc>
        <w:tc>
          <w:tcPr>
            <w:tcW w:w="5561" w:type="dxa"/>
            <w:shd w:val="clear" w:color="auto" w:fill="auto"/>
          </w:tcPr>
          <w:p w14:paraId="302792FE" w14:textId="039F4E34" w:rsidR="00741AC3" w:rsidRPr="00CB5880" w:rsidRDefault="009716A6" w:rsidP="009F5887">
            <w:pPr>
              <w:tabs>
                <w:tab w:val="left" w:pos="4140"/>
              </w:tabs>
              <w:spacing w:after="0" w:line="240" w:lineRule="auto"/>
              <w:ind w:right="22"/>
              <w:jc w:val="both"/>
              <w:rPr>
                <w:rFonts w:ascii="Times New Roman" w:eastAsia="Calibri" w:hAnsi="Times New Roman" w:cs="Times New Roman"/>
                <w:sz w:val="24"/>
                <w:szCs w:val="24"/>
                <w:lang w:bidi="bn-BD"/>
              </w:rPr>
            </w:pPr>
            <w:r>
              <w:rPr>
                <w:rFonts w:ascii="Times New Roman" w:eastAsia="Calibri" w:hAnsi="Times New Roman" w:cs="Times New Roman"/>
                <w:sz w:val="24"/>
                <w:szCs w:val="24"/>
                <w:lang w:bidi="bn-BD"/>
              </w:rPr>
              <w:t xml:space="preserve">Отношенията по веригата </w:t>
            </w:r>
            <w:r w:rsidRPr="009716A6">
              <w:rPr>
                <w:rFonts w:ascii="Times New Roman" w:eastAsia="Calibri" w:hAnsi="Times New Roman" w:cs="Times New Roman"/>
                <w:sz w:val="24"/>
                <w:szCs w:val="24"/>
                <w:lang w:bidi="bn-BD"/>
              </w:rPr>
              <w:t>на доставки на земеделски продукти и храни</w:t>
            </w:r>
            <w:r w:rsidRPr="009716A6">
              <w:rPr>
                <w:rFonts w:ascii="Times New Roman" w:eastAsia="Calibri" w:hAnsi="Times New Roman" w:cs="Times New Roman"/>
                <w:sz w:val="24"/>
                <w:szCs w:val="24"/>
                <w:lang w:bidi="bn-BD"/>
              </w:rPr>
              <w:tab/>
            </w:r>
            <w:r w:rsidR="00741AC3" w:rsidRPr="00251AA1">
              <w:rPr>
                <w:rFonts w:ascii="Times New Roman" w:eastAsia="Calibri" w:hAnsi="Times New Roman" w:cs="Times New Roman"/>
                <w:sz w:val="24"/>
                <w:szCs w:val="24"/>
                <w:lang w:bidi="bn-BD"/>
              </w:rPr>
              <w:t xml:space="preserve">се </w:t>
            </w:r>
            <w:r w:rsidR="00DB5E09">
              <w:rPr>
                <w:rFonts w:ascii="Times New Roman" w:eastAsia="Calibri" w:hAnsi="Times New Roman" w:cs="Times New Roman"/>
                <w:sz w:val="24"/>
                <w:szCs w:val="24"/>
                <w:lang w:bidi="bn-BD"/>
              </w:rPr>
              <w:t xml:space="preserve"> о</w:t>
            </w:r>
            <w:r w:rsidR="00741AC3" w:rsidRPr="00251AA1">
              <w:rPr>
                <w:rFonts w:ascii="Times New Roman" w:eastAsia="Calibri" w:hAnsi="Times New Roman" w:cs="Times New Roman"/>
                <w:sz w:val="24"/>
                <w:szCs w:val="24"/>
                <w:lang w:bidi="bn-BD"/>
              </w:rPr>
              <w:t>тличава</w:t>
            </w:r>
            <w:r>
              <w:rPr>
                <w:rFonts w:ascii="Times New Roman" w:eastAsia="Calibri" w:hAnsi="Times New Roman" w:cs="Times New Roman"/>
                <w:sz w:val="24"/>
                <w:szCs w:val="24"/>
                <w:lang w:bidi="bn-BD"/>
              </w:rPr>
              <w:t>т</w:t>
            </w:r>
            <w:r w:rsidR="00741AC3" w:rsidRPr="00251AA1">
              <w:rPr>
                <w:rFonts w:ascii="Times New Roman" w:eastAsia="Calibri" w:hAnsi="Times New Roman" w:cs="Times New Roman"/>
                <w:sz w:val="24"/>
                <w:szCs w:val="24"/>
                <w:lang w:bidi="bn-BD"/>
              </w:rPr>
              <w:t xml:space="preserve"> с ограничена предвидимост и привидна равнопоставеност</w:t>
            </w:r>
            <w:r>
              <w:rPr>
                <w:rFonts w:ascii="Times New Roman" w:eastAsia="Calibri" w:hAnsi="Times New Roman" w:cs="Times New Roman"/>
                <w:sz w:val="24"/>
                <w:szCs w:val="24"/>
                <w:lang w:bidi="bn-BD"/>
              </w:rPr>
              <w:t xml:space="preserve">. Това позволява на участниците с </w:t>
            </w:r>
            <w:r w:rsidRPr="009716A6">
              <w:rPr>
                <w:rFonts w:ascii="Times New Roman" w:eastAsia="Calibri" w:hAnsi="Times New Roman" w:cs="Times New Roman"/>
                <w:sz w:val="24"/>
                <w:szCs w:val="24"/>
                <w:lang w:bidi="bn-BD"/>
              </w:rPr>
              <w:t>по-силна позиция при договаряне</w:t>
            </w:r>
            <w:r>
              <w:rPr>
                <w:rFonts w:ascii="Times New Roman" w:eastAsia="Calibri" w:hAnsi="Times New Roman" w:cs="Times New Roman"/>
                <w:sz w:val="24"/>
                <w:szCs w:val="24"/>
                <w:lang w:bidi="bn-BD"/>
              </w:rPr>
              <w:t xml:space="preserve"> да налагат своите условия </w:t>
            </w:r>
            <w:r w:rsidR="009B2E6B">
              <w:rPr>
                <w:rFonts w:ascii="Times New Roman" w:eastAsia="Calibri" w:hAnsi="Times New Roman" w:cs="Times New Roman"/>
                <w:sz w:val="24"/>
                <w:szCs w:val="24"/>
                <w:lang w:bidi="bn-BD"/>
              </w:rPr>
              <w:t xml:space="preserve">на по-слабите, включително да определят най-изгодни за </w:t>
            </w:r>
            <w:r w:rsidR="009F5887">
              <w:rPr>
                <w:rFonts w:ascii="Times New Roman" w:eastAsia="Calibri" w:hAnsi="Times New Roman" w:cs="Times New Roman"/>
                <w:sz w:val="24"/>
                <w:szCs w:val="24"/>
                <w:lang w:bidi="bn-BD"/>
              </w:rPr>
              <w:t>себе си</w:t>
            </w:r>
            <w:r w:rsidR="009B2E6B">
              <w:rPr>
                <w:rFonts w:ascii="Times New Roman" w:eastAsia="Calibri" w:hAnsi="Times New Roman" w:cs="Times New Roman"/>
                <w:sz w:val="24"/>
                <w:szCs w:val="24"/>
                <w:lang w:bidi="bn-BD"/>
              </w:rPr>
              <w:t xml:space="preserve"> </w:t>
            </w:r>
            <w:r w:rsidR="005E0DB9">
              <w:rPr>
                <w:rFonts w:ascii="Times New Roman" w:eastAsia="Calibri" w:hAnsi="Times New Roman" w:cs="Times New Roman"/>
                <w:sz w:val="24"/>
                <w:szCs w:val="24"/>
                <w:lang w:bidi="bn-BD"/>
              </w:rPr>
              <w:t xml:space="preserve">отстъпки </w:t>
            </w:r>
            <w:r w:rsidR="009B2E6B">
              <w:rPr>
                <w:rFonts w:ascii="Times New Roman" w:eastAsia="Calibri" w:hAnsi="Times New Roman" w:cs="Times New Roman"/>
                <w:sz w:val="24"/>
                <w:szCs w:val="24"/>
                <w:lang w:bidi="bn-BD"/>
              </w:rPr>
              <w:t>и</w:t>
            </w:r>
            <w:r w:rsidR="005E0DB9">
              <w:rPr>
                <w:rFonts w:ascii="Times New Roman" w:eastAsia="Calibri" w:hAnsi="Times New Roman" w:cs="Times New Roman"/>
                <w:sz w:val="24"/>
                <w:szCs w:val="24"/>
                <w:lang w:bidi="bn-BD"/>
              </w:rPr>
              <w:t xml:space="preserve"> цени</w:t>
            </w:r>
            <w:r w:rsidR="009B2E6B">
              <w:rPr>
                <w:rFonts w:ascii="Times New Roman" w:eastAsia="Calibri" w:hAnsi="Times New Roman" w:cs="Times New Roman"/>
                <w:sz w:val="24"/>
                <w:szCs w:val="24"/>
                <w:lang w:bidi="bn-BD"/>
              </w:rPr>
              <w:t xml:space="preserve">, </w:t>
            </w:r>
            <w:r w:rsidR="005E0DB9">
              <w:rPr>
                <w:rFonts w:ascii="Times New Roman" w:eastAsia="Calibri" w:hAnsi="Times New Roman" w:cs="Times New Roman"/>
                <w:sz w:val="24"/>
                <w:szCs w:val="24"/>
                <w:lang w:bidi="bn-BD"/>
              </w:rPr>
              <w:t xml:space="preserve">както и </w:t>
            </w:r>
            <w:r w:rsidR="009B2E6B">
              <w:rPr>
                <w:rFonts w:ascii="Times New Roman" w:eastAsia="Calibri" w:hAnsi="Times New Roman" w:cs="Times New Roman"/>
                <w:sz w:val="24"/>
                <w:szCs w:val="24"/>
                <w:lang w:bidi="bn-BD"/>
              </w:rPr>
              <w:t xml:space="preserve">да решават кои доставчици и кои стоки да имат достъп до пазара и кои не. По този начин те могат да играят ролята на фактически </w:t>
            </w:r>
            <w:r w:rsidR="009F5887">
              <w:rPr>
                <w:rFonts w:ascii="Times New Roman" w:eastAsia="Calibri" w:hAnsi="Times New Roman" w:cs="Times New Roman"/>
                <w:sz w:val="24"/>
                <w:szCs w:val="24"/>
                <w:lang w:bidi="bn-BD"/>
              </w:rPr>
              <w:t>бариери</w:t>
            </w:r>
            <w:r w:rsidR="00C639A8" w:rsidRPr="00C639A8">
              <w:rPr>
                <w:rFonts w:ascii="Times New Roman" w:eastAsia="Calibri" w:hAnsi="Times New Roman" w:cs="Times New Roman"/>
                <w:sz w:val="24"/>
                <w:szCs w:val="24"/>
                <w:lang w:val="ru-RU" w:bidi="bn-BD"/>
              </w:rPr>
              <w:t>,</w:t>
            </w:r>
            <w:r w:rsidR="009B2E6B">
              <w:rPr>
                <w:rFonts w:ascii="Times New Roman" w:eastAsia="Calibri" w:hAnsi="Times New Roman" w:cs="Times New Roman"/>
                <w:sz w:val="24"/>
                <w:szCs w:val="24"/>
                <w:lang w:bidi="bn-BD"/>
              </w:rPr>
              <w:t xml:space="preserve"> </w:t>
            </w:r>
            <w:r w:rsidR="00C639A8">
              <w:rPr>
                <w:rFonts w:ascii="Times New Roman" w:eastAsia="Calibri" w:hAnsi="Times New Roman" w:cs="Times New Roman"/>
                <w:sz w:val="24"/>
                <w:szCs w:val="24"/>
                <w:lang w:bidi="bn-BD"/>
              </w:rPr>
              <w:t>поставящи определени изисквания</w:t>
            </w:r>
            <w:r w:rsidR="009B2E6B">
              <w:rPr>
                <w:rFonts w:ascii="Times New Roman" w:eastAsia="Calibri" w:hAnsi="Times New Roman" w:cs="Times New Roman"/>
                <w:sz w:val="24"/>
                <w:szCs w:val="24"/>
                <w:lang w:bidi="bn-BD"/>
              </w:rPr>
              <w:t xml:space="preserve"> за достъп до пазара, да допускат фиксиран брой участници</w:t>
            </w:r>
            <w:r w:rsidR="00C639A8">
              <w:rPr>
                <w:rFonts w:ascii="Times New Roman" w:eastAsia="Calibri" w:hAnsi="Times New Roman" w:cs="Times New Roman"/>
                <w:sz w:val="24"/>
                <w:szCs w:val="24"/>
                <w:lang w:bidi="bn-BD"/>
              </w:rPr>
              <w:t xml:space="preserve"> до него</w:t>
            </w:r>
            <w:r w:rsidR="009B2E6B">
              <w:rPr>
                <w:rFonts w:ascii="Times New Roman" w:eastAsia="Calibri" w:hAnsi="Times New Roman" w:cs="Times New Roman"/>
                <w:sz w:val="24"/>
                <w:szCs w:val="24"/>
                <w:lang w:bidi="bn-BD"/>
              </w:rPr>
              <w:t xml:space="preserve">, да ограничават възможността някои от </w:t>
            </w:r>
            <w:r w:rsidR="00C639A8">
              <w:rPr>
                <w:rFonts w:ascii="Times New Roman" w:eastAsia="Calibri" w:hAnsi="Times New Roman" w:cs="Times New Roman"/>
                <w:sz w:val="24"/>
                <w:szCs w:val="24"/>
                <w:lang w:bidi="bn-BD"/>
              </w:rPr>
              <w:t>тях</w:t>
            </w:r>
            <w:r w:rsidR="009B2E6B">
              <w:rPr>
                <w:rFonts w:ascii="Times New Roman" w:eastAsia="Calibri" w:hAnsi="Times New Roman" w:cs="Times New Roman"/>
                <w:sz w:val="24"/>
                <w:szCs w:val="24"/>
                <w:lang w:bidi="bn-BD"/>
              </w:rPr>
              <w:t xml:space="preserve"> да предлагат своите стоки, включително да увеличават разходите за </w:t>
            </w:r>
            <w:r w:rsidR="009B2E6B" w:rsidRPr="009716A6">
              <w:rPr>
                <w:rFonts w:ascii="Times New Roman" w:eastAsia="Calibri" w:hAnsi="Times New Roman" w:cs="Times New Roman"/>
                <w:sz w:val="24"/>
                <w:szCs w:val="24"/>
                <w:lang w:bidi="bn-BD"/>
              </w:rPr>
              <w:t xml:space="preserve">навлизане или излизане от </w:t>
            </w:r>
            <w:r w:rsidR="00D96B5B">
              <w:rPr>
                <w:rFonts w:ascii="Times New Roman" w:eastAsia="Calibri" w:hAnsi="Times New Roman" w:cs="Times New Roman"/>
                <w:sz w:val="24"/>
                <w:szCs w:val="24"/>
                <w:lang w:bidi="bn-BD"/>
              </w:rPr>
              <w:t>него.</w:t>
            </w:r>
          </w:p>
        </w:tc>
      </w:tr>
      <w:tr w:rsidR="00741AC3" w:rsidRPr="006E0704" w14:paraId="3BA7F549" w14:textId="77777777" w:rsidTr="002F7F79">
        <w:tc>
          <w:tcPr>
            <w:tcW w:w="3501" w:type="dxa"/>
            <w:shd w:val="clear" w:color="auto" w:fill="auto"/>
          </w:tcPr>
          <w:p w14:paraId="73D4D31F" w14:textId="51F3CC78" w:rsidR="00741AC3" w:rsidRPr="00251AA1" w:rsidRDefault="00741AC3" w:rsidP="00386CC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51AA1">
              <w:rPr>
                <w:rFonts w:ascii="Times New Roman" w:eastAsia="Calibri" w:hAnsi="Times New Roman" w:cs="Times New Roman"/>
                <w:sz w:val="24"/>
                <w:szCs w:val="24"/>
              </w:rPr>
              <w:t>2. Ограничаване на възможностите на доставчиците да се конкурират</w:t>
            </w:r>
          </w:p>
          <w:p w14:paraId="0EE51034" w14:textId="77777777" w:rsidR="00741AC3" w:rsidRPr="00251AA1" w:rsidRDefault="00741AC3" w:rsidP="00386CC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561" w:type="dxa"/>
            <w:shd w:val="clear" w:color="auto" w:fill="auto"/>
          </w:tcPr>
          <w:p w14:paraId="7685CAFC" w14:textId="1187DF29" w:rsidR="005E0DB9" w:rsidRPr="005E0DB9" w:rsidRDefault="00C639A8" w:rsidP="00386CCC">
            <w:pPr>
              <w:spacing w:line="240" w:lineRule="auto"/>
              <w:jc w:val="both"/>
              <w:rPr>
                <w:rFonts w:ascii="Times New Roman" w:eastAsia="Calibri" w:hAnsi="Times New Roman" w:cs="Times New Roman"/>
                <w:sz w:val="24"/>
                <w:szCs w:val="24"/>
                <w:lang w:bidi="bn-BD"/>
              </w:rPr>
            </w:pPr>
            <w:r>
              <w:rPr>
                <w:rFonts w:ascii="Times New Roman" w:eastAsia="Calibri" w:hAnsi="Times New Roman" w:cs="Times New Roman"/>
                <w:sz w:val="24"/>
                <w:szCs w:val="24"/>
                <w:lang w:bidi="bn-BD"/>
              </w:rPr>
              <w:t>Производителите и д</w:t>
            </w:r>
            <w:r w:rsidR="00741AC3" w:rsidRPr="00251AA1">
              <w:rPr>
                <w:rFonts w:ascii="Times New Roman" w:eastAsia="Calibri" w:hAnsi="Times New Roman" w:cs="Times New Roman"/>
                <w:sz w:val="24"/>
                <w:szCs w:val="24"/>
                <w:lang w:bidi="bn-BD"/>
              </w:rPr>
              <w:t>оставчиците са сред най-уязвимите участници по веригата</w:t>
            </w:r>
            <w:r>
              <w:rPr>
                <w:rFonts w:ascii="Times New Roman" w:eastAsia="Calibri" w:hAnsi="Times New Roman" w:cs="Times New Roman"/>
                <w:sz w:val="24"/>
                <w:szCs w:val="24"/>
                <w:lang w:bidi="bn-BD"/>
              </w:rPr>
              <w:t xml:space="preserve"> </w:t>
            </w:r>
            <w:r w:rsidRPr="00C639A8">
              <w:rPr>
                <w:rFonts w:ascii="Times New Roman" w:eastAsia="Calibri" w:hAnsi="Times New Roman" w:cs="Times New Roman"/>
                <w:sz w:val="24"/>
                <w:szCs w:val="24"/>
                <w:lang w:bidi="bn-BD"/>
              </w:rPr>
              <w:t>на доставки</w:t>
            </w:r>
            <w:r>
              <w:rPr>
                <w:rFonts w:ascii="Times New Roman" w:eastAsia="Calibri" w:hAnsi="Times New Roman" w:cs="Times New Roman"/>
                <w:sz w:val="24"/>
                <w:szCs w:val="24"/>
                <w:lang w:bidi="bn-BD"/>
              </w:rPr>
              <w:t xml:space="preserve"> на земеделски продукти и храни</w:t>
            </w:r>
            <w:r w:rsidR="00741AC3" w:rsidRPr="00251AA1">
              <w:rPr>
                <w:rFonts w:ascii="Times New Roman" w:eastAsia="Calibri" w:hAnsi="Times New Roman" w:cs="Times New Roman"/>
                <w:sz w:val="24"/>
                <w:szCs w:val="24"/>
                <w:lang w:bidi="bn-BD"/>
              </w:rPr>
              <w:t xml:space="preserve">, тъй като достъпът им до крайния потребител зависи от икономически </w:t>
            </w:r>
            <w:r>
              <w:rPr>
                <w:rFonts w:ascii="Times New Roman" w:eastAsia="Calibri" w:hAnsi="Times New Roman" w:cs="Times New Roman"/>
                <w:sz w:val="24"/>
                <w:szCs w:val="24"/>
                <w:lang w:bidi="bn-BD"/>
              </w:rPr>
              <w:t>по-</w:t>
            </w:r>
            <w:r w:rsidR="00741AC3" w:rsidRPr="00251AA1">
              <w:rPr>
                <w:rFonts w:ascii="Times New Roman" w:eastAsia="Calibri" w:hAnsi="Times New Roman" w:cs="Times New Roman"/>
                <w:sz w:val="24"/>
                <w:szCs w:val="24"/>
                <w:lang w:bidi="bn-BD"/>
              </w:rPr>
              <w:t>силни оператори</w:t>
            </w:r>
            <w:r w:rsidR="005A3045">
              <w:rPr>
                <w:rFonts w:ascii="Times New Roman" w:eastAsia="Calibri" w:hAnsi="Times New Roman" w:cs="Times New Roman"/>
                <w:sz w:val="24"/>
                <w:szCs w:val="24"/>
                <w:lang w:bidi="bn-BD"/>
              </w:rPr>
              <w:t>.</w:t>
            </w:r>
            <w:r>
              <w:rPr>
                <w:rFonts w:ascii="Times New Roman" w:eastAsia="Calibri" w:hAnsi="Times New Roman" w:cs="Times New Roman"/>
                <w:sz w:val="24"/>
                <w:szCs w:val="24"/>
                <w:lang w:bidi="bn-BD"/>
              </w:rPr>
              <w:t xml:space="preserve"> Т</w:t>
            </w:r>
            <w:r w:rsidR="00CB5880">
              <w:rPr>
                <w:rFonts w:ascii="Times New Roman" w:eastAsia="Calibri" w:hAnsi="Times New Roman" w:cs="Times New Roman"/>
                <w:sz w:val="24"/>
                <w:szCs w:val="24"/>
                <w:lang w:bidi="bn-BD"/>
              </w:rPr>
              <w:t>ази</w:t>
            </w:r>
            <w:r>
              <w:rPr>
                <w:rFonts w:ascii="Times New Roman" w:eastAsia="Calibri" w:hAnsi="Times New Roman" w:cs="Times New Roman"/>
                <w:sz w:val="24"/>
                <w:szCs w:val="24"/>
                <w:lang w:bidi="bn-BD"/>
              </w:rPr>
              <w:t xml:space="preserve"> позиция</w:t>
            </w:r>
            <w:r w:rsidR="00CB5880">
              <w:rPr>
                <w:rFonts w:ascii="Times New Roman" w:eastAsia="Calibri" w:hAnsi="Times New Roman" w:cs="Times New Roman"/>
                <w:sz w:val="24"/>
                <w:szCs w:val="24"/>
                <w:lang w:bidi="bn-BD"/>
              </w:rPr>
              <w:t xml:space="preserve"> на последните</w:t>
            </w:r>
            <w:r>
              <w:rPr>
                <w:rFonts w:ascii="Times New Roman" w:eastAsia="Calibri" w:hAnsi="Times New Roman" w:cs="Times New Roman"/>
                <w:sz w:val="24"/>
                <w:szCs w:val="24"/>
                <w:lang w:bidi="bn-BD"/>
              </w:rPr>
              <w:t xml:space="preserve"> им </w:t>
            </w:r>
            <w:r w:rsidR="00D43DB0" w:rsidRPr="00D43DB0">
              <w:rPr>
                <w:rFonts w:ascii="Times New Roman" w:eastAsia="Calibri" w:hAnsi="Times New Roman" w:cs="Times New Roman"/>
                <w:sz w:val="24"/>
                <w:szCs w:val="24"/>
                <w:lang w:bidi="bn-BD"/>
              </w:rPr>
              <w:t xml:space="preserve">позволява едностранно </w:t>
            </w:r>
            <w:r w:rsidR="00CB5880">
              <w:rPr>
                <w:rFonts w:ascii="Times New Roman" w:eastAsia="Calibri" w:hAnsi="Times New Roman" w:cs="Times New Roman"/>
                <w:sz w:val="24"/>
                <w:szCs w:val="24"/>
                <w:lang w:bidi="bn-BD"/>
              </w:rPr>
              <w:t>да поставят</w:t>
            </w:r>
            <w:r>
              <w:rPr>
                <w:rFonts w:ascii="Times New Roman" w:eastAsia="Calibri" w:hAnsi="Times New Roman" w:cs="Times New Roman"/>
                <w:sz w:val="24"/>
                <w:szCs w:val="24"/>
                <w:lang w:bidi="bn-BD"/>
              </w:rPr>
              <w:t xml:space="preserve"> допълнителни </w:t>
            </w:r>
            <w:r w:rsidR="00CB5880">
              <w:rPr>
                <w:rFonts w:ascii="Times New Roman" w:eastAsia="Calibri" w:hAnsi="Times New Roman" w:cs="Times New Roman"/>
                <w:sz w:val="24"/>
                <w:szCs w:val="24"/>
                <w:lang w:bidi="bn-BD"/>
              </w:rPr>
              <w:t>условия</w:t>
            </w:r>
            <w:r w:rsidR="00D43DB0" w:rsidRPr="00D43DB0">
              <w:rPr>
                <w:rFonts w:ascii="Times New Roman" w:eastAsia="Calibri" w:hAnsi="Times New Roman" w:cs="Times New Roman"/>
                <w:sz w:val="24"/>
                <w:szCs w:val="24"/>
                <w:lang w:bidi="bn-BD"/>
              </w:rPr>
              <w:t xml:space="preserve"> за достъп до основните канали за дистрибуция, </w:t>
            </w:r>
            <w:r w:rsidR="009F5887">
              <w:rPr>
                <w:rFonts w:ascii="Times New Roman" w:eastAsia="Calibri" w:hAnsi="Times New Roman" w:cs="Times New Roman"/>
                <w:sz w:val="24"/>
                <w:szCs w:val="24"/>
                <w:lang w:bidi="bn-BD"/>
              </w:rPr>
              <w:t xml:space="preserve">което </w:t>
            </w:r>
            <w:r w:rsidR="00D43DB0" w:rsidRPr="00D43DB0">
              <w:rPr>
                <w:rFonts w:ascii="Times New Roman" w:eastAsia="Calibri" w:hAnsi="Times New Roman" w:cs="Times New Roman"/>
                <w:sz w:val="24"/>
                <w:szCs w:val="24"/>
                <w:lang w:bidi="bn-BD"/>
              </w:rPr>
              <w:t>задълбочава икономическата зависимост на доставчиците и подкопава възможността им както да се конкурират на равни начала във веригата на доставки, така и да осъществяват свободен избор относно развитието на производствения си процес</w:t>
            </w:r>
            <w:r w:rsidR="00D43DB0">
              <w:rPr>
                <w:rFonts w:ascii="Times New Roman" w:eastAsia="Calibri" w:hAnsi="Times New Roman" w:cs="Times New Roman"/>
                <w:sz w:val="24"/>
                <w:szCs w:val="24"/>
                <w:lang w:bidi="bn-BD"/>
              </w:rPr>
              <w:t xml:space="preserve">, </w:t>
            </w:r>
            <w:r w:rsidR="00D43DB0" w:rsidRPr="00D43DB0">
              <w:rPr>
                <w:rFonts w:ascii="Times New Roman" w:eastAsia="Calibri" w:hAnsi="Times New Roman" w:cs="Times New Roman"/>
                <w:sz w:val="24"/>
                <w:szCs w:val="24"/>
                <w:lang w:bidi="bn-BD"/>
              </w:rPr>
              <w:t>адаптация</w:t>
            </w:r>
            <w:r w:rsidR="00CB5880">
              <w:rPr>
                <w:rFonts w:ascii="Times New Roman" w:eastAsia="Calibri" w:hAnsi="Times New Roman" w:cs="Times New Roman"/>
                <w:sz w:val="24"/>
                <w:szCs w:val="24"/>
                <w:lang w:bidi="bn-BD"/>
              </w:rPr>
              <w:t>та</w:t>
            </w:r>
            <w:r w:rsidR="00D43DB0" w:rsidRPr="00D43DB0">
              <w:rPr>
                <w:rFonts w:ascii="Times New Roman" w:eastAsia="Calibri" w:hAnsi="Times New Roman" w:cs="Times New Roman"/>
                <w:sz w:val="24"/>
                <w:szCs w:val="24"/>
                <w:lang w:bidi="bn-BD"/>
              </w:rPr>
              <w:t xml:space="preserve"> към пазарните условия, технологичните </w:t>
            </w:r>
            <w:r w:rsidR="00DB5E09">
              <w:rPr>
                <w:rFonts w:ascii="Times New Roman" w:eastAsia="Calibri" w:hAnsi="Times New Roman" w:cs="Times New Roman"/>
                <w:sz w:val="24"/>
                <w:szCs w:val="24"/>
                <w:lang w:bidi="bn-BD"/>
              </w:rPr>
              <w:t>промени</w:t>
            </w:r>
            <w:r w:rsidR="00D43DB0" w:rsidRPr="00D43DB0">
              <w:rPr>
                <w:rFonts w:ascii="Times New Roman" w:eastAsia="Calibri" w:hAnsi="Times New Roman" w:cs="Times New Roman"/>
                <w:sz w:val="24"/>
                <w:szCs w:val="24"/>
                <w:lang w:bidi="bn-BD"/>
              </w:rPr>
              <w:t xml:space="preserve"> и собствената им стопанска стратегия.</w:t>
            </w:r>
          </w:p>
        </w:tc>
      </w:tr>
      <w:tr w:rsidR="00CB5880" w:rsidRPr="006E0704" w14:paraId="399D8D12" w14:textId="77777777" w:rsidTr="002F7F79">
        <w:tc>
          <w:tcPr>
            <w:tcW w:w="3501" w:type="dxa"/>
            <w:shd w:val="clear" w:color="auto" w:fill="auto"/>
          </w:tcPr>
          <w:p w14:paraId="6E6E069A" w14:textId="7203F44A" w:rsidR="00CB5880" w:rsidRPr="00251AA1" w:rsidRDefault="00CB5880" w:rsidP="00386CC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CB5880">
              <w:rPr>
                <w:rFonts w:ascii="Times New Roman" w:eastAsia="Calibri" w:hAnsi="Times New Roman" w:cs="Times New Roman"/>
                <w:sz w:val="24"/>
                <w:szCs w:val="24"/>
              </w:rPr>
              <w:t>Намалява</w:t>
            </w:r>
            <w:r>
              <w:rPr>
                <w:rFonts w:ascii="Times New Roman" w:eastAsia="Calibri" w:hAnsi="Times New Roman" w:cs="Times New Roman"/>
                <w:sz w:val="24"/>
                <w:szCs w:val="24"/>
              </w:rPr>
              <w:t>не</w:t>
            </w:r>
            <w:r w:rsidRPr="00CB5880">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w:t>
            </w:r>
            <w:r w:rsidRPr="00CB5880">
              <w:rPr>
                <w:rFonts w:ascii="Times New Roman" w:eastAsia="Calibri" w:hAnsi="Times New Roman" w:cs="Times New Roman"/>
                <w:sz w:val="24"/>
                <w:szCs w:val="24"/>
              </w:rPr>
              <w:t xml:space="preserve"> стимулите на доставчиците да се конкурират активно</w:t>
            </w:r>
          </w:p>
        </w:tc>
        <w:tc>
          <w:tcPr>
            <w:tcW w:w="5561" w:type="dxa"/>
            <w:shd w:val="clear" w:color="auto" w:fill="auto"/>
          </w:tcPr>
          <w:p w14:paraId="0E003929" w14:textId="3FFDCE4C" w:rsidR="00CB5880" w:rsidRPr="00251AA1" w:rsidRDefault="00DB5E09" w:rsidP="00386CCC">
            <w:pPr>
              <w:spacing w:after="0" w:line="240" w:lineRule="auto"/>
              <w:ind w:right="22"/>
              <w:jc w:val="both"/>
              <w:rPr>
                <w:rFonts w:ascii="Times New Roman" w:eastAsia="Calibri" w:hAnsi="Times New Roman" w:cs="Times New Roman"/>
                <w:sz w:val="24"/>
                <w:szCs w:val="24"/>
                <w:lang w:bidi="bn-BD"/>
              </w:rPr>
            </w:pPr>
            <w:r>
              <w:rPr>
                <w:rFonts w:ascii="Times New Roman" w:eastAsia="Calibri" w:hAnsi="Times New Roman" w:cs="Times New Roman"/>
                <w:sz w:val="24"/>
                <w:szCs w:val="24"/>
                <w:lang w:bidi="bn-BD"/>
              </w:rPr>
              <w:t xml:space="preserve">Наличието на по-голяма </w:t>
            </w:r>
            <w:r w:rsidR="00CB5880" w:rsidRPr="00280E4D">
              <w:rPr>
                <w:rFonts w:ascii="Times New Roman" w:eastAsia="Calibri" w:hAnsi="Times New Roman" w:cs="Times New Roman"/>
                <w:sz w:val="24"/>
                <w:szCs w:val="24"/>
                <w:lang w:bidi="bn-BD"/>
              </w:rPr>
              <w:t>пазарна сила</w:t>
            </w:r>
            <w:r>
              <w:rPr>
                <w:rFonts w:ascii="Times New Roman" w:eastAsia="Calibri" w:hAnsi="Times New Roman" w:cs="Times New Roman"/>
                <w:sz w:val="24"/>
                <w:szCs w:val="24"/>
                <w:lang w:bidi="bn-BD"/>
              </w:rPr>
              <w:t xml:space="preserve"> на купувача</w:t>
            </w:r>
            <w:r w:rsidR="00CB5880" w:rsidRPr="00280E4D">
              <w:rPr>
                <w:rFonts w:ascii="Times New Roman" w:eastAsia="Calibri" w:hAnsi="Times New Roman" w:cs="Times New Roman"/>
                <w:sz w:val="24"/>
                <w:szCs w:val="24"/>
                <w:lang w:bidi="bn-BD"/>
              </w:rPr>
              <w:t xml:space="preserve"> </w:t>
            </w:r>
            <w:r>
              <w:rPr>
                <w:rFonts w:ascii="Times New Roman" w:eastAsia="Calibri" w:hAnsi="Times New Roman" w:cs="Times New Roman"/>
                <w:sz w:val="24"/>
                <w:szCs w:val="24"/>
                <w:lang w:bidi="bn-BD"/>
              </w:rPr>
              <w:t>позволява</w:t>
            </w:r>
            <w:r w:rsidR="00CB5880" w:rsidRPr="00280E4D">
              <w:rPr>
                <w:rFonts w:ascii="Times New Roman" w:eastAsia="Calibri" w:hAnsi="Times New Roman" w:cs="Times New Roman"/>
                <w:sz w:val="24"/>
                <w:szCs w:val="24"/>
                <w:lang w:bidi="bn-BD"/>
              </w:rPr>
              <w:t xml:space="preserve"> координирано пазарно поведение, което намалява стимулите за активна конкуренция между </w:t>
            </w:r>
            <w:r>
              <w:rPr>
                <w:rFonts w:ascii="Times New Roman" w:eastAsia="Calibri" w:hAnsi="Times New Roman" w:cs="Times New Roman"/>
                <w:sz w:val="24"/>
                <w:szCs w:val="24"/>
                <w:lang w:bidi="bn-BD"/>
              </w:rPr>
              <w:t xml:space="preserve">производителите и </w:t>
            </w:r>
            <w:r w:rsidR="00CB5880" w:rsidRPr="00280E4D">
              <w:rPr>
                <w:rFonts w:ascii="Times New Roman" w:eastAsia="Calibri" w:hAnsi="Times New Roman" w:cs="Times New Roman"/>
                <w:sz w:val="24"/>
                <w:szCs w:val="24"/>
                <w:lang w:bidi="bn-BD"/>
              </w:rPr>
              <w:t>доставчиците.</w:t>
            </w:r>
            <w:r w:rsidR="00CB5880">
              <w:rPr>
                <w:rFonts w:ascii="Times New Roman" w:eastAsia="Calibri" w:hAnsi="Times New Roman" w:cs="Times New Roman"/>
                <w:sz w:val="24"/>
                <w:szCs w:val="24"/>
                <w:lang w:bidi="bn-BD"/>
              </w:rPr>
              <w:t xml:space="preserve"> Този модел на </w:t>
            </w:r>
            <w:r w:rsidR="00CB5880">
              <w:rPr>
                <w:rFonts w:ascii="Times New Roman" w:eastAsia="Calibri" w:hAnsi="Times New Roman" w:cs="Times New Roman"/>
                <w:sz w:val="24"/>
                <w:szCs w:val="24"/>
                <w:lang w:bidi="bn-BD"/>
              </w:rPr>
              <w:lastRenderedPageBreak/>
              <w:t xml:space="preserve">отношения </w:t>
            </w:r>
            <w:r w:rsidR="00CB5880" w:rsidRPr="00280E4D">
              <w:rPr>
                <w:rFonts w:ascii="Times New Roman" w:eastAsia="Calibri" w:hAnsi="Times New Roman" w:cs="Times New Roman"/>
                <w:sz w:val="24"/>
                <w:szCs w:val="24"/>
                <w:lang w:bidi="bn-BD"/>
              </w:rPr>
              <w:t xml:space="preserve">обективно затруднява новонавлизащите предприятия, като достъпът до основните канали за дистрибуция </w:t>
            </w:r>
            <w:r w:rsidR="00CB5880">
              <w:rPr>
                <w:rFonts w:ascii="Times New Roman" w:eastAsia="Calibri" w:hAnsi="Times New Roman" w:cs="Times New Roman"/>
                <w:sz w:val="24"/>
                <w:szCs w:val="24"/>
                <w:lang w:bidi="bn-BD"/>
              </w:rPr>
              <w:t>остава</w:t>
            </w:r>
            <w:r w:rsidR="00CB5880" w:rsidRPr="00280E4D">
              <w:rPr>
                <w:rFonts w:ascii="Times New Roman" w:eastAsia="Calibri" w:hAnsi="Times New Roman" w:cs="Times New Roman"/>
                <w:sz w:val="24"/>
                <w:szCs w:val="24"/>
                <w:lang w:bidi="bn-BD"/>
              </w:rPr>
              <w:t xml:space="preserve"> силно ограничен от вече установени икономически зависимости и търговски практики. </w:t>
            </w:r>
            <w:r w:rsidR="00CB5880">
              <w:rPr>
                <w:rFonts w:ascii="Times New Roman" w:eastAsia="Calibri" w:hAnsi="Times New Roman" w:cs="Times New Roman"/>
                <w:sz w:val="24"/>
                <w:szCs w:val="24"/>
                <w:lang w:bidi="bn-BD"/>
              </w:rPr>
              <w:t>Н</w:t>
            </w:r>
            <w:r w:rsidR="00CB5880" w:rsidRPr="00280E4D">
              <w:rPr>
                <w:rFonts w:ascii="Times New Roman" w:eastAsia="Calibri" w:hAnsi="Times New Roman" w:cs="Times New Roman"/>
                <w:sz w:val="24"/>
                <w:szCs w:val="24"/>
                <w:lang w:bidi="bn-BD"/>
              </w:rPr>
              <w:t xml:space="preserve">овите участници се сблъскват не </w:t>
            </w:r>
            <w:r>
              <w:rPr>
                <w:rFonts w:ascii="Times New Roman" w:eastAsia="Calibri" w:hAnsi="Times New Roman" w:cs="Times New Roman"/>
                <w:sz w:val="24"/>
                <w:szCs w:val="24"/>
                <w:lang w:bidi="bn-BD"/>
              </w:rPr>
              <w:t>само</w:t>
            </w:r>
            <w:r w:rsidR="00CB5880" w:rsidRPr="00280E4D">
              <w:rPr>
                <w:rFonts w:ascii="Times New Roman" w:eastAsia="Calibri" w:hAnsi="Times New Roman" w:cs="Times New Roman"/>
                <w:sz w:val="24"/>
                <w:szCs w:val="24"/>
                <w:lang w:bidi="bn-BD"/>
              </w:rPr>
              <w:t xml:space="preserve"> с бариери за </w:t>
            </w:r>
            <w:r>
              <w:rPr>
                <w:rFonts w:ascii="Times New Roman" w:eastAsia="Calibri" w:hAnsi="Times New Roman" w:cs="Times New Roman"/>
                <w:sz w:val="24"/>
                <w:szCs w:val="24"/>
                <w:lang w:bidi="bn-BD"/>
              </w:rPr>
              <w:t>навлизане на</w:t>
            </w:r>
            <w:r w:rsidR="00CB5880" w:rsidRPr="00280E4D">
              <w:rPr>
                <w:rFonts w:ascii="Times New Roman" w:eastAsia="Calibri" w:hAnsi="Times New Roman" w:cs="Times New Roman"/>
                <w:sz w:val="24"/>
                <w:szCs w:val="24"/>
                <w:lang w:bidi="bn-BD"/>
              </w:rPr>
              <w:t xml:space="preserve"> пазара, но и с ограничена възможност да предложат конкурентни условия, което на практика </w:t>
            </w:r>
            <w:r>
              <w:rPr>
                <w:rFonts w:ascii="Times New Roman" w:eastAsia="Calibri" w:hAnsi="Times New Roman" w:cs="Times New Roman"/>
                <w:sz w:val="24"/>
                <w:szCs w:val="24"/>
                <w:lang w:bidi="bn-BD"/>
              </w:rPr>
              <w:t>ограничава</w:t>
            </w:r>
            <w:r w:rsidR="00CB5880" w:rsidRPr="00280E4D">
              <w:rPr>
                <w:rFonts w:ascii="Times New Roman" w:eastAsia="Calibri" w:hAnsi="Times New Roman" w:cs="Times New Roman"/>
                <w:sz w:val="24"/>
                <w:szCs w:val="24"/>
                <w:lang w:bidi="bn-BD"/>
              </w:rPr>
              <w:t xml:space="preserve"> шансовете им за устойчиво</w:t>
            </w:r>
            <w:r>
              <w:rPr>
                <w:rFonts w:ascii="Times New Roman" w:eastAsia="Calibri" w:hAnsi="Times New Roman" w:cs="Times New Roman"/>
                <w:sz w:val="24"/>
                <w:szCs w:val="24"/>
                <w:lang w:bidi="bn-BD"/>
              </w:rPr>
              <w:t xml:space="preserve"> производство и икономическо</w:t>
            </w:r>
            <w:r w:rsidR="00CB5880" w:rsidRPr="00280E4D">
              <w:rPr>
                <w:rFonts w:ascii="Times New Roman" w:eastAsia="Calibri" w:hAnsi="Times New Roman" w:cs="Times New Roman"/>
                <w:sz w:val="24"/>
                <w:szCs w:val="24"/>
                <w:lang w:bidi="bn-BD"/>
              </w:rPr>
              <w:t xml:space="preserve"> развитие.</w:t>
            </w:r>
          </w:p>
        </w:tc>
      </w:tr>
      <w:tr w:rsidR="00CB5880" w:rsidRPr="006E0704" w14:paraId="5D76467D" w14:textId="77777777" w:rsidTr="002F7F79">
        <w:tc>
          <w:tcPr>
            <w:tcW w:w="3501" w:type="dxa"/>
            <w:shd w:val="clear" w:color="auto" w:fill="auto"/>
          </w:tcPr>
          <w:p w14:paraId="151A85E6" w14:textId="1EA7DA4F" w:rsidR="00CB5880" w:rsidRPr="00251AA1" w:rsidRDefault="00CB5880" w:rsidP="00386CC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4. </w:t>
            </w:r>
            <w:r w:rsidRPr="00CB5880">
              <w:rPr>
                <w:rFonts w:ascii="Times New Roman" w:eastAsia="Calibri" w:hAnsi="Times New Roman" w:cs="Times New Roman"/>
                <w:sz w:val="24"/>
                <w:szCs w:val="24"/>
              </w:rPr>
              <w:t>Ограничава</w:t>
            </w:r>
            <w:r>
              <w:rPr>
                <w:rFonts w:ascii="Times New Roman" w:eastAsia="Calibri" w:hAnsi="Times New Roman" w:cs="Times New Roman"/>
                <w:sz w:val="24"/>
                <w:szCs w:val="24"/>
              </w:rPr>
              <w:t>не на</w:t>
            </w:r>
            <w:r w:rsidRPr="00CB5880">
              <w:rPr>
                <w:rFonts w:ascii="Times New Roman" w:eastAsia="Calibri" w:hAnsi="Times New Roman" w:cs="Times New Roman"/>
                <w:sz w:val="24"/>
                <w:szCs w:val="24"/>
              </w:rPr>
              <w:t xml:space="preserve"> избор и информацията на потребителите</w:t>
            </w:r>
          </w:p>
        </w:tc>
        <w:tc>
          <w:tcPr>
            <w:tcW w:w="5561" w:type="dxa"/>
            <w:shd w:val="clear" w:color="auto" w:fill="auto"/>
          </w:tcPr>
          <w:p w14:paraId="358F81E0" w14:textId="0E85FC4F" w:rsidR="00CB5880" w:rsidRPr="00251AA1" w:rsidRDefault="00CB5880" w:rsidP="00F31B33">
            <w:pPr>
              <w:spacing w:after="0" w:line="240" w:lineRule="auto"/>
              <w:ind w:right="22"/>
              <w:jc w:val="both"/>
              <w:rPr>
                <w:rFonts w:ascii="Times New Roman" w:eastAsia="Calibri" w:hAnsi="Times New Roman" w:cs="Times New Roman"/>
                <w:sz w:val="24"/>
                <w:szCs w:val="24"/>
                <w:lang w:bidi="bn-BD"/>
              </w:rPr>
            </w:pPr>
            <w:r w:rsidRPr="000666CD">
              <w:rPr>
                <w:rFonts w:ascii="Times New Roman" w:eastAsia="Calibri" w:hAnsi="Times New Roman" w:cs="Times New Roman"/>
                <w:sz w:val="24"/>
                <w:szCs w:val="24"/>
                <w:lang w:bidi="bn-BD"/>
              </w:rPr>
              <w:t xml:space="preserve">Анализът на </w:t>
            </w:r>
            <w:r w:rsidR="00DB5E09">
              <w:rPr>
                <w:rFonts w:ascii="Times New Roman" w:eastAsia="Calibri" w:hAnsi="Times New Roman" w:cs="Times New Roman"/>
                <w:sz w:val="24"/>
                <w:szCs w:val="24"/>
                <w:lang w:bidi="bn-BD"/>
              </w:rPr>
              <w:t>въведените към момента</w:t>
            </w:r>
            <w:r w:rsidRPr="000666CD">
              <w:rPr>
                <w:rFonts w:ascii="Times New Roman" w:eastAsia="Calibri" w:hAnsi="Times New Roman" w:cs="Times New Roman"/>
                <w:sz w:val="24"/>
                <w:szCs w:val="24"/>
                <w:lang w:bidi="bn-BD"/>
              </w:rPr>
              <w:t xml:space="preserve"> законодателни и контролни мерки показва, че тяхното въздействие върху преодоляване</w:t>
            </w:r>
            <w:r>
              <w:rPr>
                <w:rFonts w:ascii="Times New Roman" w:eastAsia="Calibri" w:hAnsi="Times New Roman" w:cs="Times New Roman"/>
                <w:sz w:val="24"/>
                <w:szCs w:val="24"/>
                <w:lang w:bidi="bn-BD"/>
              </w:rPr>
              <w:t>то</w:t>
            </w:r>
            <w:r w:rsidRPr="000666CD">
              <w:rPr>
                <w:rFonts w:ascii="Times New Roman" w:eastAsia="Calibri" w:hAnsi="Times New Roman" w:cs="Times New Roman"/>
                <w:sz w:val="24"/>
                <w:szCs w:val="24"/>
                <w:lang w:bidi="bn-BD"/>
              </w:rPr>
              <w:t xml:space="preserve"> на </w:t>
            </w:r>
            <w:r>
              <w:rPr>
                <w:rFonts w:ascii="Times New Roman" w:eastAsia="Calibri" w:hAnsi="Times New Roman" w:cs="Times New Roman"/>
                <w:sz w:val="24"/>
                <w:szCs w:val="24"/>
                <w:lang w:bidi="bn-BD"/>
              </w:rPr>
              <w:t>посочените</w:t>
            </w:r>
            <w:r w:rsidRPr="000666CD">
              <w:rPr>
                <w:rFonts w:ascii="Times New Roman" w:eastAsia="Calibri" w:hAnsi="Times New Roman" w:cs="Times New Roman"/>
                <w:sz w:val="24"/>
                <w:szCs w:val="24"/>
                <w:lang w:bidi="bn-BD"/>
              </w:rPr>
              <w:t xml:space="preserve"> </w:t>
            </w:r>
            <w:r>
              <w:rPr>
                <w:rFonts w:ascii="Times New Roman" w:eastAsia="Calibri" w:hAnsi="Times New Roman" w:cs="Times New Roman"/>
                <w:sz w:val="24"/>
                <w:szCs w:val="24"/>
                <w:lang w:bidi="bn-BD"/>
              </w:rPr>
              <w:t>дефицити</w:t>
            </w:r>
            <w:r w:rsidRPr="000666CD">
              <w:rPr>
                <w:rFonts w:ascii="Times New Roman" w:eastAsia="Calibri" w:hAnsi="Times New Roman" w:cs="Times New Roman"/>
                <w:sz w:val="24"/>
                <w:szCs w:val="24"/>
                <w:lang w:bidi="bn-BD"/>
              </w:rPr>
              <w:t xml:space="preserve"> </w:t>
            </w:r>
            <w:r w:rsidR="00DB5E09">
              <w:rPr>
                <w:rFonts w:ascii="Times New Roman" w:eastAsia="Calibri" w:hAnsi="Times New Roman" w:cs="Times New Roman"/>
                <w:sz w:val="24"/>
                <w:szCs w:val="24"/>
                <w:lang w:bidi="bn-BD"/>
              </w:rPr>
              <w:t xml:space="preserve">в отношенията по </w:t>
            </w:r>
            <w:r w:rsidR="00DB5E09" w:rsidRPr="00DB5E09">
              <w:rPr>
                <w:rFonts w:ascii="Times New Roman" w:eastAsia="Calibri" w:hAnsi="Times New Roman" w:cs="Times New Roman"/>
                <w:sz w:val="24"/>
                <w:szCs w:val="24"/>
                <w:lang w:bidi="bn-BD"/>
              </w:rPr>
              <w:t>веригата на доставки на земеделски продукти и храни</w:t>
            </w:r>
            <w:r w:rsidR="00DB5E09" w:rsidRPr="00DB5E09">
              <w:rPr>
                <w:rFonts w:ascii="Times New Roman" w:eastAsia="Calibri" w:hAnsi="Times New Roman" w:cs="Times New Roman"/>
                <w:sz w:val="24"/>
                <w:szCs w:val="24"/>
                <w:lang w:bidi="bn-BD"/>
              </w:rPr>
              <w:tab/>
            </w:r>
            <w:r w:rsidRPr="000666CD">
              <w:rPr>
                <w:rFonts w:ascii="Times New Roman" w:eastAsia="Calibri" w:hAnsi="Times New Roman" w:cs="Times New Roman"/>
                <w:sz w:val="24"/>
                <w:szCs w:val="24"/>
                <w:lang w:bidi="bn-BD"/>
              </w:rPr>
              <w:t xml:space="preserve">е недостатъчно. В резултат, </w:t>
            </w:r>
            <w:r w:rsidR="00DB5E09">
              <w:rPr>
                <w:rFonts w:ascii="Times New Roman" w:eastAsia="Calibri" w:hAnsi="Times New Roman" w:cs="Times New Roman"/>
                <w:sz w:val="24"/>
                <w:szCs w:val="24"/>
                <w:lang w:bidi="bn-BD"/>
              </w:rPr>
              <w:t xml:space="preserve">съществуващата дебалансирана </w:t>
            </w:r>
            <w:r w:rsidRPr="000666CD">
              <w:rPr>
                <w:rFonts w:ascii="Times New Roman" w:eastAsia="Calibri" w:hAnsi="Times New Roman" w:cs="Times New Roman"/>
                <w:sz w:val="24"/>
                <w:szCs w:val="24"/>
                <w:lang w:bidi="bn-BD"/>
              </w:rPr>
              <w:t xml:space="preserve">структура на пазара </w:t>
            </w:r>
            <w:r>
              <w:rPr>
                <w:rFonts w:ascii="Times New Roman" w:eastAsia="Calibri" w:hAnsi="Times New Roman" w:cs="Times New Roman"/>
                <w:sz w:val="24"/>
                <w:szCs w:val="24"/>
                <w:lang w:bidi="bn-BD"/>
              </w:rPr>
              <w:t>огранич</w:t>
            </w:r>
            <w:r w:rsidRPr="000666CD">
              <w:rPr>
                <w:rFonts w:ascii="Times New Roman" w:eastAsia="Calibri" w:hAnsi="Times New Roman" w:cs="Times New Roman"/>
                <w:sz w:val="24"/>
                <w:szCs w:val="24"/>
                <w:lang w:bidi="bn-BD"/>
              </w:rPr>
              <w:t>а</w:t>
            </w:r>
            <w:r>
              <w:rPr>
                <w:rFonts w:ascii="Times New Roman" w:eastAsia="Calibri" w:hAnsi="Times New Roman" w:cs="Times New Roman"/>
                <w:sz w:val="24"/>
                <w:szCs w:val="24"/>
                <w:lang w:bidi="bn-BD"/>
              </w:rPr>
              <w:t>ва</w:t>
            </w:r>
            <w:r w:rsidRPr="000666CD">
              <w:rPr>
                <w:rFonts w:ascii="Times New Roman" w:eastAsia="Calibri" w:hAnsi="Times New Roman" w:cs="Times New Roman"/>
                <w:sz w:val="24"/>
                <w:szCs w:val="24"/>
                <w:lang w:bidi="bn-BD"/>
              </w:rPr>
              <w:t xml:space="preserve"> възможността за избор на потребителите и създава реални бариери пред </w:t>
            </w:r>
            <w:r w:rsidR="00DB5E09">
              <w:rPr>
                <w:rFonts w:ascii="Times New Roman" w:eastAsia="Calibri" w:hAnsi="Times New Roman" w:cs="Times New Roman"/>
                <w:sz w:val="24"/>
                <w:szCs w:val="24"/>
                <w:lang w:bidi="bn-BD"/>
              </w:rPr>
              <w:t xml:space="preserve">тях </w:t>
            </w:r>
            <w:r w:rsidR="00F31B33">
              <w:rPr>
                <w:rFonts w:ascii="Times New Roman" w:eastAsia="Calibri" w:hAnsi="Times New Roman" w:cs="Times New Roman"/>
                <w:sz w:val="24"/>
                <w:szCs w:val="24"/>
                <w:lang w:bidi="bn-BD"/>
              </w:rPr>
              <w:t>з</w:t>
            </w:r>
            <w:r w:rsidR="00DB5E09">
              <w:rPr>
                <w:rFonts w:ascii="Times New Roman" w:eastAsia="Calibri" w:hAnsi="Times New Roman" w:cs="Times New Roman"/>
                <w:sz w:val="24"/>
                <w:szCs w:val="24"/>
                <w:lang w:bidi="bn-BD"/>
              </w:rPr>
              <w:t xml:space="preserve">а </w:t>
            </w:r>
            <w:r w:rsidRPr="000666CD">
              <w:rPr>
                <w:rFonts w:ascii="Times New Roman" w:eastAsia="Calibri" w:hAnsi="Times New Roman" w:cs="Times New Roman"/>
                <w:sz w:val="24"/>
                <w:szCs w:val="24"/>
                <w:lang w:bidi="bn-BD"/>
              </w:rPr>
              <w:t>смяна на доставчи</w:t>
            </w:r>
            <w:r>
              <w:rPr>
                <w:rFonts w:ascii="Times New Roman" w:eastAsia="Calibri" w:hAnsi="Times New Roman" w:cs="Times New Roman"/>
                <w:sz w:val="24"/>
                <w:szCs w:val="24"/>
                <w:lang w:bidi="bn-BD"/>
              </w:rPr>
              <w:t>ци</w:t>
            </w:r>
            <w:r w:rsidRPr="000666CD">
              <w:rPr>
                <w:rFonts w:ascii="Times New Roman" w:eastAsia="Calibri" w:hAnsi="Times New Roman" w:cs="Times New Roman"/>
                <w:sz w:val="24"/>
                <w:szCs w:val="24"/>
                <w:lang w:bidi="bn-BD"/>
              </w:rPr>
              <w:t xml:space="preserve">, чрез увеличаване на разходите за </w:t>
            </w:r>
            <w:r>
              <w:rPr>
                <w:rFonts w:ascii="Times New Roman" w:eastAsia="Calibri" w:hAnsi="Times New Roman" w:cs="Times New Roman"/>
                <w:sz w:val="24"/>
                <w:szCs w:val="24"/>
                <w:lang w:bidi="bn-BD"/>
              </w:rPr>
              <w:t>мобилност</w:t>
            </w:r>
            <w:r w:rsidRPr="000666CD">
              <w:rPr>
                <w:rFonts w:ascii="Times New Roman" w:eastAsia="Calibri" w:hAnsi="Times New Roman" w:cs="Times New Roman"/>
                <w:sz w:val="24"/>
                <w:szCs w:val="24"/>
                <w:lang w:bidi="bn-BD"/>
              </w:rPr>
              <w:t xml:space="preserve"> и намаляване на достъпа до алтернативни оферти.</w:t>
            </w:r>
          </w:p>
        </w:tc>
      </w:tr>
      <w:tr w:rsidR="00741AC3" w:rsidRPr="006E0704" w14:paraId="18E85E65" w14:textId="77777777" w:rsidTr="002F7F79">
        <w:tc>
          <w:tcPr>
            <w:tcW w:w="3501" w:type="dxa"/>
            <w:shd w:val="clear" w:color="auto" w:fill="auto"/>
          </w:tcPr>
          <w:p w14:paraId="588785B0" w14:textId="71D281E6" w:rsidR="00741AC3" w:rsidRPr="00251AA1" w:rsidRDefault="00DB5E09" w:rsidP="00386CC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741AC3" w:rsidRPr="00251AA1">
              <w:rPr>
                <w:rFonts w:ascii="Times New Roman" w:eastAsia="Calibri" w:hAnsi="Times New Roman" w:cs="Times New Roman"/>
                <w:sz w:val="24"/>
                <w:szCs w:val="24"/>
              </w:rPr>
              <w:t>. Ограничаване на възможността на доставчиците да се състезават, като предлагат по-ниски цени, по-добро обслужване, по-добро к</w:t>
            </w:r>
            <w:r w:rsidR="00115FF9">
              <w:rPr>
                <w:rFonts w:ascii="Times New Roman" w:eastAsia="Calibri" w:hAnsi="Times New Roman" w:cs="Times New Roman"/>
                <w:sz w:val="24"/>
                <w:szCs w:val="24"/>
              </w:rPr>
              <w:t>ачество на стоката или услугата</w:t>
            </w:r>
          </w:p>
        </w:tc>
        <w:tc>
          <w:tcPr>
            <w:tcW w:w="5561" w:type="dxa"/>
            <w:shd w:val="clear" w:color="auto" w:fill="auto"/>
          </w:tcPr>
          <w:p w14:paraId="6220A1B4" w14:textId="634C0139" w:rsidR="00741AC3" w:rsidRPr="00251AA1" w:rsidRDefault="000666CD" w:rsidP="00386CCC">
            <w:pPr>
              <w:tabs>
                <w:tab w:val="left" w:pos="4140"/>
              </w:tabs>
              <w:spacing w:after="0" w:line="240" w:lineRule="auto"/>
              <w:ind w:right="22"/>
              <w:jc w:val="both"/>
              <w:rPr>
                <w:rFonts w:ascii="Times New Roman" w:eastAsia="Calibri" w:hAnsi="Times New Roman" w:cs="Times New Roman"/>
                <w:sz w:val="24"/>
                <w:szCs w:val="24"/>
                <w:lang w:bidi="bn-BD"/>
              </w:rPr>
            </w:pPr>
            <w:r w:rsidRPr="000666CD">
              <w:rPr>
                <w:rFonts w:ascii="Times New Roman" w:eastAsia="Calibri" w:hAnsi="Times New Roman" w:cs="Times New Roman"/>
                <w:sz w:val="24"/>
                <w:szCs w:val="24"/>
                <w:lang w:bidi="bn-BD"/>
              </w:rPr>
              <w:t xml:space="preserve">Конкуренцията по отношение на цена, качество и услуга </w:t>
            </w:r>
            <w:r>
              <w:rPr>
                <w:rFonts w:ascii="Times New Roman" w:eastAsia="Calibri" w:hAnsi="Times New Roman" w:cs="Times New Roman"/>
                <w:sz w:val="24"/>
                <w:szCs w:val="24"/>
                <w:lang w:bidi="bn-BD"/>
              </w:rPr>
              <w:t>бива</w:t>
            </w:r>
            <w:r w:rsidRPr="000666CD">
              <w:rPr>
                <w:rFonts w:ascii="Times New Roman" w:eastAsia="Calibri" w:hAnsi="Times New Roman" w:cs="Times New Roman"/>
                <w:sz w:val="24"/>
                <w:szCs w:val="24"/>
                <w:lang w:bidi="bn-BD"/>
              </w:rPr>
              <w:t xml:space="preserve"> подменена от вторични критерии. </w:t>
            </w:r>
            <w:r w:rsidR="00D96B5B">
              <w:rPr>
                <w:rFonts w:ascii="Times New Roman" w:eastAsia="Calibri" w:hAnsi="Times New Roman" w:cs="Times New Roman"/>
                <w:sz w:val="24"/>
                <w:szCs w:val="24"/>
                <w:lang w:bidi="bn-BD"/>
              </w:rPr>
              <w:t>Това ф</w:t>
            </w:r>
            <w:r w:rsidRPr="000666CD">
              <w:rPr>
                <w:rFonts w:ascii="Times New Roman" w:eastAsia="Calibri" w:hAnsi="Times New Roman" w:cs="Times New Roman"/>
                <w:sz w:val="24"/>
                <w:szCs w:val="24"/>
                <w:lang w:bidi="bn-BD"/>
              </w:rPr>
              <w:t xml:space="preserve">ормира среда, в която възможността за реално съревнование </w:t>
            </w:r>
            <w:r w:rsidR="00115FF9">
              <w:rPr>
                <w:rFonts w:ascii="Times New Roman" w:eastAsia="Calibri" w:hAnsi="Times New Roman" w:cs="Times New Roman"/>
                <w:sz w:val="24"/>
                <w:szCs w:val="24"/>
                <w:lang w:bidi="bn-BD"/>
              </w:rPr>
              <w:t xml:space="preserve">на чисто пазарен принцип </w:t>
            </w:r>
            <w:r w:rsidRPr="000666CD">
              <w:rPr>
                <w:rFonts w:ascii="Times New Roman" w:eastAsia="Calibri" w:hAnsi="Times New Roman" w:cs="Times New Roman"/>
                <w:sz w:val="24"/>
                <w:szCs w:val="24"/>
                <w:lang w:bidi="bn-BD"/>
              </w:rPr>
              <w:t xml:space="preserve">е силно </w:t>
            </w:r>
            <w:r>
              <w:rPr>
                <w:rFonts w:ascii="Times New Roman" w:eastAsia="Calibri" w:hAnsi="Times New Roman" w:cs="Times New Roman"/>
                <w:sz w:val="24"/>
                <w:szCs w:val="24"/>
                <w:lang w:bidi="bn-BD"/>
              </w:rPr>
              <w:t>стеснен</w:t>
            </w:r>
            <w:r w:rsidRPr="000666CD">
              <w:rPr>
                <w:rFonts w:ascii="Times New Roman" w:eastAsia="Calibri" w:hAnsi="Times New Roman" w:cs="Times New Roman"/>
                <w:sz w:val="24"/>
                <w:szCs w:val="24"/>
                <w:lang w:bidi="bn-BD"/>
              </w:rPr>
              <w:t xml:space="preserve">а. </w:t>
            </w:r>
          </w:p>
        </w:tc>
      </w:tr>
      <w:tr w:rsidR="00DB5E09" w:rsidRPr="006E0704" w14:paraId="35EDDD18" w14:textId="77777777" w:rsidTr="002E0F8D">
        <w:tc>
          <w:tcPr>
            <w:tcW w:w="3501" w:type="dxa"/>
            <w:shd w:val="clear" w:color="auto" w:fill="auto"/>
          </w:tcPr>
          <w:p w14:paraId="70E43FA6" w14:textId="0B96BF3F" w:rsidR="00DB5E09" w:rsidRPr="00251AA1" w:rsidRDefault="00115FF9" w:rsidP="00386CC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DB5E09" w:rsidRPr="00251AA1">
              <w:rPr>
                <w:rFonts w:ascii="Times New Roman" w:eastAsia="Calibri" w:hAnsi="Times New Roman" w:cs="Times New Roman"/>
                <w:sz w:val="24"/>
                <w:szCs w:val="24"/>
              </w:rPr>
              <w:t>. Определяне на цени, което може да доведе до значителни неблагоприятни последици за конкуренцията</w:t>
            </w:r>
          </w:p>
          <w:p w14:paraId="7F6AA83B" w14:textId="77777777" w:rsidR="00DB5E09" w:rsidRPr="00251AA1" w:rsidRDefault="00DB5E09" w:rsidP="00386CC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561" w:type="dxa"/>
            <w:shd w:val="clear" w:color="auto" w:fill="auto"/>
          </w:tcPr>
          <w:p w14:paraId="4EE157B0" w14:textId="452D1BCB" w:rsidR="00DB5E09" w:rsidRPr="00251AA1" w:rsidRDefault="00DB5E09" w:rsidP="00386CCC">
            <w:pPr>
              <w:spacing w:after="0" w:line="240" w:lineRule="auto"/>
              <w:ind w:right="22"/>
              <w:jc w:val="both"/>
              <w:rPr>
                <w:rFonts w:ascii="Times New Roman" w:eastAsia="Calibri" w:hAnsi="Times New Roman" w:cs="Times New Roman"/>
                <w:sz w:val="24"/>
                <w:szCs w:val="24"/>
                <w:lang w:bidi="bn-BD"/>
              </w:rPr>
            </w:pPr>
            <w:r w:rsidRPr="00251AA1">
              <w:rPr>
                <w:rFonts w:ascii="Times New Roman" w:eastAsia="Calibri" w:hAnsi="Times New Roman" w:cs="Times New Roman"/>
                <w:sz w:val="24"/>
                <w:szCs w:val="24"/>
                <w:lang w:bidi="bn-BD"/>
              </w:rPr>
              <w:t>Ценовата политика на търговските вериги с висок годишен оборот често се формира при условия, които не отразяват пазарната стойност на продуктите, а</w:t>
            </w:r>
            <w:r>
              <w:rPr>
                <w:rFonts w:ascii="Times New Roman" w:eastAsia="Calibri" w:hAnsi="Times New Roman" w:cs="Times New Roman"/>
                <w:sz w:val="24"/>
                <w:szCs w:val="24"/>
                <w:lang w:bidi="bn-BD"/>
              </w:rPr>
              <w:t xml:space="preserve"> </w:t>
            </w:r>
            <w:r w:rsidR="00115FF9">
              <w:rPr>
                <w:rFonts w:ascii="Times New Roman" w:eastAsia="Calibri" w:hAnsi="Times New Roman" w:cs="Times New Roman"/>
                <w:sz w:val="24"/>
                <w:szCs w:val="24"/>
                <w:lang w:bidi="bn-BD"/>
              </w:rPr>
              <w:t>е</w:t>
            </w:r>
            <w:r>
              <w:rPr>
                <w:rFonts w:ascii="Times New Roman" w:eastAsia="Calibri" w:hAnsi="Times New Roman" w:cs="Times New Roman"/>
                <w:sz w:val="24"/>
                <w:szCs w:val="24"/>
                <w:lang w:bidi="bn-BD"/>
              </w:rPr>
              <w:t xml:space="preserve"> насочен</w:t>
            </w:r>
            <w:r w:rsidR="00115FF9">
              <w:rPr>
                <w:rFonts w:ascii="Times New Roman" w:eastAsia="Calibri" w:hAnsi="Times New Roman" w:cs="Times New Roman"/>
                <w:sz w:val="24"/>
                <w:szCs w:val="24"/>
                <w:lang w:bidi="bn-BD"/>
              </w:rPr>
              <w:t>а</w:t>
            </w:r>
            <w:r>
              <w:rPr>
                <w:rFonts w:ascii="Times New Roman" w:eastAsia="Calibri" w:hAnsi="Times New Roman" w:cs="Times New Roman"/>
                <w:sz w:val="24"/>
                <w:szCs w:val="24"/>
                <w:lang w:bidi="bn-BD"/>
              </w:rPr>
              <w:t xml:space="preserve"> към</w:t>
            </w:r>
            <w:r w:rsidRPr="00D96B5B">
              <w:rPr>
                <w:rFonts w:ascii="Times New Roman" w:eastAsia="Calibri" w:hAnsi="Times New Roman" w:cs="Times New Roman"/>
                <w:sz w:val="24"/>
                <w:szCs w:val="24"/>
                <w:lang w:bidi="bn-BD"/>
              </w:rPr>
              <w:t xml:space="preserve"> обслужване на с</w:t>
            </w:r>
            <w:r>
              <w:rPr>
                <w:rFonts w:ascii="Times New Roman" w:eastAsia="Calibri" w:hAnsi="Times New Roman" w:cs="Times New Roman"/>
                <w:sz w:val="24"/>
                <w:szCs w:val="24"/>
                <w:lang w:bidi="bn-BD"/>
              </w:rPr>
              <w:t>обствените им</w:t>
            </w:r>
            <w:r w:rsidRPr="00D96B5B">
              <w:rPr>
                <w:rFonts w:ascii="Times New Roman" w:eastAsia="Calibri" w:hAnsi="Times New Roman" w:cs="Times New Roman"/>
                <w:sz w:val="24"/>
                <w:szCs w:val="24"/>
                <w:lang w:bidi="bn-BD"/>
              </w:rPr>
              <w:t xml:space="preserve"> търговски стратегии</w:t>
            </w:r>
            <w:r w:rsidR="00115FF9">
              <w:rPr>
                <w:rFonts w:ascii="Times New Roman" w:eastAsia="Calibri" w:hAnsi="Times New Roman" w:cs="Times New Roman"/>
                <w:sz w:val="24"/>
                <w:szCs w:val="24"/>
                <w:lang w:bidi="bn-BD"/>
              </w:rPr>
              <w:t xml:space="preserve">. </w:t>
            </w:r>
            <w:r>
              <w:rPr>
                <w:rFonts w:ascii="Times New Roman" w:eastAsia="Calibri" w:hAnsi="Times New Roman" w:cs="Times New Roman"/>
                <w:sz w:val="24"/>
                <w:szCs w:val="24"/>
                <w:lang w:bidi="bn-BD"/>
              </w:rPr>
              <w:t xml:space="preserve">Със своето </w:t>
            </w:r>
            <w:r w:rsidR="00115FF9">
              <w:rPr>
                <w:rFonts w:ascii="Times New Roman" w:eastAsia="Calibri" w:hAnsi="Times New Roman" w:cs="Times New Roman"/>
                <w:sz w:val="24"/>
                <w:szCs w:val="24"/>
                <w:lang w:bidi="bn-BD"/>
              </w:rPr>
              <w:t xml:space="preserve">по-силно пазарно </w:t>
            </w:r>
            <w:r>
              <w:rPr>
                <w:rFonts w:ascii="Times New Roman" w:eastAsia="Calibri" w:hAnsi="Times New Roman" w:cs="Times New Roman"/>
                <w:sz w:val="24"/>
                <w:szCs w:val="24"/>
                <w:lang w:bidi="bn-BD"/>
              </w:rPr>
              <w:t>положение, т</w:t>
            </w:r>
            <w:r w:rsidRPr="00251AA1">
              <w:rPr>
                <w:rFonts w:ascii="Times New Roman" w:eastAsia="Calibri" w:hAnsi="Times New Roman" w:cs="Times New Roman"/>
                <w:sz w:val="24"/>
                <w:szCs w:val="24"/>
                <w:lang w:bidi="bn-BD"/>
              </w:rPr>
              <w:t>е разполагат и с възможността</w:t>
            </w:r>
            <w:r w:rsidR="00115FF9">
              <w:rPr>
                <w:rFonts w:ascii="Times New Roman" w:eastAsia="Calibri" w:hAnsi="Times New Roman" w:cs="Times New Roman"/>
                <w:sz w:val="24"/>
                <w:szCs w:val="24"/>
                <w:lang w:bidi="bn-BD"/>
              </w:rPr>
              <w:t xml:space="preserve"> свободно</w:t>
            </w:r>
            <w:r w:rsidRPr="00251AA1">
              <w:rPr>
                <w:rFonts w:ascii="Times New Roman" w:eastAsia="Calibri" w:hAnsi="Times New Roman" w:cs="Times New Roman"/>
                <w:sz w:val="24"/>
                <w:szCs w:val="24"/>
                <w:lang w:bidi="bn-BD"/>
              </w:rPr>
              <w:t xml:space="preserve"> да завишават или намаляват цени. Това влияе директно върху изкупната цена и ограничава нормалната ценова конкуренция</w:t>
            </w:r>
            <w:r>
              <w:rPr>
                <w:rFonts w:ascii="Times New Roman" w:eastAsia="Calibri" w:hAnsi="Times New Roman" w:cs="Times New Roman"/>
                <w:sz w:val="24"/>
                <w:szCs w:val="24"/>
                <w:lang w:bidi="bn-BD"/>
              </w:rPr>
              <w:t xml:space="preserve">. </w:t>
            </w:r>
          </w:p>
        </w:tc>
      </w:tr>
      <w:tr w:rsidR="00741AC3" w:rsidRPr="006E0704" w14:paraId="7EECD064" w14:textId="77777777" w:rsidTr="002F7F79">
        <w:tc>
          <w:tcPr>
            <w:tcW w:w="3501" w:type="dxa"/>
            <w:shd w:val="clear" w:color="auto" w:fill="auto"/>
          </w:tcPr>
          <w:p w14:paraId="49B46942" w14:textId="373F79C2" w:rsidR="00741AC3" w:rsidRPr="00251AA1" w:rsidRDefault="00115FF9" w:rsidP="00386CC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741AC3" w:rsidRPr="00251AA1">
              <w:rPr>
                <w:rFonts w:ascii="Times New Roman" w:eastAsia="Calibri" w:hAnsi="Times New Roman" w:cs="Times New Roman"/>
                <w:sz w:val="24"/>
                <w:szCs w:val="24"/>
              </w:rPr>
              <w:t>. Правна несигурност за новонавлизащите на съответния пазар</w:t>
            </w:r>
          </w:p>
          <w:p w14:paraId="73D5194C" w14:textId="77777777" w:rsidR="00741AC3" w:rsidRPr="00251AA1" w:rsidRDefault="00741AC3" w:rsidP="00386CC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561" w:type="dxa"/>
            <w:shd w:val="clear" w:color="auto" w:fill="auto"/>
          </w:tcPr>
          <w:p w14:paraId="51387BA9" w14:textId="364D6C49" w:rsidR="00741AC3" w:rsidRPr="00251AA1" w:rsidRDefault="0017237F" w:rsidP="00386CCC">
            <w:pPr>
              <w:spacing w:line="240" w:lineRule="auto"/>
              <w:jc w:val="both"/>
              <w:rPr>
                <w:rFonts w:ascii="Times New Roman" w:eastAsia="Calibri" w:hAnsi="Times New Roman" w:cs="Times New Roman"/>
                <w:sz w:val="24"/>
                <w:szCs w:val="24"/>
                <w:lang w:bidi="bn-BD"/>
              </w:rPr>
            </w:pPr>
            <w:r w:rsidRPr="0017237F">
              <w:rPr>
                <w:rFonts w:ascii="Times New Roman" w:eastAsia="Calibri" w:hAnsi="Times New Roman" w:cs="Times New Roman"/>
                <w:sz w:val="24"/>
                <w:szCs w:val="24"/>
                <w:lang w:bidi="bn-BD"/>
              </w:rPr>
              <w:t xml:space="preserve">Продължаващата неравнопоставеност в договорните отношения </w:t>
            </w:r>
            <w:r w:rsidR="00115FF9">
              <w:rPr>
                <w:rFonts w:ascii="Times New Roman" w:eastAsia="Calibri" w:hAnsi="Times New Roman" w:cs="Times New Roman"/>
                <w:sz w:val="24"/>
                <w:szCs w:val="24"/>
                <w:lang w:bidi="bn-BD"/>
              </w:rPr>
              <w:t xml:space="preserve">по </w:t>
            </w:r>
            <w:r w:rsidR="00115FF9" w:rsidRPr="00115FF9">
              <w:rPr>
                <w:rFonts w:ascii="Times New Roman" w:eastAsia="Calibri" w:hAnsi="Times New Roman" w:cs="Times New Roman"/>
                <w:sz w:val="24"/>
                <w:szCs w:val="24"/>
                <w:lang w:bidi="bn-BD"/>
              </w:rPr>
              <w:t>веригата на доставки</w:t>
            </w:r>
            <w:r w:rsidR="00115FF9">
              <w:rPr>
                <w:rFonts w:ascii="Times New Roman" w:eastAsia="Calibri" w:hAnsi="Times New Roman" w:cs="Times New Roman"/>
                <w:sz w:val="24"/>
                <w:szCs w:val="24"/>
                <w:lang w:bidi="bn-BD"/>
              </w:rPr>
              <w:t xml:space="preserve"> на земеделски продукти и храни </w:t>
            </w:r>
            <w:r w:rsidRPr="0017237F">
              <w:rPr>
                <w:rFonts w:ascii="Times New Roman" w:eastAsia="Calibri" w:hAnsi="Times New Roman" w:cs="Times New Roman"/>
                <w:sz w:val="24"/>
                <w:szCs w:val="24"/>
                <w:lang w:bidi="bn-BD"/>
              </w:rPr>
              <w:t>и произтичащата от нея непропорционалност в разпределението на</w:t>
            </w:r>
            <w:r w:rsidR="00115FF9">
              <w:rPr>
                <w:rFonts w:ascii="Times New Roman" w:eastAsia="Calibri" w:hAnsi="Times New Roman" w:cs="Times New Roman"/>
                <w:sz w:val="24"/>
                <w:szCs w:val="24"/>
                <w:lang w:bidi="bn-BD"/>
              </w:rPr>
              <w:t xml:space="preserve"> реализираната</w:t>
            </w:r>
            <w:r w:rsidRPr="0017237F">
              <w:rPr>
                <w:rFonts w:ascii="Times New Roman" w:eastAsia="Calibri" w:hAnsi="Times New Roman" w:cs="Times New Roman"/>
                <w:sz w:val="24"/>
                <w:szCs w:val="24"/>
                <w:lang w:bidi="bn-BD"/>
              </w:rPr>
              <w:t xml:space="preserve"> добавена стойност</w:t>
            </w:r>
            <w:r w:rsidR="00115FF9">
              <w:rPr>
                <w:rFonts w:ascii="Times New Roman" w:eastAsia="Calibri" w:hAnsi="Times New Roman" w:cs="Times New Roman"/>
                <w:sz w:val="24"/>
                <w:szCs w:val="24"/>
                <w:lang w:bidi="bn-BD"/>
              </w:rPr>
              <w:t xml:space="preserve"> от нея</w:t>
            </w:r>
            <w:r w:rsidRPr="0017237F">
              <w:rPr>
                <w:rFonts w:ascii="Times New Roman" w:eastAsia="Calibri" w:hAnsi="Times New Roman" w:cs="Times New Roman"/>
                <w:sz w:val="24"/>
                <w:szCs w:val="24"/>
                <w:lang w:bidi="bn-BD"/>
              </w:rPr>
              <w:t xml:space="preserve"> създават среда на правна и икономическа несигурност за</w:t>
            </w:r>
            <w:r w:rsidR="00C1475E">
              <w:rPr>
                <w:rFonts w:ascii="Times New Roman" w:eastAsia="Calibri" w:hAnsi="Times New Roman" w:cs="Times New Roman"/>
                <w:sz w:val="24"/>
                <w:szCs w:val="24"/>
                <w:lang w:bidi="bn-BD"/>
              </w:rPr>
              <w:t xml:space="preserve"> текущите и</w:t>
            </w:r>
            <w:r w:rsidRPr="0017237F">
              <w:rPr>
                <w:rFonts w:ascii="Times New Roman" w:eastAsia="Calibri" w:hAnsi="Times New Roman" w:cs="Times New Roman"/>
                <w:sz w:val="24"/>
                <w:szCs w:val="24"/>
                <w:lang w:bidi="bn-BD"/>
              </w:rPr>
              <w:t xml:space="preserve"> новонавлизащите участници, като </w:t>
            </w:r>
            <w:r w:rsidRPr="0017237F">
              <w:rPr>
                <w:rFonts w:ascii="Times New Roman" w:eastAsia="Calibri" w:hAnsi="Times New Roman" w:cs="Times New Roman"/>
                <w:sz w:val="24"/>
                <w:szCs w:val="24"/>
                <w:lang w:bidi="bn-BD"/>
              </w:rPr>
              <w:lastRenderedPageBreak/>
              <w:t>обвързва достъпа</w:t>
            </w:r>
            <w:r w:rsidR="00115FF9">
              <w:rPr>
                <w:rFonts w:ascii="Times New Roman" w:eastAsia="Calibri" w:hAnsi="Times New Roman" w:cs="Times New Roman"/>
                <w:sz w:val="24"/>
                <w:szCs w:val="24"/>
                <w:lang w:bidi="bn-BD"/>
              </w:rPr>
              <w:t xml:space="preserve"> им</w:t>
            </w:r>
            <w:r w:rsidRPr="0017237F">
              <w:rPr>
                <w:rFonts w:ascii="Times New Roman" w:eastAsia="Calibri" w:hAnsi="Times New Roman" w:cs="Times New Roman"/>
                <w:sz w:val="24"/>
                <w:szCs w:val="24"/>
                <w:lang w:bidi="bn-BD"/>
              </w:rPr>
              <w:t xml:space="preserve"> до пазара с условия, отклоняващи се от принципите на свободна стопанска инициатива. Недостатъчната ефективност на нормативната и институционалната рамка затруднява преодоляването на тези практики и не гарантира равн</w:t>
            </w:r>
            <w:r>
              <w:rPr>
                <w:rFonts w:ascii="Times New Roman" w:eastAsia="Calibri" w:hAnsi="Times New Roman" w:cs="Times New Roman"/>
                <w:sz w:val="24"/>
                <w:szCs w:val="24"/>
                <w:lang w:bidi="bn-BD"/>
              </w:rPr>
              <w:t>и</w:t>
            </w:r>
            <w:r w:rsidRPr="0017237F">
              <w:rPr>
                <w:rFonts w:ascii="Times New Roman" w:eastAsia="Calibri" w:hAnsi="Times New Roman" w:cs="Times New Roman"/>
                <w:sz w:val="24"/>
                <w:szCs w:val="24"/>
                <w:lang w:bidi="bn-BD"/>
              </w:rPr>
              <w:t xml:space="preserve"> условия </w:t>
            </w:r>
            <w:r w:rsidR="00115FF9">
              <w:rPr>
                <w:rFonts w:ascii="Times New Roman" w:eastAsia="Calibri" w:hAnsi="Times New Roman" w:cs="Times New Roman"/>
                <w:sz w:val="24"/>
                <w:szCs w:val="24"/>
                <w:lang w:bidi="bn-BD"/>
              </w:rPr>
              <w:t>н</w:t>
            </w:r>
            <w:r w:rsidRPr="0017237F">
              <w:rPr>
                <w:rFonts w:ascii="Times New Roman" w:eastAsia="Calibri" w:hAnsi="Times New Roman" w:cs="Times New Roman"/>
                <w:sz w:val="24"/>
                <w:szCs w:val="24"/>
                <w:lang w:bidi="bn-BD"/>
              </w:rPr>
              <w:t>а конкуренция.</w:t>
            </w:r>
          </w:p>
        </w:tc>
      </w:tr>
    </w:tbl>
    <w:p w14:paraId="65226EC0" w14:textId="77777777" w:rsidR="006E0704" w:rsidRPr="006E0704" w:rsidRDefault="006E0704" w:rsidP="00386CCC">
      <w:pPr>
        <w:spacing w:after="0" w:line="240" w:lineRule="auto"/>
        <w:ind w:firstLine="539"/>
        <w:jc w:val="both"/>
        <w:rPr>
          <w:rFonts w:ascii="Times New Roman" w:eastAsia="Calibri" w:hAnsi="Times New Roman" w:cs="Times New Roman"/>
          <w:i/>
          <w:sz w:val="24"/>
          <w:szCs w:val="24"/>
        </w:rPr>
      </w:pPr>
    </w:p>
    <w:p w14:paraId="414CB7C3" w14:textId="2CD0E784" w:rsidR="00251AA1" w:rsidRDefault="006E0704" w:rsidP="00386CCC">
      <w:pPr>
        <w:spacing w:after="0" w:line="240" w:lineRule="auto"/>
        <w:ind w:firstLine="567"/>
        <w:jc w:val="both"/>
        <w:rPr>
          <w:rFonts w:ascii="Times New Roman" w:eastAsia="Calibri" w:hAnsi="Times New Roman" w:cs="Times New Roman"/>
          <w:iCs/>
          <w:sz w:val="24"/>
          <w:szCs w:val="24"/>
        </w:rPr>
      </w:pPr>
      <w:r w:rsidRPr="00251AA1">
        <w:rPr>
          <w:rFonts w:ascii="Times New Roman" w:eastAsia="Calibri" w:hAnsi="Times New Roman" w:cs="Times New Roman"/>
          <w:sz w:val="24"/>
          <w:szCs w:val="24"/>
        </w:rPr>
        <w:t>Извод</w:t>
      </w:r>
      <w:r w:rsidR="00251AA1">
        <w:rPr>
          <w:rFonts w:ascii="Times New Roman" w:eastAsia="Calibri" w:hAnsi="Times New Roman" w:cs="Times New Roman"/>
          <w:sz w:val="24"/>
          <w:szCs w:val="24"/>
        </w:rPr>
        <w:t>ът, който може да се направи,</w:t>
      </w:r>
      <w:r w:rsidR="008A458D">
        <w:rPr>
          <w:rFonts w:ascii="Times New Roman" w:eastAsia="Calibri" w:hAnsi="Times New Roman" w:cs="Times New Roman"/>
          <w:sz w:val="24"/>
          <w:szCs w:val="24"/>
        </w:rPr>
        <w:t xml:space="preserve"> е,</w:t>
      </w:r>
      <w:r w:rsidR="00251AA1">
        <w:rPr>
          <w:rFonts w:ascii="Times New Roman" w:eastAsia="Calibri" w:hAnsi="Times New Roman" w:cs="Times New Roman"/>
          <w:sz w:val="24"/>
          <w:szCs w:val="24"/>
        </w:rPr>
        <w:t xml:space="preserve"> че </w:t>
      </w:r>
      <w:r w:rsidR="00251AA1" w:rsidRPr="00E2218D">
        <w:rPr>
          <w:rFonts w:ascii="Times New Roman" w:eastAsia="Calibri" w:hAnsi="Times New Roman" w:cs="Times New Roman"/>
          <w:sz w:val="24"/>
          <w:szCs w:val="24"/>
        </w:rPr>
        <w:t>и</w:t>
      </w:r>
      <w:r w:rsidRPr="00E2218D">
        <w:rPr>
          <w:rFonts w:ascii="Times New Roman" w:eastAsia="Calibri" w:hAnsi="Times New Roman" w:cs="Times New Roman"/>
          <w:iCs/>
          <w:sz w:val="24"/>
          <w:szCs w:val="24"/>
        </w:rPr>
        <w:t>зследваният сектор се характеризира с ограничена прозрачност, структурни зависимости и липса на предвидими условия за участие, което създава неблагоприятни предпоставки за функционирането на ефективна конкуренция между участващите икономически оператори.</w:t>
      </w:r>
      <w:r w:rsidRPr="006E0704">
        <w:rPr>
          <w:rFonts w:ascii="Times New Roman" w:eastAsia="Calibri" w:hAnsi="Times New Roman" w:cs="Times New Roman"/>
          <w:iCs/>
          <w:sz w:val="24"/>
          <w:szCs w:val="24"/>
        </w:rPr>
        <w:t xml:space="preserve"> Установените фактически практики, включително зависимостта на по-слабите участници, ограничения</w:t>
      </w:r>
      <w:r w:rsidR="00251AA1">
        <w:rPr>
          <w:rFonts w:ascii="Times New Roman" w:eastAsia="Calibri" w:hAnsi="Times New Roman" w:cs="Times New Roman"/>
          <w:iCs/>
          <w:sz w:val="24"/>
          <w:szCs w:val="24"/>
        </w:rPr>
        <w:t>т</w:t>
      </w:r>
      <w:r w:rsidRPr="006E0704">
        <w:rPr>
          <w:rFonts w:ascii="Times New Roman" w:eastAsia="Calibri" w:hAnsi="Times New Roman" w:cs="Times New Roman"/>
          <w:iCs/>
          <w:sz w:val="24"/>
          <w:szCs w:val="24"/>
        </w:rPr>
        <w:t xml:space="preserve"> достъп до пазара, непрозрачността на търговските условия и липсата на ефективни механизми за защита са в противоречие с целите на конкурентното право. Досегашната практика сочи, че те не могат да бъдат неутрализирани в рамките на съществуващата нормативна уредба. </w:t>
      </w:r>
    </w:p>
    <w:p w14:paraId="105EE263" w14:textId="373281FE" w:rsidR="006E0704" w:rsidRPr="006E0704" w:rsidRDefault="006E0704" w:rsidP="00386CCC">
      <w:pPr>
        <w:spacing w:after="0" w:line="240" w:lineRule="auto"/>
        <w:ind w:firstLine="567"/>
        <w:jc w:val="both"/>
        <w:rPr>
          <w:rFonts w:ascii="Times New Roman" w:eastAsia="Calibri" w:hAnsi="Times New Roman" w:cs="Times New Roman"/>
          <w:iCs/>
          <w:sz w:val="24"/>
          <w:szCs w:val="24"/>
        </w:rPr>
      </w:pPr>
      <w:r w:rsidRPr="006E0704">
        <w:rPr>
          <w:rFonts w:ascii="Times New Roman" w:eastAsia="Calibri" w:hAnsi="Times New Roman" w:cs="Times New Roman"/>
          <w:iCs/>
          <w:sz w:val="24"/>
          <w:szCs w:val="24"/>
        </w:rPr>
        <w:t xml:space="preserve">Липсват данни за ефективна институционална интервенция или мерки по правоприлагане, които да са променили съществено характера на разгледаните пазарни взаимодействия. При тези условия възниква обективна необходимост от регулаторна намеса, чиято цел е възстановяване на равновесието в отношенията между страните, защита на по-слабите икономически оператори и осигуряване на предвидими правила за участие на пазара на храни и земеделски продукти, в съответствие с принципите, заложени в Насоките на КЗК. В този контекст, става уместно да се направи съпоставка с предходната експериментална оценка. </w:t>
      </w:r>
    </w:p>
    <w:p w14:paraId="231FAA09" w14:textId="298AEFB2" w:rsidR="006E0704" w:rsidRPr="006E0704" w:rsidRDefault="006E0704" w:rsidP="00386CCC">
      <w:pPr>
        <w:spacing w:after="0" w:line="240" w:lineRule="auto"/>
        <w:ind w:firstLine="567"/>
        <w:jc w:val="both"/>
        <w:rPr>
          <w:rFonts w:ascii="Times New Roman" w:eastAsia="Calibri" w:hAnsi="Times New Roman" w:cs="Times New Roman"/>
          <w:iCs/>
          <w:sz w:val="24"/>
          <w:szCs w:val="24"/>
        </w:rPr>
      </w:pPr>
      <w:r w:rsidRPr="006E0704">
        <w:rPr>
          <w:rFonts w:ascii="Times New Roman" w:eastAsia="Calibri" w:hAnsi="Times New Roman" w:cs="Times New Roman"/>
          <w:iCs/>
          <w:sz w:val="24"/>
          <w:szCs w:val="24"/>
        </w:rPr>
        <w:t xml:space="preserve">Сравнителният преглед между настоящата </w:t>
      </w:r>
      <w:r w:rsidR="00251AA1">
        <w:rPr>
          <w:rFonts w:ascii="Times New Roman" w:eastAsia="Calibri" w:hAnsi="Times New Roman" w:cs="Times New Roman"/>
          <w:iCs/>
          <w:sz w:val="24"/>
          <w:szCs w:val="24"/>
        </w:rPr>
        <w:t xml:space="preserve">оценка за </w:t>
      </w:r>
      <w:r w:rsidR="008A458D">
        <w:rPr>
          <w:rFonts w:ascii="Times New Roman" w:eastAsia="Calibri" w:hAnsi="Times New Roman" w:cs="Times New Roman"/>
          <w:iCs/>
          <w:sz w:val="24"/>
          <w:szCs w:val="24"/>
        </w:rPr>
        <w:t>съответствие</w:t>
      </w:r>
      <w:r w:rsidRPr="006E0704">
        <w:rPr>
          <w:rFonts w:ascii="Times New Roman" w:eastAsia="Calibri" w:hAnsi="Times New Roman" w:cs="Times New Roman"/>
          <w:iCs/>
          <w:sz w:val="24"/>
          <w:szCs w:val="24"/>
        </w:rPr>
        <w:t xml:space="preserve"> и тази, извършена по същата методология през 2012 г., разкрива ясна </w:t>
      </w:r>
      <w:r w:rsidRPr="00E2218D">
        <w:rPr>
          <w:rFonts w:ascii="Times New Roman" w:eastAsia="Calibri" w:hAnsi="Times New Roman" w:cs="Times New Roman"/>
          <w:iCs/>
          <w:sz w:val="24"/>
          <w:szCs w:val="24"/>
        </w:rPr>
        <w:t>еволюция в проявлението и дълбочината на установените проблеми по отношение на конкуренцията.</w:t>
      </w:r>
      <w:r w:rsidRPr="006E0704">
        <w:rPr>
          <w:rFonts w:ascii="Times New Roman" w:eastAsia="Calibri" w:hAnsi="Times New Roman" w:cs="Times New Roman"/>
          <w:iCs/>
          <w:sz w:val="24"/>
          <w:szCs w:val="24"/>
        </w:rPr>
        <w:t xml:space="preserve"> Тази съпоставка дава възможност да се проследи последователност в установените деформации  и дефицити, както и да се изведат нови акценти, които се открояват по-ясно в настоящия анализ.</w:t>
      </w:r>
    </w:p>
    <w:p w14:paraId="10CAEC58" w14:textId="75B52121" w:rsidR="006E0704" w:rsidRPr="00251AA1" w:rsidRDefault="006E0704" w:rsidP="00386CCC">
      <w:pPr>
        <w:spacing w:after="0" w:line="240" w:lineRule="auto"/>
        <w:ind w:firstLine="567"/>
        <w:jc w:val="both"/>
        <w:rPr>
          <w:rFonts w:ascii="Times New Roman" w:eastAsia="Calibri" w:hAnsi="Times New Roman" w:cs="Times New Roman"/>
          <w:sz w:val="24"/>
          <w:szCs w:val="24"/>
        </w:rPr>
      </w:pPr>
      <w:r w:rsidRPr="00251AA1">
        <w:rPr>
          <w:rFonts w:ascii="Times New Roman" w:eastAsia="Calibri" w:hAnsi="Times New Roman" w:cs="Times New Roman"/>
          <w:sz w:val="24"/>
          <w:szCs w:val="24"/>
        </w:rPr>
        <w:t>Първо, както в извършената през 2012 г. оценка</w:t>
      </w:r>
      <w:r w:rsidR="00A37BA3">
        <w:rPr>
          <w:rFonts w:ascii="Times New Roman" w:eastAsia="Calibri" w:hAnsi="Times New Roman" w:cs="Times New Roman"/>
          <w:sz w:val="24"/>
          <w:szCs w:val="24"/>
        </w:rPr>
        <w:t xml:space="preserve"> за съответствие</w:t>
      </w:r>
      <w:r w:rsidRPr="00251AA1">
        <w:rPr>
          <w:rFonts w:ascii="Times New Roman" w:eastAsia="Calibri" w:hAnsi="Times New Roman" w:cs="Times New Roman"/>
          <w:sz w:val="24"/>
          <w:szCs w:val="24"/>
        </w:rPr>
        <w:t>, така и</w:t>
      </w:r>
      <w:r w:rsidR="008A458D">
        <w:rPr>
          <w:rFonts w:ascii="Times New Roman" w:eastAsia="Calibri" w:hAnsi="Times New Roman" w:cs="Times New Roman"/>
          <w:sz w:val="24"/>
          <w:szCs w:val="24"/>
        </w:rPr>
        <w:t xml:space="preserve"> в</w:t>
      </w:r>
      <w:r w:rsidRPr="00251AA1">
        <w:rPr>
          <w:rFonts w:ascii="Times New Roman" w:eastAsia="Calibri" w:hAnsi="Times New Roman" w:cs="Times New Roman"/>
          <w:sz w:val="24"/>
          <w:szCs w:val="24"/>
        </w:rPr>
        <w:t xml:space="preserve"> тази</w:t>
      </w:r>
      <w:r w:rsidR="000121DA">
        <w:rPr>
          <w:rFonts w:ascii="Times New Roman" w:eastAsia="Calibri" w:hAnsi="Times New Roman" w:cs="Times New Roman"/>
          <w:sz w:val="24"/>
          <w:szCs w:val="24"/>
        </w:rPr>
        <w:t xml:space="preserve"> </w:t>
      </w:r>
      <w:r w:rsidRPr="00251AA1">
        <w:rPr>
          <w:rFonts w:ascii="Times New Roman" w:eastAsia="Calibri" w:hAnsi="Times New Roman" w:cs="Times New Roman"/>
          <w:sz w:val="24"/>
          <w:szCs w:val="24"/>
        </w:rPr>
        <w:t xml:space="preserve">се потвърждава наличието на системно ограничаване на достъпа до пазара за част от икономическите оператори, по-специално за производителите и доставчиците на селскостопански и хранителни продукти. Възможностите на тези оператори да се конкурират продължават да бъдат стеснени. </w:t>
      </w:r>
    </w:p>
    <w:p w14:paraId="53D9B3F9" w14:textId="54CCE4F5" w:rsidR="006E0704" w:rsidRPr="00251AA1" w:rsidRDefault="006E0704" w:rsidP="00386CCC">
      <w:pPr>
        <w:spacing w:after="0" w:line="240" w:lineRule="auto"/>
        <w:ind w:firstLine="567"/>
        <w:jc w:val="both"/>
        <w:rPr>
          <w:rFonts w:ascii="Times New Roman" w:eastAsia="Calibri" w:hAnsi="Times New Roman" w:cs="Times New Roman"/>
          <w:sz w:val="24"/>
          <w:szCs w:val="24"/>
        </w:rPr>
      </w:pPr>
      <w:r w:rsidRPr="00251AA1">
        <w:rPr>
          <w:rFonts w:ascii="Times New Roman" w:eastAsia="Calibri" w:hAnsi="Times New Roman" w:cs="Times New Roman"/>
          <w:sz w:val="24"/>
          <w:szCs w:val="24"/>
        </w:rPr>
        <w:t xml:space="preserve">Второ, настоящата оценка </w:t>
      </w:r>
      <w:r w:rsidR="00A37BA3">
        <w:rPr>
          <w:rFonts w:ascii="Times New Roman" w:eastAsia="Calibri" w:hAnsi="Times New Roman" w:cs="Times New Roman"/>
          <w:sz w:val="24"/>
          <w:szCs w:val="24"/>
        </w:rPr>
        <w:t xml:space="preserve">за съответствие </w:t>
      </w:r>
      <w:r w:rsidRPr="00251AA1">
        <w:rPr>
          <w:rFonts w:ascii="Times New Roman" w:eastAsia="Calibri" w:hAnsi="Times New Roman" w:cs="Times New Roman"/>
          <w:sz w:val="24"/>
          <w:szCs w:val="24"/>
        </w:rPr>
        <w:t xml:space="preserve">въвежда допълнителна аналитична перспектива относно стимулите за активно поведение на доставчиците, като подчертава ефекта на поведенческа адаптация към средата в сектора, характеризираща се с висока степен на правна и стопанска несигурност. Отчетена е зависимостта между непропорционалното разпределение на добавената стойност по веригата на доставки и риска от произволно и </w:t>
      </w:r>
      <w:r w:rsidR="000121DA" w:rsidRPr="00251AA1">
        <w:rPr>
          <w:rFonts w:ascii="Times New Roman" w:eastAsia="Calibri" w:hAnsi="Times New Roman" w:cs="Times New Roman"/>
          <w:sz w:val="24"/>
          <w:szCs w:val="24"/>
        </w:rPr>
        <w:t>не основано</w:t>
      </w:r>
      <w:r w:rsidRPr="00251AA1">
        <w:rPr>
          <w:rFonts w:ascii="Times New Roman" w:eastAsia="Calibri" w:hAnsi="Times New Roman" w:cs="Times New Roman"/>
          <w:sz w:val="24"/>
          <w:szCs w:val="24"/>
        </w:rPr>
        <w:t xml:space="preserve"> на пазарни </w:t>
      </w:r>
      <w:r w:rsidR="00A37BA3">
        <w:rPr>
          <w:rFonts w:ascii="Times New Roman" w:eastAsia="Calibri" w:hAnsi="Times New Roman" w:cs="Times New Roman"/>
          <w:sz w:val="24"/>
          <w:szCs w:val="24"/>
        </w:rPr>
        <w:t>механизми</w:t>
      </w:r>
      <w:r w:rsidRPr="00251AA1">
        <w:rPr>
          <w:rFonts w:ascii="Times New Roman" w:eastAsia="Calibri" w:hAnsi="Times New Roman" w:cs="Times New Roman"/>
          <w:sz w:val="24"/>
          <w:szCs w:val="24"/>
        </w:rPr>
        <w:t xml:space="preserve"> повишаване на цените на основни храни. Това поведение се проявява в резултат на асиметрията в преговорната сила</w:t>
      </w:r>
      <w:r w:rsidR="008A458D">
        <w:rPr>
          <w:rFonts w:ascii="Times New Roman" w:eastAsia="Calibri" w:hAnsi="Times New Roman" w:cs="Times New Roman"/>
          <w:sz w:val="24"/>
          <w:szCs w:val="24"/>
        </w:rPr>
        <w:t xml:space="preserve"> между икономическите оператори</w:t>
      </w:r>
      <w:r w:rsidRPr="00251AA1">
        <w:rPr>
          <w:rFonts w:ascii="Times New Roman" w:eastAsia="Calibri" w:hAnsi="Times New Roman" w:cs="Times New Roman"/>
          <w:sz w:val="24"/>
          <w:szCs w:val="24"/>
        </w:rPr>
        <w:t xml:space="preserve"> и липсата на ефективни </w:t>
      </w:r>
      <w:r w:rsidR="000121DA">
        <w:rPr>
          <w:rFonts w:ascii="Times New Roman" w:eastAsia="Calibri" w:hAnsi="Times New Roman" w:cs="Times New Roman"/>
          <w:sz w:val="24"/>
          <w:szCs w:val="24"/>
        </w:rPr>
        <w:t>коректив</w:t>
      </w:r>
      <w:r w:rsidR="000121DA" w:rsidRPr="00251AA1">
        <w:rPr>
          <w:rFonts w:ascii="Times New Roman" w:eastAsia="Calibri" w:hAnsi="Times New Roman" w:cs="Times New Roman"/>
          <w:sz w:val="24"/>
          <w:szCs w:val="24"/>
        </w:rPr>
        <w:t>ни</w:t>
      </w:r>
      <w:r w:rsidRPr="00251AA1">
        <w:rPr>
          <w:rFonts w:ascii="Times New Roman" w:eastAsia="Calibri" w:hAnsi="Times New Roman" w:cs="Times New Roman"/>
          <w:sz w:val="24"/>
          <w:szCs w:val="24"/>
        </w:rPr>
        <w:t xml:space="preserve"> механизми.</w:t>
      </w:r>
    </w:p>
    <w:p w14:paraId="0DD53D6D" w14:textId="5378624B" w:rsidR="006E0704" w:rsidRPr="00251AA1" w:rsidRDefault="006E0704" w:rsidP="00386CCC">
      <w:pPr>
        <w:spacing w:after="0" w:line="240" w:lineRule="auto"/>
        <w:ind w:firstLine="567"/>
        <w:jc w:val="both"/>
        <w:rPr>
          <w:rFonts w:ascii="Times New Roman" w:eastAsia="Calibri" w:hAnsi="Times New Roman" w:cs="Times New Roman"/>
          <w:sz w:val="24"/>
          <w:szCs w:val="24"/>
        </w:rPr>
      </w:pPr>
      <w:r w:rsidRPr="00251AA1">
        <w:rPr>
          <w:rFonts w:ascii="Times New Roman" w:eastAsia="Calibri" w:hAnsi="Times New Roman" w:cs="Times New Roman"/>
          <w:sz w:val="24"/>
          <w:szCs w:val="24"/>
        </w:rPr>
        <w:lastRenderedPageBreak/>
        <w:t>Трето, заключенията на двете оценки</w:t>
      </w:r>
      <w:r w:rsidR="00251AA1">
        <w:rPr>
          <w:rFonts w:ascii="Times New Roman" w:eastAsia="Calibri" w:hAnsi="Times New Roman" w:cs="Times New Roman"/>
          <w:sz w:val="24"/>
          <w:szCs w:val="24"/>
        </w:rPr>
        <w:t xml:space="preserve"> за </w:t>
      </w:r>
      <w:r w:rsidR="008A458D">
        <w:rPr>
          <w:rFonts w:ascii="Times New Roman" w:eastAsia="Calibri" w:hAnsi="Times New Roman" w:cs="Times New Roman"/>
          <w:sz w:val="24"/>
          <w:szCs w:val="24"/>
        </w:rPr>
        <w:t>съответствие</w:t>
      </w:r>
      <w:r w:rsidRPr="00251AA1">
        <w:rPr>
          <w:rFonts w:ascii="Times New Roman" w:eastAsia="Calibri" w:hAnsi="Times New Roman" w:cs="Times New Roman"/>
          <w:sz w:val="24"/>
          <w:szCs w:val="24"/>
        </w:rPr>
        <w:t xml:space="preserve"> се припокриват и в основната си линия. Тя сочи, че съществуващата правна уредба не е в състояние да коригира ефективно наблюдаваните дефицити. Изводът от по-старата оценка продължава да звучи актуално и днес: „</w:t>
      </w:r>
      <w:r w:rsidRPr="00251AA1">
        <w:rPr>
          <w:rFonts w:ascii="Times New Roman" w:eastAsia="Calibri" w:hAnsi="Times New Roman" w:cs="Times New Roman"/>
          <w:kern w:val="2"/>
          <w:sz w:val="24"/>
          <w:szCs w:val="24"/>
          <w14:ligatures w14:val="standardContextual"/>
        </w:rPr>
        <w:t>Резултатите от експерименталната оценка за съответствието на фактическите отношения по веригата производство на суровини – преработка – дистрибуция – търговия на дребно с правилата на конкуренция, сочат, че са налице практики, които имат негативен ефект върху конкурентния процес и действащата правна уредба не е в състояние да ги предотврати или да ограничи техните последици, което налага необходимостта от по-сериозна регулативна намеса.“</w:t>
      </w:r>
    </w:p>
    <w:p w14:paraId="2513CAF4" w14:textId="4C5FC88A" w:rsidR="00BE6EB7" w:rsidRDefault="00BE6EB7" w:rsidP="00386CCC">
      <w:pPr>
        <w:spacing w:after="0" w:line="240" w:lineRule="auto"/>
        <w:ind w:firstLine="567"/>
        <w:jc w:val="both"/>
        <w:rPr>
          <w:rFonts w:ascii="Times New Roman" w:eastAsia="Calibri" w:hAnsi="Times New Roman" w:cs="Times New Roman"/>
          <w:iCs/>
          <w:sz w:val="24"/>
          <w:szCs w:val="24"/>
        </w:rPr>
      </w:pPr>
      <w:r w:rsidRPr="00BE6EB7">
        <w:rPr>
          <w:rFonts w:ascii="Times New Roman" w:eastAsia="Calibri" w:hAnsi="Times New Roman" w:cs="Times New Roman"/>
          <w:iCs/>
          <w:sz w:val="24"/>
          <w:szCs w:val="24"/>
        </w:rPr>
        <w:t xml:space="preserve">Проведената експериментална оценка не представлява формална преценка за съответствие по смисъла на </w:t>
      </w:r>
      <w:r>
        <w:rPr>
          <w:rFonts w:ascii="Times New Roman" w:eastAsia="Calibri" w:hAnsi="Times New Roman" w:cs="Times New Roman"/>
          <w:iCs/>
          <w:sz w:val="24"/>
          <w:szCs w:val="24"/>
        </w:rPr>
        <w:t>ЗЗК</w:t>
      </w:r>
      <w:r w:rsidRPr="00BE6EB7">
        <w:rPr>
          <w:rFonts w:ascii="Times New Roman" w:eastAsia="Calibri" w:hAnsi="Times New Roman" w:cs="Times New Roman"/>
          <w:iCs/>
          <w:sz w:val="24"/>
          <w:szCs w:val="24"/>
        </w:rPr>
        <w:t xml:space="preserve">, нито може да се възприема като такава по отношение на изискванията на правото на </w:t>
      </w:r>
      <w:r w:rsidR="002E5E4E">
        <w:rPr>
          <w:rFonts w:ascii="Times New Roman" w:eastAsia="Calibri" w:hAnsi="Times New Roman" w:cs="Times New Roman"/>
          <w:iCs/>
          <w:sz w:val="24"/>
          <w:szCs w:val="24"/>
        </w:rPr>
        <w:t>ЕС</w:t>
      </w:r>
      <w:r w:rsidRPr="00BE6EB7">
        <w:rPr>
          <w:rFonts w:ascii="Times New Roman" w:eastAsia="Calibri" w:hAnsi="Times New Roman" w:cs="Times New Roman"/>
          <w:iCs/>
          <w:sz w:val="24"/>
          <w:szCs w:val="24"/>
        </w:rPr>
        <w:t>. Тя е извършена въз основа на критерии</w:t>
      </w:r>
      <w:r>
        <w:rPr>
          <w:rFonts w:ascii="Times New Roman" w:eastAsia="Calibri" w:hAnsi="Times New Roman" w:cs="Times New Roman"/>
          <w:iCs/>
          <w:sz w:val="24"/>
          <w:szCs w:val="24"/>
        </w:rPr>
        <w:t>те</w:t>
      </w:r>
      <w:r w:rsidRPr="00BE6EB7">
        <w:rPr>
          <w:rFonts w:ascii="Times New Roman" w:eastAsia="Calibri" w:hAnsi="Times New Roman" w:cs="Times New Roman"/>
          <w:iCs/>
          <w:sz w:val="24"/>
          <w:szCs w:val="24"/>
        </w:rPr>
        <w:t xml:space="preserve">, разработени от </w:t>
      </w:r>
      <w:r>
        <w:rPr>
          <w:rFonts w:ascii="Times New Roman" w:eastAsia="Calibri" w:hAnsi="Times New Roman" w:cs="Times New Roman"/>
          <w:iCs/>
          <w:sz w:val="24"/>
          <w:szCs w:val="24"/>
        </w:rPr>
        <w:t>КЗК през 2011 г.</w:t>
      </w:r>
      <w:r w:rsidRPr="00BE6EB7">
        <w:rPr>
          <w:rFonts w:ascii="Times New Roman" w:eastAsia="Calibri" w:hAnsi="Times New Roman" w:cs="Times New Roman"/>
          <w:iCs/>
          <w:sz w:val="24"/>
          <w:szCs w:val="24"/>
        </w:rPr>
        <w:t>, и има характер на аналитичен обзор на фактическата конкурентна среда, свързана с разглежданата публична политика.</w:t>
      </w:r>
      <w:r>
        <w:rPr>
          <w:rFonts w:ascii="Times New Roman" w:eastAsia="Calibri" w:hAnsi="Times New Roman" w:cs="Times New Roman"/>
          <w:iCs/>
          <w:sz w:val="24"/>
          <w:szCs w:val="24"/>
        </w:rPr>
        <w:t xml:space="preserve"> </w:t>
      </w:r>
      <w:r w:rsidRPr="00BE6EB7">
        <w:rPr>
          <w:rFonts w:ascii="Times New Roman" w:eastAsia="Calibri" w:hAnsi="Times New Roman" w:cs="Times New Roman"/>
          <w:iCs/>
          <w:sz w:val="24"/>
          <w:szCs w:val="24"/>
        </w:rPr>
        <w:t>В този контекст</w:t>
      </w:r>
      <w:r>
        <w:rPr>
          <w:rFonts w:ascii="Times New Roman" w:eastAsia="Calibri" w:hAnsi="Times New Roman" w:cs="Times New Roman"/>
          <w:iCs/>
          <w:sz w:val="24"/>
          <w:szCs w:val="24"/>
        </w:rPr>
        <w:t xml:space="preserve"> обаче</w:t>
      </w:r>
      <w:r w:rsidR="006E0704" w:rsidRPr="006E0704">
        <w:rPr>
          <w:rFonts w:ascii="Times New Roman" w:eastAsia="Calibri" w:hAnsi="Times New Roman" w:cs="Times New Roman"/>
          <w:iCs/>
          <w:sz w:val="24"/>
          <w:szCs w:val="24"/>
        </w:rPr>
        <w:t>, тя може да се разглежда като обоснована индикация за наличие</w:t>
      </w:r>
      <w:r w:rsidR="00A37BA3">
        <w:rPr>
          <w:rFonts w:ascii="Times New Roman" w:eastAsia="Calibri" w:hAnsi="Times New Roman" w:cs="Times New Roman"/>
          <w:iCs/>
          <w:sz w:val="24"/>
          <w:szCs w:val="24"/>
        </w:rPr>
        <w:t>то</w:t>
      </w:r>
      <w:r w:rsidR="006E0704" w:rsidRPr="006E0704">
        <w:rPr>
          <w:rFonts w:ascii="Times New Roman" w:eastAsia="Calibri" w:hAnsi="Times New Roman" w:cs="Times New Roman"/>
          <w:iCs/>
          <w:sz w:val="24"/>
          <w:szCs w:val="24"/>
        </w:rPr>
        <w:t xml:space="preserve"> на белези, сочещи на </w:t>
      </w:r>
      <w:r w:rsidR="00251AA1">
        <w:rPr>
          <w:rFonts w:ascii="Times New Roman" w:eastAsia="Calibri" w:hAnsi="Times New Roman" w:cs="Times New Roman"/>
          <w:iCs/>
          <w:sz w:val="24"/>
          <w:szCs w:val="24"/>
        </w:rPr>
        <w:t>дисбаланси</w:t>
      </w:r>
      <w:r w:rsidR="006E0704" w:rsidRPr="006E0704">
        <w:rPr>
          <w:rFonts w:ascii="Times New Roman" w:eastAsia="Calibri" w:hAnsi="Times New Roman" w:cs="Times New Roman"/>
          <w:iCs/>
          <w:sz w:val="24"/>
          <w:szCs w:val="24"/>
        </w:rPr>
        <w:t xml:space="preserve"> на пазара на </w:t>
      </w:r>
      <w:r w:rsidR="00251AA1">
        <w:rPr>
          <w:rFonts w:ascii="Times New Roman" w:eastAsia="Calibri" w:hAnsi="Times New Roman" w:cs="Times New Roman"/>
          <w:iCs/>
          <w:sz w:val="24"/>
          <w:szCs w:val="24"/>
        </w:rPr>
        <w:t>храни и земеделски продукти</w:t>
      </w:r>
      <w:r w:rsidR="006E0704" w:rsidRPr="006E0704">
        <w:rPr>
          <w:rFonts w:ascii="Times New Roman" w:eastAsia="Calibri" w:hAnsi="Times New Roman" w:cs="Times New Roman"/>
          <w:iCs/>
          <w:sz w:val="24"/>
          <w:szCs w:val="24"/>
        </w:rPr>
        <w:t xml:space="preserve">. </w:t>
      </w:r>
    </w:p>
    <w:p w14:paraId="1E2FD501" w14:textId="77777777" w:rsidR="00741AC3" w:rsidRDefault="00741AC3" w:rsidP="00386CCC">
      <w:pPr>
        <w:spacing w:after="0" w:line="240" w:lineRule="auto"/>
        <w:ind w:firstLine="567"/>
        <w:jc w:val="both"/>
        <w:rPr>
          <w:rFonts w:ascii="Times New Roman" w:eastAsia="Calibri" w:hAnsi="Times New Roman" w:cs="Times New Roman"/>
          <w:iCs/>
          <w:sz w:val="24"/>
          <w:szCs w:val="24"/>
        </w:rPr>
      </w:pPr>
    </w:p>
    <w:p w14:paraId="2D631A1A" w14:textId="35A59CCA" w:rsidR="00251AA1" w:rsidRPr="00AD3394" w:rsidRDefault="00251AA1" w:rsidP="00386CCC">
      <w:pPr>
        <w:widowControl w:val="0"/>
        <w:autoSpaceDE w:val="0"/>
        <w:autoSpaceDN w:val="0"/>
        <w:adjustRightInd w:val="0"/>
        <w:spacing w:after="0" w:line="240" w:lineRule="auto"/>
        <w:ind w:firstLine="567"/>
        <w:jc w:val="both"/>
        <w:rPr>
          <w:rFonts w:ascii="Times New Roman" w:hAnsi="Times New Roman" w:cs="Times New Roman"/>
          <w:b/>
          <w:i/>
          <w:sz w:val="24"/>
          <w:szCs w:val="24"/>
          <w:highlight w:val="cyan"/>
        </w:rPr>
      </w:pPr>
      <w:r w:rsidRPr="00A50666">
        <w:rPr>
          <w:rFonts w:ascii="Times New Roman" w:hAnsi="Times New Roman" w:cs="Times New Roman"/>
          <w:b/>
          <w:i/>
          <w:sz w:val="24"/>
          <w:szCs w:val="24"/>
        </w:rPr>
        <w:t xml:space="preserve">Оценка за </w:t>
      </w:r>
      <w:r w:rsidRPr="006E0704">
        <w:rPr>
          <w:rFonts w:ascii="Times New Roman" w:hAnsi="Times New Roman" w:cs="Times New Roman"/>
          <w:b/>
          <w:i/>
          <w:sz w:val="24"/>
          <w:szCs w:val="24"/>
        </w:rPr>
        <w:t>съвместимост с правото на Европейския съюз</w:t>
      </w:r>
    </w:p>
    <w:p w14:paraId="23F4BC66" w14:textId="3A81E532" w:rsidR="000121DA" w:rsidRPr="000121DA" w:rsidRDefault="0009632D" w:rsidP="00386CCC">
      <w:pPr>
        <w:spacing w:after="0" w:line="240" w:lineRule="auto"/>
        <w:ind w:firstLine="567"/>
        <w:jc w:val="both"/>
        <w:rPr>
          <w:rFonts w:ascii="Times New Roman" w:eastAsia="Calibri" w:hAnsi="Times New Roman" w:cs="Times New Roman"/>
          <w:iCs/>
          <w:sz w:val="24"/>
          <w:szCs w:val="24"/>
        </w:rPr>
      </w:pPr>
      <w:r>
        <w:rPr>
          <w:rFonts w:ascii="Times New Roman" w:eastAsia="Calibri" w:hAnsi="Times New Roman" w:cs="Times New Roman"/>
          <w:iCs/>
          <w:sz w:val="24"/>
          <w:szCs w:val="24"/>
        </w:rPr>
        <w:t>В тази част от ОВ п</w:t>
      </w:r>
      <w:r w:rsidR="003D79D3" w:rsidRPr="003D79D3">
        <w:rPr>
          <w:rFonts w:ascii="Times New Roman" w:eastAsia="Calibri" w:hAnsi="Times New Roman" w:cs="Times New Roman"/>
          <w:iCs/>
          <w:sz w:val="24"/>
          <w:szCs w:val="24"/>
        </w:rPr>
        <w:t>редложената концепция за нова публична политика</w:t>
      </w:r>
      <w:r>
        <w:rPr>
          <w:rFonts w:ascii="Times New Roman" w:eastAsia="Calibri" w:hAnsi="Times New Roman" w:cs="Times New Roman"/>
          <w:iCs/>
          <w:sz w:val="24"/>
          <w:szCs w:val="24"/>
        </w:rPr>
        <w:t xml:space="preserve"> се поставя на</w:t>
      </w:r>
      <w:r w:rsidR="003D79D3" w:rsidRPr="003D79D3">
        <w:rPr>
          <w:rFonts w:ascii="Times New Roman" w:eastAsia="Calibri" w:hAnsi="Times New Roman" w:cs="Times New Roman"/>
          <w:iCs/>
          <w:sz w:val="24"/>
          <w:szCs w:val="24"/>
        </w:rPr>
        <w:t xml:space="preserve"> оценка за съвместимост </w:t>
      </w:r>
      <w:r w:rsidR="00FB386A">
        <w:rPr>
          <w:rFonts w:ascii="Times New Roman" w:eastAsia="Calibri" w:hAnsi="Times New Roman" w:cs="Times New Roman"/>
          <w:iCs/>
          <w:sz w:val="24"/>
          <w:szCs w:val="24"/>
        </w:rPr>
        <w:t>с</w:t>
      </w:r>
      <w:r w:rsidR="003D79D3" w:rsidRPr="003D79D3">
        <w:rPr>
          <w:rFonts w:ascii="Times New Roman" w:eastAsia="Calibri" w:hAnsi="Times New Roman" w:cs="Times New Roman"/>
          <w:iCs/>
          <w:sz w:val="24"/>
          <w:szCs w:val="24"/>
        </w:rPr>
        <w:t xml:space="preserve"> изискванията на право</w:t>
      </w:r>
      <w:r w:rsidR="00FB386A">
        <w:rPr>
          <w:rFonts w:ascii="Times New Roman" w:eastAsia="Calibri" w:hAnsi="Times New Roman" w:cs="Times New Roman"/>
          <w:iCs/>
          <w:sz w:val="24"/>
          <w:szCs w:val="24"/>
        </w:rPr>
        <w:t>то на ЕС</w:t>
      </w:r>
      <w:r w:rsidR="00BE6EB7">
        <w:rPr>
          <w:rFonts w:ascii="Times New Roman" w:eastAsia="Calibri" w:hAnsi="Times New Roman" w:cs="Times New Roman"/>
          <w:iCs/>
          <w:sz w:val="24"/>
          <w:szCs w:val="24"/>
        </w:rPr>
        <w:t xml:space="preserve">. </w:t>
      </w:r>
      <w:r w:rsidR="00FB386A">
        <w:rPr>
          <w:rFonts w:ascii="Times New Roman" w:eastAsia="Calibri" w:hAnsi="Times New Roman" w:cs="Times New Roman"/>
          <w:iCs/>
          <w:sz w:val="24"/>
          <w:szCs w:val="24"/>
        </w:rPr>
        <w:t>При нея</w:t>
      </w:r>
      <w:r w:rsidR="002F76B9">
        <w:rPr>
          <w:rFonts w:ascii="Times New Roman" w:eastAsia="Calibri" w:hAnsi="Times New Roman" w:cs="Times New Roman"/>
          <w:iCs/>
          <w:sz w:val="24"/>
          <w:szCs w:val="24"/>
        </w:rPr>
        <w:t xml:space="preserve"> определените</w:t>
      </w:r>
      <w:r w:rsidR="006E0704" w:rsidRPr="006E0704">
        <w:rPr>
          <w:rFonts w:ascii="Times New Roman" w:eastAsia="Calibri" w:hAnsi="Times New Roman" w:cs="Times New Roman"/>
          <w:iCs/>
          <w:sz w:val="24"/>
          <w:szCs w:val="24"/>
        </w:rPr>
        <w:t xml:space="preserve"> мерки </w:t>
      </w:r>
      <w:r w:rsidR="00FB386A">
        <w:rPr>
          <w:rFonts w:ascii="Times New Roman" w:eastAsia="Calibri" w:hAnsi="Times New Roman" w:cs="Times New Roman"/>
          <w:iCs/>
          <w:sz w:val="24"/>
          <w:szCs w:val="24"/>
        </w:rPr>
        <w:t xml:space="preserve">преминават </w:t>
      </w:r>
      <w:r w:rsidR="006E0704" w:rsidRPr="006E0704">
        <w:rPr>
          <w:rFonts w:ascii="Times New Roman" w:eastAsia="Calibri" w:hAnsi="Times New Roman" w:cs="Times New Roman"/>
          <w:iCs/>
          <w:sz w:val="24"/>
          <w:szCs w:val="24"/>
        </w:rPr>
        <w:t>през процес на „претегляне“ за допустимост според практиката на С</w:t>
      </w:r>
      <w:r w:rsidR="00A37BA3">
        <w:rPr>
          <w:rFonts w:ascii="Times New Roman" w:eastAsia="Calibri" w:hAnsi="Times New Roman" w:cs="Times New Roman"/>
          <w:iCs/>
          <w:sz w:val="24"/>
          <w:szCs w:val="24"/>
        </w:rPr>
        <w:t xml:space="preserve">ъда на </w:t>
      </w:r>
      <w:r w:rsidR="006E0704" w:rsidRPr="006E0704">
        <w:rPr>
          <w:rFonts w:ascii="Times New Roman" w:eastAsia="Calibri" w:hAnsi="Times New Roman" w:cs="Times New Roman"/>
          <w:iCs/>
          <w:sz w:val="24"/>
          <w:szCs w:val="24"/>
        </w:rPr>
        <w:t>ЕС.</w:t>
      </w:r>
      <w:r w:rsidR="000121DA">
        <w:rPr>
          <w:rFonts w:ascii="Times New Roman" w:eastAsia="Calibri" w:hAnsi="Times New Roman" w:cs="Times New Roman"/>
          <w:iCs/>
          <w:sz w:val="24"/>
          <w:szCs w:val="24"/>
        </w:rPr>
        <w:t xml:space="preserve"> </w:t>
      </w:r>
      <w:r w:rsidR="006E0704" w:rsidRPr="000121DA">
        <w:rPr>
          <w:rFonts w:ascii="Times New Roman" w:eastAsia="Calibri" w:hAnsi="Times New Roman" w:cs="Times New Roman"/>
          <w:iCs/>
          <w:sz w:val="24"/>
          <w:szCs w:val="24"/>
        </w:rPr>
        <w:t>Този тест включва последователното прилагане на четири кумулативни критерия, които се използват при преценка на пропорционалността на намеса</w:t>
      </w:r>
      <w:r w:rsidR="00FB386A">
        <w:rPr>
          <w:rFonts w:ascii="Times New Roman" w:eastAsia="Calibri" w:hAnsi="Times New Roman" w:cs="Times New Roman"/>
          <w:iCs/>
          <w:sz w:val="24"/>
          <w:szCs w:val="24"/>
        </w:rPr>
        <w:t xml:space="preserve">, от гледна точка на принципите на </w:t>
      </w:r>
      <w:r w:rsidR="006E0704" w:rsidRPr="000121DA">
        <w:rPr>
          <w:rFonts w:ascii="Times New Roman" w:eastAsia="Calibri" w:hAnsi="Times New Roman" w:cs="Times New Roman"/>
          <w:iCs/>
          <w:sz w:val="24"/>
          <w:szCs w:val="24"/>
        </w:rPr>
        <w:t>свободата на стопанска инициатива и конкуренцията</w:t>
      </w:r>
      <w:r w:rsidR="00FB386A">
        <w:rPr>
          <w:rFonts w:ascii="Times New Roman" w:eastAsia="Calibri" w:hAnsi="Times New Roman" w:cs="Times New Roman"/>
          <w:iCs/>
          <w:sz w:val="24"/>
          <w:szCs w:val="24"/>
        </w:rPr>
        <w:t>, които са следните</w:t>
      </w:r>
      <w:r w:rsidR="006E0704" w:rsidRPr="000121DA">
        <w:rPr>
          <w:rFonts w:ascii="Times New Roman" w:eastAsia="Calibri" w:hAnsi="Times New Roman" w:cs="Times New Roman"/>
          <w:iCs/>
          <w:sz w:val="24"/>
          <w:szCs w:val="24"/>
        </w:rPr>
        <w:t>:</w:t>
      </w:r>
      <w:r w:rsidR="003F2DB3" w:rsidRPr="000121DA">
        <w:rPr>
          <w:rFonts w:ascii="Times New Roman" w:eastAsia="Calibri" w:hAnsi="Times New Roman" w:cs="Times New Roman"/>
          <w:iCs/>
          <w:sz w:val="24"/>
          <w:szCs w:val="24"/>
        </w:rPr>
        <w:t xml:space="preserve"> </w:t>
      </w:r>
    </w:p>
    <w:p w14:paraId="667DAC8C" w14:textId="4E764240" w:rsidR="000121DA" w:rsidRPr="00F20A3A" w:rsidRDefault="000121DA" w:rsidP="00386CCC">
      <w:pPr>
        <w:spacing w:after="0" w:line="240" w:lineRule="auto"/>
        <w:ind w:firstLine="567"/>
        <w:jc w:val="both"/>
        <w:rPr>
          <w:rFonts w:ascii="Times New Roman" w:eastAsia="Calibri" w:hAnsi="Times New Roman" w:cs="Times New Roman"/>
          <w:i/>
          <w:sz w:val="24"/>
          <w:szCs w:val="24"/>
        </w:rPr>
      </w:pPr>
      <w:r w:rsidRPr="00F20A3A">
        <w:rPr>
          <w:rFonts w:ascii="Times New Roman" w:eastAsia="Calibri" w:hAnsi="Times New Roman" w:cs="Times New Roman"/>
          <w:i/>
          <w:iCs/>
          <w:sz w:val="24"/>
          <w:szCs w:val="24"/>
        </w:rPr>
        <w:t xml:space="preserve">1. </w:t>
      </w:r>
      <w:r w:rsidR="00FC0B6F" w:rsidRPr="00F20A3A">
        <w:rPr>
          <w:rFonts w:ascii="Times New Roman" w:eastAsia="Calibri" w:hAnsi="Times New Roman" w:cs="Times New Roman"/>
          <w:i/>
          <w:sz w:val="24"/>
          <w:szCs w:val="24"/>
        </w:rPr>
        <w:t xml:space="preserve">Съществува </w:t>
      </w:r>
      <w:r w:rsidR="003F2DB3" w:rsidRPr="00F20A3A">
        <w:rPr>
          <w:rFonts w:ascii="Times New Roman" w:eastAsia="Calibri" w:hAnsi="Times New Roman" w:cs="Times New Roman"/>
          <w:i/>
          <w:sz w:val="24"/>
          <w:szCs w:val="24"/>
        </w:rPr>
        <w:t>ли действително ограничение на конкур</w:t>
      </w:r>
      <w:r w:rsidR="00711944" w:rsidRPr="00F20A3A">
        <w:rPr>
          <w:rFonts w:ascii="Times New Roman" w:eastAsia="Calibri" w:hAnsi="Times New Roman" w:cs="Times New Roman"/>
          <w:i/>
          <w:sz w:val="24"/>
          <w:szCs w:val="24"/>
        </w:rPr>
        <w:t>енцията или на основна свобода?</w:t>
      </w:r>
    </w:p>
    <w:p w14:paraId="344CB226" w14:textId="748BE641" w:rsidR="000121DA" w:rsidRPr="00F20A3A" w:rsidRDefault="000121DA" w:rsidP="00386CCC">
      <w:pPr>
        <w:spacing w:after="0" w:line="240" w:lineRule="auto"/>
        <w:ind w:firstLine="567"/>
        <w:jc w:val="both"/>
        <w:rPr>
          <w:rFonts w:ascii="Times New Roman" w:eastAsia="Calibri" w:hAnsi="Times New Roman" w:cs="Times New Roman"/>
          <w:i/>
          <w:sz w:val="24"/>
          <w:szCs w:val="24"/>
        </w:rPr>
      </w:pPr>
      <w:r w:rsidRPr="00F20A3A">
        <w:rPr>
          <w:rFonts w:ascii="Times New Roman" w:eastAsia="Calibri" w:hAnsi="Times New Roman" w:cs="Times New Roman"/>
          <w:i/>
          <w:sz w:val="24"/>
          <w:szCs w:val="24"/>
        </w:rPr>
        <w:t xml:space="preserve">2. </w:t>
      </w:r>
      <w:r w:rsidR="00FC0B6F" w:rsidRPr="00F20A3A">
        <w:rPr>
          <w:rFonts w:ascii="Times New Roman" w:eastAsia="Calibri" w:hAnsi="Times New Roman" w:cs="Times New Roman"/>
          <w:i/>
          <w:sz w:val="24"/>
          <w:szCs w:val="24"/>
        </w:rPr>
        <w:t xml:space="preserve">Има </w:t>
      </w:r>
      <w:r w:rsidR="003F2DB3" w:rsidRPr="00F20A3A">
        <w:rPr>
          <w:rFonts w:ascii="Times New Roman" w:eastAsia="Calibri" w:hAnsi="Times New Roman" w:cs="Times New Roman"/>
          <w:i/>
          <w:sz w:val="24"/>
          <w:szCs w:val="24"/>
        </w:rPr>
        <w:t>ли леги</w:t>
      </w:r>
      <w:r w:rsidR="00711944" w:rsidRPr="00F20A3A">
        <w:rPr>
          <w:rFonts w:ascii="Times New Roman" w:eastAsia="Calibri" w:hAnsi="Times New Roman" w:cs="Times New Roman"/>
          <w:i/>
          <w:sz w:val="24"/>
          <w:szCs w:val="24"/>
        </w:rPr>
        <w:t>тимна цел от обществен интерес?</w:t>
      </w:r>
    </w:p>
    <w:p w14:paraId="3143DF7A" w14:textId="13CA2E39" w:rsidR="000121DA" w:rsidRPr="00F20A3A" w:rsidRDefault="000121DA" w:rsidP="00386CCC">
      <w:pPr>
        <w:spacing w:after="0" w:line="240" w:lineRule="auto"/>
        <w:ind w:firstLine="567"/>
        <w:jc w:val="both"/>
        <w:rPr>
          <w:rFonts w:ascii="Times New Roman" w:eastAsia="Calibri" w:hAnsi="Times New Roman" w:cs="Times New Roman"/>
          <w:i/>
          <w:sz w:val="24"/>
          <w:szCs w:val="24"/>
        </w:rPr>
      </w:pPr>
      <w:r w:rsidRPr="00F20A3A">
        <w:rPr>
          <w:rFonts w:ascii="Times New Roman" w:eastAsia="Calibri" w:hAnsi="Times New Roman" w:cs="Times New Roman"/>
          <w:i/>
          <w:sz w:val="24"/>
          <w:szCs w:val="24"/>
        </w:rPr>
        <w:t xml:space="preserve">3. </w:t>
      </w:r>
      <w:r w:rsidR="00FC0B6F" w:rsidRPr="00F20A3A">
        <w:rPr>
          <w:rFonts w:ascii="Times New Roman" w:eastAsia="Calibri" w:hAnsi="Times New Roman" w:cs="Times New Roman"/>
          <w:i/>
          <w:sz w:val="24"/>
          <w:szCs w:val="24"/>
        </w:rPr>
        <w:t xml:space="preserve">Подходяща </w:t>
      </w:r>
      <w:r w:rsidR="003F2DB3" w:rsidRPr="00F20A3A">
        <w:rPr>
          <w:rFonts w:ascii="Times New Roman" w:eastAsia="Calibri" w:hAnsi="Times New Roman" w:cs="Times New Roman"/>
          <w:i/>
          <w:sz w:val="24"/>
          <w:szCs w:val="24"/>
        </w:rPr>
        <w:t>ли е мя</w:t>
      </w:r>
      <w:r w:rsidR="00711944" w:rsidRPr="00F20A3A">
        <w:rPr>
          <w:rFonts w:ascii="Times New Roman" w:eastAsia="Calibri" w:hAnsi="Times New Roman" w:cs="Times New Roman"/>
          <w:i/>
          <w:sz w:val="24"/>
          <w:szCs w:val="24"/>
        </w:rPr>
        <w:t>рката за постигане на тази цел?</w:t>
      </w:r>
    </w:p>
    <w:p w14:paraId="48A24062" w14:textId="62843689" w:rsidR="006E0704" w:rsidRPr="00F20A3A" w:rsidRDefault="000121DA" w:rsidP="00386CCC">
      <w:pPr>
        <w:spacing w:after="0" w:line="240" w:lineRule="auto"/>
        <w:ind w:firstLine="567"/>
        <w:jc w:val="both"/>
        <w:rPr>
          <w:rFonts w:ascii="Times New Roman" w:eastAsia="Calibri" w:hAnsi="Times New Roman" w:cs="Times New Roman"/>
          <w:i/>
          <w:iCs/>
          <w:sz w:val="24"/>
          <w:szCs w:val="24"/>
        </w:rPr>
      </w:pPr>
      <w:r w:rsidRPr="00F20A3A">
        <w:rPr>
          <w:rFonts w:ascii="Times New Roman" w:eastAsia="Calibri" w:hAnsi="Times New Roman" w:cs="Times New Roman"/>
          <w:i/>
          <w:sz w:val="24"/>
          <w:szCs w:val="24"/>
        </w:rPr>
        <w:t xml:space="preserve">4. </w:t>
      </w:r>
      <w:r w:rsidR="00F20A3A" w:rsidRPr="00F20A3A">
        <w:rPr>
          <w:rFonts w:ascii="Times New Roman" w:eastAsia="Calibri" w:hAnsi="Times New Roman" w:cs="Times New Roman"/>
          <w:i/>
          <w:sz w:val="24"/>
          <w:szCs w:val="24"/>
        </w:rPr>
        <w:t xml:space="preserve">Дали </w:t>
      </w:r>
      <w:r w:rsidR="002955C5" w:rsidRPr="00F20A3A">
        <w:rPr>
          <w:rFonts w:ascii="Times New Roman" w:eastAsia="Calibri" w:hAnsi="Times New Roman" w:cs="Times New Roman"/>
          <w:i/>
          <w:sz w:val="24"/>
          <w:szCs w:val="24"/>
        </w:rPr>
        <w:t>е пропорционална</w:t>
      </w:r>
      <w:r w:rsidR="003F2DB3" w:rsidRPr="00F20A3A">
        <w:rPr>
          <w:rFonts w:ascii="Times New Roman" w:eastAsia="Calibri" w:hAnsi="Times New Roman" w:cs="Times New Roman"/>
          <w:i/>
          <w:iCs/>
          <w:sz w:val="24"/>
          <w:szCs w:val="24"/>
        </w:rPr>
        <w:t>.</w:t>
      </w:r>
    </w:p>
    <w:p w14:paraId="1D87EFA3" w14:textId="3403BB21" w:rsidR="001C5211" w:rsidRPr="000121DA" w:rsidRDefault="0009632D" w:rsidP="00386CCC">
      <w:pPr>
        <w:spacing w:after="0" w:line="240" w:lineRule="auto"/>
        <w:ind w:firstLine="567"/>
        <w:jc w:val="both"/>
        <w:rPr>
          <w:rFonts w:ascii="Times New Roman" w:eastAsia="Calibri" w:hAnsi="Times New Roman" w:cs="Times New Roman"/>
          <w:iCs/>
          <w:sz w:val="24"/>
          <w:szCs w:val="24"/>
        </w:rPr>
      </w:pPr>
      <w:r>
        <w:rPr>
          <w:rFonts w:ascii="Times New Roman" w:eastAsia="Calibri" w:hAnsi="Times New Roman" w:cs="Times New Roman"/>
          <w:iCs/>
          <w:sz w:val="24"/>
          <w:szCs w:val="24"/>
        </w:rPr>
        <w:t>По-долу са представени резултатите от</w:t>
      </w:r>
      <w:r w:rsidR="001C5211" w:rsidRPr="000121DA">
        <w:rPr>
          <w:rFonts w:ascii="Times New Roman" w:eastAsia="Calibri" w:hAnsi="Times New Roman" w:cs="Times New Roman"/>
          <w:iCs/>
          <w:sz w:val="24"/>
          <w:szCs w:val="24"/>
        </w:rPr>
        <w:t xml:space="preserve"> експериментал</w:t>
      </w:r>
      <w:r w:rsidR="00557FBF">
        <w:rPr>
          <w:rFonts w:ascii="Times New Roman" w:eastAsia="Calibri" w:hAnsi="Times New Roman" w:cs="Times New Roman"/>
          <w:iCs/>
          <w:sz w:val="24"/>
          <w:szCs w:val="24"/>
        </w:rPr>
        <w:t>ен</w:t>
      </w:r>
      <w:r w:rsidR="001C5211" w:rsidRPr="000121DA">
        <w:rPr>
          <w:rFonts w:ascii="Times New Roman" w:eastAsia="Calibri" w:hAnsi="Times New Roman" w:cs="Times New Roman"/>
          <w:iCs/>
          <w:sz w:val="24"/>
          <w:szCs w:val="24"/>
        </w:rPr>
        <w:t xml:space="preserve"> </w:t>
      </w:r>
      <w:r w:rsidR="00557FBF">
        <w:rPr>
          <w:rFonts w:ascii="Times New Roman" w:eastAsia="Calibri" w:hAnsi="Times New Roman" w:cs="Times New Roman"/>
          <w:iCs/>
          <w:sz w:val="24"/>
          <w:szCs w:val="24"/>
        </w:rPr>
        <w:t>тест за съответствие</w:t>
      </w:r>
      <w:r w:rsidR="001C5211" w:rsidRPr="000121DA">
        <w:rPr>
          <w:rFonts w:ascii="Times New Roman" w:eastAsia="Calibri" w:hAnsi="Times New Roman" w:cs="Times New Roman"/>
          <w:iCs/>
          <w:sz w:val="24"/>
          <w:szCs w:val="24"/>
        </w:rPr>
        <w:t xml:space="preserve"> на действащата </w:t>
      </w:r>
      <w:r w:rsidR="00557FBF">
        <w:rPr>
          <w:rFonts w:ascii="Times New Roman" w:eastAsia="Calibri" w:hAnsi="Times New Roman" w:cs="Times New Roman"/>
          <w:iCs/>
          <w:sz w:val="24"/>
          <w:szCs w:val="24"/>
        </w:rPr>
        <w:t>правна</w:t>
      </w:r>
      <w:r w:rsidR="001C5211" w:rsidRPr="000121DA">
        <w:rPr>
          <w:rFonts w:ascii="Times New Roman" w:eastAsia="Calibri" w:hAnsi="Times New Roman" w:cs="Times New Roman"/>
          <w:iCs/>
          <w:sz w:val="24"/>
          <w:szCs w:val="24"/>
        </w:rPr>
        <w:t xml:space="preserve"> рамка спрямо тези критерии</w:t>
      </w:r>
      <w:r w:rsidR="00557FBF">
        <w:rPr>
          <w:rFonts w:ascii="Times New Roman" w:eastAsia="Calibri" w:hAnsi="Times New Roman" w:cs="Times New Roman"/>
          <w:iCs/>
          <w:sz w:val="24"/>
          <w:szCs w:val="24"/>
        </w:rPr>
        <w:t xml:space="preserve">. Съществуващите към момента </w:t>
      </w:r>
      <w:r w:rsidR="001C5211" w:rsidRPr="000121DA">
        <w:rPr>
          <w:rFonts w:ascii="Times New Roman" w:eastAsia="Calibri" w:hAnsi="Times New Roman" w:cs="Times New Roman"/>
          <w:iCs/>
          <w:sz w:val="24"/>
          <w:szCs w:val="24"/>
        </w:rPr>
        <w:t>отношения</w:t>
      </w:r>
      <w:r w:rsidR="00557FBF">
        <w:rPr>
          <w:rFonts w:ascii="Times New Roman" w:eastAsia="Calibri" w:hAnsi="Times New Roman" w:cs="Times New Roman"/>
          <w:iCs/>
          <w:sz w:val="24"/>
          <w:szCs w:val="24"/>
        </w:rPr>
        <w:t xml:space="preserve"> по </w:t>
      </w:r>
      <w:r w:rsidR="00557FBF" w:rsidRPr="00557FBF">
        <w:rPr>
          <w:rFonts w:ascii="Times New Roman" w:eastAsia="Calibri" w:hAnsi="Times New Roman" w:cs="Times New Roman"/>
          <w:iCs/>
          <w:sz w:val="24"/>
          <w:szCs w:val="24"/>
        </w:rPr>
        <w:t>веригата на доставки на земеделски продукти и храни</w:t>
      </w:r>
      <w:r w:rsidR="00557FBF">
        <w:rPr>
          <w:rFonts w:ascii="Times New Roman" w:eastAsia="Calibri" w:hAnsi="Times New Roman" w:cs="Times New Roman"/>
          <w:iCs/>
          <w:sz w:val="24"/>
          <w:szCs w:val="24"/>
        </w:rPr>
        <w:t xml:space="preserve">, така както са регулирани и функционират според актуалната правна уредба, включително отклоненията от нея, които съществуват като </w:t>
      </w:r>
      <w:r w:rsidR="00557FBF" w:rsidRPr="000121DA">
        <w:rPr>
          <w:rFonts w:ascii="Times New Roman" w:eastAsia="Calibri" w:hAnsi="Times New Roman" w:cs="Times New Roman"/>
          <w:iCs/>
          <w:sz w:val="24"/>
          <w:szCs w:val="24"/>
        </w:rPr>
        <w:t>de facto регулации</w:t>
      </w:r>
      <w:r w:rsidR="00557FBF">
        <w:rPr>
          <w:rFonts w:ascii="Times New Roman" w:eastAsia="Calibri" w:hAnsi="Times New Roman" w:cs="Times New Roman"/>
          <w:iCs/>
          <w:sz w:val="24"/>
          <w:szCs w:val="24"/>
        </w:rPr>
        <w:t>,</w:t>
      </w:r>
      <w:r w:rsidR="001C5211" w:rsidRPr="000121DA">
        <w:rPr>
          <w:rFonts w:ascii="Times New Roman" w:eastAsia="Calibri" w:hAnsi="Times New Roman" w:cs="Times New Roman"/>
          <w:iCs/>
          <w:sz w:val="24"/>
          <w:szCs w:val="24"/>
        </w:rPr>
        <w:t xml:space="preserve"> </w:t>
      </w:r>
      <w:r w:rsidR="00557FBF">
        <w:rPr>
          <w:rFonts w:ascii="Times New Roman" w:eastAsia="Calibri" w:hAnsi="Times New Roman" w:cs="Times New Roman"/>
          <w:iCs/>
          <w:sz w:val="24"/>
          <w:szCs w:val="24"/>
        </w:rPr>
        <w:t>са съпоставени с критериите, установени в практиката на С</w:t>
      </w:r>
      <w:r w:rsidR="00A37BA3">
        <w:rPr>
          <w:rFonts w:ascii="Times New Roman" w:eastAsia="Calibri" w:hAnsi="Times New Roman" w:cs="Times New Roman"/>
          <w:iCs/>
          <w:sz w:val="24"/>
          <w:szCs w:val="24"/>
        </w:rPr>
        <w:t xml:space="preserve">ъда на </w:t>
      </w:r>
      <w:r w:rsidR="00557FBF">
        <w:rPr>
          <w:rFonts w:ascii="Times New Roman" w:eastAsia="Calibri" w:hAnsi="Times New Roman" w:cs="Times New Roman"/>
          <w:iCs/>
          <w:sz w:val="24"/>
          <w:szCs w:val="24"/>
        </w:rPr>
        <w:t>ЕС</w:t>
      </w:r>
      <w:r w:rsidR="001C5211" w:rsidRPr="000121DA">
        <w:rPr>
          <w:rFonts w:ascii="Times New Roman" w:eastAsia="Calibri" w:hAnsi="Times New Roman" w:cs="Times New Roman"/>
          <w:iCs/>
          <w:sz w:val="24"/>
          <w:szCs w:val="24"/>
        </w:rPr>
        <w:t xml:space="preserve">. </w:t>
      </w:r>
    </w:p>
    <w:p w14:paraId="3B0FB28D" w14:textId="77777777" w:rsidR="006955D1" w:rsidRDefault="006955D1" w:rsidP="00386CCC">
      <w:pPr>
        <w:spacing w:after="0" w:line="240" w:lineRule="auto"/>
        <w:ind w:firstLine="567"/>
        <w:jc w:val="both"/>
        <w:rPr>
          <w:rFonts w:ascii="Times New Roman" w:eastAsia="Calibri" w:hAnsi="Times New Roman" w:cs="Times New Roman"/>
          <w:iCs/>
          <w:sz w:val="24"/>
          <w:szCs w:val="24"/>
        </w:rPr>
      </w:pPr>
    </w:p>
    <w:p w14:paraId="4BA8AFAA" w14:textId="5237A05B" w:rsidR="006955D1" w:rsidRPr="00FB386A" w:rsidRDefault="006955D1" w:rsidP="00386CCC">
      <w:pPr>
        <w:spacing w:after="0" w:line="240" w:lineRule="auto"/>
        <w:ind w:firstLine="567"/>
        <w:jc w:val="both"/>
        <w:rPr>
          <w:rFonts w:ascii="Times New Roman" w:eastAsia="Calibri" w:hAnsi="Times New Roman" w:cs="Times New Roman"/>
          <w:i/>
          <w:sz w:val="24"/>
          <w:szCs w:val="24"/>
        </w:rPr>
      </w:pPr>
      <w:r w:rsidRPr="00FB386A">
        <w:rPr>
          <w:rFonts w:ascii="Times New Roman" w:eastAsia="Calibri" w:hAnsi="Times New Roman" w:cs="Times New Roman"/>
          <w:i/>
          <w:sz w:val="24"/>
          <w:szCs w:val="24"/>
        </w:rPr>
        <w:t>Съществува ли действително ограничение на конкуренцията или на основна свобода?</w:t>
      </w:r>
    </w:p>
    <w:p w14:paraId="6B5931EA" w14:textId="7F30AC94" w:rsidR="001C5211" w:rsidRDefault="002E736D" w:rsidP="00386CCC">
      <w:pPr>
        <w:spacing w:after="0" w:line="240" w:lineRule="auto"/>
        <w:ind w:firstLine="567"/>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Данните, изследвани от ОВ </w:t>
      </w:r>
      <w:r w:rsidR="001C5211" w:rsidRPr="001C5211">
        <w:rPr>
          <w:rFonts w:ascii="Times New Roman" w:eastAsia="Calibri" w:hAnsi="Times New Roman" w:cs="Times New Roman"/>
          <w:iCs/>
          <w:sz w:val="24"/>
          <w:szCs w:val="24"/>
        </w:rPr>
        <w:t xml:space="preserve">показват, че </w:t>
      </w:r>
      <w:r w:rsidR="002955C5">
        <w:rPr>
          <w:rFonts w:ascii="Times New Roman" w:eastAsia="Calibri" w:hAnsi="Times New Roman" w:cs="Times New Roman"/>
          <w:iCs/>
          <w:sz w:val="24"/>
          <w:szCs w:val="24"/>
        </w:rPr>
        <w:t>нормативната уредба</w:t>
      </w:r>
      <w:r w:rsidR="001C5211" w:rsidRPr="001C5211">
        <w:rPr>
          <w:rFonts w:ascii="Times New Roman" w:eastAsia="Calibri" w:hAnsi="Times New Roman" w:cs="Times New Roman"/>
          <w:iCs/>
          <w:sz w:val="24"/>
          <w:szCs w:val="24"/>
        </w:rPr>
        <w:t xml:space="preserve"> в сектора на веригата за доставки на земеделски продукти и храни е </w:t>
      </w:r>
      <w:r w:rsidR="002955C5">
        <w:rPr>
          <w:rFonts w:ascii="Times New Roman" w:eastAsia="Calibri" w:hAnsi="Times New Roman" w:cs="Times New Roman"/>
          <w:iCs/>
          <w:sz w:val="24"/>
          <w:szCs w:val="24"/>
        </w:rPr>
        <w:t xml:space="preserve">недостатъчно </w:t>
      </w:r>
      <w:r w:rsidR="001C5211" w:rsidRPr="001C5211">
        <w:rPr>
          <w:rFonts w:ascii="Times New Roman" w:eastAsia="Calibri" w:hAnsi="Times New Roman" w:cs="Times New Roman"/>
          <w:iCs/>
          <w:sz w:val="24"/>
          <w:szCs w:val="24"/>
        </w:rPr>
        <w:t>ефективна и не изпълнява пълноценно основната си цел. Вариант</w:t>
      </w:r>
      <w:r w:rsidR="001C5211">
        <w:rPr>
          <w:rFonts w:ascii="Times New Roman" w:eastAsia="Calibri" w:hAnsi="Times New Roman" w:cs="Times New Roman"/>
          <w:iCs/>
          <w:sz w:val="24"/>
          <w:szCs w:val="24"/>
        </w:rPr>
        <w:t xml:space="preserve">ът, в който </w:t>
      </w:r>
      <w:r w:rsidR="00101864">
        <w:rPr>
          <w:rFonts w:ascii="Times New Roman" w:eastAsia="Calibri" w:hAnsi="Times New Roman" w:cs="Times New Roman"/>
          <w:iCs/>
          <w:sz w:val="24"/>
          <w:szCs w:val="24"/>
        </w:rPr>
        <w:t>държавата</w:t>
      </w:r>
      <w:r w:rsidR="001C5211">
        <w:rPr>
          <w:rFonts w:ascii="Times New Roman" w:eastAsia="Calibri" w:hAnsi="Times New Roman" w:cs="Times New Roman"/>
          <w:iCs/>
          <w:sz w:val="24"/>
          <w:szCs w:val="24"/>
        </w:rPr>
        <w:t xml:space="preserve"> не взема отношение и не</w:t>
      </w:r>
      <w:r w:rsidR="00101864">
        <w:rPr>
          <w:rFonts w:ascii="Times New Roman" w:eastAsia="Calibri" w:hAnsi="Times New Roman" w:cs="Times New Roman"/>
          <w:iCs/>
          <w:sz w:val="24"/>
          <w:szCs w:val="24"/>
        </w:rPr>
        <w:t xml:space="preserve"> предприема мерки, които да</w:t>
      </w:r>
      <w:r w:rsidR="001C5211">
        <w:rPr>
          <w:rFonts w:ascii="Times New Roman" w:eastAsia="Calibri" w:hAnsi="Times New Roman" w:cs="Times New Roman"/>
          <w:iCs/>
          <w:sz w:val="24"/>
          <w:szCs w:val="24"/>
        </w:rPr>
        <w:t xml:space="preserve"> адресират идентифицираните проблеми</w:t>
      </w:r>
      <w:r w:rsidR="002E5E4E">
        <w:rPr>
          <w:rFonts w:ascii="Times New Roman" w:eastAsia="Calibri" w:hAnsi="Times New Roman" w:cs="Times New Roman"/>
          <w:iCs/>
          <w:sz w:val="24"/>
          <w:szCs w:val="24"/>
        </w:rPr>
        <w:t>,</w:t>
      </w:r>
      <w:r w:rsidR="001C5211">
        <w:rPr>
          <w:rFonts w:ascii="Times New Roman" w:eastAsia="Calibri" w:hAnsi="Times New Roman" w:cs="Times New Roman"/>
          <w:iCs/>
          <w:sz w:val="24"/>
          <w:szCs w:val="24"/>
        </w:rPr>
        <w:t xml:space="preserve"> </w:t>
      </w:r>
      <w:r w:rsidR="001C5211" w:rsidRPr="001C5211">
        <w:rPr>
          <w:rFonts w:ascii="Times New Roman" w:eastAsia="Calibri" w:hAnsi="Times New Roman" w:cs="Times New Roman"/>
          <w:iCs/>
          <w:sz w:val="24"/>
          <w:szCs w:val="24"/>
        </w:rPr>
        <w:t xml:space="preserve">е оценен като силно негативен по всички икономически, социални и екологични </w:t>
      </w:r>
      <w:r w:rsidR="001C5211" w:rsidRPr="001C5211">
        <w:rPr>
          <w:rFonts w:ascii="Times New Roman" w:eastAsia="Calibri" w:hAnsi="Times New Roman" w:cs="Times New Roman"/>
          <w:iCs/>
          <w:sz w:val="24"/>
          <w:szCs w:val="24"/>
        </w:rPr>
        <w:lastRenderedPageBreak/>
        <w:t>критерии, което потвърждава, че запазването на сегашното състояние</w:t>
      </w:r>
      <w:r w:rsidR="002955C5">
        <w:rPr>
          <w:rFonts w:ascii="Times New Roman" w:eastAsia="Calibri" w:hAnsi="Times New Roman" w:cs="Times New Roman"/>
          <w:iCs/>
          <w:sz w:val="24"/>
          <w:szCs w:val="24"/>
        </w:rPr>
        <w:t xml:space="preserve"> ще</w:t>
      </w:r>
      <w:r w:rsidR="001C5211" w:rsidRPr="001C5211">
        <w:rPr>
          <w:rFonts w:ascii="Times New Roman" w:eastAsia="Calibri" w:hAnsi="Times New Roman" w:cs="Times New Roman"/>
          <w:iCs/>
          <w:sz w:val="24"/>
          <w:szCs w:val="24"/>
        </w:rPr>
        <w:t xml:space="preserve"> задълбочава </w:t>
      </w:r>
      <w:r w:rsidR="00101864">
        <w:rPr>
          <w:rFonts w:ascii="Times New Roman" w:eastAsia="Calibri" w:hAnsi="Times New Roman" w:cs="Times New Roman"/>
          <w:iCs/>
          <w:sz w:val="24"/>
          <w:szCs w:val="24"/>
        </w:rPr>
        <w:t xml:space="preserve">пазарните </w:t>
      </w:r>
      <w:r w:rsidR="001C5211" w:rsidRPr="001C5211">
        <w:rPr>
          <w:rFonts w:ascii="Times New Roman" w:eastAsia="Calibri" w:hAnsi="Times New Roman" w:cs="Times New Roman"/>
          <w:iCs/>
          <w:sz w:val="24"/>
          <w:szCs w:val="24"/>
        </w:rPr>
        <w:t>деформации</w:t>
      </w:r>
      <w:r w:rsidR="00101864">
        <w:rPr>
          <w:rFonts w:ascii="Times New Roman" w:eastAsia="Calibri" w:hAnsi="Times New Roman" w:cs="Times New Roman"/>
          <w:iCs/>
          <w:sz w:val="24"/>
          <w:szCs w:val="24"/>
        </w:rPr>
        <w:t xml:space="preserve"> в сектора</w:t>
      </w:r>
      <w:r w:rsidR="001C5211" w:rsidRPr="001C5211">
        <w:rPr>
          <w:rFonts w:ascii="Times New Roman" w:eastAsia="Calibri" w:hAnsi="Times New Roman" w:cs="Times New Roman"/>
          <w:iCs/>
          <w:sz w:val="24"/>
          <w:szCs w:val="24"/>
        </w:rPr>
        <w:t>: неравнопоставеност, липса на прозрачност, дисбаланс в преговорната сила между участниците, концентрация на мощ в малък брой търговски оператори</w:t>
      </w:r>
      <w:r w:rsidR="00101864">
        <w:rPr>
          <w:rFonts w:ascii="Times New Roman" w:eastAsia="Calibri" w:hAnsi="Times New Roman" w:cs="Times New Roman"/>
          <w:iCs/>
          <w:sz w:val="24"/>
          <w:szCs w:val="24"/>
        </w:rPr>
        <w:t xml:space="preserve">. </w:t>
      </w:r>
      <w:r w:rsidR="001C5211" w:rsidRPr="001C5211">
        <w:rPr>
          <w:rFonts w:ascii="Times New Roman" w:eastAsia="Calibri" w:hAnsi="Times New Roman" w:cs="Times New Roman"/>
          <w:iCs/>
          <w:sz w:val="24"/>
          <w:szCs w:val="24"/>
        </w:rPr>
        <w:t xml:space="preserve">Данните ясно показват, че тежестта върху производителите и доставчиците се увеличава и носи риск от още по-сериозни </w:t>
      </w:r>
      <w:r w:rsidR="001C5211">
        <w:rPr>
          <w:rFonts w:ascii="Times New Roman" w:eastAsia="Calibri" w:hAnsi="Times New Roman" w:cs="Times New Roman"/>
          <w:iCs/>
          <w:sz w:val="24"/>
          <w:szCs w:val="24"/>
        </w:rPr>
        <w:t>д</w:t>
      </w:r>
      <w:r w:rsidR="00F317EE">
        <w:rPr>
          <w:rFonts w:ascii="Times New Roman" w:eastAsia="Calibri" w:hAnsi="Times New Roman" w:cs="Times New Roman"/>
          <w:iCs/>
          <w:sz w:val="24"/>
          <w:szCs w:val="24"/>
        </w:rPr>
        <w:t>исбаланси по веригата на доставки</w:t>
      </w:r>
      <w:r w:rsidR="001C5211" w:rsidRPr="001C5211">
        <w:rPr>
          <w:rFonts w:ascii="Times New Roman" w:eastAsia="Calibri" w:hAnsi="Times New Roman" w:cs="Times New Roman"/>
          <w:iCs/>
          <w:sz w:val="24"/>
          <w:szCs w:val="24"/>
        </w:rPr>
        <w:t>.</w:t>
      </w:r>
    </w:p>
    <w:p w14:paraId="21DDBA33" w14:textId="77777777" w:rsidR="006955D1" w:rsidRDefault="006955D1" w:rsidP="00386CCC">
      <w:pPr>
        <w:spacing w:after="0" w:line="240" w:lineRule="auto"/>
        <w:ind w:firstLine="567"/>
        <w:jc w:val="both"/>
        <w:rPr>
          <w:rFonts w:ascii="Times New Roman" w:eastAsia="Calibri" w:hAnsi="Times New Roman" w:cs="Times New Roman"/>
          <w:iCs/>
          <w:sz w:val="24"/>
          <w:szCs w:val="24"/>
        </w:rPr>
      </w:pPr>
    </w:p>
    <w:p w14:paraId="4A18A04F" w14:textId="59DD0893" w:rsidR="006955D1" w:rsidRPr="002E736D" w:rsidRDefault="006955D1" w:rsidP="00386CCC">
      <w:pPr>
        <w:spacing w:after="0" w:line="240" w:lineRule="auto"/>
        <w:ind w:firstLine="567"/>
        <w:jc w:val="both"/>
        <w:rPr>
          <w:rFonts w:ascii="Times New Roman" w:eastAsia="Calibri" w:hAnsi="Times New Roman" w:cs="Times New Roman"/>
          <w:i/>
          <w:sz w:val="24"/>
          <w:szCs w:val="24"/>
        </w:rPr>
      </w:pPr>
      <w:r w:rsidRPr="002E736D">
        <w:rPr>
          <w:rFonts w:ascii="Times New Roman" w:eastAsia="Calibri" w:hAnsi="Times New Roman" w:cs="Times New Roman"/>
          <w:i/>
          <w:sz w:val="24"/>
          <w:szCs w:val="24"/>
        </w:rPr>
        <w:t>Има ли легитимна цел от обществен интерес?</w:t>
      </w:r>
    </w:p>
    <w:p w14:paraId="041E4517" w14:textId="7AF80671" w:rsidR="00707E35" w:rsidRDefault="00101864" w:rsidP="00386CCC">
      <w:pPr>
        <w:spacing w:after="0" w:line="240" w:lineRule="auto"/>
        <w:ind w:firstLine="567"/>
        <w:jc w:val="both"/>
        <w:rPr>
          <w:rFonts w:ascii="Times New Roman" w:eastAsia="Calibri" w:hAnsi="Times New Roman" w:cs="Times New Roman"/>
          <w:iCs/>
          <w:sz w:val="24"/>
          <w:szCs w:val="24"/>
        </w:rPr>
      </w:pPr>
      <w:r w:rsidRPr="00101864">
        <w:rPr>
          <w:rFonts w:ascii="Times New Roman" w:eastAsia="Calibri" w:hAnsi="Times New Roman" w:cs="Times New Roman"/>
          <w:iCs/>
          <w:sz w:val="24"/>
          <w:szCs w:val="24"/>
        </w:rPr>
        <w:t>Формулираната легитимна цел на последните законодателни интервенции, насочени към ограничаване на нелоялните търговски практики в сектора</w:t>
      </w:r>
      <w:r>
        <w:rPr>
          <w:rFonts w:ascii="Times New Roman" w:eastAsia="Calibri" w:hAnsi="Times New Roman" w:cs="Times New Roman"/>
          <w:iCs/>
          <w:sz w:val="24"/>
          <w:szCs w:val="24"/>
        </w:rPr>
        <w:t xml:space="preserve">, </w:t>
      </w:r>
      <w:r w:rsidR="006955D1" w:rsidRPr="006955D1">
        <w:rPr>
          <w:rFonts w:ascii="Times New Roman" w:eastAsia="Calibri" w:hAnsi="Times New Roman" w:cs="Times New Roman"/>
          <w:iCs/>
          <w:sz w:val="24"/>
          <w:szCs w:val="24"/>
        </w:rPr>
        <w:t>макар и принципно валидна, се оказва значително по-ограничена по обхват и дълбочина спрямо мащаба на реалните пазарни деформации</w:t>
      </w:r>
      <w:r w:rsidR="001C5211" w:rsidRPr="001C5211">
        <w:rPr>
          <w:rFonts w:ascii="Times New Roman" w:eastAsia="Calibri" w:hAnsi="Times New Roman" w:cs="Times New Roman"/>
          <w:iCs/>
          <w:sz w:val="24"/>
          <w:szCs w:val="24"/>
        </w:rPr>
        <w:t xml:space="preserve">. Описаните негативни въздействия като икономическо изтощаване на производителите, </w:t>
      </w:r>
      <w:r w:rsidR="00F317EE">
        <w:rPr>
          <w:rFonts w:ascii="Times New Roman" w:eastAsia="Calibri" w:hAnsi="Times New Roman" w:cs="Times New Roman"/>
          <w:iCs/>
          <w:sz w:val="24"/>
          <w:szCs w:val="24"/>
        </w:rPr>
        <w:t xml:space="preserve">риск от </w:t>
      </w:r>
      <w:r w:rsidR="001C5211" w:rsidRPr="001C5211">
        <w:rPr>
          <w:rFonts w:ascii="Times New Roman" w:eastAsia="Calibri" w:hAnsi="Times New Roman" w:cs="Times New Roman"/>
          <w:iCs/>
          <w:sz w:val="24"/>
          <w:szCs w:val="24"/>
        </w:rPr>
        <w:t>загуба на работни места, застрашаване на продоволствената сигурност</w:t>
      </w:r>
      <w:r w:rsidR="006955D1">
        <w:rPr>
          <w:rFonts w:ascii="Times New Roman" w:eastAsia="Calibri" w:hAnsi="Times New Roman" w:cs="Times New Roman"/>
          <w:iCs/>
          <w:sz w:val="24"/>
          <w:szCs w:val="24"/>
        </w:rPr>
        <w:t>,</w:t>
      </w:r>
      <w:r w:rsidR="001C5211" w:rsidRPr="001C5211">
        <w:rPr>
          <w:rFonts w:ascii="Times New Roman" w:eastAsia="Calibri" w:hAnsi="Times New Roman" w:cs="Times New Roman"/>
          <w:iCs/>
          <w:sz w:val="24"/>
          <w:szCs w:val="24"/>
        </w:rPr>
        <w:t xml:space="preserve"> увеличаване на социалното неравенство</w:t>
      </w:r>
      <w:r w:rsidR="006955D1">
        <w:rPr>
          <w:rFonts w:ascii="Times New Roman" w:eastAsia="Calibri" w:hAnsi="Times New Roman" w:cs="Times New Roman"/>
          <w:iCs/>
          <w:sz w:val="24"/>
          <w:szCs w:val="24"/>
        </w:rPr>
        <w:t xml:space="preserve"> и др. </w:t>
      </w:r>
      <w:r w:rsidR="001C5211" w:rsidRPr="001C5211">
        <w:rPr>
          <w:rFonts w:ascii="Times New Roman" w:eastAsia="Calibri" w:hAnsi="Times New Roman" w:cs="Times New Roman"/>
          <w:iCs/>
          <w:sz w:val="24"/>
          <w:szCs w:val="24"/>
        </w:rPr>
        <w:t xml:space="preserve">показват, </w:t>
      </w:r>
      <w:r w:rsidR="006955D1">
        <w:rPr>
          <w:rFonts w:ascii="Times New Roman" w:eastAsia="Calibri" w:hAnsi="Times New Roman" w:cs="Times New Roman"/>
          <w:iCs/>
          <w:sz w:val="24"/>
          <w:szCs w:val="24"/>
        </w:rPr>
        <w:t>ч</w:t>
      </w:r>
      <w:r w:rsidR="006955D1" w:rsidRPr="006955D1">
        <w:rPr>
          <w:rFonts w:ascii="Times New Roman" w:eastAsia="Calibri" w:hAnsi="Times New Roman" w:cs="Times New Roman"/>
          <w:iCs/>
          <w:sz w:val="24"/>
          <w:szCs w:val="24"/>
        </w:rPr>
        <w:t xml:space="preserve">е поставената цел не е в състояние да обхване комплексността на установените проблеми и необходимостта от структурна трансформация на </w:t>
      </w:r>
      <w:r w:rsidR="00F317EE">
        <w:rPr>
          <w:rFonts w:ascii="Times New Roman" w:eastAsia="Calibri" w:hAnsi="Times New Roman" w:cs="Times New Roman"/>
          <w:iCs/>
          <w:sz w:val="24"/>
          <w:szCs w:val="24"/>
        </w:rPr>
        <w:t xml:space="preserve">организацията на </w:t>
      </w:r>
      <w:r w:rsidR="006955D1" w:rsidRPr="006955D1">
        <w:rPr>
          <w:rFonts w:ascii="Times New Roman" w:eastAsia="Calibri" w:hAnsi="Times New Roman" w:cs="Times New Roman"/>
          <w:iCs/>
          <w:sz w:val="24"/>
          <w:szCs w:val="24"/>
        </w:rPr>
        <w:t>обществените отношения по веригата на доставки.</w:t>
      </w:r>
    </w:p>
    <w:p w14:paraId="097EA0C9" w14:textId="77777777" w:rsidR="006955D1" w:rsidRPr="006955D1" w:rsidRDefault="006955D1" w:rsidP="00386CCC">
      <w:pPr>
        <w:spacing w:after="0" w:line="240" w:lineRule="auto"/>
        <w:ind w:firstLine="567"/>
        <w:jc w:val="both"/>
        <w:rPr>
          <w:rFonts w:ascii="Times New Roman" w:eastAsia="Calibri" w:hAnsi="Times New Roman" w:cs="Times New Roman"/>
          <w:iCs/>
          <w:sz w:val="24"/>
          <w:szCs w:val="24"/>
        </w:rPr>
      </w:pPr>
    </w:p>
    <w:p w14:paraId="387CAB56" w14:textId="5AC01EA4" w:rsidR="006955D1" w:rsidRPr="002E736D" w:rsidRDefault="006955D1" w:rsidP="00386CCC">
      <w:pPr>
        <w:spacing w:after="0" w:line="240" w:lineRule="auto"/>
        <w:ind w:firstLine="567"/>
        <w:jc w:val="both"/>
        <w:rPr>
          <w:rFonts w:ascii="Times New Roman" w:eastAsia="Calibri" w:hAnsi="Times New Roman" w:cs="Times New Roman"/>
          <w:i/>
          <w:sz w:val="24"/>
          <w:szCs w:val="24"/>
        </w:rPr>
      </w:pPr>
      <w:r w:rsidRPr="002E736D">
        <w:rPr>
          <w:rFonts w:ascii="Times New Roman" w:eastAsia="Calibri" w:hAnsi="Times New Roman" w:cs="Times New Roman"/>
          <w:i/>
          <w:sz w:val="24"/>
          <w:szCs w:val="24"/>
        </w:rPr>
        <w:t xml:space="preserve">Подходяща ли е </w:t>
      </w:r>
      <w:r w:rsidR="00557FBF">
        <w:rPr>
          <w:rFonts w:ascii="Times New Roman" w:eastAsia="Calibri" w:hAnsi="Times New Roman" w:cs="Times New Roman"/>
          <w:i/>
          <w:sz w:val="24"/>
          <w:szCs w:val="24"/>
        </w:rPr>
        <w:t>действащата правна рамка</w:t>
      </w:r>
      <w:r w:rsidR="00557FBF" w:rsidRPr="002E736D">
        <w:rPr>
          <w:rFonts w:ascii="Times New Roman" w:eastAsia="Calibri" w:hAnsi="Times New Roman" w:cs="Times New Roman"/>
          <w:i/>
          <w:sz w:val="24"/>
          <w:szCs w:val="24"/>
        </w:rPr>
        <w:t xml:space="preserve"> </w:t>
      </w:r>
      <w:r w:rsidRPr="002E736D">
        <w:rPr>
          <w:rFonts w:ascii="Times New Roman" w:eastAsia="Calibri" w:hAnsi="Times New Roman" w:cs="Times New Roman"/>
          <w:i/>
          <w:sz w:val="24"/>
          <w:szCs w:val="24"/>
        </w:rPr>
        <w:t>за постигане на тази цел?</w:t>
      </w:r>
    </w:p>
    <w:p w14:paraId="05BED426" w14:textId="72936E1D" w:rsidR="00101864" w:rsidRDefault="00101864" w:rsidP="00386CCC">
      <w:pPr>
        <w:spacing w:after="0" w:line="240" w:lineRule="auto"/>
        <w:ind w:firstLine="567"/>
        <w:jc w:val="both"/>
        <w:rPr>
          <w:rFonts w:ascii="Times New Roman" w:eastAsia="Calibri" w:hAnsi="Times New Roman" w:cs="Times New Roman"/>
          <w:iCs/>
          <w:sz w:val="24"/>
          <w:szCs w:val="24"/>
        </w:rPr>
      </w:pPr>
      <w:r w:rsidRPr="00101864">
        <w:rPr>
          <w:rFonts w:ascii="Times New Roman" w:eastAsia="Calibri" w:hAnsi="Times New Roman" w:cs="Times New Roman"/>
          <w:iCs/>
          <w:sz w:val="24"/>
          <w:szCs w:val="24"/>
        </w:rPr>
        <w:t>Сравнението на вариантите на действие ясно демонстрира, че както настоящата нормативна уредба, така и евентуалното приемане на частични или фрагментарни изменения</w:t>
      </w:r>
      <w:r w:rsidR="002E5E4E">
        <w:rPr>
          <w:rFonts w:ascii="Times New Roman" w:eastAsia="Calibri" w:hAnsi="Times New Roman" w:cs="Times New Roman"/>
          <w:iCs/>
          <w:sz w:val="24"/>
          <w:szCs w:val="24"/>
        </w:rPr>
        <w:t>,</w:t>
      </w:r>
      <w:r w:rsidRPr="00101864">
        <w:rPr>
          <w:rFonts w:ascii="Times New Roman" w:eastAsia="Calibri" w:hAnsi="Times New Roman" w:cs="Times New Roman"/>
          <w:iCs/>
          <w:sz w:val="24"/>
          <w:szCs w:val="24"/>
        </w:rPr>
        <w:t xml:space="preserve"> не са в състояние да разрешат идентифицираните проблеми по системен и устойчив начин. Установява се</w:t>
      </w:r>
      <w:r w:rsidR="00F317EE">
        <w:rPr>
          <w:rFonts w:ascii="Times New Roman" w:eastAsia="Calibri" w:hAnsi="Times New Roman" w:cs="Times New Roman"/>
          <w:iCs/>
          <w:sz w:val="24"/>
          <w:szCs w:val="24"/>
        </w:rPr>
        <w:t>,</w:t>
      </w:r>
      <w:r w:rsidRPr="00101864">
        <w:rPr>
          <w:rFonts w:ascii="Times New Roman" w:eastAsia="Calibri" w:hAnsi="Times New Roman" w:cs="Times New Roman"/>
          <w:iCs/>
          <w:sz w:val="24"/>
          <w:szCs w:val="24"/>
        </w:rPr>
        <w:t xml:space="preserve"> също така</w:t>
      </w:r>
      <w:r w:rsidR="00F317EE">
        <w:rPr>
          <w:rFonts w:ascii="Times New Roman" w:eastAsia="Calibri" w:hAnsi="Times New Roman" w:cs="Times New Roman"/>
          <w:iCs/>
          <w:sz w:val="24"/>
          <w:szCs w:val="24"/>
        </w:rPr>
        <w:t>,</w:t>
      </w:r>
      <w:r w:rsidRPr="00101864">
        <w:rPr>
          <w:rFonts w:ascii="Times New Roman" w:eastAsia="Calibri" w:hAnsi="Times New Roman" w:cs="Times New Roman"/>
          <w:iCs/>
          <w:sz w:val="24"/>
          <w:szCs w:val="24"/>
        </w:rPr>
        <w:t xml:space="preserve"> отсъствие на ефективен правоприлагащ механизъм за преодоляване на пазарните изкривявания, необходим за постигането на правна сигурност, </w:t>
      </w:r>
      <w:r w:rsidR="00F317EE">
        <w:rPr>
          <w:rFonts w:ascii="Times New Roman" w:eastAsia="Calibri" w:hAnsi="Times New Roman" w:cs="Times New Roman"/>
          <w:iCs/>
          <w:sz w:val="24"/>
          <w:szCs w:val="24"/>
        </w:rPr>
        <w:t xml:space="preserve">както и липса на </w:t>
      </w:r>
      <w:r w:rsidRPr="00101864">
        <w:rPr>
          <w:rFonts w:ascii="Times New Roman" w:eastAsia="Calibri" w:hAnsi="Times New Roman" w:cs="Times New Roman"/>
          <w:iCs/>
          <w:sz w:val="24"/>
          <w:szCs w:val="24"/>
        </w:rPr>
        <w:t>равнопоставеност между участниците и пропорционално разпределение на добавената стойност по веригата с положително социално и икономическо въздействие.</w:t>
      </w:r>
    </w:p>
    <w:p w14:paraId="3D7E2005" w14:textId="77777777" w:rsidR="006955D1" w:rsidRDefault="006955D1" w:rsidP="00386CCC">
      <w:pPr>
        <w:spacing w:after="0" w:line="240" w:lineRule="auto"/>
        <w:ind w:firstLine="567"/>
        <w:jc w:val="both"/>
        <w:rPr>
          <w:rFonts w:ascii="Times New Roman" w:eastAsia="Calibri" w:hAnsi="Times New Roman" w:cs="Times New Roman"/>
          <w:i/>
          <w:sz w:val="24"/>
          <w:szCs w:val="24"/>
        </w:rPr>
      </w:pPr>
    </w:p>
    <w:p w14:paraId="520D2103" w14:textId="17646BFF" w:rsidR="006955D1" w:rsidRPr="002E736D" w:rsidRDefault="006955D1" w:rsidP="00386CCC">
      <w:pPr>
        <w:spacing w:after="0" w:line="240" w:lineRule="auto"/>
        <w:ind w:firstLine="567"/>
        <w:jc w:val="both"/>
        <w:rPr>
          <w:rFonts w:ascii="Times New Roman" w:eastAsia="Calibri" w:hAnsi="Times New Roman" w:cs="Times New Roman"/>
          <w:i/>
          <w:sz w:val="24"/>
          <w:szCs w:val="24"/>
        </w:rPr>
      </w:pPr>
      <w:r w:rsidRPr="006955D1">
        <w:rPr>
          <w:rFonts w:ascii="Times New Roman" w:eastAsia="Calibri" w:hAnsi="Times New Roman" w:cs="Times New Roman"/>
          <w:i/>
          <w:sz w:val="24"/>
          <w:szCs w:val="24"/>
        </w:rPr>
        <w:t xml:space="preserve">Пропорционална ли е </w:t>
      </w:r>
      <w:r w:rsidR="00557FBF">
        <w:rPr>
          <w:rFonts w:ascii="Times New Roman" w:eastAsia="Calibri" w:hAnsi="Times New Roman" w:cs="Times New Roman"/>
          <w:i/>
          <w:sz w:val="24"/>
          <w:szCs w:val="24"/>
        </w:rPr>
        <w:t>действащата правна рамка</w:t>
      </w:r>
      <w:r>
        <w:rPr>
          <w:rFonts w:ascii="Times New Roman" w:eastAsia="Calibri" w:hAnsi="Times New Roman" w:cs="Times New Roman"/>
          <w:i/>
          <w:sz w:val="24"/>
          <w:szCs w:val="24"/>
        </w:rPr>
        <w:t>?</w:t>
      </w:r>
    </w:p>
    <w:p w14:paraId="1721ACB5" w14:textId="77C129D1" w:rsidR="00707E35" w:rsidRDefault="001C5211" w:rsidP="00386CCC">
      <w:pPr>
        <w:spacing w:after="0" w:line="240" w:lineRule="auto"/>
        <w:ind w:firstLine="567"/>
        <w:jc w:val="both"/>
        <w:rPr>
          <w:rFonts w:ascii="Times New Roman" w:eastAsia="Calibri" w:hAnsi="Times New Roman" w:cs="Times New Roman"/>
          <w:iCs/>
          <w:sz w:val="24"/>
          <w:szCs w:val="24"/>
        </w:rPr>
      </w:pPr>
      <w:r w:rsidRPr="001C5211">
        <w:rPr>
          <w:rFonts w:ascii="Times New Roman" w:eastAsia="Calibri" w:hAnsi="Times New Roman" w:cs="Times New Roman"/>
          <w:iCs/>
          <w:sz w:val="24"/>
          <w:szCs w:val="24"/>
        </w:rPr>
        <w:t xml:space="preserve">Освен че </w:t>
      </w:r>
      <w:r w:rsidR="00707E35">
        <w:rPr>
          <w:rFonts w:ascii="Times New Roman" w:eastAsia="Calibri" w:hAnsi="Times New Roman" w:cs="Times New Roman"/>
          <w:iCs/>
          <w:sz w:val="24"/>
          <w:szCs w:val="24"/>
        </w:rPr>
        <w:t>не е достатъчно годна</w:t>
      </w:r>
      <w:r w:rsidRPr="001C5211">
        <w:rPr>
          <w:rFonts w:ascii="Times New Roman" w:eastAsia="Calibri" w:hAnsi="Times New Roman" w:cs="Times New Roman"/>
          <w:iCs/>
          <w:sz w:val="24"/>
          <w:szCs w:val="24"/>
        </w:rPr>
        <w:t xml:space="preserve">, настоящата </w:t>
      </w:r>
      <w:r w:rsidR="00707E35">
        <w:rPr>
          <w:rFonts w:ascii="Times New Roman" w:eastAsia="Calibri" w:hAnsi="Times New Roman" w:cs="Times New Roman"/>
          <w:iCs/>
          <w:sz w:val="24"/>
          <w:szCs w:val="24"/>
        </w:rPr>
        <w:t>правна рамка</w:t>
      </w:r>
      <w:r w:rsidRPr="001C5211">
        <w:rPr>
          <w:rFonts w:ascii="Times New Roman" w:eastAsia="Calibri" w:hAnsi="Times New Roman" w:cs="Times New Roman"/>
          <w:iCs/>
          <w:sz w:val="24"/>
          <w:szCs w:val="24"/>
        </w:rPr>
        <w:t xml:space="preserve"> </w:t>
      </w:r>
      <w:r w:rsidR="00707E35">
        <w:rPr>
          <w:rFonts w:ascii="Times New Roman" w:eastAsia="Calibri" w:hAnsi="Times New Roman" w:cs="Times New Roman"/>
          <w:iCs/>
          <w:sz w:val="24"/>
          <w:szCs w:val="24"/>
        </w:rPr>
        <w:t>н</w:t>
      </w:r>
      <w:r w:rsidRPr="001C5211">
        <w:rPr>
          <w:rFonts w:ascii="Times New Roman" w:eastAsia="Calibri" w:hAnsi="Times New Roman" w:cs="Times New Roman"/>
          <w:iCs/>
          <w:sz w:val="24"/>
          <w:szCs w:val="24"/>
        </w:rPr>
        <w:t xml:space="preserve">е </w:t>
      </w:r>
      <w:r w:rsidR="00707E35">
        <w:rPr>
          <w:rFonts w:ascii="Times New Roman" w:eastAsia="Calibri" w:hAnsi="Times New Roman" w:cs="Times New Roman"/>
          <w:iCs/>
          <w:sz w:val="24"/>
          <w:szCs w:val="24"/>
        </w:rPr>
        <w:t>може да се разглежда и като напълно</w:t>
      </w:r>
      <w:r w:rsidRPr="001C5211">
        <w:rPr>
          <w:rFonts w:ascii="Times New Roman" w:eastAsia="Calibri" w:hAnsi="Times New Roman" w:cs="Times New Roman"/>
          <w:iCs/>
          <w:sz w:val="24"/>
          <w:szCs w:val="24"/>
        </w:rPr>
        <w:t xml:space="preserve"> пропорционална</w:t>
      </w:r>
      <w:r w:rsidR="002955C5">
        <w:rPr>
          <w:rFonts w:ascii="Times New Roman" w:eastAsia="Calibri" w:hAnsi="Times New Roman" w:cs="Times New Roman"/>
          <w:iCs/>
          <w:sz w:val="24"/>
          <w:szCs w:val="24"/>
        </w:rPr>
        <w:t xml:space="preserve">. </w:t>
      </w:r>
      <w:r w:rsidR="002E736D">
        <w:rPr>
          <w:rFonts w:ascii="Times New Roman" w:eastAsia="Calibri" w:hAnsi="Times New Roman" w:cs="Times New Roman"/>
          <w:iCs/>
          <w:sz w:val="24"/>
          <w:szCs w:val="24"/>
        </w:rPr>
        <w:t>М</w:t>
      </w:r>
      <w:r w:rsidR="002955C5" w:rsidRPr="002955C5">
        <w:rPr>
          <w:rFonts w:ascii="Times New Roman" w:eastAsia="Calibri" w:hAnsi="Times New Roman" w:cs="Times New Roman"/>
          <w:iCs/>
          <w:sz w:val="24"/>
          <w:szCs w:val="24"/>
        </w:rPr>
        <w:t xml:space="preserve">акар в миналото да са били прилагани по-слабо рестриктивни мерки, които не са постигнали ефект, настоящата уредба също не осигурява адекватно решение на задълбочаващите се структурни дефицити по веригата на доставки. </w:t>
      </w:r>
      <w:r w:rsidR="00354C5F">
        <w:rPr>
          <w:rFonts w:ascii="Times New Roman" w:eastAsia="Calibri" w:hAnsi="Times New Roman" w:cs="Times New Roman"/>
          <w:iCs/>
          <w:sz w:val="24"/>
          <w:szCs w:val="24"/>
        </w:rPr>
        <w:t>Д</w:t>
      </w:r>
      <w:r w:rsidR="002955C5" w:rsidRPr="002955C5">
        <w:rPr>
          <w:rFonts w:ascii="Times New Roman" w:eastAsia="Calibri" w:hAnsi="Times New Roman" w:cs="Times New Roman"/>
          <w:iCs/>
          <w:sz w:val="24"/>
          <w:szCs w:val="24"/>
        </w:rPr>
        <w:t xml:space="preserve">ействащите мерки </w:t>
      </w:r>
      <w:r w:rsidR="00354C5F">
        <w:rPr>
          <w:rFonts w:ascii="Times New Roman" w:eastAsia="Calibri" w:hAnsi="Times New Roman" w:cs="Times New Roman"/>
          <w:iCs/>
          <w:sz w:val="24"/>
          <w:szCs w:val="24"/>
        </w:rPr>
        <w:t>са</w:t>
      </w:r>
      <w:r w:rsidR="002955C5" w:rsidRPr="002955C5">
        <w:rPr>
          <w:rFonts w:ascii="Times New Roman" w:eastAsia="Calibri" w:hAnsi="Times New Roman" w:cs="Times New Roman"/>
          <w:iCs/>
          <w:sz w:val="24"/>
          <w:szCs w:val="24"/>
        </w:rPr>
        <w:t xml:space="preserve"> недостатъчно съобразен</w:t>
      </w:r>
      <w:r w:rsidR="00354C5F">
        <w:rPr>
          <w:rFonts w:ascii="Times New Roman" w:eastAsia="Calibri" w:hAnsi="Times New Roman" w:cs="Times New Roman"/>
          <w:iCs/>
          <w:sz w:val="24"/>
          <w:szCs w:val="24"/>
        </w:rPr>
        <w:t>и</w:t>
      </w:r>
      <w:r w:rsidR="002955C5" w:rsidRPr="002955C5">
        <w:rPr>
          <w:rFonts w:ascii="Times New Roman" w:eastAsia="Calibri" w:hAnsi="Times New Roman" w:cs="Times New Roman"/>
          <w:iCs/>
          <w:sz w:val="24"/>
          <w:szCs w:val="24"/>
        </w:rPr>
        <w:t xml:space="preserve"> с мащаба и сложността на установените проблеми, като не гарантира</w:t>
      </w:r>
      <w:r w:rsidR="00354C5F">
        <w:rPr>
          <w:rFonts w:ascii="Times New Roman" w:eastAsia="Calibri" w:hAnsi="Times New Roman" w:cs="Times New Roman"/>
          <w:iCs/>
          <w:sz w:val="24"/>
          <w:szCs w:val="24"/>
        </w:rPr>
        <w:t>т</w:t>
      </w:r>
      <w:r w:rsidR="002955C5" w:rsidRPr="002955C5">
        <w:rPr>
          <w:rFonts w:ascii="Times New Roman" w:eastAsia="Calibri" w:hAnsi="Times New Roman" w:cs="Times New Roman"/>
          <w:iCs/>
          <w:sz w:val="24"/>
          <w:szCs w:val="24"/>
        </w:rPr>
        <w:t xml:space="preserve"> </w:t>
      </w:r>
      <w:r w:rsidR="00101864">
        <w:rPr>
          <w:rFonts w:ascii="Times New Roman" w:eastAsia="Calibri" w:hAnsi="Times New Roman" w:cs="Times New Roman"/>
          <w:iCs/>
          <w:sz w:val="24"/>
          <w:szCs w:val="24"/>
        </w:rPr>
        <w:t xml:space="preserve">в цялост нито </w:t>
      </w:r>
      <w:r w:rsidR="002955C5" w:rsidRPr="002955C5">
        <w:rPr>
          <w:rFonts w:ascii="Times New Roman" w:eastAsia="Calibri" w:hAnsi="Times New Roman" w:cs="Times New Roman"/>
          <w:iCs/>
          <w:sz w:val="24"/>
          <w:szCs w:val="24"/>
        </w:rPr>
        <w:t>ефективно ограничаване на нелоялните търговски практики,</w:t>
      </w:r>
      <w:r w:rsidR="00101864">
        <w:rPr>
          <w:rFonts w:ascii="Times New Roman" w:eastAsia="Calibri" w:hAnsi="Times New Roman" w:cs="Times New Roman"/>
          <w:iCs/>
          <w:sz w:val="24"/>
          <w:szCs w:val="24"/>
        </w:rPr>
        <w:t xml:space="preserve"> нито</w:t>
      </w:r>
      <w:r w:rsidR="002955C5" w:rsidRPr="002955C5">
        <w:rPr>
          <w:rFonts w:ascii="Times New Roman" w:eastAsia="Calibri" w:hAnsi="Times New Roman" w:cs="Times New Roman"/>
          <w:iCs/>
          <w:sz w:val="24"/>
          <w:szCs w:val="24"/>
        </w:rPr>
        <w:t xml:space="preserve"> постигане на справедливост в договарянето и реална защита на по-слабите участници. Отсъствието на ясно установена връзка между предвидените инструменти и устойчивото подобряване на конкурентната среда поставя под съмнение пропорционалността на действащата</w:t>
      </w:r>
      <w:r w:rsidR="00354C5F">
        <w:rPr>
          <w:rFonts w:ascii="Times New Roman" w:eastAsia="Calibri" w:hAnsi="Times New Roman" w:cs="Times New Roman"/>
          <w:iCs/>
          <w:sz w:val="24"/>
          <w:szCs w:val="24"/>
        </w:rPr>
        <w:t xml:space="preserve"> правна</w:t>
      </w:r>
      <w:r w:rsidR="002955C5" w:rsidRPr="002955C5">
        <w:rPr>
          <w:rFonts w:ascii="Times New Roman" w:eastAsia="Calibri" w:hAnsi="Times New Roman" w:cs="Times New Roman"/>
          <w:iCs/>
          <w:sz w:val="24"/>
          <w:szCs w:val="24"/>
        </w:rPr>
        <w:t xml:space="preserve"> рамка.</w:t>
      </w:r>
    </w:p>
    <w:p w14:paraId="18802FBA" w14:textId="486E33AE" w:rsidR="006E0704" w:rsidRPr="006E0704" w:rsidRDefault="002F7F79" w:rsidP="00386CCC">
      <w:pPr>
        <w:spacing w:after="0" w:line="240" w:lineRule="auto"/>
        <w:ind w:firstLine="567"/>
        <w:jc w:val="both"/>
        <w:rPr>
          <w:rFonts w:ascii="Calibri" w:eastAsia="Calibri" w:hAnsi="Calibri" w:cs="Times New Roman"/>
          <w:kern w:val="2"/>
          <w14:ligatures w14:val="standardContextual"/>
        </w:rPr>
      </w:pPr>
      <w:r w:rsidRPr="00557FBF">
        <w:rPr>
          <w:rFonts w:ascii="Times New Roman" w:eastAsia="Calibri" w:hAnsi="Times New Roman" w:cs="Times New Roman"/>
          <w:iCs/>
          <w:sz w:val="24"/>
          <w:szCs w:val="24"/>
        </w:rPr>
        <w:t>Експерименталн</w:t>
      </w:r>
      <w:r>
        <w:rPr>
          <w:rFonts w:ascii="Times New Roman" w:eastAsia="Calibri" w:hAnsi="Times New Roman" w:cs="Times New Roman"/>
          <w:iCs/>
          <w:sz w:val="24"/>
          <w:szCs w:val="24"/>
        </w:rPr>
        <w:t>ата</w:t>
      </w:r>
      <w:r w:rsidRPr="00557FBF">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оценка</w:t>
      </w:r>
      <w:r w:rsidRPr="00557FBF">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 xml:space="preserve">за съвместимост с правото на ЕС също сочи на </w:t>
      </w:r>
      <w:r w:rsidRPr="00101864">
        <w:rPr>
          <w:rFonts w:ascii="Times New Roman" w:eastAsia="Calibri" w:hAnsi="Times New Roman" w:cs="Times New Roman"/>
          <w:iCs/>
          <w:sz w:val="24"/>
          <w:szCs w:val="24"/>
        </w:rPr>
        <w:t xml:space="preserve">необходимост от цялостна промяна, базирана на </w:t>
      </w:r>
      <w:r>
        <w:rPr>
          <w:rFonts w:ascii="Times New Roman" w:eastAsia="Calibri" w:hAnsi="Times New Roman" w:cs="Times New Roman"/>
          <w:iCs/>
          <w:sz w:val="24"/>
          <w:szCs w:val="24"/>
        </w:rPr>
        <w:t>изцяло</w:t>
      </w:r>
      <w:r w:rsidRPr="00101864">
        <w:rPr>
          <w:rFonts w:ascii="Times New Roman" w:eastAsia="Calibri" w:hAnsi="Times New Roman" w:cs="Times New Roman"/>
          <w:iCs/>
          <w:sz w:val="24"/>
          <w:szCs w:val="24"/>
        </w:rPr>
        <w:t xml:space="preserve"> нова интервенционна логика, въвеждаща нови понятия и установяваща самостоятелна нормативна архитектура, способна да организира по нов начин обществените отношения във веригата на доставки</w:t>
      </w:r>
      <w:r>
        <w:rPr>
          <w:rFonts w:ascii="Times New Roman" w:eastAsia="Calibri" w:hAnsi="Times New Roman" w:cs="Times New Roman"/>
          <w:iCs/>
          <w:sz w:val="24"/>
          <w:szCs w:val="24"/>
        </w:rPr>
        <w:t xml:space="preserve">, която най-пълноценно може да бъде адресирана чрез </w:t>
      </w:r>
      <w:r w:rsidRPr="008E69B5">
        <w:rPr>
          <w:rFonts w:ascii="Times New Roman" w:eastAsia="Calibri" w:hAnsi="Times New Roman" w:cs="Times New Roman"/>
          <w:sz w:val="24"/>
          <w:szCs w:val="24"/>
        </w:rPr>
        <w:t>Вариант 3: “Регулаторен - изцяло нов специален закон”.</w:t>
      </w:r>
      <w:r>
        <w:rPr>
          <w:rFonts w:ascii="Times New Roman" w:eastAsia="Calibri" w:hAnsi="Times New Roman" w:cs="Times New Roman"/>
          <w:sz w:val="24"/>
          <w:szCs w:val="24"/>
        </w:rPr>
        <w:t xml:space="preserve"> Когато този вариант бъде разработен в </w:t>
      </w:r>
      <w:r>
        <w:rPr>
          <w:rFonts w:ascii="Times New Roman" w:eastAsia="Calibri" w:hAnsi="Times New Roman" w:cs="Times New Roman"/>
          <w:sz w:val="24"/>
          <w:szCs w:val="24"/>
        </w:rPr>
        <w:lastRenderedPageBreak/>
        <w:t>своя окончателен вид</w:t>
      </w:r>
      <w:r w:rsidR="002E5E4E">
        <w:rPr>
          <w:rFonts w:ascii="Times New Roman" w:eastAsia="Calibri" w:hAnsi="Times New Roman" w:cs="Times New Roman"/>
          <w:sz w:val="24"/>
          <w:szCs w:val="24"/>
        </w:rPr>
        <w:t>,</w:t>
      </w:r>
      <w:r>
        <w:rPr>
          <w:rFonts w:ascii="Times New Roman" w:eastAsia="Calibri" w:hAnsi="Times New Roman" w:cs="Times New Roman"/>
          <w:sz w:val="24"/>
          <w:szCs w:val="24"/>
        </w:rPr>
        <w:t xml:space="preserve"> той следва бъде подложен на същинска оценка за съответствие с правилата на конкуренцията, както и на проверка за съвместимост с правото на ЕС, според горния стандарт, изведен</w:t>
      </w:r>
      <w:r w:rsidRPr="006E0704">
        <w:rPr>
          <w:rFonts w:ascii="Times New Roman" w:eastAsia="Calibri" w:hAnsi="Times New Roman" w:cs="Times New Roman"/>
          <w:iCs/>
          <w:sz w:val="24"/>
          <w:szCs w:val="24"/>
        </w:rPr>
        <w:t xml:space="preserve"> в постоянната практика на С</w:t>
      </w:r>
      <w:r w:rsidR="00354C5F">
        <w:rPr>
          <w:rFonts w:ascii="Times New Roman" w:eastAsia="Calibri" w:hAnsi="Times New Roman" w:cs="Times New Roman"/>
          <w:iCs/>
          <w:sz w:val="24"/>
          <w:szCs w:val="24"/>
        </w:rPr>
        <w:t xml:space="preserve">ъда на </w:t>
      </w:r>
      <w:r w:rsidRPr="006E0704">
        <w:rPr>
          <w:rFonts w:ascii="Times New Roman" w:eastAsia="Calibri" w:hAnsi="Times New Roman" w:cs="Times New Roman"/>
          <w:iCs/>
          <w:sz w:val="24"/>
          <w:szCs w:val="24"/>
        </w:rPr>
        <w:t>ЕС</w:t>
      </w:r>
      <w:r w:rsidR="006E0704" w:rsidRPr="006E0704">
        <w:rPr>
          <w:rFonts w:ascii="Times New Roman" w:eastAsia="Calibri" w:hAnsi="Times New Roman" w:cs="Times New Roman"/>
          <w:iCs/>
          <w:sz w:val="24"/>
          <w:szCs w:val="24"/>
        </w:rPr>
        <w:t>.</w:t>
      </w:r>
      <w:r w:rsidR="006E0704" w:rsidRPr="006E0704">
        <w:rPr>
          <w:rFonts w:ascii="Calibri" w:eastAsia="Calibri" w:hAnsi="Calibri" w:cs="Times New Roman"/>
          <w:kern w:val="2"/>
          <w14:ligatures w14:val="standardContextual"/>
        </w:rPr>
        <w:t xml:space="preserve"> </w:t>
      </w:r>
    </w:p>
    <w:p w14:paraId="1E2AB254" w14:textId="304E41D5" w:rsidR="009F209D" w:rsidRPr="007B4A99" w:rsidRDefault="004C638A" w:rsidP="00B8646D">
      <w:pPr>
        <w:pStyle w:val="Heading1"/>
        <w:rPr>
          <w:rFonts w:ascii="Times New Roman" w:hAnsi="Times New Roman"/>
        </w:rPr>
      </w:pPr>
      <w:bookmarkStart w:id="41" w:name="_Toc198633098"/>
      <w:r w:rsidRPr="007B4A99">
        <w:rPr>
          <w:rFonts w:ascii="Times New Roman" w:hAnsi="Times New Roman"/>
        </w:rPr>
        <w:t>Обществени консултации</w:t>
      </w:r>
      <w:bookmarkEnd w:id="41"/>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376BFB" w:rsidRPr="007B4A99" w14:paraId="5334C54C" w14:textId="77777777" w:rsidTr="00386CCC">
        <w:tc>
          <w:tcPr>
            <w:tcW w:w="9062" w:type="dxa"/>
          </w:tcPr>
          <w:p w14:paraId="67080C7E" w14:textId="77777777" w:rsidR="00376BFB" w:rsidRPr="007B4A99" w:rsidRDefault="00376BFB" w:rsidP="00376BFB">
            <w:pPr>
              <w:pStyle w:val="7878"/>
              <w:rPr>
                <w:rFonts w:ascii="Times New Roman" w:hAnsi="Times New Roman"/>
              </w:rPr>
            </w:pPr>
            <w:r w:rsidRPr="007B4A99">
              <w:rPr>
                <w:rFonts w:ascii="Times New Roman" w:hAnsi="Times New Roman"/>
              </w:rPr>
              <w:t xml:space="preserve">[Съгласно чл. 22, ал.2, т.10 от Наредбата за обхвата и методологията за извършване на оценка на въздействието, в доклада за цялостна предварителна оценка на въздействието задължително се включва </w:t>
            </w:r>
            <w:r w:rsidRPr="007B4A99">
              <w:rPr>
                <w:rFonts w:ascii="Times New Roman" w:hAnsi="Times New Roman"/>
                <w:b/>
              </w:rPr>
              <w:t>обобщение на резултатите от проведените консултации по раздел V от наредбата, включително на основните въпроси, приетите предложения и обосновка за неприетите становища и предложения на заинтересованите страни</w:t>
            </w:r>
            <w:r w:rsidRPr="007B4A99">
              <w:rPr>
                <w:rFonts w:ascii="Times New Roman" w:hAnsi="Times New Roman"/>
              </w:rPr>
              <w:t>.</w:t>
            </w:r>
          </w:p>
          <w:p w14:paraId="3AD41EA8" w14:textId="77777777" w:rsidR="00376BFB" w:rsidRPr="007B4A99" w:rsidRDefault="00376BFB" w:rsidP="00376BFB">
            <w:pPr>
              <w:pStyle w:val="7878"/>
              <w:rPr>
                <w:rFonts w:ascii="Times New Roman" w:hAnsi="Times New Roman"/>
              </w:rPr>
            </w:pPr>
            <w:r w:rsidRPr="007B4A99">
              <w:rPr>
                <w:rFonts w:ascii="Times New Roman" w:hAnsi="Times New Roman"/>
              </w:rPr>
              <w:t>Провеждането на консултации в процеса по извършване на предварителна оценка на въздействието се извършват съгласно раздел „Обществените консултации и оценката на въздействието на нормативните актове“, стр. 73 от Стандартите за провеждане на обществени консултации (РСАР от 16 септември 2019 г.)</w:t>
            </w:r>
          </w:p>
          <w:p w14:paraId="76A8E78C" w14:textId="77777777" w:rsidR="00376BFB" w:rsidRPr="007B4A99" w:rsidRDefault="00376BFB" w:rsidP="00376BFB">
            <w:pPr>
              <w:pStyle w:val="7878"/>
              <w:rPr>
                <w:rFonts w:ascii="Times New Roman" w:hAnsi="Times New Roman"/>
              </w:rPr>
            </w:pPr>
            <w:r w:rsidRPr="007B4A99">
              <w:rPr>
                <w:rFonts w:ascii="Times New Roman" w:hAnsi="Times New Roman"/>
              </w:rPr>
              <w:t>При отразяването на проведените консултации се използват, приетите от Съвета за административната реформа на 16 септември 2019 г.:</w:t>
            </w:r>
          </w:p>
          <w:p w14:paraId="48C7E1DE" w14:textId="77777777" w:rsidR="00376BFB" w:rsidRPr="007B4A99" w:rsidRDefault="00376BFB" w:rsidP="00893B6A">
            <w:pPr>
              <w:pStyle w:val="7878"/>
              <w:numPr>
                <w:ilvl w:val="0"/>
                <w:numId w:val="3"/>
              </w:numPr>
              <w:rPr>
                <w:rFonts w:ascii="Times New Roman" w:hAnsi="Times New Roman"/>
              </w:rPr>
            </w:pPr>
            <w:r w:rsidRPr="007B4A99">
              <w:rPr>
                <w:rFonts w:ascii="Times New Roman" w:hAnsi="Times New Roman"/>
              </w:rPr>
              <w:t>Справка за отразяване на постъпилите предложения и становища от обществените консултации</w:t>
            </w:r>
          </w:p>
          <w:p w14:paraId="3730CCCD" w14:textId="77777777" w:rsidR="00376BFB" w:rsidRPr="007B4A99" w:rsidRDefault="00376BFB" w:rsidP="00893B6A">
            <w:pPr>
              <w:pStyle w:val="7878"/>
              <w:numPr>
                <w:ilvl w:val="0"/>
                <w:numId w:val="3"/>
              </w:numPr>
              <w:rPr>
                <w:rFonts w:ascii="Times New Roman" w:hAnsi="Times New Roman"/>
              </w:rPr>
            </w:pPr>
            <w:r w:rsidRPr="007B4A99">
              <w:rPr>
                <w:rFonts w:ascii="Times New Roman" w:hAnsi="Times New Roman"/>
              </w:rPr>
              <w:t>Съобщение за непостъпили предложения и становища от обществените консултации]</w:t>
            </w:r>
          </w:p>
          <w:p w14:paraId="662DB56E" w14:textId="77777777" w:rsidR="00376BFB" w:rsidRPr="007B4A99" w:rsidRDefault="00376BFB" w:rsidP="00376BFB">
            <w:pPr>
              <w:jc w:val="both"/>
              <w:rPr>
                <w:rFonts w:ascii="Times New Roman" w:hAnsi="Times New Roman" w:cs="Times New Roman"/>
                <w:i/>
              </w:rPr>
            </w:pPr>
            <w:r w:rsidRPr="007B4A99">
              <w:rPr>
                <w:rFonts w:ascii="Times New Roman" w:hAnsi="Times New Roman" w:cs="Times New Roman"/>
                <w:i/>
              </w:rPr>
              <w:t>Описание на основните заинтересовани страни, с които са проведени консултации. Описание на видовете консултационни процедури и графика за тяхното провеждане. Опишете броя и характера на отговорите, получени при консултацията.</w:t>
            </w:r>
          </w:p>
          <w:p w14:paraId="02961874" w14:textId="77777777" w:rsidR="00376BFB" w:rsidRPr="007B4A99" w:rsidRDefault="00376BFB" w:rsidP="00376BFB">
            <w:pPr>
              <w:pStyle w:val="7878"/>
              <w:ind w:left="0"/>
              <w:rPr>
                <w:rFonts w:ascii="Times New Roman" w:hAnsi="Times New Roman"/>
              </w:rPr>
            </w:pPr>
            <w:r w:rsidRPr="007B4A99">
              <w:rPr>
                <w:rFonts w:ascii="Times New Roman" w:hAnsi="Times New Roman"/>
                <w:i w:val="0"/>
              </w:rPr>
              <w:t>Обобщение на резултатите от проведените консултации съгласно Раздел V „Консултации при извършване на цялостна предварителна оценка на въздействието“ от Наредбата за обхвата и методологията за извършване на оценка на въздействието, включително на основните въпроси, приетите предложения и обосновка за неприетите становища и предложения на заинтересованите страни.</w:t>
            </w:r>
          </w:p>
        </w:tc>
      </w:tr>
    </w:tbl>
    <w:p w14:paraId="2A81E66E" w14:textId="77777777" w:rsidR="009F209D" w:rsidRPr="007B4A99" w:rsidRDefault="009F209D" w:rsidP="009F209D">
      <w:pPr>
        <w:jc w:val="both"/>
        <w:rPr>
          <w:rFonts w:ascii="Times New Roman" w:hAnsi="Times New Roman" w:cs="Times New Roman"/>
          <w:i/>
        </w:rPr>
      </w:pPr>
    </w:p>
    <w:p w14:paraId="4258D919" w14:textId="5DA2D625" w:rsidR="00253FAC" w:rsidRPr="0007553B" w:rsidRDefault="00253FAC" w:rsidP="00386CCC">
      <w:pPr>
        <w:spacing w:after="0" w:line="240" w:lineRule="auto"/>
        <w:ind w:firstLine="567"/>
        <w:jc w:val="both"/>
        <w:rPr>
          <w:rFonts w:ascii="Times New Roman" w:hAnsi="Times New Roman" w:cs="Times New Roman"/>
          <w:sz w:val="24"/>
          <w:szCs w:val="24"/>
        </w:rPr>
      </w:pPr>
      <w:r w:rsidRPr="00253FAC">
        <w:rPr>
          <w:rFonts w:ascii="Times New Roman" w:hAnsi="Times New Roman" w:cs="Times New Roman"/>
          <w:sz w:val="24"/>
          <w:szCs w:val="24"/>
        </w:rPr>
        <w:t xml:space="preserve">В изпълнение на </w:t>
      </w:r>
      <w:r w:rsidR="005A5068">
        <w:rPr>
          <w:rFonts w:ascii="Times New Roman" w:hAnsi="Times New Roman" w:cs="Times New Roman"/>
          <w:sz w:val="24"/>
          <w:szCs w:val="24"/>
        </w:rPr>
        <w:t xml:space="preserve">съответната нормативна уредба, </w:t>
      </w:r>
      <w:r w:rsidRPr="00253FAC">
        <w:rPr>
          <w:rFonts w:ascii="Times New Roman" w:hAnsi="Times New Roman" w:cs="Times New Roman"/>
          <w:sz w:val="24"/>
          <w:szCs w:val="24"/>
        </w:rPr>
        <w:t xml:space="preserve">като част от процеса по извършване на ОВ, по инициатива на Министерството на земеделието и храните е проведена предварителна консултация по реда на Раздел V от Наредбата за обхвата и методологията за извършване на оценка на въздействието по основните моменти от концепцията за нова публична политика за обсъждане на необходимостта от евентуална регулаторна интервенция в обществените отношения между участници по веригата на доставки на земеделски продукти и храни в </w:t>
      </w:r>
      <w:r w:rsidR="004F4ED4" w:rsidRPr="00AA510E">
        <w:rPr>
          <w:rFonts w:ascii="Times New Roman" w:hAnsi="Times New Roman" w:cs="Times New Roman"/>
          <w:sz w:val="24"/>
          <w:szCs w:val="24"/>
        </w:rPr>
        <w:t>Република</w:t>
      </w:r>
      <w:r w:rsidR="004F4ED4">
        <w:rPr>
          <w:rFonts w:ascii="Times New Roman" w:hAnsi="Times New Roman" w:cs="Times New Roman"/>
          <w:sz w:val="24"/>
          <w:szCs w:val="24"/>
        </w:rPr>
        <w:t xml:space="preserve"> </w:t>
      </w:r>
      <w:r w:rsidRPr="00253FAC">
        <w:rPr>
          <w:rFonts w:ascii="Times New Roman" w:hAnsi="Times New Roman" w:cs="Times New Roman"/>
          <w:sz w:val="24"/>
          <w:szCs w:val="24"/>
        </w:rPr>
        <w:t xml:space="preserve">България. Консултацията е обявена </w:t>
      </w:r>
      <w:r w:rsidR="000146AF">
        <w:rPr>
          <w:rFonts w:ascii="Times New Roman" w:hAnsi="Times New Roman" w:cs="Times New Roman"/>
          <w:sz w:val="24"/>
          <w:szCs w:val="24"/>
        </w:rPr>
        <w:t>през</w:t>
      </w:r>
      <w:r w:rsidRPr="00253FAC">
        <w:rPr>
          <w:rFonts w:ascii="Times New Roman" w:hAnsi="Times New Roman" w:cs="Times New Roman"/>
          <w:sz w:val="24"/>
          <w:szCs w:val="24"/>
        </w:rPr>
        <w:t xml:space="preserve"> м. март 2025 г., със срок за провеждане от 14 дни</w:t>
      </w:r>
      <w:r w:rsidR="00363984">
        <w:rPr>
          <w:rFonts w:ascii="Times New Roman" w:hAnsi="Times New Roman" w:cs="Times New Roman"/>
          <w:sz w:val="24"/>
          <w:szCs w:val="24"/>
        </w:rPr>
        <w:t xml:space="preserve">. </w:t>
      </w:r>
      <w:r w:rsidR="005A5068" w:rsidRPr="0007553B">
        <w:rPr>
          <w:rFonts w:ascii="Times New Roman" w:hAnsi="Times New Roman" w:cs="Times New Roman"/>
          <w:sz w:val="24"/>
          <w:szCs w:val="24"/>
        </w:rPr>
        <w:t>Тя е придружена от специален въпросник.</w:t>
      </w:r>
      <w:r w:rsidRPr="0007553B">
        <w:rPr>
          <w:rFonts w:ascii="Times New Roman" w:hAnsi="Times New Roman" w:cs="Times New Roman"/>
          <w:sz w:val="24"/>
          <w:szCs w:val="24"/>
        </w:rPr>
        <w:t xml:space="preserve"> Получените становища</w:t>
      </w:r>
      <w:r w:rsidR="005A5068" w:rsidRPr="0007553B">
        <w:rPr>
          <w:rFonts w:ascii="Times New Roman" w:hAnsi="Times New Roman" w:cs="Times New Roman"/>
          <w:sz w:val="24"/>
          <w:szCs w:val="24"/>
        </w:rPr>
        <w:t xml:space="preserve"> са</w:t>
      </w:r>
      <w:r w:rsidRPr="0007553B">
        <w:rPr>
          <w:rFonts w:ascii="Times New Roman" w:hAnsi="Times New Roman" w:cs="Times New Roman"/>
          <w:sz w:val="24"/>
          <w:szCs w:val="24"/>
        </w:rPr>
        <w:t xml:space="preserve"> </w:t>
      </w:r>
      <w:r w:rsidR="00BB6BD6" w:rsidRPr="0007553B">
        <w:rPr>
          <w:rFonts w:ascii="Times New Roman" w:hAnsi="Times New Roman" w:cs="Times New Roman"/>
          <w:sz w:val="24"/>
          <w:szCs w:val="24"/>
        </w:rPr>
        <w:t xml:space="preserve">представени в синтезиран вид </w:t>
      </w:r>
      <w:r w:rsidR="00354C5F">
        <w:rPr>
          <w:rFonts w:ascii="Times New Roman" w:hAnsi="Times New Roman" w:cs="Times New Roman"/>
          <w:sz w:val="24"/>
          <w:szCs w:val="24"/>
        </w:rPr>
        <w:t xml:space="preserve">и са анализирани </w:t>
      </w:r>
      <w:r w:rsidR="00BB6BD6" w:rsidRPr="0007553B">
        <w:rPr>
          <w:rFonts w:ascii="Times New Roman" w:hAnsi="Times New Roman" w:cs="Times New Roman"/>
          <w:sz w:val="24"/>
          <w:szCs w:val="24"/>
        </w:rPr>
        <w:t xml:space="preserve">в </w:t>
      </w:r>
      <w:r w:rsidR="002E5E4E" w:rsidRPr="0007553B">
        <w:rPr>
          <w:rFonts w:ascii="Times New Roman" w:hAnsi="Times New Roman" w:cs="Times New Roman"/>
          <w:bCs/>
          <w:i/>
          <w:iCs/>
          <w:sz w:val="24"/>
          <w:szCs w:val="24"/>
        </w:rPr>
        <w:t>Приложение 1. Обобщен преглед и анализ на становищата на заинтересованите страни</w:t>
      </w:r>
      <w:r w:rsidR="002E5E4E" w:rsidRPr="0007553B">
        <w:rPr>
          <w:rFonts w:ascii="Times New Roman" w:hAnsi="Times New Roman" w:cs="Times New Roman"/>
          <w:i/>
          <w:iCs/>
          <w:sz w:val="24"/>
          <w:szCs w:val="24"/>
        </w:rPr>
        <w:t xml:space="preserve"> </w:t>
      </w:r>
      <w:r w:rsidR="002E5E4E" w:rsidRPr="0007553B">
        <w:rPr>
          <w:rFonts w:ascii="Times New Roman" w:hAnsi="Times New Roman" w:cs="Times New Roman"/>
          <w:sz w:val="24"/>
          <w:szCs w:val="24"/>
        </w:rPr>
        <w:t xml:space="preserve">към </w:t>
      </w:r>
      <w:r w:rsidR="00BB6BD6" w:rsidRPr="0007553B">
        <w:rPr>
          <w:rFonts w:ascii="Times New Roman" w:hAnsi="Times New Roman" w:cs="Times New Roman"/>
          <w:sz w:val="24"/>
          <w:szCs w:val="24"/>
        </w:rPr>
        <w:t>доклада с ОВ</w:t>
      </w:r>
      <w:r w:rsidRPr="0007553B">
        <w:rPr>
          <w:rFonts w:ascii="Times New Roman" w:hAnsi="Times New Roman" w:cs="Times New Roman"/>
          <w:sz w:val="24"/>
          <w:szCs w:val="24"/>
        </w:rPr>
        <w:t>.</w:t>
      </w:r>
    </w:p>
    <w:p w14:paraId="6D20BDED" w14:textId="77777777" w:rsidR="00AB219B" w:rsidRPr="007B4A99" w:rsidRDefault="004C638A" w:rsidP="00B8646D">
      <w:pPr>
        <w:pStyle w:val="Heading1"/>
        <w:rPr>
          <w:rFonts w:ascii="Times New Roman" w:hAnsi="Times New Roman"/>
        </w:rPr>
      </w:pPr>
      <w:bookmarkStart w:id="42" w:name="_Toc198633099"/>
      <w:r w:rsidRPr="007B4A99">
        <w:rPr>
          <w:rFonts w:ascii="Times New Roman" w:hAnsi="Times New Roman"/>
        </w:rPr>
        <w:lastRenderedPageBreak/>
        <w:t>Последваща оценка на въздействието</w:t>
      </w:r>
      <w:bookmarkEnd w:id="42"/>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376BFB" w:rsidRPr="007B4A99" w14:paraId="09D61405" w14:textId="77777777" w:rsidTr="00386CCC">
        <w:tc>
          <w:tcPr>
            <w:tcW w:w="8702" w:type="dxa"/>
          </w:tcPr>
          <w:p w14:paraId="1C231B2B" w14:textId="77777777" w:rsidR="00376BFB" w:rsidRPr="007B4A99" w:rsidRDefault="00376BFB" w:rsidP="00571EC8">
            <w:pPr>
              <w:pStyle w:val="7878"/>
              <w:ind w:left="0"/>
              <w:rPr>
                <w:rFonts w:ascii="Times New Roman" w:hAnsi="Times New Roman"/>
              </w:rPr>
            </w:pPr>
            <w:r w:rsidRPr="007B4A99">
              <w:rPr>
                <w:rFonts w:ascii="Times New Roman" w:hAnsi="Times New Roman"/>
              </w:rPr>
              <w:t>[Съгласно чл. 22, ал.</w:t>
            </w:r>
            <w:r w:rsidR="00C91091" w:rsidRPr="007B4A99">
              <w:rPr>
                <w:rFonts w:ascii="Times New Roman" w:hAnsi="Times New Roman"/>
              </w:rPr>
              <w:t xml:space="preserve"> </w:t>
            </w:r>
            <w:r w:rsidRPr="007B4A99">
              <w:rPr>
                <w:rFonts w:ascii="Times New Roman" w:hAnsi="Times New Roman"/>
              </w:rPr>
              <w:t>2, т.</w:t>
            </w:r>
            <w:r w:rsidR="00C91091" w:rsidRPr="007B4A99">
              <w:rPr>
                <w:rFonts w:ascii="Times New Roman" w:hAnsi="Times New Roman"/>
              </w:rPr>
              <w:t xml:space="preserve"> </w:t>
            </w:r>
            <w:r w:rsidRPr="007B4A99">
              <w:rPr>
                <w:rFonts w:ascii="Times New Roman" w:hAnsi="Times New Roman"/>
              </w:rPr>
              <w:t>12 от Наредбата за обхвата и методологията за извършване на оценка на въздействието, в доклада за цялостна предварителна оценка на въздействието задължително се включва препоръчителен срок за извършване на последваща оценка на въздействието.]</w:t>
            </w:r>
          </w:p>
        </w:tc>
      </w:tr>
    </w:tbl>
    <w:p w14:paraId="15C483E8" w14:textId="77777777" w:rsidR="00354C5F" w:rsidRDefault="00354C5F" w:rsidP="00386CC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p>
    <w:p w14:paraId="74CABDA8" w14:textId="2F050C49" w:rsidR="00C549FA" w:rsidRPr="007B4A99" w:rsidRDefault="00C549FA" w:rsidP="00386CC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Последващата (</w:t>
      </w:r>
      <w:r w:rsidRPr="007B4A99">
        <w:rPr>
          <w:rFonts w:ascii="Times New Roman" w:hAnsi="Times New Roman" w:cs="Times New Roman"/>
          <w:i/>
          <w:sz w:val="24"/>
          <w:szCs w:val="24"/>
        </w:rPr>
        <w:t>ex-post</w:t>
      </w:r>
      <w:r w:rsidRPr="007B4A99">
        <w:rPr>
          <w:rFonts w:ascii="Times New Roman" w:hAnsi="Times New Roman" w:cs="Times New Roman"/>
          <w:sz w:val="24"/>
          <w:szCs w:val="24"/>
        </w:rPr>
        <w:t xml:space="preserve">) оценка на въздействието, наричана още „ретроспективна оценка“, „последващо оценяване“ или за краткост </w:t>
      </w:r>
      <w:r w:rsidR="009A6CC7" w:rsidRPr="007B4A99">
        <w:rPr>
          <w:rFonts w:ascii="Times New Roman" w:hAnsi="Times New Roman" w:cs="Times New Roman"/>
          <w:sz w:val="24"/>
          <w:szCs w:val="24"/>
        </w:rPr>
        <w:t xml:space="preserve"> </w:t>
      </w:r>
      <w:r w:rsidRPr="007B4A99">
        <w:rPr>
          <w:rFonts w:ascii="Times New Roman" w:hAnsi="Times New Roman" w:cs="Times New Roman"/>
          <w:sz w:val="24"/>
          <w:szCs w:val="24"/>
        </w:rPr>
        <w:t>„оценяване“</w:t>
      </w:r>
      <w:r w:rsidRPr="007B4A99">
        <w:rPr>
          <w:rStyle w:val="FootnoteReference"/>
          <w:rFonts w:ascii="Times New Roman" w:hAnsi="Times New Roman"/>
          <w:sz w:val="24"/>
          <w:szCs w:val="24"/>
        </w:rPr>
        <w:footnoteReference w:id="67"/>
      </w:r>
      <w:r w:rsidRPr="007B4A99">
        <w:rPr>
          <w:rFonts w:ascii="Times New Roman" w:hAnsi="Times New Roman" w:cs="Times New Roman"/>
          <w:sz w:val="24"/>
          <w:szCs w:val="24"/>
        </w:rPr>
        <w:t xml:space="preserve"> представлява основано на доказателствата заключение относно степента, в която дадена интервенция е била ефективна, ефикасна</w:t>
      </w:r>
      <w:r w:rsidR="00E36526" w:rsidRPr="007B4A99">
        <w:rPr>
          <w:rFonts w:ascii="Times New Roman" w:hAnsi="Times New Roman" w:cs="Times New Roman"/>
          <w:sz w:val="24"/>
          <w:szCs w:val="24"/>
        </w:rPr>
        <w:t xml:space="preserve"> и</w:t>
      </w:r>
      <w:r w:rsidRPr="007B4A99">
        <w:rPr>
          <w:rFonts w:ascii="Times New Roman" w:hAnsi="Times New Roman" w:cs="Times New Roman"/>
          <w:sz w:val="24"/>
          <w:szCs w:val="24"/>
        </w:rPr>
        <w:t xml:space="preserve"> релевантна от гледна точка на нейните цели и разрешаваните проблеми, съвместима с останалите политики и законодателство и с добавена стойност предвид избраното ниво на власт, от което тя е реализирана – местно, национално или наднационално. Оценяването е механизъм, който спомага да се оцени реалния</w:t>
      </w:r>
      <w:r w:rsidR="009A6CC7" w:rsidRPr="007B4A99">
        <w:rPr>
          <w:rFonts w:ascii="Times New Roman" w:hAnsi="Times New Roman" w:cs="Times New Roman"/>
          <w:sz w:val="24"/>
          <w:szCs w:val="24"/>
        </w:rPr>
        <w:t>т</w:t>
      </w:r>
      <w:r w:rsidRPr="007B4A99">
        <w:rPr>
          <w:rFonts w:ascii="Times New Roman" w:hAnsi="Times New Roman" w:cs="Times New Roman"/>
          <w:sz w:val="24"/>
          <w:szCs w:val="24"/>
        </w:rPr>
        <w:t xml:space="preserve"> напредък на въведените политики и мерки в сравнение с първоначалните очаквания.</w:t>
      </w:r>
    </w:p>
    <w:p w14:paraId="20DADEED" w14:textId="77777777" w:rsidR="00C549FA" w:rsidRPr="007B4A99" w:rsidRDefault="00C549FA" w:rsidP="00386CC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Последващото оценяване не е оценка на</w:t>
      </w:r>
      <w:r w:rsidR="00E36526" w:rsidRPr="007B4A99">
        <w:rPr>
          <w:rFonts w:ascii="Times New Roman" w:hAnsi="Times New Roman" w:cs="Times New Roman"/>
          <w:sz w:val="24"/>
          <w:szCs w:val="24"/>
        </w:rPr>
        <w:t xml:space="preserve"> това</w:t>
      </w:r>
      <w:r w:rsidRPr="007B4A99">
        <w:rPr>
          <w:rFonts w:ascii="Times New Roman" w:hAnsi="Times New Roman" w:cs="Times New Roman"/>
          <w:sz w:val="24"/>
          <w:szCs w:val="24"/>
        </w:rPr>
        <w:t xml:space="preserve"> </w:t>
      </w:r>
      <w:r w:rsidRPr="007B4A99">
        <w:rPr>
          <w:rFonts w:ascii="Times New Roman" w:hAnsi="Times New Roman" w:cs="Times New Roman"/>
          <w:i/>
          <w:sz w:val="24"/>
          <w:szCs w:val="24"/>
        </w:rPr>
        <w:t>какво</w:t>
      </w:r>
      <w:r w:rsidRPr="007B4A99">
        <w:rPr>
          <w:rFonts w:ascii="Times New Roman" w:hAnsi="Times New Roman" w:cs="Times New Roman"/>
          <w:sz w:val="24"/>
          <w:szCs w:val="24"/>
        </w:rPr>
        <w:t xml:space="preserve"> се е случило. То </w:t>
      </w:r>
      <w:r w:rsidR="00E36526" w:rsidRPr="007B4A99">
        <w:rPr>
          <w:rFonts w:ascii="Times New Roman" w:hAnsi="Times New Roman" w:cs="Times New Roman"/>
          <w:sz w:val="24"/>
          <w:szCs w:val="24"/>
        </w:rPr>
        <w:t>анализира</w:t>
      </w:r>
      <w:r w:rsidRPr="007B4A99">
        <w:rPr>
          <w:rFonts w:ascii="Times New Roman" w:hAnsi="Times New Roman" w:cs="Times New Roman"/>
          <w:sz w:val="24"/>
          <w:szCs w:val="24"/>
        </w:rPr>
        <w:t xml:space="preserve"> </w:t>
      </w:r>
      <w:r w:rsidRPr="007B4A99">
        <w:rPr>
          <w:rFonts w:ascii="Times New Roman" w:hAnsi="Times New Roman" w:cs="Times New Roman"/>
          <w:i/>
          <w:sz w:val="24"/>
          <w:szCs w:val="24"/>
        </w:rPr>
        <w:t>защо</w:t>
      </w:r>
      <w:r w:rsidRPr="007B4A99">
        <w:rPr>
          <w:rFonts w:ascii="Times New Roman" w:hAnsi="Times New Roman" w:cs="Times New Roman"/>
          <w:sz w:val="24"/>
          <w:szCs w:val="24"/>
        </w:rPr>
        <w:t xml:space="preserve"> нещо се е случило и, ако е възможно, </w:t>
      </w:r>
      <w:r w:rsidRPr="007B4A99">
        <w:rPr>
          <w:rFonts w:ascii="Times New Roman" w:hAnsi="Times New Roman" w:cs="Times New Roman"/>
          <w:i/>
          <w:sz w:val="24"/>
          <w:szCs w:val="24"/>
        </w:rPr>
        <w:t xml:space="preserve">колко </w:t>
      </w:r>
      <w:r w:rsidRPr="007B4A99">
        <w:rPr>
          <w:rFonts w:ascii="Times New Roman" w:hAnsi="Times New Roman" w:cs="Times New Roman"/>
          <w:sz w:val="24"/>
          <w:szCs w:val="24"/>
        </w:rPr>
        <w:t>се е променило като последица от избрания вариант на действие. То трябва да разглежда по-широката перспектива, да се опита да види дали има нежелани</w:t>
      </w:r>
      <w:r w:rsidR="00E36526" w:rsidRPr="007B4A99">
        <w:rPr>
          <w:rFonts w:ascii="Times New Roman" w:hAnsi="Times New Roman" w:cs="Times New Roman"/>
          <w:sz w:val="24"/>
          <w:szCs w:val="24"/>
        </w:rPr>
        <w:t xml:space="preserve"> или </w:t>
      </w:r>
      <w:r w:rsidRPr="007B4A99">
        <w:rPr>
          <w:rFonts w:ascii="Times New Roman" w:hAnsi="Times New Roman" w:cs="Times New Roman"/>
          <w:sz w:val="24"/>
          <w:szCs w:val="24"/>
        </w:rPr>
        <w:t>неочаквани ефекти, които не са били предвидени при предварителната оценка на въздействието.</w:t>
      </w:r>
    </w:p>
    <w:p w14:paraId="07A6FE8C" w14:textId="77777777" w:rsidR="00C549FA" w:rsidRPr="007B4A99" w:rsidRDefault="00C549FA" w:rsidP="00386CCC">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В конкретния случай последващата оценка на въздействието би имала за цел да отговори на следните генерални въпроси:</w:t>
      </w:r>
    </w:p>
    <w:p w14:paraId="2C7FE92C" w14:textId="77777777" w:rsidR="00C549FA" w:rsidRPr="007B4A99" w:rsidRDefault="00C549FA" w:rsidP="00386CCC">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1. Какво е </w:t>
      </w:r>
      <w:r w:rsidRPr="007B4A99">
        <w:rPr>
          <w:rFonts w:ascii="Times New Roman" w:hAnsi="Times New Roman" w:cs="Times New Roman"/>
          <w:bCs/>
          <w:sz w:val="24"/>
          <w:szCs w:val="24"/>
        </w:rPr>
        <w:t>текущото положение – това предизвикано в резултат от прилагането на избрания вариант на действие</w:t>
      </w:r>
      <w:r w:rsidRPr="007B4A99">
        <w:rPr>
          <w:rFonts w:ascii="Times New Roman" w:hAnsi="Times New Roman" w:cs="Times New Roman"/>
          <w:sz w:val="24"/>
          <w:szCs w:val="24"/>
        </w:rPr>
        <w:t>?</w:t>
      </w:r>
    </w:p>
    <w:p w14:paraId="42210C2F" w14:textId="77777777" w:rsidR="00C549FA" w:rsidRPr="007B4A99" w:rsidRDefault="00C549FA" w:rsidP="00386CCC">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2. Доколко </w:t>
      </w:r>
      <w:r w:rsidRPr="007B4A99">
        <w:rPr>
          <w:rFonts w:ascii="Times New Roman" w:hAnsi="Times New Roman" w:cs="Times New Roman"/>
          <w:bCs/>
          <w:sz w:val="24"/>
          <w:szCs w:val="24"/>
        </w:rPr>
        <w:t>ефективно</w:t>
      </w:r>
      <w:r w:rsidRPr="007B4A99">
        <w:rPr>
          <w:rFonts w:ascii="Times New Roman" w:hAnsi="Times New Roman" w:cs="Times New Roman"/>
          <w:sz w:val="24"/>
          <w:szCs w:val="24"/>
        </w:rPr>
        <w:t xml:space="preserve"> е било избраното действие?</w:t>
      </w:r>
    </w:p>
    <w:p w14:paraId="08DD40B1" w14:textId="77777777" w:rsidR="00C549FA" w:rsidRPr="007B4A99" w:rsidRDefault="00C549FA" w:rsidP="00386CCC">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3. Колко </w:t>
      </w:r>
      <w:r w:rsidRPr="007B4A99">
        <w:rPr>
          <w:rFonts w:ascii="Times New Roman" w:hAnsi="Times New Roman" w:cs="Times New Roman"/>
          <w:bCs/>
          <w:sz w:val="24"/>
          <w:szCs w:val="24"/>
        </w:rPr>
        <w:t>ефикасно</w:t>
      </w:r>
      <w:r w:rsidRPr="007B4A99">
        <w:rPr>
          <w:rFonts w:ascii="Times New Roman" w:hAnsi="Times New Roman" w:cs="Times New Roman"/>
          <w:sz w:val="24"/>
          <w:szCs w:val="24"/>
        </w:rPr>
        <w:t xml:space="preserve"> е бил то?</w:t>
      </w:r>
    </w:p>
    <w:p w14:paraId="2B078312" w14:textId="28DCEE1A" w:rsidR="00C549FA" w:rsidRPr="007B4A99" w:rsidRDefault="00C549FA" w:rsidP="00386CCC">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4. Доколко </w:t>
      </w:r>
      <w:r w:rsidRPr="007B4A99">
        <w:rPr>
          <w:rFonts w:ascii="Times New Roman" w:hAnsi="Times New Roman" w:cs="Times New Roman"/>
          <w:bCs/>
          <w:sz w:val="24"/>
          <w:szCs w:val="24"/>
        </w:rPr>
        <w:t>съгласувана</w:t>
      </w:r>
      <w:r w:rsidRPr="007B4A99">
        <w:rPr>
          <w:rFonts w:ascii="Times New Roman" w:hAnsi="Times New Roman" w:cs="Times New Roman"/>
          <w:sz w:val="24"/>
          <w:szCs w:val="24"/>
        </w:rPr>
        <w:t xml:space="preserve"> с общата стратегическа рамка на правителството, държавата или Европейския съюз</w:t>
      </w:r>
      <w:r w:rsidR="00C20BBB">
        <w:rPr>
          <w:rFonts w:ascii="Times New Roman" w:hAnsi="Times New Roman" w:cs="Times New Roman"/>
          <w:sz w:val="24"/>
          <w:szCs w:val="24"/>
        </w:rPr>
        <w:t xml:space="preserve"> е</w:t>
      </w:r>
      <w:r w:rsidRPr="007B4A99">
        <w:rPr>
          <w:rFonts w:ascii="Times New Roman" w:hAnsi="Times New Roman" w:cs="Times New Roman"/>
          <w:sz w:val="24"/>
          <w:szCs w:val="24"/>
        </w:rPr>
        <w:t xml:space="preserve"> избраната интервенция?</w:t>
      </w:r>
    </w:p>
    <w:p w14:paraId="5A3C08ED" w14:textId="77777777" w:rsidR="00C549FA" w:rsidRPr="007B4A99" w:rsidRDefault="00C549FA" w:rsidP="00386CCC">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bCs/>
          <w:sz w:val="24"/>
          <w:szCs w:val="24"/>
        </w:rPr>
        <w:t>Основните критерии за намиране на отговори на поставените въпроси пред оценяването биха били следните</w:t>
      </w:r>
      <w:r w:rsidRPr="007B4A99">
        <w:rPr>
          <w:rFonts w:ascii="Times New Roman" w:hAnsi="Times New Roman" w:cs="Times New Roman"/>
          <w:sz w:val="24"/>
          <w:szCs w:val="24"/>
        </w:rPr>
        <w:t>:</w:t>
      </w:r>
    </w:p>
    <w:p w14:paraId="4C2F5F90" w14:textId="77777777" w:rsidR="00C549FA" w:rsidRPr="007B4A99" w:rsidRDefault="00C549FA" w:rsidP="00386CCC">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1. </w:t>
      </w:r>
      <w:r w:rsidRPr="007B4A99">
        <w:rPr>
          <w:rFonts w:ascii="Times New Roman" w:hAnsi="Times New Roman" w:cs="Times New Roman"/>
          <w:bCs/>
          <w:sz w:val="24"/>
          <w:szCs w:val="24"/>
        </w:rPr>
        <w:t>постигане на целите</w:t>
      </w:r>
      <w:r w:rsidRPr="007B4A99">
        <w:rPr>
          <w:rFonts w:ascii="Times New Roman" w:hAnsi="Times New Roman" w:cs="Times New Roman"/>
          <w:sz w:val="24"/>
          <w:szCs w:val="24"/>
        </w:rPr>
        <w:t xml:space="preserve"> – степента, в която целите от реализираната политика и/или изменението на нормативния акт са постигнати, независимо дали това се дължи на конкретната политика, съответно на изменението в нормативния акт;</w:t>
      </w:r>
    </w:p>
    <w:p w14:paraId="5071EDA1" w14:textId="77777777" w:rsidR="00C549FA" w:rsidRPr="007B4A99" w:rsidRDefault="00C549FA" w:rsidP="00386CCC">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2. </w:t>
      </w:r>
      <w:r w:rsidRPr="007B4A99">
        <w:rPr>
          <w:rFonts w:ascii="Times New Roman" w:hAnsi="Times New Roman" w:cs="Times New Roman"/>
          <w:bCs/>
          <w:sz w:val="24"/>
          <w:szCs w:val="24"/>
        </w:rPr>
        <w:t>ефективност</w:t>
      </w:r>
      <w:r w:rsidRPr="007B4A99">
        <w:rPr>
          <w:rFonts w:ascii="Times New Roman" w:hAnsi="Times New Roman" w:cs="Times New Roman"/>
          <w:sz w:val="24"/>
          <w:szCs w:val="24"/>
        </w:rPr>
        <w:t xml:space="preserve"> – степента, в която постигането на целите от реализираната политика и/или от изменението в нормативния акт се дължи на конкретната политика, съответно на изменението в нормативния акт;</w:t>
      </w:r>
    </w:p>
    <w:p w14:paraId="3DB61CEB" w14:textId="77777777" w:rsidR="00C549FA" w:rsidRPr="007B4A99" w:rsidRDefault="00C549FA" w:rsidP="00386CCC">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3. </w:t>
      </w:r>
      <w:r w:rsidRPr="007B4A99">
        <w:rPr>
          <w:rFonts w:ascii="Times New Roman" w:hAnsi="Times New Roman" w:cs="Times New Roman"/>
          <w:bCs/>
          <w:sz w:val="24"/>
          <w:szCs w:val="24"/>
        </w:rPr>
        <w:t>ефикасност</w:t>
      </w:r>
      <w:r w:rsidRPr="007B4A99">
        <w:rPr>
          <w:rFonts w:ascii="Times New Roman" w:hAnsi="Times New Roman" w:cs="Times New Roman"/>
          <w:sz w:val="24"/>
          <w:szCs w:val="24"/>
        </w:rPr>
        <w:t xml:space="preserve"> – постигането на максимални резултати от използваните ресурси от реализираната политика и/или от изменението на нормативен акт;</w:t>
      </w:r>
    </w:p>
    <w:p w14:paraId="0E803EA3" w14:textId="77777777" w:rsidR="00C549FA" w:rsidRPr="007B4A99" w:rsidRDefault="00C549FA" w:rsidP="00386CCC">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4. </w:t>
      </w:r>
      <w:r w:rsidRPr="007B4A99">
        <w:rPr>
          <w:rFonts w:ascii="Times New Roman" w:hAnsi="Times New Roman" w:cs="Times New Roman"/>
          <w:bCs/>
          <w:sz w:val="24"/>
          <w:szCs w:val="24"/>
        </w:rPr>
        <w:t>устойчивост</w:t>
      </w:r>
      <w:r w:rsidRPr="007B4A99">
        <w:rPr>
          <w:rFonts w:ascii="Times New Roman" w:hAnsi="Times New Roman" w:cs="Times New Roman"/>
          <w:sz w:val="24"/>
          <w:szCs w:val="24"/>
        </w:rPr>
        <w:t xml:space="preserve"> – степента на трайно решаване на идентифицираните проблеми;</w:t>
      </w:r>
    </w:p>
    <w:p w14:paraId="68EFAFD4" w14:textId="77777777" w:rsidR="00C549FA" w:rsidRPr="007B4A99" w:rsidRDefault="00C549FA" w:rsidP="00386CCC">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5. </w:t>
      </w:r>
      <w:r w:rsidRPr="007B4A99">
        <w:rPr>
          <w:rFonts w:ascii="Times New Roman" w:hAnsi="Times New Roman" w:cs="Times New Roman"/>
          <w:bCs/>
          <w:sz w:val="24"/>
          <w:szCs w:val="24"/>
        </w:rPr>
        <w:t>полезност</w:t>
      </w:r>
      <w:r w:rsidRPr="007B4A99">
        <w:rPr>
          <w:rFonts w:ascii="Times New Roman" w:hAnsi="Times New Roman" w:cs="Times New Roman"/>
          <w:sz w:val="24"/>
          <w:szCs w:val="24"/>
        </w:rPr>
        <w:t xml:space="preserve"> – степента на удовлетворяване на очакванията на адресатите на политиката и/или на нормативния акт.</w:t>
      </w:r>
    </w:p>
    <w:p w14:paraId="4E395632" w14:textId="77777777" w:rsidR="00C549FA" w:rsidRPr="007B4A99" w:rsidRDefault="00C549FA" w:rsidP="00386CCC">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lastRenderedPageBreak/>
        <w:t>Подходящи допълнителни критерии за последваща оценка в конкретния случай биха били следните:</w:t>
      </w:r>
    </w:p>
    <w:p w14:paraId="08AC9183" w14:textId="77777777" w:rsidR="00C549FA" w:rsidRPr="007B4A99" w:rsidRDefault="00C549FA" w:rsidP="00386CCC">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1. релевантност – дали целите на интервенцията продължават да съответстват на потребностите и проблемите;</w:t>
      </w:r>
    </w:p>
    <w:p w14:paraId="5F56FDCB" w14:textId="77777777" w:rsidR="00C549FA" w:rsidRPr="007B4A99" w:rsidRDefault="00C549FA" w:rsidP="00386CCC">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2. добавената стойност на действието от избраното ниво на власт, т.е. кои са онези общи ползи от предприемането на действията от избраното ниво на власт – местно или национално, които не биха се реализирали, ако беше избрано друго такова;</w:t>
      </w:r>
    </w:p>
    <w:p w14:paraId="27533F39" w14:textId="77777777" w:rsidR="00C549FA" w:rsidRPr="007B4A99" w:rsidRDefault="00C549FA" w:rsidP="00386CCC">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3. </w:t>
      </w:r>
      <w:r w:rsidRPr="007B4A99">
        <w:rPr>
          <w:rFonts w:ascii="Times New Roman" w:hAnsi="Times New Roman" w:cs="Times New Roman"/>
          <w:bCs/>
          <w:sz w:val="24"/>
          <w:szCs w:val="24"/>
        </w:rPr>
        <w:t>допълняемост</w:t>
      </w:r>
      <w:r w:rsidRPr="007B4A99">
        <w:rPr>
          <w:rFonts w:ascii="Times New Roman" w:hAnsi="Times New Roman" w:cs="Times New Roman"/>
          <w:sz w:val="24"/>
          <w:szCs w:val="24"/>
        </w:rPr>
        <w:t xml:space="preserve"> – чрез този критерий се проследява до каква степен интервенцията се подкрепя и допълва по полезен начин с други подобни интервенции или политики;</w:t>
      </w:r>
    </w:p>
    <w:p w14:paraId="3FAD2574" w14:textId="20850072" w:rsidR="00C549FA" w:rsidRPr="007B4A99" w:rsidRDefault="00C549FA" w:rsidP="00386CCC">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4. </w:t>
      </w:r>
      <w:r w:rsidRPr="007B4A99">
        <w:rPr>
          <w:rFonts w:ascii="Times New Roman" w:hAnsi="Times New Roman" w:cs="Times New Roman"/>
          <w:bCs/>
          <w:sz w:val="24"/>
          <w:szCs w:val="24"/>
        </w:rPr>
        <w:t xml:space="preserve">координираност </w:t>
      </w:r>
      <w:r w:rsidRPr="007B4A99">
        <w:rPr>
          <w:rFonts w:ascii="Times New Roman" w:hAnsi="Times New Roman" w:cs="Times New Roman"/>
          <w:sz w:val="24"/>
          <w:szCs w:val="24"/>
        </w:rPr>
        <w:t>– при него се изследва доколко интервенцията</w:t>
      </w:r>
      <w:r w:rsidR="00D93194" w:rsidRPr="007B4A99">
        <w:rPr>
          <w:rFonts w:ascii="Times New Roman" w:hAnsi="Times New Roman" w:cs="Times New Roman"/>
          <w:sz w:val="24"/>
          <w:szCs w:val="24"/>
        </w:rPr>
        <w:t xml:space="preserve"> </w:t>
      </w:r>
      <w:r w:rsidRPr="007B4A99">
        <w:rPr>
          <w:rFonts w:ascii="Times New Roman" w:hAnsi="Times New Roman" w:cs="Times New Roman"/>
          <w:sz w:val="24"/>
          <w:szCs w:val="24"/>
        </w:rPr>
        <w:t>е структуриран</w:t>
      </w:r>
      <w:r w:rsidR="00882D03" w:rsidRPr="007B4A99">
        <w:rPr>
          <w:rFonts w:ascii="Times New Roman" w:hAnsi="Times New Roman" w:cs="Times New Roman"/>
          <w:sz w:val="24"/>
          <w:szCs w:val="24"/>
        </w:rPr>
        <w:t>а</w:t>
      </w:r>
      <w:r w:rsidRPr="007B4A99">
        <w:rPr>
          <w:rFonts w:ascii="Times New Roman" w:hAnsi="Times New Roman" w:cs="Times New Roman"/>
          <w:sz w:val="24"/>
          <w:szCs w:val="24"/>
        </w:rPr>
        <w:t xml:space="preserve"> по начин, който позволява да се увеличат до максимум нейните ефекти в резултат от синергията й с други подобни на нея интервенции или политики;</w:t>
      </w:r>
    </w:p>
    <w:p w14:paraId="7082B25F" w14:textId="77777777" w:rsidR="00C549FA" w:rsidRPr="007B4A99" w:rsidRDefault="00C549FA" w:rsidP="00386CCC">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5. </w:t>
      </w:r>
      <w:r w:rsidRPr="007B4A99">
        <w:rPr>
          <w:rFonts w:ascii="Times New Roman" w:hAnsi="Times New Roman" w:cs="Times New Roman"/>
          <w:bCs/>
          <w:sz w:val="24"/>
          <w:szCs w:val="24"/>
        </w:rPr>
        <w:t>равенство</w:t>
      </w:r>
      <w:r w:rsidR="00E36526" w:rsidRPr="007B4A99">
        <w:rPr>
          <w:rFonts w:ascii="Times New Roman" w:hAnsi="Times New Roman" w:cs="Times New Roman"/>
          <w:bCs/>
          <w:sz w:val="24"/>
          <w:szCs w:val="24"/>
        </w:rPr>
        <w:t xml:space="preserve"> </w:t>
      </w:r>
      <w:r w:rsidRPr="007B4A99">
        <w:rPr>
          <w:rFonts w:ascii="Times New Roman" w:hAnsi="Times New Roman" w:cs="Times New Roman"/>
          <w:sz w:val="24"/>
          <w:szCs w:val="24"/>
        </w:rPr>
        <w:t>– чрез този критерий се проверява доколко справедливо са разпределени различните ефекти от интервенцията сред различните заинтересовани лица, региони, полове, социални групи и други;</w:t>
      </w:r>
    </w:p>
    <w:p w14:paraId="6101E18B" w14:textId="77777777" w:rsidR="00C549FA" w:rsidRPr="007B4A99" w:rsidRDefault="00C549FA" w:rsidP="00386CCC">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6.</w:t>
      </w:r>
      <w:r w:rsidRPr="007B4A99">
        <w:rPr>
          <w:rFonts w:ascii="Times New Roman" w:hAnsi="Times New Roman" w:cs="Times New Roman"/>
          <w:bCs/>
          <w:sz w:val="24"/>
          <w:szCs w:val="24"/>
        </w:rPr>
        <w:t xml:space="preserve"> приемливост </w:t>
      </w:r>
      <w:r w:rsidRPr="007B4A99">
        <w:rPr>
          <w:rFonts w:ascii="Times New Roman" w:hAnsi="Times New Roman" w:cs="Times New Roman"/>
          <w:sz w:val="24"/>
          <w:szCs w:val="24"/>
        </w:rPr>
        <w:t>– с помощта на този критерий се проучва до каква степен могат да се наблюдават промени във възприемането на интервенцията от целевите групи, заинтересованите страни или широката общественост.</w:t>
      </w:r>
    </w:p>
    <w:p w14:paraId="2036753A" w14:textId="77777777" w:rsidR="00C549FA" w:rsidRPr="007B4A99" w:rsidRDefault="00C549FA" w:rsidP="00386CCC">
      <w:pPr>
        <w:spacing w:after="0" w:line="240" w:lineRule="auto"/>
        <w:ind w:firstLine="567"/>
        <w:jc w:val="both"/>
        <w:rPr>
          <w:rFonts w:ascii="Times New Roman" w:eastAsia="Times New Roman" w:hAnsi="Times New Roman" w:cs="Times New Roman"/>
          <w:sz w:val="24"/>
          <w:szCs w:val="24"/>
        </w:rPr>
      </w:pPr>
      <w:r w:rsidRPr="007B4A99">
        <w:rPr>
          <w:rFonts w:ascii="Times New Roman" w:hAnsi="Times New Roman" w:cs="Times New Roman"/>
          <w:sz w:val="24"/>
          <w:szCs w:val="24"/>
        </w:rPr>
        <w:t xml:space="preserve">Планирането на последващото оценяване винаги следва да отчита жизнения цикъл на всяка интервенция и нуждите от взимането на оперативни и стратегически решения, които я засягат. </w:t>
      </w:r>
    </w:p>
    <w:p w14:paraId="2E53DF0C" w14:textId="618F6DA7" w:rsidR="00C549FA" w:rsidRPr="007B4A99" w:rsidRDefault="00C549FA" w:rsidP="00386CCC">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 xml:space="preserve">Според </w:t>
      </w:r>
      <w:r w:rsidR="00882D03" w:rsidRPr="007B4A99">
        <w:rPr>
          <w:rFonts w:ascii="Times New Roman" w:hAnsi="Times New Roman" w:cs="Times New Roman"/>
          <w:sz w:val="24"/>
          <w:szCs w:val="24"/>
        </w:rPr>
        <w:t>ЗНА,</w:t>
      </w:r>
      <w:r w:rsidRPr="007B4A99">
        <w:rPr>
          <w:rFonts w:ascii="Times New Roman" w:hAnsi="Times New Roman" w:cs="Times New Roman"/>
          <w:sz w:val="24"/>
          <w:szCs w:val="24"/>
        </w:rPr>
        <w:t xml:space="preserve"> органът, в чиято компетентност е изпълнението на нормативния акт, извършва последваща оценка на въздействието на новите закони, кодекси и подзаконови нормативни актове на </w:t>
      </w:r>
      <w:r w:rsidR="00882D03" w:rsidRPr="007B4A99">
        <w:rPr>
          <w:rFonts w:ascii="Times New Roman" w:hAnsi="Times New Roman" w:cs="Times New Roman"/>
          <w:sz w:val="24"/>
          <w:szCs w:val="24"/>
        </w:rPr>
        <w:t>МС</w:t>
      </w:r>
      <w:r w:rsidRPr="007B4A99">
        <w:rPr>
          <w:rFonts w:ascii="Times New Roman" w:hAnsi="Times New Roman" w:cs="Times New Roman"/>
          <w:sz w:val="24"/>
          <w:szCs w:val="24"/>
        </w:rPr>
        <w:t xml:space="preserve">. Последващата оценка на въздействието се извършва в срок 5 години след влизането в сила на новия закон, кодекс или подзаконов нормативен акт на </w:t>
      </w:r>
      <w:r w:rsidR="00882D03" w:rsidRPr="007B4A99">
        <w:rPr>
          <w:rFonts w:ascii="Times New Roman" w:hAnsi="Times New Roman" w:cs="Times New Roman"/>
          <w:sz w:val="24"/>
          <w:szCs w:val="24"/>
        </w:rPr>
        <w:t>МС</w:t>
      </w:r>
      <w:r w:rsidRPr="007B4A99">
        <w:rPr>
          <w:rFonts w:ascii="Times New Roman" w:hAnsi="Times New Roman" w:cs="Times New Roman"/>
          <w:sz w:val="24"/>
          <w:szCs w:val="24"/>
        </w:rPr>
        <w:t xml:space="preserve"> или в по-кратък срок, определен от отговорния орган.</w:t>
      </w:r>
    </w:p>
    <w:p w14:paraId="62A0969D" w14:textId="10EEABDE" w:rsidR="00E36526" w:rsidRPr="007B4A99" w:rsidRDefault="002036CA" w:rsidP="00386CCC">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П</w:t>
      </w:r>
      <w:r w:rsidR="00C549FA" w:rsidRPr="007B4A99">
        <w:rPr>
          <w:rFonts w:ascii="Times New Roman" w:hAnsi="Times New Roman" w:cs="Times New Roman"/>
          <w:sz w:val="24"/>
          <w:szCs w:val="24"/>
        </w:rPr>
        <w:t>ри извършване</w:t>
      </w:r>
      <w:r w:rsidRPr="007B4A99">
        <w:rPr>
          <w:rFonts w:ascii="Times New Roman" w:hAnsi="Times New Roman" w:cs="Times New Roman"/>
          <w:sz w:val="24"/>
          <w:szCs w:val="24"/>
        </w:rPr>
        <w:t>то на последваща</w:t>
      </w:r>
      <w:r w:rsidR="00C549FA" w:rsidRPr="007B4A99">
        <w:rPr>
          <w:rFonts w:ascii="Times New Roman" w:hAnsi="Times New Roman" w:cs="Times New Roman"/>
          <w:sz w:val="24"/>
          <w:szCs w:val="24"/>
        </w:rPr>
        <w:t xml:space="preserve"> оценка на въздействието на препоръчания вариант за регулаторна намеса чрез изцяло нов </w:t>
      </w:r>
      <w:r w:rsidR="00417139">
        <w:rPr>
          <w:rFonts w:ascii="Times New Roman" w:hAnsi="Times New Roman" w:cs="Times New Roman"/>
          <w:sz w:val="24"/>
          <w:szCs w:val="24"/>
        </w:rPr>
        <w:t xml:space="preserve">специален </w:t>
      </w:r>
      <w:r w:rsidR="00C549FA" w:rsidRPr="007B4A99">
        <w:rPr>
          <w:rFonts w:ascii="Times New Roman" w:hAnsi="Times New Roman" w:cs="Times New Roman"/>
          <w:sz w:val="24"/>
          <w:szCs w:val="24"/>
        </w:rPr>
        <w:t xml:space="preserve">закон, </w:t>
      </w:r>
      <w:r w:rsidRPr="007B4A99">
        <w:rPr>
          <w:rFonts w:ascii="Times New Roman" w:hAnsi="Times New Roman" w:cs="Times New Roman"/>
          <w:sz w:val="24"/>
          <w:szCs w:val="24"/>
        </w:rPr>
        <w:t xml:space="preserve">следва да </w:t>
      </w:r>
      <w:r w:rsidR="00C549FA" w:rsidRPr="007B4A99">
        <w:rPr>
          <w:rFonts w:ascii="Times New Roman" w:hAnsi="Times New Roman" w:cs="Times New Roman"/>
          <w:sz w:val="24"/>
          <w:szCs w:val="24"/>
        </w:rPr>
        <w:t xml:space="preserve"> бъдат използвани всички </w:t>
      </w:r>
      <w:r w:rsidRPr="007B4A99">
        <w:rPr>
          <w:rFonts w:ascii="Times New Roman" w:hAnsi="Times New Roman" w:cs="Times New Roman"/>
          <w:sz w:val="24"/>
          <w:szCs w:val="24"/>
        </w:rPr>
        <w:t>възможни данни, генерирани в рамките на националната и европейската статистика, банковата система, данъчната администрация, съдебната власт и други</w:t>
      </w:r>
      <w:r w:rsidR="002B2933" w:rsidRPr="007B4A99">
        <w:rPr>
          <w:rFonts w:ascii="Times New Roman" w:hAnsi="Times New Roman" w:cs="Times New Roman"/>
          <w:sz w:val="24"/>
          <w:szCs w:val="24"/>
        </w:rPr>
        <w:t>,</w:t>
      </w:r>
      <w:r w:rsidRPr="007B4A99">
        <w:rPr>
          <w:rFonts w:ascii="Times New Roman" w:hAnsi="Times New Roman" w:cs="Times New Roman"/>
          <w:sz w:val="24"/>
          <w:szCs w:val="24"/>
        </w:rPr>
        <w:t xml:space="preserve"> чрез които да се установи в</w:t>
      </w:r>
      <w:r w:rsidR="00E36526" w:rsidRPr="007B4A99">
        <w:rPr>
          <w:rFonts w:ascii="Times New Roman" w:hAnsi="Times New Roman" w:cs="Times New Roman"/>
          <w:sz w:val="24"/>
          <w:szCs w:val="24"/>
        </w:rPr>
        <w:t xml:space="preserve"> каква степен </w:t>
      </w:r>
      <w:r w:rsidRPr="007B4A99">
        <w:rPr>
          <w:rFonts w:ascii="Times New Roman" w:hAnsi="Times New Roman" w:cs="Times New Roman"/>
          <w:sz w:val="24"/>
          <w:szCs w:val="24"/>
        </w:rPr>
        <w:t>са</w:t>
      </w:r>
      <w:r w:rsidR="00E36526" w:rsidRPr="007B4A99">
        <w:rPr>
          <w:rFonts w:ascii="Times New Roman" w:hAnsi="Times New Roman" w:cs="Times New Roman"/>
          <w:sz w:val="24"/>
          <w:szCs w:val="24"/>
        </w:rPr>
        <w:t xml:space="preserve"> постигнати </w:t>
      </w:r>
      <w:r w:rsidRPr="007B4A99">
        <w:rPr>
          <w:rFonts w:ascii="Times New Roman" w:hAnsi="Times New Roman" w:cs="Times New Roman"/>
          <w:sz w:val="24"/>
          <w:szCs w:val="24"/>
        </w:rPr>
        <w:t xml:space="preserve">поставените пред закона цели и настъпили ли са преследваните </w:t>
      </w:r>
      <w:r w:rsidR="00E36526" w:rsidRPr="007B4A99">
        <w:rPr>
          <w:rFonts w:ascii="Times New Roman" w:hAnsi="Times New Roman" w:cs="Times New Roman"/>
          <w:sz w:val="24"/>
          <w:szCs w:val="24"/>
        </w:rPr>
        <w:t xml:space="preserve">ефекти и промени по отношение на </w:t>
      </w:r>
      <w:r w:rsidRPr="007B4A99">
        <w:rPr>
          <w:rFonts w:ascii="Times New Roman" w:hAnsi="Times New Roman" w:cs="Times New Roman"/>
          <w:sz w:val="24"/>
          <w:szCs w:val="24"/>
        </w:rPr>
        <w:t>преките адресати на регулиране, държавата и обществото като цяло.</w:t>
      </w:r>
    </w:p>
    <w:p w14:paraId="45BEFB46" w14:textId="77777777" w:rsidR="00C549FA" w:rsidRPr="007B4A99" w:rsidRDefault="00C549FA" w:rsidP="00386CCC">
      <w:pPr>
        <w:spacing w:after="0" w:line="240" w:lineRule="auto"/>
        <w:ind w:firstLine="567"/>
        <w:jc w:val="both"/>
        <w:rPr>
          <w:rFonts w:ascii="Times New Roman" w:hAnsi="Times New Roman" w:cs="Times New Roman"/>
          <w:sz w:val="24"/>
          <w:szCs w:val="24"/>
        </w:rPr>
      </w:pPr>
      <w:r w:rsidRPr="007B4A99">
        <w:rPr>
          <w:rFonts w:ascii="Times New Roman" w:hAnsi="Times New Roman" w:cs="Times New Roman"/>
          <w:sz w:val="24"/>
          <w:szCs w:val="24"/>
        </w:rPr>
        <w:t>Основните критерии, по които да се прецени доколко са постигнати заложените цели на национално ниво при прилагането на реализирания вариант на действие,</w:t>
      </w:r>
      <w:r w:rsidR="002036CA" w:rsidRPr="007B4A99">
        <w:rPr>
          <w:rFonts w:ascii="Times New Roman" w:hAnsi="Times New Roman" w:cs="Times New Roman"/>
          <w:sz w:val="24"/>
          <w:szCs w:val="24"/>
        </w:rPr>
        <w:t xml:space="preserve"> следва да</w:t>
      </w:r>
      <w:r w:rsidRPr="007B4A99">
        <w:rPr>
          <w:rFonts w:ascii="Times New Roman" w:hAnsi="Times New Roman" w:cs="Times New Roman"/>
          <w:sz w:val="24"/>
          <w:szCs w:val="24"/>
        </w:rPr>
        <w:t xml:space="preserve"> са</w:t>
      </w:r>
      <w:r w:rsidR="002036CA" w:rsidRPr="007B4A99">
        <w:rPr>
          <w:rFonts w:ascii="Times New Roman" w:hAnsi="Times New Roman" w:cs="Times New Roman"/>
          <w:sz w:val="24"/>
          <w:szCs w:val="24"/>
        </w:rPr>
        <w:t xml:space="preserve"> тези,</w:t>
      </w:r>
      <w:r w:rsidRPr="007B4A99">
        <w:rPr>
          <w:rFonts w:ascii="Times New Roman" w:hAnsi="Times New Roman" w:cs="Times New Roman"/>
          <w:sz w:val="24"/>
          <w:szCs w:val="24"/>
        </w:rPr>
        <w:t xml:space="preserve"> използвани в</w:t>
      </w:r>
      <w:r w:rsidR="002036CA" w:rsidRPr="007B4A99">
        <w:rPr>
          <w:rFonts w:ascii="Times New Roman" w:hAnsi="Times New Roman" w:cs="Times New Roman"/>
          <w:sz w:val="24"/>
          <w:szCs w:val="24"/>
        </w:rPr>
        <w:t xml:space="preserve"> настоящата цялостна</w:t>
      </w:r>
      <w:r w:rsidRPr="007B4A99">
        <w:rPr>
          <w:rFonts w:ascii="Times New Roman" w:hAnsi="Times New Roman" w:cs="Times New Roman"/>
          <w:sz w:val="24"/>
          <w:szCs w:val="24"/>
        </w:rPr>
        <w:t xml:space="preserve"> предварителна оценка на въздействието</w:t>
      </w:r>
      <w:r w:rsidR="002036CA" w:rsidRPr="007B4A99">
        <w:rPr>
          <w:rFonts w:ascii="Times New Roman" w:hAnsi="Times New Roman" w:cs="Times New Roman"/>
          <w:sz w:val="24"/>
          <w:szCs w:val="24"/>
        </w:rPr>
        <w:t xml:space="preserve"> като:</w:t>
      </w:r>
      <w:r w:rsidRPr="007B4A99">
        <w:rPr>
          <w:rFonts w:ascii="Times New Roman" w:hAnsi="Times New Roman" w:cs="Times New Roman"/>
          <w:sz w:val="24"/>
          <w:szCs w:val="24"/>
        </w:rPr>
        <w:t xml:space="preserve"> ефективност, ефикасност и съгласуваност. Те могат да бъдат </w:t>
      </w:r>
      <w:r w:rsidR="002036CA" w:rsidRPr="007B4A99">
        <w:rPr>
          <w:rFonts w:ascii="Times New Roman" w:hAnsi="Times New Roman" w:cs="Times New Roman"/>
          <w:sz w:val="24"/>
          <w:szCs w:val="24"/>
        </w:rPr>
        <w:t xml:space="preserve">съответно обвързани </w:t>
      </w:r>
      <w:r w:rsidRPr="007B4A99">
        <w:rPr>
          <w:rFonts w:ascii="Times New Roman" w:hAnsi="Times New Roman" w:cs="Times New Roman"/>
          <w:sz w:val="24"/>
          <w:szCs w:val="24"/>
        </w:rPr>
        <w:t xml:space="preserve">и с периодичен преглед на прилагането на имплементираната </w:t>
      </w:r>
      <w:r w:rsidR="002036CA" w:rsidRPr="007B4A99">
        <w:rPr>
          <w:rFonts w:ascii="Times New Roman" w:hAnsi="Times New Roman" w:cs="Times New Roman"/>
          <w:sz w:val="24"/>
          <w:szCs w:val="24"/>
        </w:rPr>
        <w:t>уредба от правото на ЕС</w:t>
      </w:r>
      <w:r w:rsidRPr="007B4A99">
        <w:rPr>
          <w:rFonts w:ascii="Times New Roman" w:hAnsi="Times New Roman" w:cs="Times New Roman"/>
          <w:sz w:val="24"/>
          <w:szCs w:val="24"/>
        </w:rPr>
        <w:t>, с преценка на съответствието с определени конституционни</w:t>
      </w:r>
      <w:r w:rsidR="002036CA" w:rsidRPr="007B4A99">
        <w:rPr>
          <w:rFonts w:ascii="Times New Roman" w:hAnsi="Times New Roman" w:cs="Times New Roman"/>
          <w:sz w:val="24"/>
          <w:szCs w:val="24"/>
        </w:rPr>
        <w:t xml:space="preserve"> разпоредби и</w:t>
      </w:r>
      <w:r w:rsidRPr="007B4A99">
        <w:rPr>
          <w:rFonts w:ascii="Times New Roman" w:hAnsi="Times New Roman" w:cs="Times New Roman"/>
          <w:sz w:val="24"/>
          <w:szCs w:val="24"/>
        </w:rPr>
        <w:t xml:space="preserve"> т.н.</w:t>
      </w:r>
    </w:p>
    <w:p w14:paraId="44B850AA" w14:textId="1BCCE2EA" w:rsidR="00BB6BD6" w:rsidRPr="00417139" w:rsidRDefault="00C549FA" w:rsidP="00386CCC">
      <w:pPr>
        <w:spacing w:after="0" w:line="240" w:lineRule="auto"/>
        <w:ind w:firstLine="567"/>
        <w:jc w:val="both"/>
        <w:rPr>
          <w:rFonts w:ascii="Times New Roman" w:hAnsi="Times New Roman" w:cs="Times New Roman"/>
          <w:sz w:val="24"/>
          <w:szCs w:val="24"/>
        </w:rPr>
      </w:pPr>
      <w:r w:rsidRPr="00417139">
        <w:rPr>
          <w:rFonts w:ascii="Times New Roman" w:hAnsi="Times New Roman" w:cs="Times New Roman"/>
          <w:sz w:val="24"/>
          <w:szCs w:val="24"/>
        </w:rPr>
        <w:t>Предвид</w:t>
      </w:r>
      <w:r w:rsidR="002036CA" w:rsidRPr="00417139">
        <w:rPr>
          <w:rFonts w:ascii="Times New Roman" w:hAnsi="Times New Roman" w:cs="Times New Roman"/>
          <w:sz w:val="24"/>
          <w:szCs w:val="24"/>
        </w:rPr>
        <w:t xml:space="preserve"> всичко</w:t>
      </w:r>
      <w:r w:rsidR="005A3045" w:rsidRPr="00417139">
        <w:rPr>
          <w:rFonts w:ascii="Times New Roman" w:hAnsi="Times New Roman" w:cs="Times New Roman"/>
          <w:sz w:val="24"/>
          <w:szCs w:val="24"/>
          <w:lang w:val="ru-RU"/>
        </w:rPr>
        <w:t>,</w:t>
      </w:r>
      <w:r w:rsidRPr="00417139">
        <w:rPr>
          <w:rFonts w:ascii="Times New Roman" w:hAnsi="Times New Roman" w:cs="Times New Roman"/>
          <w:sz w:val="24"/>
          <w:szCs w:val="24"/>
        </w:rPr>
        <w:t xml:space="preserve"> </w:t>
      </w:r>
      <w:r w:rsidR="002036CA" w:rsidRPr="00417139">
        <w:rPr>
          <w:rFonts w:ascii="Times New Roman" w:hAnsi="Times New Roman" w:cs="Times New Roman"/>
          <w:sz w:val="24"/>
          <w:szCs w:val="24"/>
        </w:rPr>
        <w:t xml:space="preserve">посочено дотук </w:t>
      </w:r>
      <w:r w:rsidRPr="00417139">
        <w:rPr>
          <w:rFonts w:ascii="Times New Roman" w:hAnsi="Times New Roman" w:cs="Times New Roman"/>
          <w:sz w:val="24"/>
          <w:szCs w:val="24"/>
        </w:rPr>
        <w:t xml:space="preserve">и необходимостта от достатъчно време за проявяването на всички краткосрочни и дългосрочни ефекти на интервенцията, </w:t>
      </w:r>
      <w:r w:rsidR="00417139">
        <w:rPr>
          <w:rFonts w:ascii="Times New Roman" w:hAnsi="Times New Roman" w:cs="Times New Roman"/>
          <w:sz w:val="24"/>
          <w:szCs w:val="24"/>
        </w:rPr>
        <w:t xml:space="preserve">ОВ </w:t>
      </w:r>
      <w:r w:rsidRPr="00417139">
        <w:rPr>
          <w:rFonts w:ascii="Times New Roman" w:hAnsi="Times New Roman" w:cs="Times New Roman"/>
          <w:sz w:val="24"/>
          <w:szCs w:val="24"/>
        </w:rPr>
        <w:t xml:space="preserve">препоръчва извършването на последващо оценяване </w:t>
      </w:r>
      <w:r w:rsidR="002036CA" w:rsidRPr="00417139">
        <w:rPr>
          <w:rFonts w:ascii="Times New Roman" w:hAnsi="Times New Roman" w:cs="Times New Roman"/>
          <w:sz w:val="24"/>
          <w:szCs w:val="24"/>
        </w:rPr>
        <w:t>в</w:t>
      </w:r>
      <w:r w:rsidR="002036CA" w:rsidRPr="00417139">
        <w:rPr>
          <w:rFonts w:ascii="Times New Roman" w:hAnsi="Times New Roman" w:cs="Times New Roman"/>
          <w:b/>
          <w:sz w:val="24"/>
          <w:szCs w:val="24"/>
        </w:rPr>
        <w:t xml:space="preserve"> срок не по-дълъг от </w:t>
      </w:r>
      <w:r w:rsidR="006E5541" w:rsidRPr="00417139">
        <w:rPr>
          <w:rFonts w:ascii="Times New Roman" w:hAnsi="Times New Roman" w:cs="Times New Roman"/>
          <w:b/>
          <w:sz w:val="24"/>
          <w:szCs w:val="24"/>
        </w:rPr>
        <w:t>1</w:t>
      </w:r>
      <w:r w:rsidR="00C81BE4" w:rsidRPr="00417139">
        <w:rPr>
          <w:rFonts w:ascii="Times New Roman" w:hAnsi="Times New Roman" w:cs="Times New Roman"/>
          <w:b/>
          <w:sz w:val="24"/>
          <w:szCs w:val="24"/>
        </w:rPr>
        <w:t xml:space="preserve"> </w:t>
      </w:r>
      <w:r w:rsidRPr="00417139">
        <w:rPr>
          <w:rFonts w:ascii="Times New Roman" w:hAnsi="Times New Roman" w:cs="Times New Roman"/>
          <w:b/>
          <w:sz w:val="24"/>
          <w:szCs w:val="24"/>
        </w:rPr>
        <w:t>годин</w:t>
      </w:r>
      <w:r w:rsidR="006E5541" w:rsidRPr="00417139">
        <w:rPr>
          <w:rFonts w:ascii="Times New Roman" w:hAnsi="Times New Roman" w:cs="Times New Roman"/>
          <w:b/>
          <w:sz w:val="24"/>
          <w:szCs w:val="24"/>
        </w:rPr>
        <w:t xml:space="preserve">а </w:t>
      </w:r>
      <w:r w:rsidR="002036CA" w:rsidRPr="00417139">
        <w:rPr>
          <w:rFonts w:ascii="Times New Roman" w:hAnsi="Times New Roman" w:cs="Times New Roman"/>
          <w:sz w:val="24"/>
          <w:szCs w:val="24"/>
        </w:rPr>
        <w:t>от</w:t>
      </w:r>
      <w:r w:rsidRPr="00417139">
        <w:rPr>
          <w:rFonts w:ascii="Times New Roman" w:hAnsi="Times New Roman" w:cs="Times New Roman"/>
          <w:sz w:val="24"/>
          <w:szCs w:val="24"/>
        </w:rPr>
        <w:t xml:space="preserve"> влизането в сила на предложените мерки </w:t>
      </w:r>
      <w:r w:rsidR="002036CA" w:rsidRPr="00417139">
        <w:rPr>
          <w:rFonts w:ascii="Times New Roman" w:hAnsi="Times New Roman" w:cs="Times New Roman"/>
          <w:sz w:val="24"/>
          <w:szCs w:val="24"/>
        </w:rPr>
        <w:t>на регулиране</w:t>
      </w:r>
      <w:r w:rsidRPr="00417139">
        <w:rPr>
          <w:rFonts w:ascii="Times New Roman" w:hAnsi="Times New Roman" w:cs="Times New Roman"/>
          <w:sz w:val="24"/>
          <w:szCs w:val="24"/>
        </w:rPr>
        <w:t>.</w:t>
      </w:r>
      <w:r w:rsidR="00BB6BD6" w:rsidRPr="00417139">
        <w:rPr>
          <w:rFonts w:ascii="Times New Roman" w:hAnsi="Times New Roman" w:cs="Times New Roman"/>
          <w:sz w:val="24"/>
          <w:szCs w:val="24"/>
        </w:rPr>
        <w:t xml:space="preserve"> </w:t>
      </w:r>
    </w:p>
    <w:p w14:paraId="4ABA7808" w14:textId="023232B0" w:rsidR="00C549FA" w:rsidRPr="007B4A99" w:rsidRDefault="00BB6BD6" w:rsidP="00386CCC">
      <w:pPr>
        <w:spacing w:after="0" w:line="240" w:lineRule="auto"/>
        <w:ind w:firstLine="567"/>
        <w:jc w:val="both"/>
        <w:rPr>
          <w:rFonts w:ascii="Times New Roman" w:hAnsi="Times New Roman" w:cs="Times New Roman"/>
          <w:sz w:val="24"/>
          <w:szCs w:val="24"/>
        </w:rPr>
      </w:pPr>
      <w:r w:rsidRPr="00417139">
        <w:rPr>
          <w:rFonts w:ascii="Times New Roman" w:hAnsi="Times New Roman" w:cs="Times New Roman"/>
          <w:sz w:val="24"/>
          <w:szCs w:val="24"/>
        </w:rPr>
        <w:lastRenderedPageBreak/>
        <w:t xml:space="preserve">Препоръчва се на всеки  </w:t>
      </w:r>
      <w:r w:rsidRPr="00417139">
        <w:rPr>
          <w:rFonts w:ascii="Times New Roman" w:hAnsi="Times New Roman" w:cs="Times New Roman"/>
          <w:b/>
          <w:sz w:val="24"/>
          <w:szCs w:val="24"/>
        </w:rPr>
        <w:t>6 месеца от влизането в сила на предложените мерки на регулиране</w:t>
      </w:r>
      <w:r w:rsidRPr="00417139">
        <w:rPr>
          <w:rFonts w:ascii="Times New Roman" w:hAnsi="Times New Roman" w:cs="Times New Roman"/>
          <w:sz w:val="24"/>
          <w:szCs w:val="24"/>
        </w:rPr>
        <w:t xml:space="preserve"> извършването на задълбочен преглед на данните, генерирани в резултат от тяхното приложение, което при необходимост може да е свързано и с преразглеждане на самите мерки. </w:t>
      </w:r>
      <w:r w:rsidR="00253FAC" w:rsidRPr="00417139">
        <w:rPr>
          <w:rFonts w:ascii="Times New Roman" w:hAnsi="Times New Roman" w:cs="Times New Roman"/>
          <w:sz w:val="24"/>
          <w:szCs w:val="24"/>
        </w:rPr>
        <w:t>Това се налага както поради характер</w:t>
      </w:r>
      <w:r w:rsidRPr="00417139">
        <w:rPr>
          <w:rFonts w:ascii="Times New Roman" w:hAnsi="Times New Roman" w:cs="Times New Roman"/>
          <w:sz w:val="24"/>
          <w:szCs w:val="24"/>
        </w:rPr>
        <w:t>а на самите мерки</w:t>
      </w:r>
      <w:r w:rsidR="00253FAC" w:rsidRPr="00417139">
        <w:rPr>
          <w:rFonts w:ascii="Times New Roman" w:hAnsi="Times New Roman" w:cs="Times New Roman"/>
          <w:sz w:val="24"/>
          <w:szCs w:val="24"/>
        </w:rPr>
        <w:t>, така и с огл</w:t>
      </w:r>
      <w:r w:rsidR="00253FAC" w:rsidRPr="00253FAC">
        <w:rPr>
          <w:rFonts w:ascii="Times New Roman" w:hAnsi="Times New Roman" w:cs="Times New Roman"/>
          <w:sz w:val="24"/>
          <w:szCs w:val="24"/>
        </w:rPr>
        <w:t xml:space="preserve">ед на ангажиментите на държавата за навременно проследяване на ефективността, ефикасността и съгласуваността на предприетите действия. В съответствие с изискванията на националната нормативна уредба и принципите, заложени в правото на </w:t>
      </w:r>
      <w:r w:rsidR="00253FAC">
        <w:rPr>
          <w:rFonts w:ascii="Times New Roman" w:hAnsi="Times New Roman" w:cs="Times New Roman"/>
          <w:sz w:val="24"/>
          <w:szCs w:val="24"/>
        </w:rPr>
        <w:t>ЕС</w:t>
      </w:r>
      <w:r w:rsidR="00253FAC" w:rsidRPr="00253FAC">
        <w:rPr>
          <w:rFonts w:ascii="Times New Roman" w:hAnsi="Times New Roman" w:cs="Times New Roman"/>
          <w:sz w:val="24"/>
          <w:szCs w:val="24"/>
        </w:rPr>
        <w:t xml:space="preserve">, включително практиката на Съда на ЕС, </w:t>
      </w:r>
      <w:r>
        <w:rPr>
          <w:rFonts w:ascii="Times New Roman" w:hAnsi="Times New Roman" w:cs="Times New Roman"/>
          <w:sz w:val="24"/>
          <w:szCs w:val="24"/>
        </w:rPr>
        <w:t>преглед</w:t>
      </w:r>
      <w:r w:rsidR="00240046">
        <w:rPr>
          <w:rFonts w:ascii="Times New Roman" w:hAnsi="Times New Roman" w:cs="Times New Roman"/>
          <w:sz w:val="24"/>
          <w:szCs w:val="24"/>
        </w:rPr>
        <w:t>ът</w:t>
      </w:r>
      <w:r>
        <w:rPr>
          <w:rFonts w:ascii="Times New Roman" w:hAnsi="Times New Roman" w:cs="Times New Roman"/>
          <w:sz w:val="24"/>
          <w:szCs w:val="24"/>
        </w:rPr>
        <w:t xml:space="preserve">, преразглеждането и </w:t>
      </w:r>
      <w:r w:rsidR="00253FAC" w:rsidRPr="00253FAC">
        <w:rPr>
          <w:rFonts w:ascii="Times New Roman" w:hAnsi="Times New Roman" w:cs="Times New Roman"/>
          <w:sz w:val="24"/>
          <w:szCs w:val="24"/>
        </w:rPr>
        <w:t>последваща</w:t>
      </w:r>
      <w:r w:rsidR="00765614">
        <w:rPr>
          <w:rFonts w:ascii="Times New Roman" w:hAnsi="Times New Roman" w:cs="Times New Roman"/>
          <w:sz w:val="24"/>
          <w:szCs w:val="24"/>
        </w:rPr>
        <w:t>та</w:t>
      </w:r>
      <w:r w:rsidR="00253FAC" w:rsidRPr="00253FAC">
        <w:rPr>
          <w:rFonts w:ascii="Times New Roman" w:hAnsi="Times New Roman" w:cs="Times New Roman"/>
          <w:sz w:val="24"/>
          <w:szCs w:val="24"/>
        </w:rPr>
        <w:t xml:space="preserve"> </w:t>
      </w:r>
      <w:r w:rsidR="00765614">
        <w:rPr>
          <w:rFonts w:ascii="Times New Roman" w:hAnsi="Times New Roman" w:cs="Times New Roman"/>
          <w:sz w:val="24"/>
          <w:szCs w:val="24"/>
        </w:rPr>
        <w:t>ОВ</w:t>
      </w:r>
      <w:r w:rsidR="00253FAC" w:rsidRPr="00253FAC">
        <w:rPr>
          <w:rFonts w:ascii="Times New Roman" w:hAnsi="Times New Roman" w:cs="Times New Roman"/>
          <w:sz w:val="24"/>
          <w:szCs w:val="24"/>
        </w:rPr>
        <w:t xml:space="preserve"> </w:t>
      </w:r>
      <w:r w:rsidR="00253FAC">
        <w:rPr>
          <w:rFonts w:ascii="Times New Roman" w:hAnsi="Times New Roman" w:cs="Times New Roman"/>
          <w:sz w:val="24"/>
          <w:szCs w:val="24"/>
        </w:rPr>
        <w:t>мо</w:t>
      </w:r>
      <w:r>
        <w:rPr>
          <w:rFonts w:ascii="Times New Roman" w:hAnsi="Times New Roman" w:cs="Times New Roman"/>
          <w:sz w:val="24"/>
          <w:szCs w:val="24"/>
        </w:rPr>
        <w:t xml:space="preserve">гат </w:t>
      </w:r>
      <w:r w:rsidR="00253FAC">
        <w:rPr>
          <w:rFonts w:ascii="Times New Roman" w:hAnsi="Times New Roman" w:cs="Times New Roman"/>
          <w:sz w:val="24"/>
          <w:szCs w:val="24"/>
        </w:rPr>
        <w:t xml:space="preserve">да </w:t>
      </w:r>
      <w:r w:rsidR="00253FAC" w:rsidRPr="00253FAC">
        <w:rPr>
          <w:rFonts w:ascii="Times New Roman" w:hAnsi="Times New Roman" w:cs="Times New Roman"/>
          <w:sz w:val="24"/>
          <w:szCs w:val="24"/>
        </w:rPr>
        <w:t>служ</w:t>
      </w:r>
      <w:r>
        <w:rPr>
          <w:rFonts w:ascii="Times New Roman" w:hAnsi="Times New Roman" w:cs="Times New Roman"/>
          <w:sz w:val="24"/>
          <w:szCs w:val="24"/>
        </w:rPr>
        <w:t>ат</w:t>
      </w:r>
      <w:r w:rsidR="00253FAC" w:rsidRPr="00253FAC">
        <w:rPr>
          <w:rFonts w:ascii="Times New Roman" w:hAnsi="Times New Roman" w:cs="Times New Roman"/>
          <w:sz w:val="24"/>
          <w:szCs w:val="24"/>
        </w:rPr>
        <w:t xml:space="preserve"> като инструмент</w:t>
      </w:r>
      <w:r>
        <w:rPr>
          <w:rFonts w:ascii="Times New Roman" w:hAnsi="Times New Roman" w:cs="Times New Roman"/>
          <w:sz w:val="24"/>
          <w:szCs w:val="24"/>
        </w:rPr>
        <w:t>и</w:t>
      </w:r>
      <w:r w:rsidR="00253FAC" w:rsidRPr="00253FAC">
        <w:rPr>
          <w:rFonts w:ascii="Times New Roman" w:hAnsi="Times New Roman" w:cs="Times New Roman"/>
          <w:sz w:val="24"/>
          <w:szCs w:val="24"/>
        </w:rPr>
        <w:t xml:space="preserve"> за доказване на целесъобразността, пропорционалността и добавената стойност на регулаторната намеса, както и за навременна адаптация на политиката в отговор на реалните ефекти върху пазара, участниците по веригата</w:t>
      </w:r>
      <w:r w:rsidR="006B68AC">
        <w:rPr>
          <w:rFonts w:ascii="Times New Roman" w:hAnsi="Times New Roman" w:cs="Times New Roman"/>
          <w:sz w:val="24"/>
          <w:szCs w:val="24"/>
        </w:rPr>
        <w:t xml:space="preserve"> на доставки </w:t>
      </w:r>
      <w:r w:rsidR="006B68AC" w:rsidRPr="006B68AC">
        <w:rPr>
          <w:rFonts w:ascii="Times New Roman" w:hAnsi="Times New Roman" w:cs="Times New Roman"/>
          <w:sz w:val="24"/>
          <w:szCs w:val="24"/>
        </w:rPr>
        <w:t>на земеделски продукти и храни</w:t>
      </w:r>
      <w:r w:rsidR="00253FAC" w:rsidRPr="00253FAC">
        <w:rPr>
          <w:rFonts w:ascii="Times New Roman" w:hAnsi="Times New Roman" w:cs="Times New Roman"/>
          <w:sz w:val="24"/>
          <w:szCs w:val="24"/>
        </w:rPr>
        <w:t xml:space="preserve"> и обществения интерес.</w:t>
      </w:r>
    </w:p>
    <w:p w14:paraId="6E9BAF4F" w14:textId="77777777" w:rsidR="00AB219B" w:rsidRPr="007B4A99" w:rsidRDefault="002D7A13" w:rsidP="00B8646D">
      <w:pPr>
        <w:pStyle w:val="Heading1"/>
        <w:rPr>
          <w:rFonts w:ascii="Times New Roman" w:hAnsi="Times New Roman"/>
        </w:rPr>
      </w:pPr>
      <w:bookmarkStart w:id="43" w:name="_Toc198633100"/>
      <w:r w:rsidRPr="007B4A99">
        <w:rPr>
          <w:rFonts w:ascii="Times New Roman" w:hAnsi="Times New Roman"/>
        </w:rPr>
        <w:t>Източници</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76BFB" w:rsidRPr="007B4A99" w14:paraId="0926D5FA" w14:textId="77777777" w:rsidTr="00386CCC">
        <w:tc>
          <w:tcPr>
            <w:tcW w:w="9062" w:type="dxa"/>
          </w:tcPr>
          <w:p w14:paraId="65A152D2" w14:textId="77777777" w:rsidR="00376BFB" w:rsidRPr="007B4A99" w:rsidRDefault="00376BFB" w:rsidP="00376BFB">
            <w:pPr>
              <w:pStyle w:val="7878"/>
              <w:spacing w:before="0" w:after="0"/>
              <w:ind w:left="0"/>
              <w:rPr>
                <w:rFonts w:ascii="Times New Roman" w:hAnsi="Times New Roman"/>
              </w:rPr>
            </w:pPr>
            <w:r w:rsidRPr="007B4A99">
              <w:rPr>
                <w:rFonts w:ascii="Times New Roman" w:hAnsi="Times New Roman"/>
              </w:rPr>
              <w:t>[Възможни източници:</w:t>
            </w:r>
          </w:p>
          <w:p w14:paraId="78F33C7E" w14:textId="77777777" w:rsidR="00376BFB" w:rsidRPr="007B4A99" w:rsidRDefault="00376BFB" w:rsidP="00893B6A">
            <w:pPr>
              <w:pStyle w:val="7878"/>
              <w:numPr>
                <w:ilvl w:val="0"/>
                <w:numId w:val="4"/>
              </w:numPr>
              <w:spacing w:before="0" w:after="0"/>
              <w:ind w:left="720"/>
              <w:rPr>
                <w:rFonts w:ascii="Times New Roman" w:hAnsi="Times New Roman"/>
              </w:rPr>
            </w:pPr>
            <w:r w:rsidRPr="007B4A99">
              <w:rPr>
                <w:rFonts w:ascii="Times New Roman" w:hAnsi="Times New Roman"/>
              </w:rPr>
              <w:t>Закон за нормативните актове</w:t>
            </w:r>
          </w:p>
          <w:p w14:paraId="2664B7CB" w14:textId="77777777" w:rsidR="00376BFB" w:rsidRPr="007B4A99" w:rsidRDefault="00376BFB" w:rsidP="00893B6A">
            <w:pPr>
              <w:pStyle w:val="7878"/>
              <w:numPr>
                <w:ilvl w:val="0"/>
                <w:numId w:val="4"/>
              </w:numPr>
              <w:spacing w:before="0" w:after="0"/>
              <w:ind w:left="720"/>
              <w:rPr>
                <w:rFonts w:ascii="Times New Roman" w:hAnsi="Times New Roman"/>
              </w:rPr>
            </w:pPr>
            <w:r w:rsidRPr="007B4A99">
              <w:rPr>
                <w:rFonts w:ascii="Times New Roman" w:hAnsi="Times New Roman"/>
              </w:rPr>
              <w:t>Наредба за обхвата и методологията за извършване на оценка на въздействието</w:t>
            </w:r>
          </w:p>
          <w:p w14:paraId="00EBB0B4" w14:textId="77777777" w:rsidR="00376BFB" w:rsidRPr="007B4A99" w:rsidRDefault="00376BFB" w:rsidP="00893B6A">
            <w:pPr>
              <w:pStyle w:val="7878"/>
              <w:numPr>
                <w:ilvl w:val="0"/>
                <w:numId w:val="4"/>
              </w:numPr>
              <w:spacing w:before="0" w:after="0"/>
              <w:ind w:left="720"/>
              <w:rPr>
                <w:rFonts w:ascii="Times New Roman" w:hAnsi="Times New Roman"/>
              </w:rPr>
            </w:pPr>
            <w:r w:rsidRPr="007B4A99">
              <w:rPr>
                <w:rFonts w:ascii="Times New Roman" w:hAnsi="Times New Roman"/>
              </w:rPr>
              <w:t>Ръководство за извършване на предварителна оценка на въздействието - (РМС № 728 от 2019 г.)</w:t>
            </w:r>
          </w:p>
          <w:p w14:paraId="6CE6A794" w14:textId="77777777" w:rsidR="00376BFB" w:rsidRPr="007B4A99" w:rsidRDefault="00376BFB" w:rsidP="00893B6A">
            <w:pPr>
              <w:pStyle w:val="7878"/>
              <w:numPr>
                <w:ilvl w:val="0"/>
                <w:numId w:val="4"/>
              </w:numPr>
              <w:spacing w:before="0" w:after="0"/>
              <w:ind w:left="720"/>
              <w:rPr>
                <w:rFonts w:ascii="Times New Roman" w:hAnsi="Times New Roman"/>
              </w:rPr>
            </w:pPr>
            <w:r w:rsidRPr="007B4A99">
              <w:rPr>
                <w:rFonts w:ascii="Times New Roman" w:hAnsi="Times New Roman"/>
              </w:rPr>
              <w:t>Стандарти за провеждане на обществени консултации (РСАР от 16 септември 2019 г.)</w:t>
            </w:r>
          </w:p>
          <w:p w14:paraId="67B7CFD3" w14:textId="77777777" w:rsidR="00376BFB" w:rsidRPr="007B4A99" w:rsidRDefault="00376BFB" w:rsidP="00893B6A">
            <w:pPr>
              <w:pStyle w:val="7878"/>
              <w:numPr>
                <w:ilvl w:val="0"/>
                <w:numId w:val="4"/>
              </w:numPr>
              <w:spacing w:before="0" w:after="0"/>
              <w:ind w:left="720"/>
              <w:rPr>
                <w:rFonts w:ascii="Times New Roman" w:hAnsi="Times New Roman"/>
              </w:rPr>
            </w:pPr>
            <w:r w:rsidRPr="007B4A99">
              <w:rPr>
                <w:rFonts w:ascii="Times New Roman" w:hAnsi="Times New Roman"/>
              </w:rPr>
              <w:t>Държавните органи и бюджетните организации по смисъла на Закона за публичните финанси, до които са отправени искания за сведения или за съдействие във връзка с извършването на оценка на въздействието (съгласно чл. 23 от Закона за нормативните актове</w:t>
            </w:r>
          </w:p>
          <w:p w14:paraId="11ACCF29" w14:textId="77777777" w:rsidR="00376BFB" w:rsidRPr="007B4A99" w:rsidRDefault="00376BFB" w:rsidP="00893B6A">
            <w:pPr>
              <w:pStyle w:val="7878"/>
              <w:numPr>
                <w:ilvl w:val="0"/>
                <w:numId w:val="4"/>
              </w:numPr>
              <w:spacing w:before="0" w:after="0"/>
              <w:ind w:left="720"/>
              <w:rPr>
                <w:rFonts w:ascii="Times New Roman" w:hAnsi="Times New Roman"/>
              </w:rPr>
            </w:pPr>
            <w:r w:rsidRPr="007B4A99">
              <w:rPr>
                <w:rFonts w:ascii="Times New Roman" w:hAnsi="Times New Roman"/>
              </w:rPr>
              <w:t>Национален статистически институт</w:t>
            </w:r>
          </w:p>
          <w:p w14:paraId="2D9414E3" w14:textId="77777777" w:rsidR="00376BFB" w:rsidRPr="007B4A99" w:rsidRDefault="00376BFB" w:rsidP="00893B6A">
            <w:pPr>
              <w:pStyle w:val="7878"/>
              <w:numPr>
                <w:ilvl w:val="0"/>
                <w:numId w:val="4"/>
              </w:numPr>
              <w:spacing w:before="0" w:after="0"/>
              <w:ind w:left="720"/>
              <w:rPr>
                <w:rFonts w:ascii="Times New Roman" w:hAnsi="Times New Roman"/>
              </w:rPr>
            </w:pPr>
            <w:r w:rsidRPr="007B4A99">
              <w:rPr>
                <w:rFonts w:ascii="Times New Roman" w:hAnsi="Times New Roman"/>
              </w:rPr>
              <w:t>секторно министерство/държавна агенция</w:t>
            </w:r>
          </w:p>
          <w:p w14:paraId="24F21CC3" w14:textId="77777777" w:rsidR="00376BFB" w:rsidRPr="007B4A99" w:rsidRDefault="00376BFB" w:rsidP="00893B6A">
            <w:pPr>
              <w:pStyle w:val="7878"/>
              <w:numPr>
                <w:ilvl w:val="0"/>
                <w:numId w:val="4"/>
              </w:numPr>
              <w:spacing w:before="0" w:after="0"/>
              <w:ind w:left="720"/>
              <w:rPr>
                <w:rFonts w:ascii="Times New Roman" w:hAnsi="Times New Roman"/>
              </w:rPr>
            </w:pPr>
            <w:r w:rsidRPr="007B4A99">
              <w:rPr>
                <w:rFonts w:ascii="Times New Roman" w:hAnsi="Times New Roman"/>
              </w:rPr>
              <w:t>Търговски регистър и регистър на ЮЛНЦ</w:t>
            </w:r>
          </w:p>
          <w:p w14:paraId="77462593" w14:textId="77777777" w:rsidR="00376BFB" w:rsidRPr="007B4A99" w:rsidRDefault="00376BFB" w:rsidP="00893B6A">
            <w:pPr>
              <w:pStyle w:val="7878"/>
              <w:numPr>
                <w:ilvl w:val="0"/>
                <w:numId w:val="4"/>
              </w:numPr>
              <w:spacing w:before="0" w:after="0"/>
              <w:ind w:left="720"/>
              <w:rPr>
                <w:rFonts w:ascii="Times New Roman" w:hAnsi="Times New Roman"/>
              </w:rPr>
            </w:pPr>
            <w:r w:rsidRPr="007B4A99">
              <w:rPr>
                <w:rFonts w:ascii="Times New Roman" w:hAnsi="Times New Roman"/>
              </w:rPr>
              <w:t>Регистър на МСП</w:t>
            </w:r>
          </w:p>
          <w:p w14:paraId="591C7635" w14:textId="77777777" w:rsidR="00376BFB" w:rsidRPr="007B4A99" w:rsidRDefault="00376BFB" w:rsidP="00893B6A">
            <w:pPr>
              <w:pStyle w:val="7878"/>
              <w:numPr>
                <w:ilvl w:val="0"/>
                <w:numId w:val="4"/>
              </w:numPr>
              <w:spacing w:before="0" w:after="0"/>
              <w:ind w:left="720"/>
              <w:rPr>
                <w:rFonts w:ascii="Times New Roman" w:hAnsi="Times New Roman"/>
              </w:rPr>
            </w:pPr>
            <w:r w:rsidRPr="007B4A99">
              <w:rPr>
                <w:rFonts w:ascii="Times New Roman" w:hAnsi="Times New Roman"/>
              </w:rPr>
              <w:t>Административен регистър</w:t>
            </w:r>
          </w:p>
          <w:p w14:paraId="33EFA832" w14:textId="77777777" w:rsidR="00376BFB" w:rsidRPr="007B4A99" w:rsidRDefault="00376BFB" w:rsidP="00893B6A">
            <w:pPr>
              <w:pStyle w:val="7878"/>
              <w:numPr>
                <w:ilvl w:val="0"/>
                <w:numId w:val="4"/>
              </w:numPr>
              <w:spacing w:before="0" w:after="0"/>
              <w:ind w:left="720"/>
              <w:rPr>
                <w:rFonts w:ascii="Times New Roman" w:hAnsi="Times New Roman"/>
              </w:rPr>
            </w:pPr>
            <w:r w:rsidRPr="007B4A99">
              <w:rPr>
                <w:rFonts w:ascii="Times New Roman" w:hAnsi="Times New Roman"/>
              </w:rPr>
              <w:t>Годишни доклади за извършването на ОВ</w:t>
            </w:r>
          </w:p>
          <w:p w14:paraId="0C1450F2" w14:textId="77777777" w:rsidR="00376BFB" w:rsidRPr="007B4A99" w:rsidRDefault="00376BFB" w:rsidP="00893B6A">
            <w:pPr>
              <w:pStyle w:val="7878"/>
              <w:numPr>
                <w:ilvl w:val="0"/>
                <w:numId w:val="4"/>
              </w:numPr>
              <w:spacing w:before="0" w:after="0"/>
              <w:ind w:left="720"/>
              <w:rPr>
                <w:rFonts w:ascii="Times New Roman" w:hAnsi="Times New Roman"/>
              </w:rPr>
            </w:pPr>
            <w:r w:rsidRPr="007B4A99">
              <w:rPr>
                <w:rFonts w:ascii="Times New Roman" w:hAnsi="Times New Roman"/>
              </w:rPr>
              <w:t>Решения на консултативни съвети</w:t>
            </w:r>
          </w:p>
          <w:p w14:paraId="02721209" w14:textId="77777777" w:rsidR="00376BFB" w:rsidRPr="007B4A99" w:rsidRDefault="00376BFB" w:rsidP="00893B6A">
            <w:pPr>
              <w:pStyle w:val="7878"/>
              <w:numPr>
                <w:ilvl w:val="0"/>
                <w:numId w:val="4"/>
              </w:numPr>
              <w:spacing w:before="0" w:after="0"/>
              <w:ind w:left="720"/>
              <w:rPr>
                <w:rFonts w:ascii="Times New Roman" w:hAnsi="Times New Roman"/>
              </w:rPr>
            </w:pPr>
            <w:r w:rsidRPr="007B4A99">
              <w:rPr>
                <w:rFonts w:ascii="Times New Roman" w:hAnsi="Times New Roman"/>
              </w:rPr>
              <w:t>Стратегически документи</w:t>
            </w:r>
          </w:p>
          <w:p w14:paraId="6D2A86A2" w14:textId="77777777" w:rsidR="00376BFB" w:rsidRPr="007B4A99" w:rsidRDefault="00376BFB" w:rsidP="00893B6A">
            <w:pPr>
              <w:pStyle w:val="7878"/>
              <w:numPr>
                <w:ilvl w:val="0"/>
                <w:numId w:val="4"/>
              </w:numPr>
              <w:spacing w:before="0" w:after="0"/>
              <w:ind w:left="720"/>
              <w:rPr>
                <w:rFonts w:ascii="Times New Roman" w:hAnsi="Times New Roman"/>
              </w:rPr>
            </w:pPr>
            <w:r w:rsidRPr="007B4A99">
              <w:rPr>
                <w:rFonts w:ascii="Times New Roman" w:hAnsi="Times New Roman"/>
              </w:rPr>
              <w:t>Доклади на Сметна палата</w:t>
            </w:r>
          </w:p>
          <w:p w14:paraId="137BEADE" w14:textId="77777777" w:rsidR="00376BFB" w:rsidRPr="007B4A99" w:rsidRDefault="00376BFB" w:rsidP="00893B6A">
            <w:pPr>
              <w:pStyle w:val="7878"/>
              <w:numPr>
                <w:ilvl w:val="0"/>
                <w:numId w:val="4"/>
              </w:numPr>
              <w:spacing w:before="0" w:after="0"/>
              <w:ind w:left="720"/>
              <w:rPr>
                <w:rFonts w:ascii="Times New Roman" w:hAnsi="Times New Roman"/>
              </w:rPr>
            </w:pPr>
            <w:r w:rsidRPr="007B4A99">
              <w:rPr>
                <w:rFonts w:ascii="Times New Roman" w:hAnsi="Times New Roman"/>
              </w:rPr>
              <w:t>Решения на Комисията за защита на конкуренцията</w:t>
            </w:r>
          </w:p>
          <w:p w14:paraId="13EE145A" w14:textId="77777777" w:rsidR="00376BFB" w:rsidRPr="007B4A99" w:rsidRDefault="00376BFB" w:rsidP="00893B6A">
            <w:pPr>
              <w:pStyle w:val="7878"/>
              <w:numPr>
                <w:ilvl w:val="0"/>
                <w:numId w:val="4"/>
              </w:numPr>
              <w:spacing w:before="0" w:after="0"/>
              <w:ind w:left="720"/>
              <w:rPr>
                <w:rFonts w:ascii="Times New Roman" w:hAnsi="Times New Roman"/>
              </w:rPr>
            </w:pPr>
            <w:r w:rsidRPr="007B4A99">
              <w:rPr>
                <w:rFonts w:ascii="Times New Roman" w:hAnsi="Times New Roman"/>
              </w:rPr>
              <w:t>Съдебна практика</w:t>
            </w:r>
          </w:p>
          <w:p w14:paraId="2F8F8209" w14:textId="77777777" w:rsidR="00376BFB" w:rsidRPr="007B4A99" w:rsidRDefault="00376BFB" w:rsidP="00893B6A">
            <w:pPr>
              <w:pStyle w:val="7878"/>
              <w:numPr>
                <w:ilvl w:val="0"/>
                <w:numId w:val="4"/>
              </w:numPr>
              <w:spacing w:before="0" w:after="0"/>
              <w:ind w:left="720"/>
              <w:rPr>
                <w:rFonts w:ascii="Times New Roman" w:hAnsi="Times New Roman"/>
              </w:rPr>
            </w:pPr>
            <w:r w:rsidRPr="007B4A99">
              <w:rPr>
                <w:rFonts w:ascii="Times New Roman" w:hAnsi="Times New Roman"/>
              </w:rPr>
              <w:t>Др.]</w:t>
            </w:r>
          </w:p>
          <w:p w14:paraId="2F7C55BB" w14:textId="77777777" w:rsidR="00376BFB" w:rsidRPr="007B4A99" w:rsidRDefault="00376BFB" w:rsidP="00376BFB">
            <w:pPr>
              <w:jc w:val="both"/>
              <w:rPr>
                <w:rFonts w:ascii="Times New Roman" w:hAnsi="Times New Roman" w:cs="Times New Roman"/>
                <w:i/>
              </w:rPr>
            </w:pPr>
            <w:r w:rsidRPr="007B4A99">
              <w:rPr>
                <w:rFonts w:ascii="Times New Roman" w:hAnsi="Times New Roman" w:cs="Times New Roman"/>
                <w:i/>
              </w:rPr>
              <w:t>Описание на използваните източници на информация, включително последващи оценки на нормативния акт, или анализи за изпълнението на политиката.</w:t>
            </w:r>
          </w:p>
          <w:p w14:paraId="4FF1C531" w14:textId="77777777" w:rsidR="00376BFB" w:rsidRPr="007B4A99" w:rsidRDefault="00376BFB" w:rsidP="00CF2411">
            <w:pPr>
              <w:pStyle w:val="7878"/>
              <w:spacing w:before="0" w:after="0"/>
              <w:ind w:left="0"/>
              <w:rPr>
                <w:rFonts w:ascii="Times New Roman" w:hAnsi="Times New Roman"/>
              </w:rPr>
            </w:pPr>
          </w:p>
        </w:tc>
      </w:tr>
    </w:tbl>
    <w:p w14:paraId="583A99FC" w14:textId="77777777" w:rsidR="00A51F67" w:rsidRDefault="00A51F67" w:rsidP="00A51F67">
      <w:pPr>
        <w:pStyle w:val="NormalWeb"/>
        <w:numPr>
          <w:ilvl w:val="0"/>
          <w:numId w:val="7"/>
        </w:numPr>
        <w:jc w:val="both"/>
      </w:pPr>
      <w:r>
        <w:t>Better Regulation Toolbox. Европейска комисия, 2023 г.</w:t>
      </w:r>
      <w:r>
        <w:rPr>
          <w:lang w:val="bg-BG"/>
        </w:rPr>
        <w:t>;</w:t>
      </w:r>
    </w:p>
    <w:p w14:paraId="5B3235AE" w14:textId="77777777" w:rsidR="00A51F67" w:rsidRDefault="00A51F67" w:rsidP="00A51F67">
      <w:pPr>
        <w:pStyle w:val="NormalWeb"/>
        <w:numPr>
          <w:ilvl w:val="0"/>
          <w:numId w:val="7"/>
        </w:numPr>
        <w:jc w:val="both"/>
      </w:pPr>
      <w:r w:rsidRPr="009C70E2">
        <w:t>Retail Foods Bulgaria Report, FAS USDA, 2023</w:t>
      </w:r>
      <w:r>
        <w:t>;</w:t>
      </w:r>
    </w:p>
    <w:p w14:paraId="30424BF3" w14:textId="77777777" w:rsidR="00A51F67" w:rsidRPr="005F115D" w:rsidRDefault="00A51F67" w:rsidP="00A51F67">
      <w:pPr>
        <w:pStyle w:val="NormalWeb"/>
        <w:numPr>
          <w:ilvl w:val="0"/>
          <w:numId w:val="7"/>
        </w:numPr>
        <w:jc w:val="both"/>
      </w:pPr>
      <w:r>
        <w:t>SWD(2021) 305 final. Better Regulation Guidelines. Европейска комисия, 2021 г.</w:t>
      </w:r>
      <w:r>
        <w:rPr>
          <w:lang w:val="bg-BG"/>
        </w:rPr>
        <w:t>;</w:t>
      </w:r>
    </w:p>
    <w:p w14:paraId="7A6866CA" w14:textId="77777777" w:rsidR="00A51F67" w:rsidRPr="00D102E9" w:rsidRDefault="00A51F67" w:rsidP="00A51F67">
      <w:pPr>
        <w:pStyle w:val="NormalWeb"/>
        <w:numPr>
          <w:ilvl w:val="0"/>
          <w:numId w:val="7"/>
        </w:numPr>
        <w:jc w:val="both"/>
        <w:rPr>
          <w:lang w:val="ru-RU"/>
        </w:rPr>
      </w:pPr>
      <w:r>
        <w:rPr>
          <w:lang w:val="bg-BG"/>
        </w:rPr>
        <w:t>Бюджетни данни на Министерство на земеделието и храните;</w:t>
      </w:r>
    </w:p>
    <w:p w14:paraId="123C5875" w14:textId="77777777" w:rsidR="00A51F67" w:rsidRDefault="00A51F67" w:rsidP="00A51F67">
      <w:pPr>
        <w:pStyle w:val="FootnoteText"/>
        <w:numPr>
          <w:ilvl w:val="0"/>
          <w:numId w:val="7"/>
        </w:numPr>
        <w:spacing w:line="240" w:lineRule="auto"/>
        <w:jc w:val="both"/>
        <w:rPr>
          <w:rFonts w:ascii="Times New Roman" w:hAnsi="Times New Roman"/>
          <w:sz w:val="24"/>
          <w:szCs w:val="24"/>
        </w:rPr>
      </w:pPr>
      <w:r>
        <w:rPr>
          <w:rFonts w:ascii="Times New Roman" w:hAnsi="Times New Roman"/>
          <w:sz w:val="24"/>
          <w:szCs w:val="24"/>
        </w:rPr>
        <w:t>Годишен отчет за дейността на Комисия за защита на конкуренцията (за 2023);</w:t>
      </w:r>
    </w:p>
    <w:p w14:paraId="301A4AC2" w14:textId="2261E98F" w:rsidR="00A51F67" w:rsidRPr="007B4A99" w:rsidRDefault="00A51F67" w:rsidP="00A51F67">
      <w:pPr>
        <w:pStyle w:val="Default"/>
        <w:numPr>
          <w:ilvl w:val="0"/>
          <w:numId w:val="7"/>
        </w:numPr>
        <w:ind w:right="-38"/>
        <w:jc w:val="both"/>
        <w:rPr>
          <w:rFonts w:ascii="Times New Roman" w:hAnsi="Times New Roman" w:cs="Times New Roman"/>
          <w:lang w:val="bg-BG"/>
        </w:rPr>
      </w:pPr>
      <w:r w:rsidRPr="007B4A99">
        <w:rPr>
          <w:rFonts w:ascii="Times New Roman" w:hAnsi="Times New Roman" w:cs="Times New Roman"/>
          <w:lang w:val="bg-BG"/>
        </w:rPr>
        <w:lastRenderedPageBreak/>
        <w:t>Димов, Т. Оценка на въздействието на регулирането. С., Сиела, 2017 г.</w:t>
      </w:r>
      <w:r>
        <w:rPr>
          <w:rFonts w:ascii="Times New Roman" w:hAnsi="Times New Roman" w:cs="Times New Roman"/>
          <w:lang w:val="bg-BG"/>
        </w:rPr>
        <w:t>;</w:t>
      </w:r>
    </w:p>
    <w:p w14:paraId="7BB2CE89" w14:textId="77777777" w:rsidR="00A51F67" w:rsidRDefault="00A51F67" w:rsidP="00A51F67">
      <w:pPr>
        <w:pStyle w:val="FootnoteText"/>
        <w:numPr>
          <w:ilvl w:val="0"/>
          <w:numId w:val="7"/>
        </w:numPr>
        <w:spacing w:line="240" w:lineRule="auto"/>
        <w:jc w:val="both"/>
        <w:rPr>
          <w:rFonts w:ascii="Times New Roman" w:hAnsi="Times New Roman"/>
          <w:sz w:val="24"/>
          <w:szCs w:val="24"/>
        </w:rPr>
      </w:pPr>
      <w:r w:rsidRPr="00A51F67">
        <w:rPr>
          <w:rFonts w:ascii="Times New Roman" w:hAnsi="Times New Roman"/>
          <w:sz w:val="24"/>
          <w:szCs w:val="24"/>
        </w:rPr>
        <w:t>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r>
        <w:rPr>
          <w:rFonts w:ascii="Times New Roman" w:hAnsi="Times New Roman"/>
          <w:sz w:val="24"/>
          <w:szCs w:val="24"/>
        </w:rPr>
        <w:t>;</w:t>
      </w:r>
    </w:p>
    <w:p w14:paraId="15AA6AB6" w14:textId="77777777" w:rsidR="00A51F67" w:rsidRDefault="00A51F67" w:rsidP="00A51F67">
      <w:pPr>
        <w:pStyle w:val="FootnoteText"/>
        <w:numPr>
          <w:ilvl w:val="0"/>
          <w:numId w:val="7"/>
        </w:numPr>
        <w:spacing w:line="240" w:lineRule="auto"/>
        <w:jc w:val="both"/>
        <w:rPr>
          <w:rFonts w:ascii="Times New Roman" w:hAnsi="Times New Roman"/>
          <w:sz w:val="24"/>
          <w:szCs w:val="24"/>
        </w:rPr>
      </w:pPr>
      <w:r w:rsidRPr="009C70E2">
        <w:rPr>
          <w:rFonts w:ascii="Times New Roman" w:hAnsi="Times New Roman"/>
          <w:sz w:val="24"/>
          <w:szCs w:val="24"/>
        </w:rPr>
        <w:t>Директива (ЕС) 2019/633 на Европейския парламент и на Съвета от 17 април 2019 година относно нелоялните търговски практики в отношенията между стопанските субекти във веригата за доставки на селскостопански и хранителни продукти</w:t>
      </w:r>
      <w:r>
        <w:rPr>
          <w:rFonts w:ascii="Times New Roman" w:hAnsi="Times New Roman"/>
          <w:sz w:val="24"/>
          <w:szCs w:val="24"/>
        </w:rPr>
        <w:t>;</w:t>
      </w:r>
    </w:p>
    <w:p w14:paraId="45CC9538" w14:textId="36824963" w:rsidR="00A51F67" w:rsidRDefault="00A51F67" w:rsidP="00A51F67">
      <w:pPr>
        <w:pStyle w:val="FootnoteText"/>
        <w:numPr>
          <w:ilvl w:val="0"/>
          <w:numId w:val="7"/>
        </w:numPr>
        <w:spacing w:line="240" w:lineRule="auto"/>
        <w:jc w:val="both"/>
        <w:rPr>
          <w:rFonts w:ascii="Times New Roman" w:hAnsi="Times New Roman"/>
          <w:sz w:val="24"/>
          <w:szCs w:val="24"/>
        </w:rPr>
      </w:pPr>
      <w:r w:rsidRPr="00A51F67">
        <w:rPr>
          <w:rFonts w:ascii="Times New Roman" w:hAnsi="Times New Roman"/>
          <w:sz w:val="24"/>
          <w:szCs w:val="24"/>
        </w:rPr>
        <w:t>Директива 2006/123/ЕО на Европейския парламент и на Съвета от 12 декември 2006 година относно услугите на вътрешния пазар</w:t>
      </w:r>
      <w:r>
        <w:rPr>
          <w:rFonts w:ascii="Times New Roman" w:hAnsi="Times New Roman"/>
          <w:sz w:val="24"/>
          <w:szCs w:val="24"/>
        </w:rPr>
        <w:t>;</w:t>
      </w:r>
    </w:p>
    <w:p w14:paraId="54855BA9" w14:textId="77777777" w:rsidR="00A51F67" w:rsidRDefault="00A51F67" w:rsidP="00A51F67">
      <w:pPr>
        <w:pStyle w:val="FootnoteText"/>
        <w:numPr>
          <w:ilvl w:val="0"/>
          <w:numId w:val="7"/>
        </w:numPr>
        <w:spacing w:line="240" w:lineRule="auto"/>
        <w:jc w:val="both"/>
        <w:rPr>
          <w:rFonts w:ascii="Times New Roman" w:hAnsi="Times New Roman"/>
          <w:sz w:val="24"/>
          <w:szCs w:val="24"/>
        </w:rPr>
      </w:pPr>
      <w:r w:rsidRPr="009C70E2">
        <w:rPr>
          <w:rFonts w:ascii="Times New Roman" w:hAnsi="Times New Roman"/>
          <w:sz w:val="24"/>
          <w:szCs w:val="24"/>
        </w:rPr>
        <w:t>Договор за функционирането на Европейския съюз</w:t>
      </w:r>
      <w:r>
        <w:rPr>
          <w:rFonts w:ascii="Times New Roman" w:hAnsi="Times New Roman"/>
          <w:sz w:val="24"/>
          <w:szCs w:val="24"/>
        </w:rPr>
        <w:t>. В сила от 1 декември 2009 г.</w:t>
      </w:r>
    </w:p>
    <w:p w14:paraId="1B1A45D4" w14:textId="77777777" w:rsidR="00A51F67" w:rsidRDefault="00A51F67" w:rsidP="00A51F67">
      <w:pPr>
        <w:pStyle w:val="FootnoteText"/>
        <w:numPr>
          <w:ilvl w:val="0"/>
          <w:numId w:val="7"/>
        </w:numPr>
        <w:spacing w:line="240" w:lineRule="auto"/>
        <w:jc w:val="both"/>
        <w:rPr>
          <w:rFonts w:ascii="Times New Roman" w:hAnsi="Times New Roman"/>
          <w:sz w:val="24"/>
          <w:szCs w:val="24"/>
        </w:rPr>
      </w:pPr>
      <w:r w:rsidRPr="009C70E2">
        <w:rPr>
          <w:rFonts w:ascii="Times New Roman" w:hAnsi="Times New Roman"/>
          <w:sz w:val="24"/>
          <w:szCs w:val="24"/>
        </w:rPr>
        <w:t>Закон за защита на конкуренцията. Обн. ДВ, бр. 102 от 28.11.2008 г.</w:t>
      </w:r>
      <w:r>
        <w:rPr>
          <w:rFonts w:ascii="Times New Roman" w:hAnsi="Times New Roman"/>
          <w:sz w:val="24"/>
          <w:szCs w:val="24"/>
        </w:rPr>
        <w:t>;</w:t>
      </w:r>
    </w:p>
    <w:p w14:paraId="59F58AEA" w14:textId="77777777" w:rsidR="00A51F67" w:rsidRPr="009C70E2" w:rsidRDefault="00A51F67" w:rsidP="00A51F67">
      <w:pPr>
        <w:pStyle w:val="FootnoteText"/>
        <w:numPr>
          <w:ilvl w:val="0"/>
          <w:numId w:val="7"/>
        </w:numPr>
        <w:spacing w:line="240" w:lineRule="auto"/>
        <w:jc w:val="both"/>
        <w:rPr>
          <w:rFonts w:ascii="Times New Roman" w:hAnsi="Times New Roman"/>
          <w:sz w:val="24"/>
          <w:szCs w:val="24"/>
        </w:rPr>
      </w:pPr>
      <w:r>
        <w:rPr>
          <w:rFonts w:ascii="Times New Roman" w:hAnsi="Times New Roman"/>
          <w:sz w:val="24"/>
          <w:szCs w:val="24"/>
        </w:rPr>
        <w:t xml:space="preserve">Закон за защита на потребителите. </w:t>
      </w:r>
      <w:r w:rsidRPr="00A51F67">
        <w:rPr>
          <w:rFonts w:ascii="Times New Roman" w:hAnsi="Times New Roman"/>
          <w:sz w:val="24"/>
          <w:szCs w:val="24"/>
        </w:rPr>
        <w:t>Обн. ДВ. бр.99 от 9 Декември 2005г.</w:t>
      </w:r>
      <w:r>
        <w:rPr>
          <w:rFonts w:ascii="Times New Roman" w:hAnsi="Times New Roman"/>
          <w:sz w:val="24"/>
          <w:szCs w:val="24"/>
        </w:rPr>
        <w:t>;</w:t>
      </w:r>
    </w:p>
    <w:p w14:paraId="3BDF15FD" w14:textId="77777777" w:rsidR="00A51F67" w:rsidRDefault="00A51F67" w:rsidP="00A51F67">
      <w:pPr>
        <w:pStyle w:val="Default"/>
        <w:numPr>
          <w:ilvl w:val="0"/>
          <w:numId w:val="7"/>
        </w:numPr>
        <w:ind w:right="-38"/>
        <w:jc w:val="both"/>
        <w:rPr>
          <w:rFonts w:ascii="Times New Roman" w:hAnsi="Times New Roman" w:cs="Times New Roman"/>
          <w:color w:val="auto"/>
          <w:lang w:val="bg-BG"/>
        </w:rPr>
      </w:pPr>
      <w:r w:rsidRPr="007B4A99">
        <w:rPr>
          <w:rFonts w:ascii="Times New Roman" w:hAnsi="Times New Roman" w:cs="Times New Roman"/>
          <w:color w:val="auto"/>
          <w:lang w:val="bg-BG"/>
        </w:rPr>
        <w:t>Закон за нормативните актове</w:t>
      </w:r>
      <w:r>
        <w:rPr>
          <w:rFonts w:ascii="Times New Roman" w:hAnsi="Times New Roman" w:cs="Times New Roman"/>
          <w:color w:val="auto"/>
          <w:lang w:val="bg-BG"/>
        </w:rPr>
        <w:t xml:space="preserve">. </w:t>
      </w:r>
      <w:r w:rsidRPr="009C70E2">
        <w:rPr>
          <w:rFonts w:ascii="Times New Roman" w:hAnsi="Times New Roman" w:cs="Times New Roman"/>
          <w:color w:val="auto"/>
          <w:lang w:val="bg-BG"/>
        </w:rPr>
        <w:t>Обн. ДВ. бр.27 от 3 Април 1973г.</w:t>
      </w:r>
      <w:r w:rsidRPr="007B4A99">
        <w:rPr>
          <w:rFonts w:ascii="Times New Roman" w:hAnsi="Times New Roman" w:cs="Times New Roman"/>
          <w:color w:val="auto"/>
          <w:lang w:val="bg-BG"/>
        </w:rPr>
        <w:t>;</w:t>
      </w:r>
    </w:p>
    <w:p w14:paraId="785B62B9" w14:textId="77777777" w:rsidR="00A51F67" w:rsidRDefault="00A51F67" w:rsidP="00A51F67">
      <w:pPr>
        <w:pStyle w:val="Default"/>
        <w:numPr>
          <w:ilvl w:val="0"/>
          <w:numId w:val="7"/>
        </w:numPr>
        <w:ind w:right="-38"/>
        <w:jc w:val="both"/>
        <w:rPr>
          <w:rFonts w:ascii="Times New Roman" w:hAnsi="Times New Roman" w:cs="Times New Roman"/>
          <w:color w:val="auto"/>
          <w:lang w:val="bg-BG"/>
        </w:rPr>
      </w:pPr>
      <w:r w:rsidRPr="00F97F2E">
        <w:rPr>
          <w:rFonts w:ascii="Times New Roman" w:hAnsi="Times New Roman" w:cs="Times New Roman"/>
          <w:color w:val="auto"/>
          <w:lang w:val="bg-BG"/>
        </w:rPr>
        <w:t>Закон за ограничаване на административното регулиране и административния контрол върху стопанската дейност</w:t>
      </w:r>
      <w:r>
        <w:rPr>
          <w:rFonts w:ascii="Times New Roman" w:hAnsi="Times New Roman" w:cs="Times New Roman"/>
          <w:color w:val="auto"/>
          <w:lang w:val="bg-BG"/>
        </w:rPr>
        <w:t xml:space="preserve">. </w:t>
      </w:r>
      <w:r w:rsidRPr="00F97F2E">
        <w:rPr>
          <w:rFonts w:ascii="Times New Roman" w:hAnsi="Times New Roman" w:cs="Times New Roman"/>
          <w:color w:val="auto"/>
          <w:lang w:val="bg-BG"/>
        </w:rPr>
        <w:t>Обн., ДВ, бр. 55 от 17.06.2003 г., в сила от 18.12.2003 г.</w:t>
      </w:r>
      <w:r>
        <w:rPr>
          <w:rFonts w:ascii="Times New Roman" w:hAnsi="Times New Roman" w:cs="Times New Roman"/>
          <w:color w:val="auto"/>
          <w:lang w:val="bg-BG"/>
        </w:rPr>
        <w:t>;</w:t>
      </w:r>
    </w:p>
    <w:p w14:paraId="64E74EE9" w14:textId="77777777" w:rsidR="00A51F67" w:rsidRPr="007B4A99" w:rsidRDefault="00A51F67" w:rsidP="00A51F67">
      <w:pPr>
        <w:pStyle w:val="Default"/>
        <w:numPr>
          <w:ilvl w:val="0"/>
          <w:numId w:val="7"/>
        </w:numPr>
        <w:ind w:right="-38"/>
        <w:jc w:val="both"/>
        <w:rPr>
          <w:rFonts w:ascii="Times New Roman" w:hAnsi="Times New Roman" w:cs="Times New Roman"/>
          <w:color w:val="auto"/>
          <w:lang w:val="bg-BG"/>
        </w:rPr>
      </w:pPr>
      <w:r w:rsidRPr="00F97F2E">
        <w:rPr>
          <w:rFonts w:ascii="Times New Roman" w:hAnsi="Times New Roman" w:cs="Times New Roman"/>
          <w:color w:val="auto"/>
          <w:lang w:val="bg-BG"/>
        </w:rPr>
        <w:t>Закон за публичните финанси</w:t>
      </w:r>
      <w:r>
        <w:rPr>
          <w:rFonts w:ascii="Times New Roman" w:hAnsi="Times New Roman" w:cs="Times New Roman"/>
          <w:color w:val="auto"/>
          <w:lang w:val="bg-BG"/>
        </w:rPr>
        <w:t>.</w:t>
      </w:r>
      <w:r w:rsidRPr="00D102E9">
        <w:rPr>
          <w:lang w:val="ru-RU"/>
        </w:rPr>
        <w:t xml:space="preserve"> </w:t>
      </w:r>
      <w:r w:rsidRPr="00F97F2E">
        <w:rPr>
          <w:rFonts w:ascii="Times New Roman" w:hAnsi="Times New Roman" w:cs="Times New Roman"/>
          <w:color w:val="auto"/>
          <w:lang w:val="bg-BG"/>
        </w:rPr>
        <w:t>Обн., ДВ, бр. 15 от 15.02.2013 г., в сила от 1.01.2014 г.</w:t>
      </w:r>
      <w:r>
        <w:rPr>
          <w:rFonts w:ascii="Times New Roman" w:hAnsi="Times New Roman" w:cs="Times New Roman"/>
          <w:color w:val="auto"/>
          <w:lang w:val="bg-BG"/>
        </w:rPr>
        <w:t xml:space="preserve">; </w:t>
      </w:r>
    </w:p>
    <w:p w14:paraId="18CB3CA7" w14:textId="77777777" w:rsidR="00A51F67" w:rsidRDefault="00A51F67" w:rsidP="00A51F67">
      <w:pPr>
        <w:pStyle w:val="FootnoteText"/>
        <w:numPr>
          <w:ilvl w:val="0"/>
          <w:numId w:val="7"/>
        </w:numPr>
        <w:spacing w:line="240" w:lineRule="auto"/>
        <w:jc w:val="both"/>
        <w:rPr>
          <w:rFonts w:ascii="Times New Roman" w:hAnsi="Times New Roman"/>
          <w:sz w:val="24"/>
          <w:szCs w:val="24"/>
        </w:rPr>
      </w:pPr>
      <w:r w:rsidRPr="009C70E2">
        <w:rPr>
          <w:rFonts w:ascii="Times New Roman" w:hAnsi="Times New Roman"/>
          <w:sz w:val="24"/>
          <w:szCs w:val="24"/>
        </w:rPr>
        <w:t>Закон за храните. Обн. ДВ, бр. 52 от 09.06.2020 г.</w:t>
      </w:r>
      <w:r>
        <w:rPr>
          <w:rFonts w:ascii="Times New Roman" w:hAnsi="Times New Roman"/>
          <w:sz w:val="24"/>
          <w:szCs w:val="24"/>
        </w:rPr>
        <w:t>;</w:t>
      </w:r>
    </w:p>
    <w:p w14:paraId="47E29DBF" w14:textId="77777777" w:rsidR="00A51F67" w:rsidRPr="007B4A99" w:rsidRDefault="00A51F67" w:rsidP="00A51F67">
      <w:pPr>
        <w:pStyle w:val="Default"/>
        <w:numPr>
          <w:ilvl w:val="0"/>
          <w:numId w:val="7"/>
        </w:numPr>
        <w:ind w:right="-38"/>
        <w:jc w:val="both"/>
        <w:rPr>
          <w:rFonts w:ascii="Times New Roman" w:hAnsi="Times New Roman" w:cs="Times New Roman"/>
          <w:lang w:val="bg-BG" w:eastAsia="bg-BG"/>
        </w:rPr>
      </w:pPr>
      <w:r w:rsidRPr="007B4A99">
        <w:rPr>
          <w:rFonts w:ascii="Times New Roman" w:hAnsi="Times New Roman" w:cs="Times New Roman"/>
          <w:lang w:val="bg-BG"/>
        </w:rPr>
        <w:t>Инструментариума към Насоките за по-добро регулиране на ЕК от 2023 г.</w:t>
      </w:r>
      <w:r>
        <w:rPr>
          <w:rFonts w:ascii="Times New Roman" w:hAnsi="Times New Roman" w:cs="Times New Roman"/>
          <w:lang w:val="bg-BG"/>
        </w:rPr>
        <w:t>;</w:t>
      </w:r>
    </w:p>
    <w:p w14:paraId="5BCA8260" w14:textId="77777777" w:rsidR="00A51F67" w:rsidRPr="007B4A99" w:rsidRDefault="00A51F67" w:rsidP="00A51F67">
      <w:pPr>
        <w:pStyle w:val="FootnoteText"/>
        <w:numPr>
          <w:ilvl w:val="0"/>
          <w:numId w:val="7"/>
        </w:numPr>
        <w:spacing w:line="240" w:lineRule="auto"/>
        <w:jc w:val="both"/>
        <w:rPr>
          <w:rFonts w:ascii="Times New Roman" w:hAnsi="Times New Roman"/>
          <w:sz w:val="24"/>
          <w:szCs w:val="24"/>
        </w:rPr>
      </w:pPr>
      <w:r w:rsidRPr="00A51F67">
        <w:rPr>
          <w:rFonts w:ascii="Times New Roman" w:hAnsi="Times New Roman"/>
          <w:sz w:val="24"/>
          <w:szCs w:val="24"/>
        </w:rPr>
        <w:t>Конституция на Република България</w:t>
      </w:r>
      <w:r>
        <w:rPr>
          <w:rFonts w:ascii="Times New Roman" w:hAnsi="Times New Roman"/>
          <w:sz w:val="24"/>
          <w:szCs w:val="24"/>
        </w:rPr>
        <w:t>;</w:t>
      </w:r>
    </w:p>
    <w:p w14:paraId="02F87C7D" w14:textId="77777777" w:rsidR="00A51F67" w:rsidRPr="007B4A99" w:rsidRDefault="00A51F67" w:rsidP="00A51F67">
      <w:pPr>
        <w:pStyle w:val="Default"/>
        <w:numPr>
          <w:ilvl w:val="0"/>
          <w:numId w:val="7"/>
        </w:numPr>
        <w:tabs>
          <w:tab w:val="left" w:pos="540"/>
        </w:tabs>
        <w:ind w:right="-38"/>
        <w:jc w:val="both"/>
        <w:rPr>
          <w:rFonts w:ascii="Times New Roman" w:hAnsi="Times New Roman" w:cs="Times New Roman"/>
          <w:color w:val="auto"/>
          <w:lang w:val="bg-BG"/>
        </w:rPr>
      </w:pPr>
      <w:r w:rsidRPr="007B4A99">
        <w:rPr>
          <w:rFonts w:ascii="Times New Roman" w:hAnsi="Times New Roman" w:cs="Times New Roman"/>
          <w:color w:val="auto"/>
          <w:lang w:val="bg-BG"/>
        </w:rPr>
        <w:t>Наредба за обхвата и методологията за извършване на оценка на въздействието;</w:t>
      </w:r>
    </w:p>
    <w:p w14:paraId="11CC7233" w14:textId="77777777" w:rsidR="00A51F67" w:rsidRPr="005F115D" w:rsidRDefault="00A51F67" w:rsidP="00CF5410">
      <w:pPr>
        <w:pStyle w:val="ListParagraph"/>
        <w:numPr>
          <w:ilvl w:val="0"/>
          <w:numId w:val="7"/>
        </w:numPr>
        <w:spacing w:after="0"/>
        <w:ind w:left="714" w:hanging="357"/>
        <w:jc w:val="both"/>
        <w:rPr>
          <w:rFonts w:ascii="Times New Roman" w:hAnsi="Times New Roman" w:cs="Times New Roman"/>
          <w:lang w:eastAsia="bg-BG"/>
        </w:rPr>
      </w:pPr>
      <w:r w:rsidRPr="00F97F2E">
        <w:rPr>
          <w:rFonts w:ascii="Times New Roman" w:hAnsi="Times New Roman" w:cs="Times New Roman"/>
          <w:color w:val="000000"/>
          <w:sz w:val="24"/>
          <w:szCs w:val="24"/>
          <w:lang w:eastAsia="bg-BG"/>
        </w:rPr>
        <w:t>Насоки за оценка за съответствието на нормативни и общи административни актове с правилата на конкуренция. Приети с Решение № 1777 от 20.12.2011 г.</w:t>
      </w:r>
      <w:r>
        <w:rPr>
          <w:rFonts w:ascii="Times New Roman" w:hAnsi="Times New Roman" w:cs="Times New Roman"/>
          <w:color w:val="000000"/>
          <w:sz w:val="24"/>
          <w:szCs w:val="24"/>
          <w:lang w:eastAsia="bg-BG"/>
        </w:rPr>
        <w:t xml:space="preserve"> на КЗК</w:t>
      </w:r>
      <w:r w:rsidRPr="00F97F2E">
        <w:rPr>
          <w:rFonts w:ascii="Times New Roman" w:hAnsi="Times New Roman" w:cs="Times New Roman"/>
          <w:color w:val="000000"/>
          <w:sz w:val="24"/>
          <w:szCs w:val="24"/>
          <w:lang w:eastAsia="bg-BG"/>
        </w:rPr>
        <w:t>, София</w:t>
      </w:r>
      <w:r>
        <w:rPr>
          <w:rFonts w:ascii="Times New Roman" w:hAnsi="Times New Roman" w:cs="Times New Roman"/>
          <w:color w:val="000000"/>
          <w:sz w:val="24"/>
          <w:szCs w:val="24"/>
          <w:lang w:eastAsia="bg-BG"/>
        </w:rPr>
        <w:t>;</w:t>
      </w:r>
    </w:p>
    <w:p w14:paraId="6B45B723" w14:textId="77777777" w:rsidR="00A51F67" w:rsidRDefault="00A51F67" w:rsidP="00CF5410">
      <w:pPr>
        <w:pStyle w:val="Default"/>
        <w:numPr>
          <w:ilvl w:val="0"/>
          <w:numId w:val="7"/>
        </w:numPr>
        <w:ind w:left="714" w:right="-38" w:hanging="357"/>
        <w:jc w:val="both"/>
        <w:rPr>
          <w:rFonts w:ascii="Times New Roman" w:hAnsi="Times New Roman" w:cs="Times New Roman"/>
          <w:lang w:val="bg-BG" w:eastAsia="bg-BG"/>
        </w:rPr>
      </w:pPr>
      <w:r w:rsidRPr="007B4A99">
        <w:rPr>
          <w:rFonts w:ascii="Times New Roman" w:hAnsi="Times New Roman" w:cs="Times New Roman"/>
          <w:lang w:val="bg-BG" w:eastAsia="bg-BG"/>
        </w:rPr>
        <w:t>Насоки за по-добро регулиране на ЕК от 2021 г.;</w:t>
      </w:r>
    </w:p>
    <w:p w14:paraId="6C8FBBCA" w14:textId="77777777" w:rsidR="00A51F67" w:rsidRPr="007B4A99" w:rsidRDefault="00A51F67" w:rsidP="00CF5410">
      <w:pPr>
        <w:pStyle w:val="Default"/>
        <w:numPr>
          <w:ilvl w:val="0"/>
          <w:numId w:val="7"/>
        </w:numPr>
        <w:tabs>
          <w:tab w:val="left" w:pos="540"/>
        </w:tabs>
        <w:ind w:left="714" w:right="-38" w:hanging="357"/>
        <w:jc w:val="both"/>
        <w:rPr>
          <w:rFonts w:ascii="Times New Roman" w:hAnsi="Times New Roman" w:cs="Times New Roman"/>
          <w:bCs/>
          <w:lang w:val="bg-BG"/>
        </w:rPr>
      </w:pPr>
      <w:r w:rsidRPr="007B4A99">
        <w:rPr>
          <w:rFonts w:ascii="Times New Roman" w:hAnsi="Times New Roman" w:cs="Times New Roman"/>
          <w:lang w:val="bg-BG"/>
        </w:rPr>
        <w:t>Постановление № 234 на МС от 1.08.2011 г. за политиката на Република България на участие в международното сътрудничество за развитие;</w:t>
      </w:r>
    </w:p>
    <w:p w14:paraId="61241ACF" w14:textId="77777777" w:rsidR="00A51F67" w:rsidRDefault="00A51F67" w:rsidP="00A51F67">
      <w:pPr>
        <w:pStyle w:val="NormalWeb"/>
        <w:numPr>
          <w:ilvl w:val="0"/>
          <w:numId w:val="7"/>
        </w:numPr>
        <w:jc w:val="both"/>
      </w:pPr>
      <w:r w:rsidRPr="00D102E9">
        <w:rPr>
          <w:lang w:val="ru-RU"/>
        </w:rPr>
        <w:t>Постановление № 301</w:t>
      </w:r>
      <w:r>
        <w:rPr>
          <w:lang w:val="bg-BG"/>
        </w:rPr>
        <w:t xml:space="preserve"> на МС</w:t>
      </w:r>
      <w:r w:rsidRPr="00D102E9">
        <w:rPr>
          <w:lang w:val="ru-RU"/>
        </w:rPr>
        <w:t xml:space="preserve"> от 14.11.2016 г. за приемане на Наредба за методологията за извършване на оценка на въздействието. </w:t>
      </w:r>
      <w:r>
        <w:t>Обн. ДВ, бр. 91 от 18.11.2016 г.</w:t>
      </w:r>
    </w:p>
    <w:p w14:paraId="41255CBA" w14:textId="77777777" w:rsidR="00A51F67" w:rsidRPr="00D102E9" w:rsidRDefault="00A51F67" w:rsidP="00A51F67">
      <w:pPr>
        <w:pStyle w:val="NormalWeb"/>
        <w:numPr>
          <w:ilvl w:val="0"/>
          <w:numId w:val="7"/>
        </w:numPr>
        <w:jc w:val="both"/>
        <w:rPr>
          <w:lang w:val="ru-RU"/>
        </w:rPr>
      </w:pPr>
      <w:r>
        <w:rPr>
          <w:lang w:val="bg-BG"/>
        </w:rPr>
        <w:t>Практика на Съда на Европейския съюз;</w:t>
      </w:r>
    </w:p>
    <w:p w14:paraId="51632A21" w14:textId="77777777" w:rsidR="00A51F67" w:rsidRDefault="00A51F67" w:rsidP="00A51F67">
      <w:pPr>
        <w:pStyle w:val="FootnoteText"/>
        <w:numPr>
          <w:ilvl w:val="0"/>
          <w:numId w:val="7"/>
        </w:numPr>
        <w:spacing w:line="240" w:lineRule="auto"/>
        <w:jc w:val="both"/>
        <w:rPr>
          <w:rFonts w:ascii="Times New Roman" w:hAnsi="Times New Roman"/>
          <w:sz w:val="24"/>
          <w:szCs w:val="24"/>
        </w:rPr>
      </w:pPr>
      <w:r>
        <w:rPr>
          <w:rFonts w:ascii="Times New Roman" w:hAnsi="Times New Roman"/>
          <w:sz w:val="24"/>
          <w:szCs w:val="24"/>
        </w:rPr>
        <w:t>Приоритети на Комисията за защита на конкуренцията (през 2022;2023;2024;2025) при образуване на производства по Глава девета и Глава Дванадесета от Закона за защита на конкуренцията;</w:t>
      </w:r>
    </w:p>
    <w:p w14:paraId="645416AB" w14:textId="0FCF4EDF" w:rsidR="00A51F67" w:rsidRPr="007B4A99" w:rsidRDefault="00A51F67" w:rsidP="00A51F67">
      <w:pPr>
        <w:pStyle w:val="FootnoteText"/>
        <w:numPr>
          <w:ilvl w:val="0"/>
          <w:numId w:val="7"/>
        </w:numPr>
        <w:spacing w:line="240" w:lineRule="auto"/>
        <w:jc w:val="both"/>
        <w:rPr>
          <w:rFonts w:ascii="Times New Roman" w:hAnsi="Times New Roman"/>
          <w:sz w:val="24"/>
          <w:szCs w:val="24"/>
        </w:rPr>
      </w:pPr>
      <w:r w:rsidRPr="002E5E4E">
        <w:rPr>
          <w:rFonts w:ascii="Times New Roman" w:hAnsi="Times New Roman"/>
          <w:sz w:val="24"/>
          <w:szCs w:val="24"/>
        </w:rPr>
        <w:t>Проект на Закон за надценките на хранителните продукти</w:t>
      </w:r>
      <w:r>
        <w:rPr>
          <w:rFonts w:ascii="Times New Roman" w:hAnsi="Times New Roman"/>
          <w:sz w:val="24"/>
          <w:szCs w:val="24"/>
        </w:rPr>
        <w:t>, 2023;</w:t>
      </w:r>
    </w:p>
    <w:p w14:paraId="08F6806E" w14:textId="46A21AE7" w:rsidR="00A51F67" w:rsidRPr="005F115D" w:rsidRDefault="00A51F67" w:rsidP="00A51F67">
      <w:pPr>
        <w:pStyle w:val="NormalWeb"/>
        <w:numPr>
          <w:ilvl w:val="0"/>
          <w:numId w:val="7"/>
        </w:numPr>
        <w:jc w:val="both"/>
        <w:rPr>
          <w:lang w:val="ru-RU"/>
        </w:rPr>
      </w:pPr>
      <w:r w:rsidRPr="00D102E9">
        <w:rPr>
          <w:lang w:val="ru-RU"/>
        </w:rPr>
        <w:t>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(ЕИО) № 922/72, (ЕИО) № 234/79, (ЕО) № 1037/2001 и (ЕО) № 1234/2007</w:t>
      </w:r>
      <w:r>
        <w:rPr>
          <w:lang w:val="ru-RU"/>
        </w:rPr>
        <w:t>;</w:t>
      </w:r>
    </w:p>
    <w:p w14:paraId="73A9BB6C" w14:textId="62B38F25" w:rsidR="00A51F67" w:rsidRPr="00D102E9" w:rsidRDefault="00A51F67" w:rsidP="00A51F67">
      <w:pPr>
        <w:pStyle w:val="NormalWeb"/>
        <w:numPr>
          <w:ilvl w:val="0"/>
          <w:numId w:val="7"/>
        </w:numPr>
        <w:jc w:val="both"/>
        <w:rPr>
          <w:lang w:val="ru-RU"/>
        </w:rPr>
      </w:pPr>
      <w:r w:rsidRPr="00D102E9">
        <w:rPr>
          <w:lang w:val="ru-RU"/>
        </w:rPr>
        <w:lastRenderedPageBreak/>
        <w:t xml:space="preserve">Регламент (ЕС) № 1408/2013 на Комисията от 18 декември 2013 година относно прилагането на членове 107 и 108 от Договора за функционирането на Европейския съюз към помощта </w:t>
      </w:r>
      <w:r w:rsidRPr="009C70E2">
        <w:t>de</w:t>
      </w:r>
      <w:r w:rsidRPr="00D102E9">
        <w:rPr>
          <w:lang w:val="ru-RU"/>
        </w:rPr>
        <w:t xml:space="preserve"> </w:t>
      </w:r>
      <w:r w:rsidRPr="009C70E2">
        <w:t>minimis</w:t>
      </w:r>
      <w:r w:rsidRPr="00D102E9">
        <w:rPr>
          <w:lang w:val="ru-RU"/>
        </w:rPr>
        <w:t xml:space="preserve"> в селскостопанския сектор</w:t>
      </w:r>
      <w:r>
        <w:rPr>
          <w:lang w:val="ru-RU"/>
        </w:rPr>
        <w:t>;</w:t>
      </w:r>
    </w:p>
    <w:p w14:paraId="518818AB" w14:textId="77777777" w:rsidR="00A51F67" w:rsidRDefault="00A51F67" w:rsidP="00A51F67">
      <w:pPr>
        <w:pStyle w:val="NormalWeb"/>
        <w:numPr>
          <w:ilvl w:val="0"/>
          <w:numId w:val="7"/>
        </w:numPr>
        <w:jc w:val="both"/>
        <w:rPr>
          <w:lang w:val="ru-RU"/>
        </w:rPr>
      </w:pPr>
      <w:r w:rsidRPr="00A51F67">
        <w:rPr>
          <w:lang w:val="ru-RU"/>
        </w:rPr>
        <w:t>Решение № 23/10.01.2019 г. на Комисията за защита на конкуренцията</w:t>
      </w:r>
      <w:r>
        <w:rPr>
          <w:lang w:val="ru-RU"/>
        </w:rPr>
        <w:t>;</w:t>
      </w:r>
    </w:p>
    <w:p w14:paraId="6D272A77" w14:textId="77777777" w:rsidR="00A51F67" w:rsidRPr="00D102E9" w:rsidRDefault="00A51F67" w:rsidP="00A51F67">
      <w:pPr>
        <w:pStyle w:val="NormalWeb"/>
        <w:numPr>
          <w:ilvl w:val="0"/>
          <w:numId w:val="7"/>
        </w:numPr>
        <w:jc w:val="both"/>
        <w:rPr>
          <w:lang w:val="ru-RU"/>
        </w:rPr>
      </w:pPr>
      <w:r w:rsidRPr="00A51F67">
        <w:rPr>
          <w:lang w:val="ru-RU"/>
        </w:rPr>
        <w:t>Решение № 6 от 25 февруари 1997 г.</w:t>
      </w:r>
      <w:r>
        <w:rPr>
          <w:lang w:val="ru-RU"/>
        </w:rPr>
        <w:t xml:space="preserve"> на Конституционния съд</w:t>
      </w:r>
      <w:r w:rsidRPr="00A51F67">
        <w:rPr>
          <w:lang w:val="ru-RU"/>
        </w:rPr>
        <w:t xml:space="preserve"> по к.д. № 32/96 г. относно искане за установяване на противоконституционност на чл. 9, ал. 2 от Закона за застраховането (Обн., ДВ, бр. 21 от 11 март 1997 г.)</w:t>
      </w:r>
      <w:r>
        <w:rPr>
          <w:lang w:val="ru-RU"/>
        </w:rPr>
        <w:t>;</w:t>
      </w:r>
    </w:p>
    <w:p w14:paraId="129508FA" w14:textId="77777777" w:rsidR="00A51F67" w:rsidRPr="0007553B" w:rsidRDefault="00A51F67" w:rsidP="00A51F67">
      <w:pPr>
        <w:pStyle w:val="NormalWeb"/>
        <w:numPr>
          <w:ilvl w:val="0"/>
          <w:numId w:val="7"/>
        </w:numPr>
        <w:jc w:val="both"/>
        <w:rPr>
          <w:lang w:val="ru-RU"/>
        </w:rPr>
      </w:pPr>
      <w:r w:rsidRPr="00D102E9">
        <w:rPr>
          <w:lang w:val="ru-RU"/>
        </w:rPr>
        <w:t>Решение № 728 на Министерския съвет от 05.12.2019 г. за приемане на Ръководство за извършване на предварителна оценка на въздействието</w:t>
      </w:r>
      <w:r>
        <w:rPr>
          <w:lang w:val="bg-BG"/>
        </w:rPr>
        <w:t>;</w:t>
      </w:r>
    </w:p>
    <w:p w14:paraId="7A86081A" w14:textId="77777777" w:rsidR="00A51F67" w:rsidRDefault="00A51F67" w:rsidP="00A51F67">
      <w:pPr>
        <w:pStyle w:val="NormalWeb"/>
        <w:numPr>
          <w:ilvl w:val="0"/>
          <w:numId w:val="7"/>
        </w:numPr>
        <w:jc w:val="both"/>
        <w:rPr>
          <w:lang w:val="ru-RU"/>
        </w:rPr>
      </w:pPr>
      <w:r w:rsidRPr="00A51F67">
        <w:rPr>
          <w:lang w:val="ru-RU"/>
        </w:rPr>
        <w:t>Решение на Съда на ЕС по дело С-557</w:t>
      </w:r>
      <w:r>
        <w:rPr>
          <w:lang w:val="ru-RU"/>
        </w:rPr>
        <w:t>;</w:t>
      </w:r>
    </w:p>
    <w:p w14:paraId="02F1D0E0" w14:textId="77777777" w:rsidR="00A51F67" w:rsidRPr="007B4A99" w:rsidRDefault="00A51F67" w:rsidP="00A51F67">
      <w:pPr>
        <w:pStyle w:val="Default"/>
        <w:numPr>
          <w:ilvl w:val="0"/>
          <w:numId w:val="7"/>
        </w:numPr>
        <w:tabs>
          <w:tab w:val="left" w:pos="540"/>
        </w:tabs>
        <w:ind w:right="-38"/>
        <w:jc w:val="both"/>
        <w:rPr>
          <w:rFonts w:ascii="Times New Roman" w:hAnsi="Times New Roman" w:cs="Times New Roman"/>
          <w:color w:val="auto"/>
          <w:lang w:val="bg-BG"/>
        </w:rPr>
      </w:pPr>
      <w:r w:rsidRPr="007B4A99">
        <w:rPr>
          <w:rFonts w:ascii="Times New Roman" w:hAnsi="Times New Roman" w:cs="Times New Roman"/>
          <w:bCs/>
          <w:lang w:val="bg-BG"/>
        </w:rPr>
        <w:t xml:space="preserve"> Ръководство за извършване на предварителна оценка на въздействието от 2019 г.</w:t>
      </w:r>
      <w:r w:rsidRPr="007B4A99">
        <w:rPr>
          <w:rFonts w:ascii="Times New Roman" w:hAnsi="Times New Roman" w:cs="Times New Roman"/>
          <w:color w:val="auto"/>
          <w:lang w:val="bg-BG"/>
        </w:rPr>
        <w:t>;</w:t>
      </w:r>
    </w:p>
    <w:p w14:paraId="11E6C592" w14:textId="77777777" w:rsidR="00A51F67" w:rsidRDefault="00A51F67" w:rsidP="00A51F67">
      <w:pPr>
        <w:pStyle w:val="FootnoteText"/>
        <w:numPr>
          <w:ilvl w:val="0"/>
          <w:numId w:val="7"/>
        </w:numPr>
        <w:spacing w:line="240" w:lineRule="auto"/>
        <w:jc w:val="both"/>
        <w:rPr>
          <w:rFonts w:ascii="Times New Roman" w:hAnsi="Times New Roman"/>
          <w:sz w:val="24"/>
          <w:szCs w:val="24"/>
        </w:rPr>
      </w:pPr>
      <w:r w:rsidRPr="007B4A99">
        <w:rPr>
          <w:rFonts w:ascii="Times New Roman" w:hAnsi="Times New Roman"/>
          <w:sz w:val="24"/>
          <w:szCs w:val="24"/>
        </w:rPr>
        <w:t xml:space="preserve">Статистически данни на Евростат; </w:t>
      </w:r>
    </w:p>
    <w:p w14:paraId="5D361B40" w14:textId="77777777" w:rsidR="00A51F67" w:rsidRPr="009C70E2" w:rsidRDefault="00A51F67" w:rsidP="00A51F67">
      <w:pPr>
        <w:pStyle w:val="FootnoteText"/>
        <w:numPr>
          <w:ilvl w:val="0"/>
          <w:numId w:val="7"/>
        </w:numPr>
        <w:spacing w:line="240" w:lineRule="auto"/>
        <w:jc w:val="both"/>
        <w:rPr>
          <w:rFonts w:ascii="Times New Roman" w:hAnsi="Times New Roman"/>
          <w:sz w:val="24"/>
          <w:szCs w:val="24"/>
        </w:rPr>
      </w:pPr>
      <w:r w:rsidRPr="007B4A99">
        <w:rPr>
          <w:rFonts w:ascii="Times New Roman" w:hAnsi="Times New Roman"/>
          <w:sz w:val="24"/>
          <w:szCs w:val="24"/>
        </w:rPr>
        <w:t>Статистически данни на Националния статистически институт;</w:t>
      </w:r>
    </w:p>
    <w:p w14:paraId="7FC05358" w14:textId="77777777" w:rsidR="00A51F67" w:rsidRPr="00D102E9" w:rsidRDefault="00A51F67" w:rsidP="00A51F67">
      <w:pPr>
        <w:pStyle w:val="NormalWeb"/>
        <w:numPr>
          <w:ilvl w:val="0"/>
          <w:numId w:val="7"/>
        </w:numPr>
        <w:jc w:val="both"/>
        <w:rPr>
          <w:lang w:val="ru-RU"/>
        </w:rPr>
      </w:pPr>
      <w:r w:rsidRPr="00D102E9">
        <w:rPr>
          <w:lang w:val="ru-RU"/>
        </w:rPr>
        <w:t>Харта на основните права на Европейския съюз</w:t>
      </w:r>
      <w:r>
        <w:rPr>
          <w:lang w:val="bg-BG"/>
        </w:rPr>
        <w:t>.</w:t>
      </w:r>
    </w:p>
    <w:p w14:paraId="7674826D" w14:textId="77777777" w:rsidR="009C70E2" w:rsidRPr="009C70E2" w:rsidRDefault="009C70E2" w:rsidP="00A51F67">
      <w:pPr>
        <w:pStyle w:val="FootnoteText"/>
        <w:spacing w:line="240" w:lineRule="auto"/>
        <w:jc w:val="both"/>
        <w:rPr>
          <w:rFonts w:ascii="Times New Roman" w:hAnsi="Times New Roman"/>
          <w:sz w:val="24"/>
          <w:szCs w:val="24"/>
        </w:rPr>
      </w:pPr>
    </w:p>
    <w:p w14:paraId="26B70676" w14:textId="14EACCC7" w:rsidR="002D7A13" w:rsidRPr="005F115D" w:rsidRDefault="002D7A13" w:rsidP="005F115D">
      <w:pPr>
        <w:pStyle w:val="Heading1"/>
        <w:spacing w:before="0"/>
        <w:rPr>
          <w:rFonts w:ascii="Times New Roman" w:hAnsi="Times New Roman"/>
        </w:rPr>
      </w:pPr>
      <w:bookmarkStart w:id="44" w:name="_Toc198633101"/>
      <w:r w:rsidRPr="005F115D">
        <w:rPr>
          <w:rFonts w:ascii="Times New Roman" w:hAnsi="Times New Roman"/>
        </w:rPr>
        <w:t>Приложения</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76BFB" w:rsidRPr="007B4A99" w14:paraId="7974D33F" w14:textId="77777777" w:rsidTr="008C0E40">
        <w:tc>
          <w:tcPr>
            <w:tcW w:w="9062" w:type="dxa"/>
          </w:tcPr>
          <w:p w14:paraId="567FA1F3" w14:textId="77777777" w:rsidR="00376BFB" w:rsidRPr="007B4A99" w:rsidRDefault="00376BFB" w:rsidP="005F115D">
            <w:pPr>
              <w:spacing w:after="0"/>
              <w:jc w:val="both"/>
              <w:rPr>
                <w:rFonts w:ascii="Times New Roman" w:hAnsi="Times New Roman" w:cs="Times New Roman"/>
                <w:i/>
              </w:rPr>
            </w:pPr>
            <w:r w:rsidRPr="007B4A99">
              <w:rPr>
                <w:rFonts w:ascii="Times New Roman" w:hAnsi="Times New Roman" w:cs="Times New Roman"/>
                <w:i/>
              </w:rPr>
              <w:t>Опишете приложенията към доклада.</w:t>
            </w:r>
          </w:p>
        </w:tc>
      </w:tr>
    </w:tbl>
    <w:p w14:paraId="04D91A8B" w14:textId="3A363611" w:rsidR="005F115D" w:rsidRDefault="005F115D" w:rsidP="005F115D">
      <w:pPr>
        <w:spacing w:after="0"/>
        <w:ind w:firstLine="142"/>
        <w:jc w:val="both"/>
        <w:rPr>
          <w:rFonts w:ascii="Times New Roman" w:hAnsi="Times New Roman" w:cs="Times New Roman"/>
          <w:sz w:val="24"/>
          <w:szCs w:val="24"/>
        </w:rPr>
      </w:pPr>
      <w:r>
        <w:rPr>
          <w:rFonts w:ascii="Times New Roman" w:hAnsi="Times New Roman" w:cs="Times New Roman"/>
          <w:sz w:val="24"/>
          <w:szCs w:val="24"/>
        </w:rPr>
        <w:t xml:space="preserve">Приложение </w:t>
      </w:r>
      <w:r w:rsidRPr="005F115D">
        <w:rPr>
          <w:rFonts w:ascii="Times New Roman" w:hAnsi="Times New Roman" w:cs="Times New Roman"/>
          <w:sz w:val="24"/>
          <w:szCs w:val="24"/>
        </w:rPr>
        <w:t>1. Обобщен преглед и анализ на становищата на заинтересованите страни</w:t>
      </w:r>
      <w:r w:rsidR="00240046">
        <w:rPr>
          <w:rFonts w:ascii="Times New Roman" w:hAnsi="Times New Roman" w:cs="Times New Roman"/>
          <w:sz w:val="24"/>
          <w:szCs w:val="24"/>
        </w:rPr>
        <w:t>;</w:t>
      </w:r>
    </w:p>
    <w:p w14:paraId="53789A60" w14:textId="1A9DCC9F" w:rsidR="00000C92" w:rsidRPr="005F115D" w:rsidRDefault="005F115D" w:rsidP="005F115D">
      <w:pPr>
        <w:spacing w:after="0"/>
        <w:ind w:firstLine="142"/>
        <w:jc w:val="both"/>
        <w:rPr>
          <w:rFonts w:ascii="Times New Roman" w:hAnsi="Times New Roman" w:cs="Times New Roman"/>
          <w:sz w:val="24"/>
          <w:szCs w:val="24"/>
        </w:rPr>
      </w:pPr>
      <w:r w:rsidRPr="005F115D">
        <w:rPr>
          <w:rFonts w:ascii="Times New Roman" w:hAnsi="Times New Roman" w:cs="Times New Roman"/>
          <w:sz w:val="24"/>
          <w:szCs w:val="24"/>
        </w:rPr>
        <w:t>Приложение 2. Единна методологическа р</w:t>
      </w:r>
      <w:r w:rsidR="00240046">
        <w:rPr>
          <w:rFonts w:ascii="Times New Roman" w:hAnsi="Times New Roman" w:cs="Times New Roman"/>
          <w:sz w:val="24"/>
          <w:szCs w:val="24"/>
        </w:rPr>
        <w:t>амка за анализ на въздействията.</w:t>
      </w:r>
    </w:p>
    <w:sectPr w:rsidR="00000C92" w:rsidRPr="005F115D" w:rsidSect="000A62F2">
      <w:headerReference w:type="default" r:id="rId30"/>
      <w:footerReference w:type="default" r:id="rId31"/>
      <w:footerReference w:type="first" r:id="rId32"/>
      <w:pgSz w:w="11906" w:h="16838"/>
      <w:pgMar w:top="1985" w:right="1417" w:bottom="1417" w:left="1417" w:header="127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A9FD4" w14:textId="77777777" w:rsidR="00C40A49" w:rsidRDefault="00C40A49" w:rsidP="002D7A13">
      <w:pPr>
        <w:spacing w:after="0" w:line="240" w:lineRule="auto"/>
      </w:pPr>
      <w:r>
        <w:separator/>
      </w:r>
    </w:p>
  </w:endnote>
  <w:endnote w:type="continuationSeparator" w:id="0">
    <w:p w14:paraId="45E9AB5A" w14:textId="77777777" w:rsidR="00C40A49" w:rsidRDefault="00C40A49" w:rsidP="002D7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NewRoman,Bold">
    <w:altName w:val="MS Gothic"/>
    <w:panose1 w:val="00000000000000000000"/>
    <w:charset w:val="80"/>
    <w:family w:val="auto"/>
    <w:notTrueType/>
    <w:pitch w:val="default"/>
    <w:sig w:usb0="00000000" w:usb1="08070000" w:usb2="00000010" w:usb3="00000000" w:csb0="00020001" w:csb1="00000000"/>
  </w:font>
  <w:font w:name="Microsoft JhengHei UI Light">
    <w:panose1 w:val="020B0304030504040204"/>
    <w:charset w:val="88"/>
    <w:family w:val="swiss"/>
    <w:pitch w:val="variable"/>
    <w:sig w:usb0="800002A7" w:usb1="28CF4400" w:usb2="00000016" w:usb3="00000000" w:csb0="00100009"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B0677" w14:textId="77777777" w:rsidR="00D22189" w:rsidRPr="00B8646D" w:rsidRDefault="00D22189" w:rsidP="00B8646D">
    <w:pPr>
      <w:pBdr>
        <w:bottom w:val="single" w:sz="6" w:space="1" w:color="auto"/>
      </w:pBdr>
      <w:spacing w:after="120" w:line="276" w:lineRule="auto"/>
      <w:ind w:firstLine="720"/>
      <w:jc w:val="both"/>
      <w:rPr>
        <w:rFonts w:ascii="Century" w:eastAsia="Calibri" w:hAnsi="Century" w:cs="Times New Roman"/>
        <w:color w:val="C16F98"/>
        <w:sz w:val="24"/>
        <w:szCs w:val="24"/>
        <w:lang w:eastAsia="bg-BG"/>
      </w:rPr>
    </w:pPr>
  </w:p>
  <w:p w14:paraId="0A83DB80" w14:textId="25D42623" w:rsidR="00D22189" w:rsidRPr="00B8646D" w:rsidRDefault="00D22189" w:rsidP="00B8646D">
    <w:pPr>
      <w:spacing w:after="120" w:line="276" w:lineRule="auto"/>
      <w:ind w:firstLine="720"/>
      <w:jc w:val="right"/>
      <w:rPr>
        <w:rFonts w:ascii="Century" w:eastAsia="Calibri" w:hAnsi="Century" w:cs="Times New Roman"/>
        <w:b/>
        <w:color w:val="1F4E79" w:themeColor="accent1" w:themeShade="80"/>
        <w:sz w:val="24"/>
        <w:szCs w:val="24"/>
        <w:lang w:eastAsia="bg-BG"/>
      </w:rPr>
    </w:pPr>
    <w:r w:rsidRPr="009B2448">
      <w:rPr>
        <w:noProof/>
        <w:sz w:val="20"/>
        <w:szCs w:val="20"/>
        <w:lang w:val="en-US"/>
      </w:rPr>
      <w:drawing>
        <wp:anchor distT="0" distB="0" distL="114300" distR="114300" simplePos="0" relativeHeight="251659264" behindDoc="1" locked="0" layoutInCell="1" allowOverlap="1" wp14:anchorId="6FF87BC2" wp14:editId="2AB0AE80">
          <wp:simplePos x="0" y="0"/>
          <wp:positionH relativeFrom="margin">
            <wp:posOffset>1400322</wp:posOffset>
          </wp:positionH>
          <wp:positionV relativeFrom="paragraph">
            <wp:posOffset>210185</wp:posOffset>
          </wp:positionV>
          <wp:extent cx="2745105" cy="363220"/>
          <wp:effectExtent l="0" t="0" r="0" b="0"/>
          <wp:wrapSquare wrapText="bothSides"/>
          <wp:docPr id="20" name="Picture 20" descr="RIA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A_b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5105" cy="363220"/>
                  </a:xfrm>
                  <a:prstGeom prst="rect">
                    <a:avLst/>
                  </a:prstGeom>
                  <a:noFill/>
                </pic:spPr>
              </pic:pic>
            </a:graphicData>
          </a:graphic>
          <wp14:sizeRelH relativeFrom="page">
            <wp14:pctWidth>0</wp14:pctWidth>
          </wp14:sizeRelH>
          <wp14:sizeRelV relativeFrom="page">
            <wp14:pctHeight>0</wp14:pctHeight>
          </wp14:sizeRelV>
        </wp:anchor>
      </w:drawing>
    </w:r>
    <w:r w:rsidRPr="00B8646D">
      <w:rPr>
        <w:rFonts w:ascii="Century" w:eastAsia="Calibri" w:hAnsi="Century" w:cs="Times New Roman"/>
        <w:b/>
        <w:color w:val="1F4E79" w:themeColor="accent1" w:themeShade="80"/>
        <w:sz w:val="24"/>
        <w:szCs w:val="24"/>
        <w:lang w:eastAsia="bg-BG"/>
      </w:rPr>
      <w:fldChar w:fldCharType="begin"/>
    </w:r>
    <w:r w:rsidRPr="00B8646D">
      <w:rPr>
        <w:rFonts w:ascii="Century" w:eastAsia="Calibri" w:hAnsi="Century" w:cs="Times New Roman"/>
        <w:b/>
        <w:color w:val="1F4E79" w:themeColor="accent1" w:themeShade="80"/>
        <w:sz w:val="24"/>
        <w:szCs w:val="24"/>
        <w:lang w:eastAsia="bg-BG"/>
      </w:rPr>
      <w:instrText xml:space="preserve"> PAGE   \* MERGEFORMAT </w:instrText>
    </w:r>
    <w:r w:rsidRPr="00B8646D">
      <w:rPr>
        <w:rFonts w:ascii="Century" w:eastAsia="Calibri" w:hAnsi="Century" w:cs="Times New Roman"/>
        <w:b/>
        <w:color w:val="1F4E79" w:themeColor="accent1" w:themeShade="80"/>
        <w:sz w:val="24"/>
        <w:szCs w:val="24"/>
        <w:lang w:eastAsia="bg-BG"/>
      </w:rPr>
      <w:fldChar w:fldCharType="separate"/>
    </w:r>
    <w:r w:rsidR="00471F9A">
      <w:rPr>
        <w:rFonts w:ascii="Century" w:eastAsia="Calibri" w:hAnsi="Century" w:cs="Times New Roman"/>
        <w:b/>
        <w:noProof/>
        <w:color w:val="1F4E79" w:themeColor="accent1" w:themeShade="80"/>
        <w:sz w:val="24"/>
        <w:szCs w:val="24"/>
        <w:lang w:eastAsia="bg-BG"/>
      </w:rPr>
      <w:t>2</w:t>
    </w:r>
    <w:r w:rsidRPr="00B8646D">
      <w:rPr>
        <w:rFonts w:ascii="Century" w:eastAsia="Calibri" w:hAnsi="Century" w:cs="Times New Roman"/>
        <w:b/>
        <w:noProof/>
        <w:color w:val="1F4E79" w:themeColor="accent1" w:themeShade="80"/>
        <w:sz w:val="24"/>
        <w:szCs w:val="24"/>
        <w:lang w:eastAsia="bg-BG"/>
      </w:rPr>
      <w:fldChar w:fldCharType="end"/>
    </w:r>
    <w:r w:rsidRPr="00B8646D">
      <w:rPr>
        <w:rFonts w:ascii="Century" w:eastAsia="Calibri" w:hAnsi="Century" w:cs="Times New Roman"/>
        <w:b/>
        <w:color w:val="1F4E79" w:themeColor="accent1" w:themeShade="80"/>
        <w:sz w:val="24"/>
        <w:szCs w:val="24"/>
        <w:lang w:eastAsia="bg-BG"/>
      </w:rPr>
      <w:t xml:space="preserve"> | Страница</w:t>
    </w:r>
  </w:p>
  <w:p w14:paraId="5E33E634" w14:textId="77777777" w:rsidR="00D22189" w:rsidRDefault="00D22189"/>
  <w:p w14:paraId="5F1C0216" w14:textId="77777777" w:rsidR="00D22189" w:rsidRDefault="00D2218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ABA4E" w14:textId="77777777" w:rsidR="00D22189" w:rsidRDefault="00D22189">
    <w:pPr>
      <w:pStyle w:val="Footer"/>
      <w:jc w:val="right"/>
    </w:pPr>
  </w:p>
  <w:p w14:paraId="580A08B1" w14:textId="77777777" w:rsidR="00D22189" w:rsidRDefault="00D22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28F0D" w14:textId="77777777" w:rsidR="00C40A49" w:rsidRDefault="00C40A49" w:rsidP="002D7A13">
      <w:pPr>
        <w:spacing w:after="0" w:line="240" w:lineRule="auto"/>
      </w:pPr>
      <w:r>
        <w:separator/>
      </w:r>
    </w:p>
  </w:footnote>
  <w:footnote w:type="continuationSeparator" w:id="0">
    <w:p w14:paraId="43F50632" w14:textId="77777777" w:rsidR="00C40A49" w:rsidRDefault="00C40A49" w:rsidP="002D7A13">
      <w:pPr>
        <w:spacing w:after="0" w:line="240" w:lineRule="auto"/>
      </w:pPr>
      <w:r>
        <w:continuationSeparator/>
      </w:r>
    </w:p>
  </w:footnote>
  <w:footnote w:id="1">
    <w:p w14:paraId="0EF9A3EB" w14:textId="77777777" w:rsidR="00D22189" w:rsidRPr="00C77099" w:rsidRDefault="00D22189" w:rsidP="00C37C27">
      <w:pPr>
        <w:pStyle w:val="FootnoteText"/>
        <w:jc w:val="both"/>
        <w:rPr>
          <w:rFonts w:ascii="Times New Roman" w:hAnsi="Times New Roman"/>
        </w:rPr>
      </w:pPr>
      <w:r w:rsidRPr="00C77099">
        <w:rPr>
          <w:rStyle w:val="FootnoteReference"/>
          <w:rFonts w:ascii="Times New Roman" w:hAnsi="Times New Roman"/>
        </w:rPr>
        <w:footnoteRef/>
      </w:r>
      <w:r w:rsidRPr="00C77099">
        <w:rPr>
          <w:rFonts w:ascii="Times New Roman" w:hAnsi="Times New Roman"/>
        </w:rPr>
        <w:t xml:space="preserve"> Обн. ДВ бр. 34 от 3.05.2016 г., в сила от 04.11.2016 г., посл. изм. и доп., бр. 84 от 29.09.2020 г., в сила от 1.01.2021 г.</w:t>
      </w:r>
    </w:p>
  </w:footnote>
  <w:footnote w:id="2">
    <w:p w14:paraId="1A122239" w14:textId="77777777" w:rsidR="00D22189" w:rsidRPr="00C77099" w:rsidRDefault="00D22189" w:rsidP="00C37C27">
      <w:pPr>
        <w:pStyle w:val="FootnoteText"/>
        <w:jc w:val="both"/>
        <w:rPr>
          <w:rFonts w:ascii="Times New Roman" w:hAnsi="Times New Roman"/>
        </w:rPr>
      </w:pPr>
      <w:r w:rsidRPr="00C77099">
        <w:rPr>
          <w:rStyle w:val="FootnoteReference"/>
          <w:rFonts w:ascii="Times New Roman" w:hAnsi="Times New Roman"/>
        </w:rPr>
        <w:footnoteRef/>
      </w:r>
      <w:r w:rsidRPr="00C77099">
        <w:rPr>
          <w:rFonts w:ascii="Times New Roman" w:hAnsi="Times New Roman"/>
        </w:rPr>
        <w:t xml:space="preserve"> Приета с ПМС № 301 от 14.11.2016 г., обн., ДВ, бр. 91 от 18.11.2016 г., в сила от 18.11.2016 г., изм., бр. 5 от 17.01.2017 г., в сила от 18.11.2016 г., изм. и доп., бр. 84 от 29.09.2020 г., в сила от 1.01.2021 г.</w:t>
      </w:r>
    </w:p>
  </w:footnote>
  <w:footnote w:id="3">
    <w:p w14:paraId="44B7B2DB" w14:textId="77777777" w:rsidR="00D22189" w:rsidRPr="00C77099" w:rsidRDefault="00D22189" w:rsidP="00C37C27">
      <w:pPr>
        <w:pStyle w:val="FootnoteText"/>
        <w:jc w:val="both"/>
        <w:rPr>
          <w:rFonts w:ascii="Times New Roman" w:hAnsi="Times New Roman"/>
        </w:rPr>
      </w:pPr>
      <w:r w:rsidRPr="00C77099">
        <w:rPr>
          <w:rStyle w:val="FootnoteReference"/>
          <w:rFonts w:ascii="Times New Roman" w:hAnsi="Times New Roman"/>
        </w:rPr>
        <w:footnoteRef/>
      </w:r>
      <w:r w:rsidRPr="00C77099">
        <w:rPr>
          <w:rFonts w:ascii="Times New Roman" w:hAnsi="Times New Roman"/>
        </w:rPr>
        <w:t xml:space="preserve"> Прието с Решение № 728 на Министерския съвет от 05 декември 2019 г.</w:t>
      </w:r>
    </w:p>
  </w:footnote>
  <w:footnote w:id="4">
    <w:p w14:paraId="565566B4" w14:textId="77777777" w:rsidR="00D22189" w:rsidRPr="00C77099" w:rsidRDefault="00D22189" w:rsidP="00C37C27">
      <w:pPr>
        <w:pStyle w:val="FootnoteText"/>
        <w:jc w:val="both"/>
        <w:rPr>
          <w:rFonts w:ascii="Times New Roman" w:hAnsi="Times New Roman"/>
        </w:rPr>
      </w:pPr>
      <w:r w:rsidRPr="00C77099">
        <w:rPr>
          <w:rStyle w:val="FootnoteReference"/>
          <w:rFonts w:ascii="Times New Roman" w:hAnsi="Times New Roman"/>
        </w:rPr>
        <w:footnoteRef/>
      </w:r>
      <w:r w:rsidRPr="00C77099">
        <w:rPr>
          <w:rFonts w:ascii="Times New Roman" w:hAnsi="Times New Roman"/>
        </w:rPr>
        <w:t xml:space="preserve"> </w:t>
      </w:r>
      <w:r w:rsidRPr="00C77099">
        <w:rPr>
          <w:rFonts w:ascii="Times New Roman" w:hAnsi="Times New Roman"/>
          <w:lang w:val="en-GB"/>
        </w:rPr>
        <w:t>SWD</w:t>
      </w:r>
      <w:r w:rsidRPr="00C77099">
        <w:rPr>
          <w:rFonts w:ascii="Times New Roman" w:hAnsi="Times New Roman"/>
          <w:lang w:val="en-US"/>
        </w:rPr>
        <w:t>(20</w:t>
      </w:r>
      <w:r w:rsidRPr="00C77099">
        <w:rPr>
          <w:rFonts w:ascii="Times New Roman" w:hAnsi="Times New Roman"/>
        </w:rPr>
        <w:t>2</w:t>
      </w:r>
      <w:r w:rsidRPr="00C77099">
        <w:rPr>
          <w:rFonts w:ascii="Times New Roman" w:hAnsi="Times New Roman"/>
          <w:lang w:val="en-US"/>
        </w:rPr>
        <w:t>1) 30</w:t>
      </w:r>
      <w:r w:rsidRPr="00C77099">
        <w:rPr>
          <w:rFonts w:ascii="Times New Roman" w:hAnsi="Times New Roman"/>
        </w:rPr>
        <w:t>5</w:t>
      </w:r>
      <w:r w:rsidRPr="00C77099">
        <w:rPr>
          <w:rFonts w:ascii="Times New Roman" w:hAnsi="Times New Roman"/>
          <w:lang w:val="en-US"/>
        </w:rPr>
        <w:t xml:space="preserve"> „</w:t>
      </w:r>
      <w:r w:rsidRPr="00C77099">
        <w:rPr>
          <w:rFonts w:ascii="Times New Roman" w:hAnsi="Times New Roman"/>
          <w:lang w:val="en-GB"/>
        </w:rPr>
        <w:t>Better</w:t>
      </w:r>
      <w:r w:rsidRPr="00C77099">
        <w:rPr>
          <w:rFonts w:ascii="Times New Roman" w:hAnsi="Times New Roman"/>
        </w:rPr>
        <w:t xml:space="preserve"> </w:t>
      </w:r>
      <w:r w:rsidRPr="00C77099">
        <w:rPr>
          <w:rFonts w:ascii="Times New Roman" w:hAnsi="Times New Roman"/>
          <w:lang w:val="en-GB"/>
        </w:rPr>
        <w:t>Regulation</w:t>
      </w:r>
      <w:r w:rsidRPr="00C77099">
        <w:rPr>
          <w:rFonts w:ascii="Times New Roman" w:hAnsi="Times New Roman"/>
        </w:rPr>
        <w:t xml:space="preserve"> </w:t>
      </w:r>
      <w:r w:rsidRPr="00C77099">
        <w:rPr>
          <w:rFonts w:ascii="Times New Roman" w:hAnsi="Times New Roman"/>
          <w:lang w:val="en-GB"/>
        </w:rPr>
        <w:t>Guidelines</w:t>
      </w:r>
      <w:r w:rsidRPr="00C77099">
        <w:rPr>
          <w:rFonts w:ascii="Times New Roman" w:hAnsi="Times New Roman"/>
          <w:lang w:val="en-US"/>
        </w:rPr>
        <w:t>“</w:t>
      </w:r>
      <w:r w:rsidRPr="00C77099">
        <w:rPr>
          <w:rFonts w:ascii="Times New Roman" w:hAnsi="Times New Roman"/>
          <w:lang w:val="en-GB"/>
        </w:rPr>
        <w:t>.</w:t>
      </w:r>
    </w:p>
  </w:footnote>
  <w:footnote w:id="5">
    <w:p w14:paraId="2551FDDB" w14:textId="3F3980CB" w:rsidR="00D22189" w:rsidRPr="00251228" w:rsidRDefault="00D22189" w:rsidP="00C37C27">
      <w:pPr>
        <w:pStyle w:val="FootnoteText"/>
        <w:jc w:val="both"/>
        <w:rPr>
          <w:rFonts w:ascii="Times New Roman" w:hAnsi="Times New Roman"/>
          <w:lang w:val="en-US"/>
        </w:rPr>
      </w:pPr>
      <w:r w:rsidRPr="00C77099">
        <w:rPr>
          <w:rStyle w:val="FootnoteReference"/>
          <w:rFonts w:ascii="Times New Roman" w:hAnsi="Times New Roman"/>
        </w:rPr>
        <w:footnoteRef/>
      </w:r>
      <w:r w:rsidRPr="00C77099">
        <w:rPr>
          <w:rFonts w:ascii="Times New Roman" w:hAnsi="Times New Roman"/>
        </w:rPr>
        <w:t xml:space="preserve"> </w:t>
      </w:r>
      <w:r w:rsidRPr="00C77099">
        <w:rPr>
          <w:rFonts w:ascii="Times New Roman" w:hAnsi="Times New Roman"/>
          <w:lang w:val="en-GB"/>
        </w:rPr>
        <w:t>SWD</w:t>
      </w:r>
      <w:r w:rsidRPr="00C77099">
        <w:rPr>
          <w:rFonts w:ascii="Times New Roman" w:hAnsi="Times New Roman"/>
          <w:lang w:val="en-US"/>
        </w:rPr>
        <w:t>(20</w:t>
      </w:r>
      <w:r w:rsidRPr="00C77099">
        <w:rPr>
          <w:rFonts w:ascii="Times New Roman" w:hAnsi="Times New Roman"/>
        </w:rPr>
        <w:t>2</w:t>
      </w:r>
      <w:r w:rsidRPr="00C77099">
        <w:rPr>
          <w:rFonts w:ascii="Times New Roman" w:hAnsi="Times New Roman"/>
          <w:lang w:val="en-US"/>
        </w:rPr>
        <w:t xml:space="preserve">1) </w:t>
      </w:r>
      <w:r w:rsidRPr="00C77099">
        <w:rPr>
          <w:rFonts w:ascii="Times New Roman" w:hAnsi="Times New Roman"/>
        </w:rPr>
        <w:t>„</w:t>
      </w:r>
      <w:r w:rsidRPr="00C77099">
        <w:rPr>
          <w:rFonts w:ascii="Times New Roman" w:hAnsi="Times New Roman"/>
          <w:lang w:val="en-GB"/>
        </w:rPr>
        <w:t>Better</w:t>
      </w:r>
      <w:r w:rsidRPr="00C77099">
        <w:rPr>
          <w:rFonts w:ascii="Times New Roman" w:hAnsi="Times New Roman"/>
        </w:rPr>
        <w:t xml:space="preserve"> </w:t>
      </w:r>
      <w:r w:rsidRPr="00C77099">
        <w:rPr>
          <w:rFonts w:ascii="Times New Roman" w:hAnsi="Times New Roman"/>
          <w:lang w:val="en-GB"/>
        </w:rPr>
        <w:t>Regulation</w:t>
      </w:r>
      <w:r w:rsidRPr="00C77099">
        <w:rPr>
          <w:rFonts w:ascii="Times New Roman" w:hAnsi="Times New Roman"/>
          <w:lang w:val="en-US"/>
        </w:rPr>
        <w:t xml:space="preserve"> </w:t>
      </w:r>
      <w:r w:rsidRPr="00C77099">
        <w:rPr>
          <w:rFonts w:ascii="Times New Roman" w:hAnsi="Times New Roman"/>
          <w:lang w:val="en-GB"/>
        </w:rPr>
        <w:t>Toolbox</w:t>
      </w:r>
      <w:r w:rsidRPr="00C77099">
        <w:rPr>
          <w:rFonts w:ascii="Times New Roman" w:hAnsi="Times New Roman"/>
          <w:lang w:val="en-US"/>
        </w:rPr>
        <w:t>“</w:t>
      </w:r>
      <w:r>
        <w:rPr>
          <w:rFonts w:ascii="Times New Roman" w:hAnsi="Times New Roman"/>
          <w:lang w:val="en-US"/>
        </w:rPr>
        <w:t xml:space="preserve"> </w:t>
      </w:r>
      <w:r w:rsidRPr="00251228">
        <w:rPr>
          <w:rFonts w:ascii="Times New Roman" w:hAnsi="Times New Roman"/>
          <w:lang w:val="en-US"/>
        </w:rPr>
        <w:t>2023</w:t>
      </w:r>
      <w:r w:rsidRPr="00C77099">
        <w:rPr>
          <w:rFonts w:ascii="Times New Roman" w:hAnsi="Times New Roman"/>
          <w:lang w:val="en-GB"/>
        </w:rPr>
        <w:t>.</w:t>
      </w:r>
    </w:p>
  </w:footnote>
  <w:footnote w:id="6">
    <w:p w14:paraId="6C0495C3" w14:textId="2BCC443B" w:rsidR="00D22189" w:rsidRDefault="00D22189">
      <w:pPr>
        <w:pStyle w:val="FootnoteText"/>
      </w:pPr>
      <w:r>
        <w:rPr>
          <w:rStyle w:val="FootnoteReference"/>
        </w:rPr>
        <w:footnoteRef/>
      </w:r>
      <w:r>
        <w:t xml:space="preserve"> </w:t>
      </w:r>
      <w:r w:rsidRPr="007F0721">
        <w:rPr>
          <w:rFonts w:ascii="Times New Roman" w:hAnsi="Times New Roman"/>
        </w:rPr>
        <w:t>Обн. ДВ, бр. 56 от 2015 г.</w:t>
      </w:r>
    </w:p>
  </w:footnote>
  <w:footnote w:id="7">
    <w:p w14:paraId="1480442A" w14:textId="39A57BEA" w:rsidR="00D22189" w:rsidRPr="00177948" w:rsidRDefault="00D22189">
      <w:pPr>
        <w:pStyle w:val="FootnoteText"/>
        <w:rPr>
          <w:rFonts w:ascii="Times New Roman" w:hAnsi="Times New Roman"/>
        </w:rPr>
      </w:pPr>
      <w:r w:rsidRPr="00177948">
        <w:rPr>
          <w:rStyle w:val="FootnoteReference"/>
          <w:rFonts w:ascii="Times New Roman" w:hAnsi="Times New Roman"/>
        </w:rPr>
        <w:footnoteRef/>
      </w:r>
      <w:r w:rsidRPr="00177948">
        <w:rPr>
          <w:rFonts w:ascii="Times New Roman" w:hAnsi="Times New Roman"/>
        </w:rPr>
        <w:t xml:space="preserve"> Обн. ДВ, бр. 17 от 2021 г., в сила от 1.11.2021 г.</w:t>
      </w:r>
    </w:p>
  </w:footnote>
  <w:footnote w:id="8">
    <w:p w14:paraId="5FCFEECD" w14:textId="6368B44D" w:rsidR="00D22189" w:rsidRPr="004403EF" w:rsidRDefault="00D22189">
      <w:pPr>
        <w:pStyle w:val="FootnoteText"/>
        <w:rPr>
          <w:rFonts w:ascii="Times New Roman" w:hAnsi="Times New Roman"/>
        </w:rPr>
      </w:pPr>
      <w:r w:rsidRPr="004403EF">
        <w:rPr>
          <w:rStyle w:val="FootnoteReference"/>
          <w:rFonts w:ascii="Times New Roman" w:hAnsi="Times New Roman"/>
        </w:rPr>
        <w:footnoteRef/>
      </w:r>
      <w:r w:rsidRPr="004403EF">
        <w:rPr>
          <w:rFonts w:ascii="Times New Roman" w:hAnsi="Times New Roman"/>
        </w:rPr>
        <w:t xml:space="preserve"> </w:t>
      </w:r>
      <w:hyperlink r:id="rId1" w:history="1">
        <w:r w:rsidRPr="00590733">
          <w:rPr>
            <w:rStyle w:val="Hyperlink"/>
            <w:rFonts w:ascii="Times New Roman" w:hAnsi="Times New Roman"/>
          </w:rPr>
          <w:t>https://www.strategy.bg/PublicConsultations/View.aspx?lang=bg-BG&amp;Id=7619</w:t>
        </w:r>
      </w:hyperlink>
      <w:r>
        <w:rPr>
          <w:rFonts w:ascii="Times New Roman" w:hAnsi="Times New Roman"/>
        </w:rPr>
        <w:t xml:space="preserve">. </w:t>
      </w:r>
    </w:p>
  </w:footnote>
  <w:footnote w:id="9">
    <w:p w14:paraId="37A65894" w14:textId="77777777" w:rsidR="00D22189" w:rsidRPr="006C1F5F" w:rsidRDefault="00D22189" w:rsidP="008F123D">
      <w:pPr>
        <w:pStyle w:val="FootnoteText"/>
        <w:rPr>
          <w:rFonts w:ascii="Times New Roman" w:hAnsi="Times New Roman"/>
        </w:rPr>
      </w:pPr>
      <w:r w:rsidRPr="006C1F5F">
        <w:rPr>
          <w:rStyle w:val="FootnoteReference"/>
          <w:rFonts w:ascii="Times New Roman" w:hAnsi="Times New Roman"/>
        </w:rPr>
        <w:footnoteRef/>
      </w:r>
      <w:r w:rsidRPr="006C1F5F">
        <w:rPr>
          <w:rFonts w:ascii="Times New Roman" w:hAnsi="Times New Roman"/>
        </w:rPr>
        <w:t xml:space="preserve"> </w:t>
      </w:r>
      <w:r>
        <w:rPr>
          <w:rFonts w:ascii="Times New Roman" w:hAnsi="Times New Roman"/>
        </w:rPr>
        <w:t xml:space="preserve">Вж. </w:t>
      </w:r>
      <w:r w:rsidRPr="006C1F5F">
        <w:rPr>
          <w:rFonts w:ascii="Times New Roman" w:hAnsi="Times New Roman"/>
        </w:rPr>
        <w:t>чл. 19</w:t>
      </w:r>
      <w:r w:rsidRPr="006C1F5F">
        <w:t xml:space="preserve"> </w:t>
      </w:r>
      <w:r>
        <w:t>(</w:t>
      </w:r>
      <w:r w:rsidRPr="006C1F5F">
        <w:rPr>
          <w:rFonts w:ascii="Times New Roman" w:hAnsi="Times New Roman"/>
        </w:rPr>
        <w:t>нов,</w:t>
      </w:r>
      <w:r>
        <w:rPr>
          <w:rFonts w:ascii="Times New Roman" w:hAnsi="Times New Roman"/>
        </w:rPr>
        <w:t xml:space="preserve"> ДВ.,</w:t>
      </w:r>
      <w:r w:rsidRPr="006C1F5F">
        <w:rPr>
          <w:rFonts w:ascii="Times New Roman" w:hAnsi="Times New Roman"/>
        </w:rPr>
        <w:t xml:space="preserve"> бр. 56 от 2015 г.</w:t>
      </w:r>
      <w:r>
        <w:rPr>
          <w:rFonts w:ascii="Times New Roman" w:hAnsi="Times New Roman"/>
        </w:rPr>
        <w:t>)</w:t>
      </w:r>
      <w:r w:rsidRPr="006C1F5F">
        <w:rPr>
          <w:rFonts w:ascii="Times New Roman" w:hAnsi="Times New Roman"/>
        </w:rPr>
        <w:t xml:space="preserve"> от</w:t>
      </w:r>
      <w:r>
        <w:rPr>
          <w:rFonts w:ascii="Times New Roman" w:hAnsi="Times New Roman"/>
        </w:rPr>
        <w:t xml:space="preserve"> </w:t>
      </w:r>
      <w:r w:rsidRPr="006C1F5F">
        <w:rPr>
          <w:rFonts w:ascii="Times New Roman" w:hAnsi="Times New Roman"/>
        </w:rPr>
        <w:t>Закон за храните (отм.)</w:t>
      </w:r>
      <w:r>
        <w:rPr>
          <w:rFonts w:ascii="Times New Roman" w:hAnsi="Times New Roman"/>
        </w:rPr>
        <w:t>.</w:t>
      </w:r>
    </w:p>
  </w:footnote>
  <w:footnote w:id="10">
    <w:p w14:paraId="2A2A4254" w14:textId="3F0EE3F3" w:rsidR="00D22189" w:rsidRPr="002A1831" w:rsidRDefault="00D22189" w:rsidP="006B38E6">
      <w:pPr>
        <w:pStyle w:val="FootnoteText"/>
        <w:jc w:val="both"/>
        <w:rPr>
          <w:rFonts w:ascii="Times New Roman" w:hAnsi="Times New Roman"/>
        </w:rPr>
      </w:pPr>
      <w:r w:rsidRPr="002A1831">
        <w:rPr>
          <w:rStyle w:val="FootnoteReference"/>
          <w:rFonts w:ascii="Times New Roman" w:hAnsi="Times New Roman"/>
        </w:rPr>
        <w:footnoteRef/>
      </w:r>
      <w:r w:rsidRPr="002A1831">
        <w:rPr>
          <w:rFonts w:ascii="Times New Roman" w:hAnsi="Times New Roman"/>
        </w:rPr>
        <w:t xml:space="preserve"> </w:t>
      </w:r>
      <w:r>
        <w:rPr>
          <w:rFonts w:ascii="Times New Roman" w:hAnsi="Times New Roman"/>
        </w:rPr>
        <w:t>О</w:t>
      </w:r>
      <w:r w:rsidRPr="002A1831">
        <w:rPr>
          <w:rFonts w:ascii="Times New Roman" w:hAnsi="Times New Roman"/>
        </w:rPr>
        <w:t>бн. ОВ L 111, 25.04.2019 г.</w:t>
      </w:r>
    </w:p>
  </w:footnote>
  <w:footnote w:id="11">
    <w:p w14:paraId="667E97F9" w14:textId="77777777" w:rsidR="00D22189" w:rsidRPr="004D5F8C" w:rsidRDefault="00D22189" w:rsidP="006B38E6">
      <w:pPr>
        <w:pStyle w:val="FootnoteText"/>
        <w:rPr>
          <w:rFonts w:ascii="Times New Roman" w:hAnsi="Times New Roman"/>
        </w:rPr>
      </w:pPr>
      <w:r w:rsidRPr="004D5F8C">
        <w:rPr>
          <w:rStyle w:val="FootnoteReference"/>
          <w:rFonts w:ascii="Times New Roman" w:hAnsi="Times New Roman"/>
        </w:rPr>
        <w:footnoteRef/>
      </w:r>
      <w:r w:rsidRPr="004D5F8C">
        <w:rPr>
          <w:rFonts w:ascii="Times New Roman" w:hAnsi="Times New Roman"/>
        </w:rPr>
        <w:t xml:space="preserve"> </w:t>
      </w:r>
      <w:r>
        <w:rPr>
          <w:rFonts w:ascii="Times New Roman" w:hAnsi="Times New Roman"/>
        </w:rPr>
        <w:t xml:space="preserve">Вж. ЗЗК, </w:t>
      </w:r>
      <w:r w:rsidRPr="004D5F8C">
        <w:rPr>
          <w:rFonts w:ascii="Times New Roman" w:hAnsi="Times New Roman"/>
        </w:rPr>
        <w:t>Глава седма "б"</w:t>
      </w:r>
      <w:r>
        <w:rPr>
          <w:rFonts w:ascii="Times New Roman" w:hAnsi="Times New Roman"/>
        </w:rPr>
        <w:t xml:space="preserve">, </w:t>
      </w:r>
      <w:r w:rsidRPr="004D5F8C">
        <w:rPr>
          <w:rFonts w:ascii="Times New Roman" w:hAnsi="Times New Roman"/>
        </w:rPr>
        <w:t>Нова – ДВ, бр. 17 от 2021 г., в с</w:t>
      </w:r>
      <w:r>
        <w:rPr>
          <w:rFonts w:ascii="Times New Roman" w:hAnsi="Times New Roman"/>
        </w:rPr>
        <w:t>ила от 1.11.2021 г.</w:t>
      </w:r>
    </w:p>
  </w:footnote>
  <w:footnote w:id="12">
    <w:p w14:paraId="1C7D3E94" w14:textId="6F617592" w:rsidR="00D22189" w:rsidRPr="009402FD" w:rsidRDefault="00D22189" w:rsidP="009402FD">
      <w:pPr>
        <w:pStyle w:val="FootnoteText"/>
        <w:jc w:val="both"/>
        <w:rPr>
          <w:rFonts w:ascii="Times New Roman" w:hAnsi="Times New Roman"/>
        </w:rPr>
      </w:pPr>
      <w:r w:rsidRPr="009402FD">
        <w:rPr>
          <w:rStyle w:val="FootnoteReference"/>
          <w:rFonts w:ascii="Times New Roman" w:hAnsi="Times New Roman"/>
        </w:rPr>
        <w:footnoteRef/>
      </w:r>
      <w:r w:rsidRPr="009402FD">
        <w:rPr>
          <w:rFonts w:ascii="Times New Roman" w:hAnsi="Times New Roman"/>
        </w:rPr>
        <w:t xml:space="preserve"> Източник: </w:t>
      </w:r>
      <w:hyperlink r:id="rId2" w:history="1">
        <w:r w:rsidRPr="00904A7A">
          <w:rPr>
            <w:rStyle w:val="Hyperlink"/>
            <w:rFonts w:ascii="Times New Roman" w:hAnsi="Times New Roman"/>
          </w:rPr>
          <w:t>https://agriculture.ec.europa.eu/common-agricultural-policy/agri-food-supply-chain/unfair-trading-practices_bg</w:t>
        </w:r>
      </w:hyperlink>
      <w:r>
        <w:rPr>
          <w:rFonts w:ascii="Times New Roman" w:hAnsi="Times New Roman"/>
        </w:rPr>
        <w:t>.</w:t>
      </w:r>
    </w:p>
  </w:footnote>
  <w:footnote w:id="13">
    <w:p w14:paraId="31B895EF" w14:textId="3AD42E33" w:rsidR="00D22189" w:rsidRPr="00BF28C8" w:rsidRDefault="00D22189">
      <w:pPr>
        <w:pStyle w:val="FootnoteText"/>
        <w:rPr>
          <w:rFonts w:ascii="Times New Roman" w:hAnsi="Times New Roman"/>
        </w:rPr>
      </w:pPr>
      <w:r w:rsidRPr="00BF28C8">
        <w:rPr>
          <w:rStyle w:val="FootnoteReference"/>
          <w:rFonts w:ascii="Times New Roman" w:hAnsi="Times New Roman"/>
        </w:rPr>
        <w:footnoteRef/>
      </w:r>
      <w:r w:rsidRPr="00BF28C8">
        <w:rPr>
          <w:rFonts w:ascii="Times New Roman" w:hAnsi="Times New Roman"/>
        </w:rPr>
        <w:t xml:space="preserve"> Източник: https://cpc.bg/media/about-kzk/annual-reports/KZK2023.pdf</w:t>
      </w:r>
      <w:r>
        <w:rPr>
          <w:rFonts w:ascii="Times New Roman" w:hAnsi="Times New Roman"/>
        </w:rPr>
        <w:t>.</w:t>
      </w:r>
    </w:p>
  </w:footnote>
  <w:footnote w:id="14">
    <w:p w14:paraId="5FD6B53F" w14:textId="6D9F3388" w:rsidR="00D22189" w:rsidRPr="003422C5" w:rsidRDefault="00D22189" w:rsidP="003422C5">
      <w:pPr>
        <w:pStyle w:val="FootnoteText"/>
        <w:rPr>
          <w:rFonts w:ascii="Times New Roman" w:hAnsi="Times New Roman"/>
          <w:lang w:val="ru-RU"/>
        </w:rPr>
      </w:pPr>
      <w:r w:rsidRPr="003422C5">
        <w:rPr>
          <w:rStyle w:val="FootnoteReference"/>
          <w:rFonts w:ascii="Times New Roman" w:hAnsi="Times New Roman"/>
        </w:rPr>
        <w:footnoteRef/>
      </w:r>
      <w:r w:rsidRPr="003422C5">
        <w:rPr>
          <w:rFonts w:ascii="Times New Roman" w:hAnsi="Times New Roman"/>
        </w:rPr>
        <w:t xml:space="preserve"> Източник</w:t>
      </w:r>
      <w:r>
        <w:rPr>
          <w:rFonts w:ascii="Times New Roman" w:hAnsi="Times New Roman"/>
        </w:rPr>
        <w:t xml:space="preserve">: </w:t>
      </w:r>
      <w:r w:rsidRPr="003422C5">
        <w:rPr>
          <w:rFonts w:ascii="Times New Roman" w:hAnsi="Times New Roman"/>
        </w:rPr>
        <w:t>https://cpc.bg/news-300</w:t>
      </w:r>
      <w:r>
        <w:rPr>
          <w:rFonts w:ascii="Times New Roman" w:hAnsi="Times New Roman"/>
        </w:rPr>
        <w:t>.</w:t>
      </w:r>
    </w:p>
  </w:footnote>
  <w:footnote w:id="15">
    <w:p w14:paraId="24EBB568" w14:textId="6124D0A3" w:rsidR="00D22189" w:rsidRPr="003764F5" w:rsidRDefault="00D22189">
      <w:pPr>
        <w:pStyle w:val="FootnoteText"/>
        <w:rPr>
          <w:rFonts w:ascii="Times New Roman" w:hAnsi="Times New Roman"/>
        </w:rPr>
      </w:pPr>
      <w:r w:rsidRPr="003764F5">
        <w:rPr>
          <w:rStyle w:val="FootnoteReference"/>
          <w:rFonts w:ascii="Times New Roman" w:hAnsi="Times New Roman"/>
        </w:rPr>
        <w:footnoteRef/>
      </w:r>
      <w:r w:rsidRPr="003764F5">
        <w:rPr>
          <w:rFonts w:ascii="Times New Roman" w:hAnsi="Times New Roman"/>
        </w:rPr>
        <w:t xml:space="preserve"> Източник: </w:t>
      </w:r>
      <w:hyperlink r:id="rId3" w:history="1">
        <w:r w:rsidRPr="00A62418">
          <w:rPr>
            <w:rStyle w:val="Hyperlink"/>
            <w:rFonts w:ascii="Times New Roman" w:hAnsi="Times New Roman"/>
          </w:rPr>
          <w:t>https://www.cpc.bg/news-389</w:t>
        </w:r>
      </w:hyperlink>
      <w:r>
        <w:rPr>
          <w:rFonts w:ascii="Times New Roman" w:hAnsi="Times New Roman"/>
        </w:rPr>
        <w:t xml:space="preserve">. </w:t>
      </w:r>
    </w:p>
  </w:footnote>
  <w:footnote w:id="16">
    <w:p w14:paraId="27F1C196" w14:textId="2990C4E2" w:rsidR="00D22189" w:rsidRPr="003764F5" w:rsidRDefault="00D22189" w:rsidP="003764F5">
      <w:pPr>
        <w:pStyle w:val="FootnoteText"/>
        <w:jc w:val="both"/>
        <w:rPr>
          <w:rFonts w:ascii="Times New Roman" w:hAnsi="Times New Roman"/>
        </w:rPr>
      </w:pPr>
      <w:r w:rsidRPr="003764F5">
        <w:rPr>
          <w:rStyle w:val="FootnoteReference"/>
          <w:rFonts w:ascii="Times New Roman" w:hAnsi="Times New Roman"/>
        </w:rPr>
        <w:footnoteRef/>
      </w:r>
      <w:r w:rsidRPr="003764F5">
        <w:rPr>
          <w:rFonts w:ascii="Times New Roman" w:hAnsi="Times New Roman"/>
        </w:rPr>
        <w:t xml:space="preserve"> Източник: </w:t>
      </w:r>
      <w:hyperlink r:id="rId4" w:history="1">
        <w:r w:rsidRPr="00A62418">
          <w:rPr>
            <w:rStyle w:val="Hyperlink"/>
            <w:rFonts w:ascii="Times New Roman" w:hAnsi="Times New Roman"/>
          </w:rPr>
          <w:t>https://www.cpc.bg/annual-reports</w:t>
        </w:r>
      </w:hyperlink>
      <w:r>
        <w:rPr>
          <w:rFonts w:ascii="Times New Roman" w:hAnsi="Times New Roman"/>
        </w:rPr>
        <w:t>.</w:t>
      </w:r>
    </w:p>
  </w:footnote>
  <w:footnote w:id="17">
    <w:p w14:paraId="2EEA0787" w14:textId="77777777" w:rsidR="00D22189" w:rsidRPr="00FB0251" w:rsidRDefault="00D22189" w:rsidP="004469FF">
      <w:pPr>
        <w:pStyle w:val="FootnoteText"/>
        <w:jc w:val="both"/>
        <w:rPr>
          <w:rFonts w:ascii="Times New Roman" w:hAnsi="Times New Roman"/>
        </w:rPr>
      </w:pPr>
      <w:r w:rsidRPr="00FB0251">
        <w:rPr>
          <w:rStyle w:val="FootnoteReference"/>
          <w:rFonts w:ascii="Times New Roman" w:hAnsi="Times New Roman"/>
        </w:rPr>
        <w:footnoteRef/>
      </w:r>
      <w:r w:rsidRPr="00FB0251">
        <w:rPr>
          <w:rFonts w:ascii="Times New Roman" w:hAnsi="Times New Roman"/>
        </w:rPr>
        <w:t xml:space="preserve"> </w:t>
      </w:r>
      <w:hyperlink r:id="rId5" w:history="1">
        <w:r w:rsidRPr="00FB0251">
          <w:rPr>
            <w:rStyle w:val="Hyperlink"/>
            <w:rFonts w:ascii="Times New Roman" w:hAnsi="Times New Roman"/>
            <w:bCs/>
            <w:shd w:val="clear" w:color="auto" w:fill="FEFEFE"/>
          </w:rPr>
          <w:t>https://www.strategy.bg/PublicConsultations/View.aspx?lang=bg-BG&amp;Id=7510</w:t>
        </w:r>
      </w:hyperlink>
      <w:r>
        <w:rPr>
          <w:rFonts w:ascii="Times New Roman" w:hAnsi="Times New Roman"/>
          <w:bCs/>
          <w:shd w:val="clear" w:color="auto" w:fill="FEFEFE"/>
        </w:rPr>
        <w:t>.</w:t>
      </w:r>
    </w:p>
  </w:footnote>
  <w:footnote w:id="18">
    <w:p w14:paraId="49D45BEF" w14:textId="77777777" w:rsidR="00D22189" w:rsidRPr="0007724C" w:rsidRDefault="00D22189" w:rsidP="000A00F5">
      <w:pPr>
        <w:pStyle w:val="FootnoteText"/>
        <w:jc w:val="both"/>
        <w:rPr>
          <w:rFonts w:ascii="Times New Roman" w:hAnsi="Times New Roman"/>
        </w:rPr>
      </w:pPr>
      <w:r w:rsidRPr="0007724C">
        <w:rPr>
          <w:rStyle w:val="FootnoteReference"/>
          <w:rFonts w:ascii="Times New Roman" w:hAnsi="Times New Roman"/>
        </w:rPr>
        <w:footnoteRef/>
      </w:r>
      <w:r w:rsidRPr="0007724C">
        <w:rPr>
          <w:rFonts w:ascii="Times New Roman" w:hAnsi="Times New Roman"/>
        </w:rPr>
        <w:t xml:space="preserve"> Инструментариум за по-добро регулиране на ЕК, юли 2023 г., стр. 463, достъпен на английски: ‘</w:t>
      </w:r>
      <w:r w:rsidRPr="0054739B">
        <w:rPr>
          <w:rFonts w:ascii="Times New Roman" w:hAnsi="Times New Roman"/>
          <w:lang w:val="en-US"/>
        </w:rPr>
        <w:t>Better</w:t>
      </w:r>
      <w:r w:rsidRPr="00F4244F">
        <w:rPr>
          <w:rFonts w:ascii="Times New Roman" w:hAnsi="Times New Roman"/>
        </w:rPr>
        <w:t xml:space="preserve"> </w:t>
      </w:r>
      <w:r w:rsidRPr="0054739B">
        <w:rPr>
          <w:rFonts w:ascii="Times New Roman" w:hAnsi="Times New Roman"/>
          <w:lang w:val="en-US"/>
        </w:rPr>
        <w:t>Regulation</w:t>
      </w:r>
      <w:r w:rsidRPr="00F4244F">
        <w:rPr>
          <w:rFonts w:ascii="Times New Roman" w:hAnsi="Times New Roman"/>
        </w:rPr>
        <w:t>’</w:t>
      </w:r>
      <w:r>
        <w:rPr>
          <w:rFonts w:ascii="Times New Roman" w:hAnsi="Times New Roman"/>
        </w:rPr>
        <w:t xml:space="preserve"> </w:t>
      </w:r>
      <w:r w:rsidRPr="0054739B">
        <w:rPr>
          <w:rFonts w:ascii="Times New Roman" w:hAnsi="Times New Roman"/>
          <w:lang w:val="en-US"/>
        </w:rPr>
        <w:t>Toolbox</w:t>
      </w:r>
      <w:r>
        <w:rPr>
          <w:rFonts w:ascii="Times New Roman" w:hAnsi="Times New Roman"/>
        </w:rPr>
        <w:t>,</w:t>
      </w:r>
      <w:r w:rsidRPr="00F4244F">
        <w:rPr>
          <w:rFonts w:ascii="Times New Roman" w:hAnsi="Times New Roman"/>
        </w:rPr>
        <w:t xml:space="preserve"> 2023 </w:t>
      </w:r>
      <w:r w:rsidRPr="0054739B">
        <w:rPr>
          <w:rFonts w:ascii="Times New Roman" w:hAnsi="Times New Roman"/>
          <w:lang w:val="en-US"/>
        </w:rPr>
        <w:t>European</w:t>
      </w:r>
      <w:r w:rsidRPr="00F4244F">
        <w:rPr>
          <w:rFonts w:ascii="Times New Roman" w:hAnsi="Times New Roman"/>
        </w:rPr>
        <w:t xml:space="preserve"> </w:t>
      </w:r>
      <w:r w:rsidRPr="0054739B">
        <w:rPr>
          <w:rFonts w:ascii="Times New Roman" w:hAnsi="Times New Roman"/>
          <w:lang w:val="en-US"/>
        </w:rPr>
        <w:t>Commission</w:t>
      </w:r>
      <w:r w:rsidRPr="0007724C">
        <w:rPr>
          <w:rFonts w:ascii="Times New Roman" w:hAnsi="Times New Roman"/>
        </w:rPr>
        <w:t xml:space="preserve">: </w:t>
      </w:r>
      <w:hyperlink r:id="rId6" w:history="1">
        <w:r w:rsidRPr="0007724C">
          <w:rPr>
            <w:rStyle w:val="Hyperlink"/>
            <w:rFonts w:ascii="Times New Roman" w:hAnsi="Times New Roman"/>
          </w:rPr>
          <w:t>https://commission.europa.eu/system/files/2023-09/BR%20toolbox%20-%20Jul%202023%20-%20FINAL.pdf</w:t>
        </w:r>
      </w:hyperlink>
      <w:r w:rsidRPr="0007724C">
        <w:rPr>
          <w:rFonts w:ascii="Times New Roman" w:hAnsi="Times New Roman"/>
        </w:rPr>
        <w:t>.</w:t>
      </w:r>
    </w:p>
  </w:footnote>
  <w:footnote w:id="19">
    <w:p w14:paraId="6EE4055B" w14:textId="55B77497" w:rsidR="00D22189" w:rsidRPr="004E371E" w:rsidRDefault="00D22189" w:rsidP="00BF2837">
      <w:pPr>
        <w:pStyle w:val="FootnoteText"/>
        <w:jc w:val="both"/>
        <w:rPr>
          <w:rFonts w:ascii="Times New Roman" w:hAnsi="Times New Roman"/>
        </w:rPr>
      </w:pPr>
      <w:r w:rsidRPr="004E371E">
        <w:rPr>
          <w:rStyle w:val="FootnoteReference"/>
          <w:rFonts w:ascii="Times New Roman" w:hAnsi="Times New Roman"/>
        </w:rPr>
        <w:footnoteRef/>
      </w:r>
      <w:r w:rsidRPr="004E371E">
        <w:rPr>
          <w:rFonts w:ascii="Times New Roman" w:hAnsi="Times New Roman"/>
        </w:rPr>
        <w:t xml:space="preserve"> https://www.legifrance.gouv.fr/code</w:t>
      </w:r>
      <w:r>
        <w:rPr>
          <w:rFonts w:ascii="Times New Roman" w:hAnsi="Times New Roman"/>
        </w:rPr>
        <w:t>s/texte_lc/LEGITEXT000005634379.</w:t>
      </w:r>
    </w:p>
  </w:footnote>
  <w:footnote w:id="20">
    <w:p w14:paraId="2F1A7CAE" w14:textId="7C3AEF56" w:rsidR="00D22189" w:rsidRPr="0005342C" w:rsidRDefault="00D22189" w:rsidP="0005342C">
      <w:pPr>
        <w:pStyle w:val="FootnoteText"/>
        <w:jc w:val="both"/>
        <w:rPr>
          <w:rFonts w:ascii="Times New Roman" w:hAnsi="Times New Roman"/>
        </w:rPr>
      </w:pPr>
      <w:r w:rsidRPr="0005342C">
        <w:rPr>
          <w:rStyle w:val="FootnoteReference"/>
          <w:rFonts w:ascii="Times New Roman" w:hAnsi="Times New Roman"/>
        </w:rPr>
        <w:footnoteRef/>
      </w:r>
      <w:r w:rsidRPr="0005342C">
        <w:rPr>
          <w:rFonts w:ascii="Times New Roman" w:hAnsi="Times New Roman"/>
        </w:rPr>
        <w:t xml:space="preserve"> Наредба № 2018-1128 от 12 декември 2018 г. „EGalim I, II и III“ (2018</w:t>
      </w:r>
      <w:r>
        <w:rPr>
          <w:rFonts w:ascii="Times New Roman" w:hAnsi="Times New Roman"/>
        </w:rPr>
        <w:t xml:space="preserve"> </w:t>
      </w:r>
      <w:r w:rsidRPr="0005342C">
        <w:rPr>
          <w:rFonts w:ascii="Times New Roman" w:hAnsi="Times New Roman"/>
        </w:rPr>
        <w:t>–</w:t>
      </w:r>
      <w:r>
        <w:rPr>
          <w:rFonts w:ascii="Times New Roman" w:hAnsi="Times New Roman"/>
        </w:rPr>
        <w:t xml:space="preserve"> </w:t>
      </w:r>
      <w:r w:rsidRPr="0005342C">
        <w:rPr>
          <w:rFonts w:ascii="Times New Roman" w:hAnsi="Times New Roman"/>
        </w:rPr>
        <w:t>2023 г.).</w:t>
      </w:r>
    </w:p>
  </w:footnote>
  <w:footnote w:id="21">
    <w:p w14:paraId="277D1A50" w14:textId="29870DE5" w:rsidR="00D22189" w:rsidRPr="009E54EB" w:rsidRDefault="00D22189" w:rsidP="0005342C">
      <w:pPr>
        <w:pStyle w:val="FootnoteText"/>
        <w:jc w:val="both"/>
        <w:rPr>
          <w:rFonts w:ascii="Times New Roman" w:hAnsi="Times New Roman"/>
        </w:rPr>
      </w:pPr>
      <w:r w:rsidRPr="0005342C">
        <w:rPr>
          <w:rStyle w:val="FootnoteReference"/>
          <w:rFonts w:ascii="Times New Roman" w:hAnsi="Times New Roman"/>
        </w:rPr>
        <w:footnoteRef/>
      </w:r>
      <w:r w:rsidRPr="0005342C">
        <w:rPr>
          <w:rFonts w:ascii="Times New Roman" w:hAnsi="Times New Roman"/>
        </w:rPr>
        <w:t xml:space="preserve"> LOI n° 2018-938 du 30 octobre 2018 pour l'équilibre des relations commerciales dans le secteur agricole et alimentaire et une alimentation saine, durable et accessible à tous. </w:t>
      </w:r>
      <w:hyperlink r:id="rId7" w:history="1">
        <w:r w:rsidRPr="0005342C">
          <w:rPr>
            <w:rStyle w:val="Hyperlink"/>
            <w:rFonts w:ascii="Times New Roman" w:hAnsi="Times New Roman"/>
          </w:rPr>
          <w:t>https://www.legifrance.gouv.fr/loda/id/JORFTEXT000037547946/</w:t>
        </w:r>
      </w:hyperlink>
      <w:r w:rsidRPr="0005342C">
        <w:rPr>
          <w:rFonts w:ascii="Times New Roman" w:hAnsi="Times New Roman"/>
        </w:rPr>
        <w:t>; LOI n° 2023-221 du 30 mars 2023 tendant à renforcer l'équilibre dans les relations commerciales entre fournisseurs et distributeurs</w:t>
      </w:r>
      <w:r w:rsidRPr="0005342C">
        <w:rPr>
          <w:rFonts w:ascii="Times New Roman" w:hAnsi="Times New Roman"/>
          <w:lang w:val="fr-FR"/>
        </w:rPr>
        <w:t xml:space="preserve">.  </w:t>
      </w:r>
      <w:r w:rsidRPr="0005342C">
        <w:rPr>
          <w:rFonts w:ascii="Times New Roman" w:hAnsi="Times New Roman"/>
          <w:lang w:val="en-US"/>
        </w:rPr>
        <w:t>https://www.legifrance.gouv.fr/jorf/id/JORFTEXT000047377284</w:t>
      </w:r>
      <w:r>
        <w:rPr>
          <w:rFonts w:ascii="Times New Roman" w:hAnsi="Times New Roman"/>
        </w:rPr>
        <w:t>.</w:t>
      </w:r>
    </w:p>
  </w:footnote>
  <w:footnote w:id="22">
    <w:p w14:paraId="3579878E" w14:textId="5828803B" w:rsidR="00D22189" w:rsidRPr="0005342C" w:rsidRDefault="00D22189" w:rsidP="0005342C">
      <w:pPr>
        <w:pStyle w:val="FootnoteText"/>
        <w:jc w:val="both"/>
        <w:rPr>
          <w:rFonts w:ascii="Times New Roman" w:hAnsi="Times New Roman"/>
        </w:rPr>
      </w:pPr>
      <w:r w:rsidRPr="0005342C">
        <w:rPr>
          <w:rStyle w:val="FootnoteReference"/>
          <w:rFonts w:ascii="Times New Roman" w:hAnsi="Times New Roman"/>
        </w:rPr>
        <w:footnoteRef/>
      </w:r>
      <w:r w:rsidRPr="0005342C">
        <w:rPr>
          <w:rFonts w:ascii="Times New Roman" w:hAnsi="Times New Roman"/>
        </w:rPr>
        <w:t xml:space="preserve"> EGalim 3: Latest attempt to “balance” commercial negotiations and relations</w:t>
      </w:r>
      <w:r>
        <w:rPr>
          <w:rFonts w:ascii="Times New Roman" w:hAnsi="Times New Roman"/>
        </w:rPr>
        <w:t>:</w:t>
      </w:r>
      <w:r w:rsidRPr="0005342C">
        <w:rPr>
          <w:rFonts w:ascii="Times New Roman" w:hAnsi="Times New Roman"/>
        </w:rPr>
        <w:t xml:space="preserve"> https://www.gide.com/en/news-insights/egalim-3-latest-attempt-to-balance-commercial-negotiations-and-relations/</w:t>
      </w:r>
      <w:r>
        <w:rPr>
          <w:rFonts w:ascii="Times New Roman" w:hAnsi="Times New Roman"/>
        </w:rPr>
        <w:t>.</w:t>
      </w:r>
    </w:p>
  </w:footnote>
  <w:footnote w:id="23">
    <w:p w14:paraId="326DA9B5" w14:textId="77777777" w:rsidR="00D22189" w:rsidRPr="004E371E" w:rsidRDefault="00D22189" w:rsidP="00B7542A">
      <w:pPr>
        <w:pStyle w:val="FootnoteText"/>
        <w:jc w:val="both"/>
        <w:rPr>
          <w:rFonts w:ascii="Times New Roman" w:hAnsi="Times New Roman"/>
        </w:rPr>
      </w:pPr>
      <w:r w:rsidRPr="004E371E">
        <w:rPr>
          <w:rStyle w:val="FootnoteReference"/>
          <w:rFonts w:ascii="Times New Roman" w:hAnsi="Times New Roman"/>
        </w:rPr>
        <w:footnoteRef/>
      </w:r>
      <w:r w:rsidRPr="004E371E">
        <w:rPr>
          <w:rFonts w:ascii="Times New Roman" w:hAnsi="Times New Roman"/>
        </w:rPr>
        <w:t xml:space="preserve"> Според последните промени от 2021 г. </w:t>
      </w:r>
      <w:r w:rsidRPr="004E371E">
        <w:rPr>
          <w:rFonts w:ascii="Times New Roman" w:eastAsia="Calibri" w:hAnsi="Times New Roman"/>
          <w:iCs/>
          <w:noProof/>
        </w:rPr>
        <w:t xml:space="preserve">понятието „клиент“ включва купувачите, преработвателите, търговци и публични органи в ЕС. </w:t>
      </w:r>
    </w:p>
  </w:footnote>
  <w:footnote w:id="24">
    <w:p w14:paraId="00706383" w14:textId="0936D7DC" w:rsidR="00D22189" w:rsidRPr="004E371E" w:rsidRDefault="00D22189" w:rsidP="00BF2837">
      <w:pPr>
        <w:pStyle w:val="FootnoteText"/>
        <w:jc w:val="both"/>
        <w:rPr>
          <w:rFonts w:ascii="Times New Roman" w:hAnsi="Times New Roman"/>
        </w:rPr>
      </w:pPr>
      <w:r w:rsidRPr="004E371E">
        <w:rPr>
          <w:rStyle w:val="FootnoteReference"/>
          <w:rFonts w:ascii="Times New Roman" w:hAnsi="Times New Roman"/>
        </w:rPr>
        <w:footnoteRef/>
      </w:r>
      <w:r w:rsidRPr="004E371E">
        <w:rPr>
          <w:rFonts w:ascii="Times New Roman" w:hAnsi="Times New Roman"/>
        </w:rPr>
        <w:t xml:space="preserve"> Законът е внесен от правителството на Република Хърватия на 13 февруари 2025 г., като още на 14 февруари 2025 г. е одобрено разглеждането му по спешна процедура. Процедурата е протекла в едно заседание, което е обединило първото и второто четене, като дебатът е открит и приключен в рамките на един ден – 20 февруари 2025 г., последван от гласуване на 21 февруари 2025 г.</w:t>
      </w:r>
    </w:p>
  </w:footnote>
  <w:footnote w:id="25">
    <w:p w14:paraId="70D127DE" w14:textId="16F4BCAC" w:rsidR="00D22189" w:rsidRPr="009C0D24" w:rsidRDefault="00D22189">
      <w:pPr>
        <w:pStyle w:val="FootnoteText"/>
        <w:rPr>
          <w:rFonts w:ascii="Times New Roman" w:hAnsi="Times New Roman"/>
        </w:rPr>
      </w:pPr>
      <w:r w:rsidRPr="009C0D24">
        <w:rPr>
          <w:rStyle w:val="FootnoteReference"/>
          <w:rFonts w:ascii="Times New Roman" w:hAnsi="Times New Roman"/>
        </w:rPr>
        <w:footnoteRef/>
      </w:r>
      <w:r w:rsidRPr="009C0D24">
        <w:rPr>
          <w:rFonts w:ascii="Times New Roman" w:hAnsi="Times New Roman"/>
        </w:rPr>
        <w:t xml:space="preserve"> </w:t>
      </w:r>
      <w:r w:rsidRPr="009C0D24">
        <w:rPr>
          <w:rFonts w:ascii="Times New Roman" w:hAnsi="Times New Roman"/>
          <w:noProof/>
          <w:color w:val="000000"/>
        </w:rPr>
        <w:t>Решение № RBG-12/2023 на Службата за конкуренция и защита на потребителите</w:t>
      </w:r>
      <w:r>
        <w:rPr>
          <w:rFonts w:ascii="Times New Roman" w:hAnsi="Times New Roman"/>
          <w:noProof/>
          <w:color w:val="000000"/>
        </w:rPr>
        <w:t xml:space="preserve"> на Полша.</w:t>
      </w:r>
    </w:p>
  </w:footnote>
  <w:footnote w:id="26">
    <w:p w14:paraId="1257AA91" w14:textId="33E37458" w:rsidR="00D22189" w:rsidRPr="009C0D24" w:rsidRDefault="00D22189" w:rsidP="009C0D24">
      <w:pPr>
        <w:pStyle w:val="FootnoteText"/>
        <w:jc w:val="both"/>
        <w:rPr>
          <w:rFonts w:ascii="Times New Roman" w:hAnsi="Times New Roman"/>
        </w:rPr>
      </w:pPr>
      <w:r w:rsidRPr="009C0D24">
        <w:rPr>
          <w:rStyle w:val="FootnoteReference"/>
          <w:rFonts w:ascii="Times New Roman" w:hAnsi="Times New Roman"/>
        </w:rPr>
        <w:footnoteRef/>
      </w:r>
      <w:r w:rsidRPr="009C0D24">
        <w:rPr>
          <w:rFonts w:ascii="Times New Roman" w:hAnsi="Times New Roman"/>
        </w:rPr>
        <w:t xml:space="preserve"> Решение № RBG-4/2021 </w:t>
      </w:r>
      <w:r w:rsidRPr="009C0D24">
        <w:rPr>
          <w:rFonts w:ascii="Times New Roman" w:hAnsi="Times New Roman"/>
          <w:noProof/>
          <w:color w:val="000000"/>
        </w:rPr>
        <w:t>на Службата за конкуренция и защита на потребителите на Полша.</w:t>
      </w:r>
    </w:p>
  </w:footnote>
  <w:footnote w:id="27">
    <w:p w14:paraId="1AC1F781" w14:textId="68B3F906" w:rsidR="00D22189" w:rsidRPr="009C0D24" w:rsidRDefault="00D22189">
      <w:pPr>
        <w:pStyle w:val="FootnoteText"/>
        <w:rPr>
          <w:rFonts w:ascii="Times New Roman" w:hAnsi="Times New Roman"/>
        </w:rPr>
      </w:pPr>
      <w:r w:rsidRPr="009C0D24">
        <w:rPr>
          <w:rStyle w:val="FootnoteReference"/>
          <w:rFonts w:ascii="Times New Roman" w:hAnsi="Times New Roman"/>
        </w:rPr>
        <w:footnoteRef/>
      </w:r>
      <w:r w:rsidRPr="009C0D24">
        <w:rPr>
          <w:rFonts w:ascii="Times New Roman" w:hAnsi="Times New Roman"/>
        </w:rPr>
        <w:t xml:space="preserve"> </w:t>
      </w:r>
      <w:r>
        <w:rPr>
          <w:rFonts w:ascii="Times New Roman" w:hAnsi="Times New Roman"/>
        </w:rPr>
        <w:t>Решение № RBG-3/2021</w:t>
      </w:r>
      <w:r w:rsidRPr="009C0D24">
        <w:rPr>
          <w:rFonts w:ascii="Times New Roman" w:hAnsi="Times New Roman"/>
          <w:noProof/>
          <w:color w:val="000000"/>
        </w:rPr>
        <w:t xml:space="preserve"> на Службата за конкуренция и защита на потребителите на Полша.</w:t>
      </w:r>
    </w:p>
  </w:footnote>
  <w:footnote w:id="28">
    <w:p w14:paraId="0C44534A" w14:textId="22892516" w:rsidR="00D22189" w:rsidRPr="004B1BED" w:rsidRDefault="00D22189">
      <w:pPr>
        <w:pStyle w:val="FootnoteText"/>
        <w:rPr>
          <w:rFonts w:ascii="Times New Roman" w:hAnsi="Times New Roman"/>
        </w:rPr>
      </w:pPr>
      <w:r w:rsidRPr="004B1BED">
        <w:rPr>
          <w:rStyle w:val="FootnoteReference"/>
          <w:rFonts w:ascii="Times New Roman" w:hAnsi="Times New Roman"/>
        </w:rPr>
        <w:footnoteRef/>
      </w:r>
      <w:r w:rsidRPr="004B1BED">
        <w:rPr>
          <w:rFonts w:ascii="Times New Roman" w:hAnsi="Times New Roman"/>
        </w:rPr>
        <w:t xml:space="preserve"> </w:t>
      </w:r>
      <w:r>
        <w:rPr>
          <w:rFonts w:ascii="Times New Roman" w:hAnsi="Times New Roman"/>
        </w:rPr>
        <w:t xml:space="preserve">Решение № RBG-13/2020 </w:t>
      </w:r>
      <w:r w:rsidRPr="009C0D24">
        <w:rPr>
          <w:rFonts w:ascii="Times New Roman" w:hAnsi="Times New Roman"/>
          <w:noProof/>
          <w:color w:val="000000"/>
        </w:rPr>
        <w:t>на Службата за конкуренция и защита на потребителите на Полша.</w:t>
      </w:r>
    </w:p>
  </w:footnote>
  <w:footnote w:id="29">
    <w:p w14:paraId="43CC556C" w14:textId="77777777" w:rsidR="00D22189" w:rsidRPr="004E371E" w:rsidRDefault="00D22189" w:rsidP="00BF2837">
      <w:pPr>
        <w:pStyle w:val="FootnoteText"/>
        <w:jc w:val="both"/>
        <w:rPr>
          <w:rFonts w:ascii="Times New Roman" w:hAnsi="Times New Roman"/>
        </w:rPr>
      </w:pPr>
      <w:r w:rsidRPr="004E371E">
        <w:rPr>
          <w:rStyle w:val="FootnoteReference"/>
          <w:rFonts w:ascii="Times New Roman" w:hAnsi="Times New Roman"/>
        </w:rPr>
        <w:footnoteRef/>
      </w:r>
      <w:r w:rsidRPr="004E371E">
        <w:rPr>
          <w:rFonts w:ascii="Times New Roman" w:hAnsi="Times New Roman"/>
        </w:rPr>
        <w:t xml:space="preserve"> </w:t>
      </w:r>
      <w:r w:rsidRPr="004E371E">
        <w:rPr>
          <w:rFonts w:ascii="Times New Roman" w:eastAsia="Calibri" w:hAnsi="Times New Roman"/>
          <w:bCs/>
          <w:iCs/>
          <w:noProof/>
        </w:rPr>
        <w:t>Въпреки съществуващите законови изисквания, в практиката се наблюдават чести случаи на забавяне на плащанията.</w:t>
      </w:r>
    </w:p>
  </w:footnote>
  <w:footnote w:id="30">
    <w:p w14:paraId="445875A1" w14:textId="77777777" w:rsidR="00D22189" w:rsidRPr="004E371E" w:rsidRDefault="00D22189" w:rsidP="00BF2837">
      <w:pPr>
        <w:pStyle w:val="FootnoteText"/>
        <w:jc w:val="both"/>
        <w:rPr>
          <w:rFonts w:ascii="Times New Roman" w:hAnsi="Times New Roman"/>
        </w:rPr>
      </w:pPr>
      <w:r w:rsidRPr="004E371E">
        <w:rPr>
          <w:rStyle w:val="FootnoteReference"/>
          <w:rFonts w:ascii="Times New Roman" w:hAnsi="Times New Roman"/>
        </w:rPr>
        <w:footnoteRef/>
      </w:r>
      <w:r w:rsidRPr="004E371E">
        <w:rPr>
          <w:rFonts w:ascii="Times New Roman" w:hAnsi="Times New Roman"/>
        </w:rPr>
        <w:t xml:space="preserve"> </w:t>
      </w:r>
      <w:r w:rsidRPr="004E371E">
        <w:rPr>
          <w:rFonts w:ascii="Times New Roman" w:eastAsia="Calibri" w:hAnsi="Times New Roman"/>
          <w:bCs/>
          <w:iCs/>
          <w:noProof/>
        </w:rPr>
        <w:t>Супермаркетите следва да показват цените на дребно за плодове и зеленчуци и да идентифицират продуктите, предлагани с минимум 5% отстъпка в сравнение с техните цени преди 20 септември 2023 г.</w:t>
      </w:r>
    </w:p>
  </w:footnote>
  <w:footnote w:id="31">
    <w:p w14:paraId="10A56873" w14:textId="5634A35C" w:rsidR="00D22189" w:rsidRPr="004E371E" w:rsidRDefault="00D22189" w:rsidP="00BF2837">
      <w:pPr>
        <w:pStyle w:val="FootnoteText"/>
        <w:jc w:val="both"/>
        <w:rPr>
          <w:rFonts w:ascii="Times New Roman" w:hAnsi="Times New Roman"/>
        </w:rPr>
      </w:pPr>
      <w:r w:rsidRPr="004E371E">
        <w:rPr>
          <w:rStyle w:val="FootnoteReference"/>
          <w:rFonts w:ascii="Times New Roman" w:hAnsi="Times New Roman"/>
        </w:rPr>
        <w:footnoteRef/>
      </w:r>
      <w:r w:rsidRPr="004E371E">
        <w:rPr>
          <w:rFonts w:ascii="Times New Roman" w:hAnsi="Times New Roman"/>
        </w:rPr>
        <w:t xml:space="preserve"> Законът 4497/2017, който регулира отношенията между търговците и доставчиците, съответства на разпоредбите на Директива 2011/7/ЕС и цели да предотврати злоупотреби и да защити по-малките търговци и производители. </w:t>
      </w:r>
      <w:r>
        <w:rPr>
          <w:rFonts w:ascii="Times New Roman" w:hAnsi="Times New Roman"/>
        </w:rPr>
        <w:t>Той</w:t>
      </w:r>
      <w:r w:rsidRPr="004E371E">
        <w:rPr>
          <w:rFonts w:ascii="Times New Roman" w:hAnsi="Times New Roman"/>
        </w:rPr>
        <w:t xml:space="preserve"> изисква яснота и справедливост по отношение на сроковете за плащания, като всяко забавяне след договорения срок може да води до санкции за търговеца.</w:t>
      </w:r>
    </w:p>
  </w:footnote>
  <w:footnote w:id="32">
    <w:p w14:paraId="34A4B7C7" w14:textId="77777777" w:rsidR="00D22189" w:rsidRPr="004E371E" w:rsidRDefault="00D22189" w:rsidP="00BF2837">
      <w:pPr>
        <w:pStyle w:val="FootnoteText"/>
        <w:jc w:val="both"/>
        <w:rPr>
          <w:rFonts w:ascii="Times New Roman" w:hAnsi="Times New Roman"/>
        </w:rPr>
      </w:pPr>
      <w:r w:rsidRPr="004E371E">
        <w:rPr>
          <w:rStyle w:val="FootnoteReference"/>
          <w:rFonts w:ascii="Times New Roman" w:hAnsi="Times New Roman"/>
        </w:rPr>
        <w:footnoteRef/>
      </w:r>
      <w:r w:rsidRPr="004E371E">
        <w:rPr>
          <w:rFonts w:ascii="Times New Roman" w:hAnsi="Times New Roman"/>
        </w:rPr>
        <w:t xml:space="preserve"> </w:t>
      </w:r>
      <w:r w:rsidRPr="004E371E">
        <w:rPr>
          <w:rFonts w:ascii="Times New Roman" w:eastAsia="Calibri" w:hAnsi="Times New Roman"/>
          <w:bCs/>
          <w:iCs/>
          <w:noProof/>
        </w:rPr>
        <w:t>В определени случаи може да се договаря и по-кратък срок.</w:t>
      </w:r>
    </w:p>
  </w:footnote>
  <w:footnote w:id="33">
    <w:p w14:paraId="2E2B2962" w14:textId="0ED54F3B" w:rsidR="00D22189" w:rsidRPr="004E371E" w:rsidRDefault="00D22189" w:rsidP="00BF2837">
      <w:pPr>
        <w:pStyle w:val="FootnoteText"/>
        <w:jc w:val="both"/>
        <w:rPr>
          <w:rFonts w:ascii="Times New Roman" w:hAnsi="Times New Roman"/>
        </w:rPr>
      </w:pPr>
      <w:r w:rsidRPr="004E371E">
        <w:rPr>
          <w:rStyle w:val="FootnoteReference"/>
          <w:rFonts w:ascii="Times New Roman" w:hAnsi="Times New Roman"/>
        </w:rPr>
        <w:footnoteRef/>
      </w:r>
      <w:r w:rsidRPr="004E371E">
        <w:rPr>
          <w:rFonts w:ascii="Times New Roman" w:hAnsi="Times New Roman"/>
        </w:rPr>
        <w:t xml:space="preserve"> </w:t>
      </w:r>
      <w:r w:rsidRPr="004E371E">
        <w:rPr>
          <w:rFonts w:ascii="Times New Roman" w:eastAsia="Calibri" w:hAnsi="Times New Roman"/>
          <w:bCs/>
          <w:iCs/>
          <w:noProof/>
        </w:rPr>
        <w:t>Самият кодекс е влязъл в сила на 3 септември 2024 г., но практическото му прилагане започва от</w:t>
      </w:r>
      <w:r>
        <w:rPr>
          <w:rFonts w:ascii="Times New Roman" w:eastAsia="Calibri" w:hAnsi="Times New Roman"/>
          <w:bCs/>
          <w:iCs/>
          <w:noProof/>
        </w:rPr>
        <w:t xml:space="preserve"> началото на </w:t>
      </w:r>
      <w:r w:rsidRPr="004E371E">
        <w:rPr>
          <w:rFonts w:ascii="Times New Roman" w:eastAsia="Calibri" w:hAnsi="Times New Roman"/>
          <w:bCs/>
          <w:iCs/>
          <w:noProof/>
        </w:rPr>
        <w:t>2025 г. поради неформално отложено влизане в сила от страна на Министерството на развитието. Това удължаване е направено по искане на супермаркетите и техните доставчици, с цел да се осигури достатъчно време за адаптация и за да се избегнат финансови загуби от продукти, обявени в промоция съгласно старите правила.</w:t>
      </w:r>
    </w:p>
  </w:footnote>
  <w:footnote w:id="34">
    <w:p w14:paraId="48DF5125" w14:textId="77777777" w:rsidR="00D22189" w:rsidRPr="004E371E" w:rsidRDefault="00D22189" w:rsidP="00BF2837">
      <w:pPr>
        <w:pStyle w:val="FootnoteText"/>
        <w:jc w:val="both"/>
        <w:rPr>
          <w:rFonts w:ascii="Times New Roman" w:hAnsi="Times New Roman"/>
          <w:lang w:val="en-US"/>
        </w:rPr>
      </w:pPr>
      <w:r w:rsidRPr="004E371E">
        <w:rPr>
          <w:rStyle w:val="FootnoteReference"/>
          <w:rFonts w:ascii="Times New Roman" w:hAnsi="Times New Roman"/>
        </w:rPr>
        <w:footnoteRef/>
      </w:r>
      <w:r w:rsidRPr="004E371E">
        <w:rPr>
          <w:rFonts w:ascii="Times New Roman" w:hAnsi="Times New Roman"/>
        </w:rPr>
        <w:t xml:space="preserve"> Consumer Retail Research Institute (IELKA).</w:t>
      </w:r>
    </w:p>
  </w:footnote>
  <w:footnote w:id="35">
    <w:p w14:paraId="2F8EF559" w14:textId="4C450829" w:rsidR="00D22189" w:rsidRPr="004E371E" w:rsidRDefault="00D22189" w:rsidP="00BF2837">
      <w:pPr>
        <w:pStyle w:val="FootnoteText"/>
        <w:jc w:val="both"/>
        <w:rPr>
          <w:rFonts w:ascii="Times New Roman" w:hAnsi="Times New Roman"/>
        </w:rPr>
      </w:pPr>
      <w:r w:rsidRPr="004E371E">
        <w:rPr>
          <w:rStyle w:val="FootnoteReference"/>
          <w:rFonts w:ascii="Times New Roman" w:hAnsi="Times New Roman"/>
        </w:rPr>
        <w:footnoteRef/>
      </w:r>
      <w:r w:rsidRPr="004E371E">
        <w:rPr>
          <w:rFonts w:ascii="Times New Roman" w:hAnsi="Times New Roman"/>
        </w:rPr>
        <w:t xml:space="preserve"> Weekly Briefing, Vol. 64. No. 3 (RO) July 2023. New measure for capping prices and dealing with inflation. https://china-cee.eu/2023/08/14/romania-social-briefing-new-measure-for-capping-prices-and-dealing-with-inflation/#_ftn1</w:t>
      </w:r>
      <w:r>
        <w:rPr>
          <w:rFonts w:ascii="Times New Roman" w:hAnsi="Times New Roman"/>
        </w:rPr>
        <w:t>.</w:t>
      </w:r>
    </w:p>
  </w:footnote>
  <w:footnote w:id="36">
    <w:p w14:paraId="454EF6E7" w14:textId="5AB929C0" w:rsidR="00D22189" w:rsidRPr="004E371E" w:rsidRDefault="00D22189" w:rsidP="00BF2837">
      <w:pPr>
        <w:pStyle w:val="FootnoteText"/>
        <w:jc w:val="both"/>
        <w:rPr>
          <w:rFonts w:ascii="Times New Roman" w:hAnsi="Times New Roman"/>
        </w:rPr>
      </w:pPr>
      <w:r w:rsidRPr="004E371E">
        <w:rPr>
          <w:rStyle w:val="FootnoteReference"/>
          <w:rFonts w:ascii="Times New Roman" w:hAnsi="Times New Roman"/>
        </w:rPr>
        <w:footnoteRef/>
      </w:r>
      <w:r w:rsidRPr="004E371E">
        <w:rPr>
          <w:rFonts w:ascii="Times New Roman" w:hAnsi="Times New Roman"/>
        </w:rPr>
        <w:t xml:space="preserve"> </w:t>
      </w:r>
      <w:r w:rsidRPr="004E371E">
        <w:rPr>
          <w:rFonts w:ascii="Times New Roman" w:eastAsia="Calibri" w:hAnsi="Times New Roman"/>
          <w:iCs/>
          <w:noProof/>
          <w:color w:val="000000"/>
        </w:rPr>
        <w:t>Органът е получил множество запитвания от бизнеса и юри</w:t>
      </w:r>
      <w:r>
        <w:rPr>
          <w:rFonts w:ascii="Times New Roman" w:eastAsia="Calibri" w:hAnsi="Times New Roman"/>
          <w:iCs/>
          <w:noProof/>
          <w:color w:val="000000"/>
        </w:rPr>
        <w:t>сти</w:t>
      </w:r>
      <w:r w:rsidRPr="004E371E">
        <w:rPr>
          <w:rFonts w:ascii="Times New Roman" w:eastAsia="Calibri" w:hAnsi="Times New Roman"/>
          <w:iCs/>
          <w:noProof/>
          <w:color w:val="000000"/>
        </w:rPr>
        <w:t xml:space="preserve"> относно тълкуването и приложението на закона, като всяко запитване е било подложено на индивидуален анализ. </w:t>
      </w:r>
      <w:r>
        <w:rPr>
          <w:rFonts w:ascii="Times New Roman" w:eastAsia="Calibri" w:hAnsi="Times New Roman"/>
          <w:iCs/>
          <w:noProof/>
          <w:color w:val="000000"/>
        </w:rPr>
        <w:t>Съветът</w:t>
      </w:r>
      <w:r w:rsidRPr="004E371E">
        <w:rPr>
          <w:rFonts w:ascii="Times New Roman" w:eastAsia="Calibri" w:hAnsi="Times New Roman"/>
          <w:iCs/>
          <w:noProof/>
          <w:color w:val="000000"/>
        </w:rPr>
        <w:t xml:space="preserve"> е публикувал и ръководство с разяснения на сайта си. Паралелно, той провежда анализ на въздействието на закона върху доставчиците и купувачите, като специален акцент е поставен върху затрудненията на малките производители в отношенията им с търговците. В тази връзка са разпространени анкети с целенасочени въпроси, за да се съберат емпирични данни.</w:t>
      </w:r>
      <w:r w:rsidRPr="004E371E">
        <w:rPr>
          <w:rFonts w:ascii="Times New Roman" w:hAnsi="Times New Roman"/>
        </w:rPr>
        <w:t xml:space="preserve"> </w:t>
      </w:r>
      <w:r w:rsidRPr="004E371E">
        <w:rPr>
          <w:rFonts w:ascii="Times New Roman" w:eastAsia="Calibri" w:hAnsi="Times New Roman"/>
          <w:iCs/>
          <w:noProof/>
          <w:color w:val="000000"/>
        </w:rPr>
        <w:t>Освен това органът е започнал задълбочено разследване на евентуално нарушение на закона от страна на търговска верига, в контекста на пазара на хранителна търговия. Разследването се води чрез процедура по медиация.</w:t>
      </w:r>
    </w:p>
  </w:footnote>
  <w:footnote w:id="37">
    <w:p w14:paraId="2D090215" w14:textId="5838E0A9" w:rsidR="00D22189" w:rsidRPr="00C77099" w:rsidRDefault="00D22189" w:rsidP="00EB4069">
      <w:pPr>
        <w:autoSpaceDE w:val="0"/>
        <w:autoSpaceDN w:val="0"/>
        <w:adjustRightInd w:val="0"/>
        <w:spacing w:after="0" w:line="240" w:lineRule="auto"/>
        <w:jc w:val="both"/>
        <w:rPr>
          <w:rFonts w:ascii="Times New Roman" w:hAnsi="Times New Roman" w:cs="Times New Roman"/>
          <w:sz w:val="20"/>
          <w:szCs w:val="20"/>
        </w:rPr>
      </w:pPr>
      <w:r w:rsidRPr="00C77099">
        <w:rPr>
          <w:rStyle w:val="FootnoteReference"/>
          <w:rFonts w:ascii="Times New Roman" w:hAnsi="Times New Roman" w:cs="Times New Roman"/>
          <w:sz w:val="20"/>
          <w:szCs w:val="20"/>
        </w:rPr>
        <w:footnoteRef/>
      </w:r>
      <w:r w:rsidRPr="00C77099">
        <w:rPr>
          <w:rFonts w:ascii="Times New Roman" w:hAnsi="Times New Roman" w:cs="Times New Roman"/>
          <w:sz w:val="20"/>
          <w:szCs w:val="20"/>
        </w:rPr>
        <w:t xml:space="preserve"> Букв. от англ. „</w:t>
      </w:r>
      <w:r w:rsidRPr="00C77099">
        <w:rPr>
          <w:rFonts w:ascii="Times New Roman" w:hAnsi="Times New Roman" w:cs="Times New Roman"/>
          <w:sz w:val="20"/>
          <w:szCs w:val="20"/>
          <w:lang w:val="en-GB"/>
        </w:rPr>
        <w:t>Lighter</w:t>
      </w:r>
      <w:r w:rsidRPr="00C13E53">
        <w:rPr>
          <w:rFonts w:ascii="Times New Roman" w:hAnsi="Times New Roman" w:cs="Times New Roman"/>
          <w:sz w:val="20"/>
          <w:szCs w:val="20"/>
          <w:lang w:val="en-US"/>
        </w:rPr>
        <w:t xml:space="preserve"> </w:t>
      </w:r>
      <w:r w:rsidRPr="00C77099">
        <w:rPr>
          <w:rFonts w:ascii="Times New Roman" w:hAnsi="Times New Roman" w:cs="Times New Roman"/>
          <w:sz w:val="20"/>
          <w:szCs w:val="20"/>
          <w:lang w:val="en-GB"/>
        </w:rPr>
        <w:t>touch</w:t>
      </w:r>
      <w:r w:rsidRPr="00C77099">
        <w:rPr>
          <w:rFonts w:ascii="Times New Roman" w:hAnsi="Times New Roman" w:cs="Times New Roman"/>
          <w:sz w:val="20"/>
          <w:szCs w:val="20"/>
        </w:rPr>
        <w:t xml:space="preserve">“. </w:t>
      </w:r>
    </w:p>
  </w:footnote>
  <w:footnote w:id="38">
    <w:p w14:paraId="14BE9FBD" w14:textId="7E9EE424" w:rsidR="00D22189" w:rsidRPr="00C77099" w:rsidRDefault="00D22189" w:rsidP="004C79C2">
      <w:pPr>
        <w:pStyle w:val="FootnoteText"/>
        <w:jc w:val="both"/>
        <w:rPr>
          <w:rFonts w:ascii="Times New Roman" w:hAnsi="Times New Roman"/>
        </w:rPr>
      </w:pPr>
      <w:r w:rsidRPr="00C77099">
        <w:rPr>
          <w:rStyle w:val="FootnoteReference"/>
          <w:rFonts w:ascii="Times New Roman" w:hAnsi="Times New Roman"/>
        </w:rPr>
        <w:footnoteRef/>
      </w:r>
      <w:r w:rsidRPr="00C77099">
        <w:rPr>
          <w:rFonts w:ascii="Times New Roman" w:hAnsi="Times New Roman"/>
        </w:rPr>
        <w:t xml:space="preserve"> От англ. </w:t>
      </w:r>
      <w:r w:rsidRPr="000F33C3">
        <w:rPr>
          <w:rFonts w:ascii="Times New Roman" w:hAnsi="Times New Roman"/>
          <w:lang w:val="en-US"/>
        </w:rPr>
        <w:t>Do nothing option</w:t>
      </w:r>
      <w:r w:rsidRPr="00C77099">
        <w:rPr>
          <w:rFonts w:ascii="Times New Roman" w:hAnsi="Times New Roman"/>
        </w:rPr>
        <w:t>.</w:t>
      </w:r>
    </w:p>
  </w:footnote>
  <w:footnote w:id="39">
    <w:p w14:paraId="5C76A413" w14:textId="6F90CF7F" w:rsidR="00D22189" w:rsidRPr="009A3EA8" w:rsidRDefault="00D22189">
      <w:pPr>
        <w:pStyle w:val="FootnoteText"/>
        <w:rPr>
          <w:rFonts w:ascii="Times New Roman" w:hAnsi="Times New Roman"/>
        </w:rPr>
      </w:pPr>
      <w:r w:rsidRPr="009A3EA8">
        <w:rPr>
          <w:rStyle w:val="FootnoteReference"/>
          <w:rFonts w:ascii="Times New Roman" w:hAnsi="Times New Roman"/>
        </w:rPr>
        <w:footnoteRef/>
      </w:r>
      <w:r w:rsidRPr="009A3EA8">
        <w:rPr>
          <w:rFonts w:ascii="Times New Roman" w:hAnsi="Times New Roman"/>
        </w:rPr>
        <w:t xml:space="preserve"> </w:t>
      </w:r>
      <w:r>
        <w:rPr>
          <w:rFonts w:ascii="Times New Roman" w:hAnsi="Times New Roman"/>
        </w:rPr>
        <w:t xml:space="preserve">От англ. </w:t>
      </w:r>
      <w:r>
        <w:rPr>
          <w:rFonts w:ascii="Times New Roman" w:hAnsi="Times New Roman"/>
          <w:lang w:val="en-US"/>
        </w:rPr>
        <w:t>soft</w:t>
      </w:r>
      <w:r w:rsidRPr="00C54033">
        <w:rPr>
          <w:rFonts w:ascii="Times New Roman" w:hAnsi="Times New Roman"/>
          <w:lang w:val="ru-RU"/>
        </w:rPr>
        <w:t xml:space="preserve"> </w:t>
      </w:r>
      <w:r>
        <w:rPr>
          <w:rFonts w:ascii="Times New Roman" w:hAnsi="Times New Roman"/>
          <w:lang w:val="en-US"/>
        </w:rPr>
        <w:t>law</w:t>
      </w:r>
      <w:r w:rsidRPr="00C54033">
        <w:rPr>
          <w:rFonts w:ascii="Times New Roman" w:hAnsi="Times New Roman"/>
          <w:lang w:val="ru-RU"/>
        </w:rPr>
        <w:t>.</w:t>
      </w:r>
    </w:p>
  </w:footnote>
  <w:footnote w:id="40">
    <w:p w14:paraId="383D1197" w14:textId="4A6A3EC4" w:rsidR="00D22189" w:rsidRPr="00C54033" w:rsidRDefault="00D22189">
      <w:pPr>
        <w:pStyle w:val="FootnoteText"/>
        <w:rPr>
          <w:rFonts w:ascii="Times New Roman" w:hAnsi="Times New Roman"/>
        </w:rPr>
      </w:pPr>
      <w:r w:rsidRPr="00C54033">
        <w:rPr>
          <w:rStyle w:val="FootnoteReference"/>
          <w:rFonts w:ascii="Times New Roman" w:hAnsi="Times New Roman"/>
        </w:rPr>
        <w:footnoteRef/>
      </w:r>
      <w:r w:rsidRPr="00C54033">
        <w:rPr>
          <w:rFonts w:ascii="Times New Roman" w:hAnsi="Times New Roman"/>
        </w:rPr>
        <w:t xml:space="preserve"> </w:t>
      </w:r>
      <w:r w:rsidRPr="00C54033">
        <w:rPr>
          <w:rFonts w:ascii="Times New Roman" w:hAnsi="Times New Roman"/>
          <w:lang w:val="ru-RU"/>
        </w:rPr>
        <w:t xml:space="preserve">ОВ </w:t>
      </w:r>
      <w:r w:rsidRPr="00C54033">
        <w:rPr>
          <w:rFonts w:ascii="Times New Roman" w:hAnsi="Times New Roman"/>
          <w:lang w:val="en-US"/>
        </w:rPr>
        <w:t>C</w:t>
      </w:r>
      <w:r w:rsidRPr="00C54033">
        <w:rPr>
          <w:rFonts w:ascii="Times New Roman" w:hAnsi="Times New Roman"/>
          <w:lang w:val="ru-RU"/>
        </w:rPr>
        <w:t xml:space="preserve"> 86, 6.3.2018 г., стр. 40.</w:t>
      </w:r>
    </w:p>
  </w:footnote>
  <w:footnote w:id="41">
    <w:p w14:paraId="4F95B9A3" w14:textId="77777777" w:rsidR="00D22189" w:rsidRPr="000D3407" w:rsidRDefault="00D22189" w:rsidP="0000070B">
      <w:pPr>
        <w:pStyle w:val="FootnoteText"/>
        <w:rPr>
          <w:rFonts w:ascii="Times New Roman" w:hAnsi="Times New Roman"/>
        </w:rPr>
      </w:pPr>
      <w:r w:rsidRPr="000D3407">
        <w:rPr>
          <w:rStyle w:val="FootnoteReference"/>
          <w:rFonts w:ascii="Times New Roman" w:hAnsi="Times New Roman"/>
        </w:rPr>
        <w:footnoteRef/>
      </w:r>
      <w:r w:rsidRPr="000D3407">
        <w:rPr>
          <w:rFonts w:ascii="Times New Roman" w:hAnsi="Times New Roman"/>
        </w:rPr>
        <w:t xml:space="preserve"> Одобрени от Съвета за административната реформа на 03 септември 2020 г.</w:t>
      </w:r>
    </w:p>
  </w:footnote>
  <w:footnote w:id="42">
    <w:p w14:paraId="5CB043CC" w14:textId="77777777" w:rsidR="00D22189" w:rsidRDefault="00D22189" w:rsidP="00D9463F">
      <w:pPr>
        <w:pStyle w:val="FootnoteText"/>
        <w:jc w:val="both"/>
      </w:pPr>
      <w:r w:rsidRPr="00536C32">
        <w:rPr>
          <w:rStyle w:val="FootnoteReference"/>
          <w:rFonts w:ascii="Times New Roman" w:hAnsi="Times New Roman"/>
        </w:rPr>
        <w:footnoteRef/>
      </w:r>
      <w:r w:rsidRPr="00536C32">
        <w:rPr>
          <w:rFonts w:ascii="Times New Roman" w:hAnsi="Times New Roman"/>
        </w:rPr>
        <w:t xml:space="preserve"> Скала за оценяване: </w:t>
      </w:r>
      <w:r>
        <w:rPr>
          <w:rFonts w:ascii="Times New Roman" w:hAnsi="Times New Roman"/>
        </w:rPr>
        <w:t>отрицателна оценка</w:t>
      </w:r>
      <w:r w:rsidRPr="00536C32">
        <w:rPr>
          <w:rFonts w:ascii="Times New Roman" w:hAnsi="Times New Roman"/>
        </w:rPr>
        <w:t xml:space="preserve">: –3, –2, –1; </w:t>
      </w:r>
      <w:r>
        <w:rPr>
          <w:rFonts w:ascii="Times New Roman" w:hAnsi="Times New Roman"/>
        </w:rPr>
        <w:t>неутрална</w:t>
      </w:r>
      <w:r w:rsidRPr="00536C32">
        <w:rPr>
          <w:rFonts w:ascii="Times New Roman" w:hAnsi="Times New Roman"/>
        </w:rPr>
        <w:t>: 0; положителн</w:t>
      </w:r>
      <w:r>
        <w:rPr>
          <w:rFonts w:ascii="Times New Roman" w:hAnsi="Times New Roman"/>
        </w:rPr>
        <w:t>а оценка</w:t>
      </w:r>
      <w:r w:rsidRPr="00536C32">
        <w:rPr>
          <w:rFonts w:ascii="Times New Roman" w:hAnsi="Times New Roman"/>
        </w:rPr>
        <w:t xml:space="preserve"> +1, +2, +3</w:t>
      </w:r>
      <w:r w:rsidRPr="00536C32">
        <w:t>.</w:t>
      </w:r>
    </w:p>
  </w:footnote>
  <w:footnote w:id="43">
    <w:p w14:paraId="206E5B17" w14:textId="77777777" w:rsidR="00D22189" w:rsidRPr="00273BF2" w:rsidRDefault="00D22189" w:rsidP="00E16161">
      <w:pPr>
        <w:pStyle w:val="FootnoteText"/>
        <w:rPr>
          <w:rFonts w:ascii="Times New Roman" w:hAnsi="Times New Roman"/>
          <w:lang w:val="ru-RU"/>
        </w:rPr>
      </w:pPr>
      <w:r w:rsidRPr="00273BF2">
        <w:rPr>
          <w:rStyle w:val="FootnoteReference"/>
          <w:rFonts w:ascii="Times New Roman" w:hAnsi="Times New Roman"/>
        </w:rPr>
        <w:footnoteRef/>
      </w:r>
      <w:r w:rsidRPr="00273BF2">
        <w:rPr>
          <w:rFonts w:ascii="Times New Roman" w:hAnsi="Times New Roman"/>
        </w:rPr>
        <w:t xml:space="preserve"> От англ. </w:t>
      </w:r>
      <w:r>
        <w:rPr>
          <w:rFonts w:ascii="Times New Roman" w:hAnsi="Times New Roman"/>
          <w:lang w:val="en-US"/>
        </w:rPr>
        <w:t>L</w:t>
      </w:r>
      <w:r w:rsidRPr="00273BF2">
        <w:rPr>
          <w:rFonts w:ascii="Times New Roman" w:hAnsi="Times New Roman"/>
          <w:lang w:val="en-US"/>
        </w:rPr>
        <w:t>ikelihood</w:t>
      </w:r>
      <w:r w:rsidRPr="00AD265D">
        <w:rPr>
          <w:rFonts w:ascii="Times New Roman" w:hAnsi="Times New Roman"/>
          <w:lang w:val="ru-RU"/>
        </w:rPr>
        <w:t>.</w:t>
      </w:r>
      <w:r w:rsidRPr="00273BF2">
        <w:rPr>
          <w:rFonts w:ascii="Times New Roman" w:hAnsi="Times New Roman"/>
          <w:lang w:val="ru-RU"/>
        </w:rPr>
        <w:t xml:space="preserve"> </w:t>
      </w:r>
    </w:p>
  </w:footnote>
  <w:footnote w:id="44">
    <w:p w14:paraId="44A93AC0" w14:textId="77777777" w:rsidR="00D22189" w:rsidRPr="00273BF2" w:rsidRDefault="00D22189" w:rsidP="00E16161">
      <w:pPr>
        <w:pStyle w:val="FootnoteText"/>
        <w:rPr>
          <w:rFonts w:ascii="Times New Roman" w:hAnsi="Times New Roman"/>
        </w:rPr>
      </w:pPr>
      <w:r w:rsidRPr="00273BF2">
        <w:rPr>
          <w:rStyle w:val="FootnoteReference"/>
          <w:rFonts w:ascii="Times New Roman" w:hAnsi="Times New Roman"/>
        </w:rPr>
        <w:footnoteRef/>
      </w:r>
      <w:r w:rsidRPr="00273BF2">
        <w:rPr>
          <w:rFonts w:ascii="Times New Roman" w:hAnsi="Times New Roman"/>
        </w:rPr>
        <w:t xml:space="preserve"> </w:t>
      </w:r>
      <w:r>
        <w:rPr>
          <w:rFonts w:ascii="Times New Roman" w:hAnsi="Times New Roman"/>
        </w:rPr>
        <w:t xml:space="preserve">От англ. </w:t>
      </w:r>
      <w:r>
        <w:rPr>
          <w:rFonts w:ascii="Times New Roman" w:hAnsi="Times New Roman"/>
          <w:lang w:val="en-US"/>
        </w:rPr>
        <w:t>Impact.</w:t>
      </w:r>
      <w:r>
        <w:rPr>
          <w:rFonts w:ascii="Times New Roman" w:hAnsi="Times New Roman"/>
        </w:rPr>
        <w:t xml:space="preserve"> </w:t>
      </w:r>
    </w:p>
  </w:footnote>
  <w:footnote w:id="45">
    <w:p w14:paraId="2B3FB6D6" w14:textId="5291AEC9" w:rsidR="00D22189" w:rsidRPr="00D82061" w:rsidRDefault="00D22189" w:rsidP="00E16161">
      <w:pPr>
        <w:pStyle w:val="FootnoteText"/>
        <w:rPr>
          <w:rFonts w:ascii="Times New Roman" w:hAnsi="Times New Roman"/>
        </w:rPr>
      </w:pPr>
      <w:r w:rsidRPr="00D82061">
        <w:rPr>
          <w:rStyle w:val="FootnoteReference"/>
          <w:rFonts w:ascii="Times New Roman" w:hAnsi="Times New Roman"/>
        </w:rPr>
        <w:footnoteRef/>
      </w:r>
      <w:r w:rsidRPr="00D82061">
        <w:rPr>
          <w:rFonts w:ascii="Times New Roman" w:hAnsi="Times New Roman"/>
        </w:rPr>
        <w:t xml:space="preserve"> </w:t>
      </w:r>
      <w:hyperlink r:id="rId8" w:anchor=":~:text=,total%20grocery%20retail%20channel%20sales" w:history="1">
        <w:r w:rsidRPr="00D82061">
          <w:rPr>
            <w:rFonts w:ascii="Times New Roman" w:eastAsia="Times New Roman" w:hAnsi="Times New Roman"/>
            <w:color w:val="0000FF"/>
            <w:u w:val="single"/>
          </w:rPr>
          <w:t xml:space="preserve"> Retail </w:t>
        </w:r>
      </w:hyperlink>
      <w:hyperlink r:id="rId9" w:anchor=":~:text=,total%20grocery%20retail%20channel%20sales" w:history="1"/>
      <w:r w:rsidRPr="00D82061">
        <w:rPr>
          <w:rFonts w:ascii="Times New Roman" w:eastAsia="Times New Roman" w:hAnsi="Times New Roman"/>
          <w:color w:val="0000FF"/>
          <w:u w:val="single"/>
        </w:rPr>
        <w:t>Foods Bulgaria</w:t>
      </w:r>
      <w:r w:rsidRPr="00D82061">
        <w:rPr>
          <w:rFonts w:ascii="Times New Roman" w:hAnsi="Times New Roman"/>
        </w:rPr>
        <w:t xml:space="preserve"> (</w:t>
      </w:r>
      <w:hyperlink r:id="rId10" w:anchor=":~:text=,total%20grocery%20retail%20channel%20sales" w:history="1">
        <w:r w:rsidRPr="00D82061">
          <w:rPr>
            <w:rStyle w:val="Hyperlink"/>
            <w:rFonts w:ascii="Times New Roman" w:hAnsi="Times New Roman"/>
          </w:rPr>
          <w:t>https://apps.fas.usda.gov/newgainapi/api/Report/DownloadReportByFileName?fileName=Retail%20Foods%20Bulgaria_Sofia_Bulgaria_BU2023-0023</w:t>
        </w:r>
      </w:hyperlink>
      <w:r w:rsidRPr="00D82061">
        <w:rPr>
          <w:rFonts w:ascii="Times New Roman" w:hAnsi="Times New Roman"/>
        </w:rPr>
        <w:t>)</w:t>
      </w:r>
      <w:r>
        <w:rPr>
          <w:rFonts w:ascii="Times New Roman" w:hAnsi="Times New Roman"/>
        </w:rPr>
        <w:t>.</w:t>
      </w:r>
    </w:p>
  </w:footnote>
  <w:footnote w:id="46">
    <w:p w14:paraId="4655F679" w14:textId="77777777" w:rsidR="00D22189" w:rsidRPr="003A0EE9" w:rsidRDefault="00D22189" w:rsidP="00E16161">
      <w:pPr>
        <w:pStyle w:val="FootnoteText"/>
        <w:jc w:val="both"/>
        <w:rPr>
          <w:rFonts w:ascii="Times New Roman" w:hAnsi="Times New Roman"/>
        </w:rPr>
      </w:pPr>
      <w:r w:rsidRPr="003A0EE9">
        <w:rPr>
          <w:rStyle w:val="FootnoteReference"/>
          <w:rFonts w:ascii="Times New Roman" w:hAnsi="Times New Roman"/>
        </w:rPr>
        <w:footnoteRef/>
      </w:r>
      <w:r w:rsidRPr="003A0EE9">
        <w:rPr>
          <w:rFonts w:ascii="Times New Roman" w:hAnsi="Times New Roman"/>
        </w:rPr>
        <w:t xml:space="preserve"> </w:t>
      </w:r>
      <w:hyperlink r:id="rId11" w:history="1">
        <w:r w:rsidRPr="003A0EE9">
          <w:rPr>
            <w:rStyle w:val="Hyperlink"/>
            <w:rFonts w:ascii="Times New Roman" w:hAnsi="Times New Roman"/>
          </w:rPr>
          <w:t>Инфлация и индекси на потребителските цени за декември 2023 година | Национален статистически институт</w:t>
        </w:r>
      </w:hyperlink>
      <w:r>
        <w:rPr>
          <w:rStyle w:val="Hyperlink"/>
          <w:rFonts w:ascii="Times New Roman" w:hAnsi="Times New Roman"/>
        </w:rPr>
        <w:t>.</w:t>
      </w:r>
    </w:p>
  </w:footnote>
  <w:footnote w:id="47">
    <w:p w14:paraId="0B337AA1" w14:textId="01BC182F" w:rsidR="00D22189" w:rsidRPr="000B147C" w:rsidRDefault="00D22189" w:rsidP="00E16161">
      <w:pPr>
        <w:pStyle w:val="FootnoteText"/>
        <w:jc w:val="both"/>
        <w:rPr>
          <w:rFonts w:ascii="Times New Roman" w:hAnsi="Times New Roman"/>
        </w:rPr>
      </w:pPr>
      <w:r w:rsidRPr="000B147C">
        <w:rPr>
          <w:rStyle w:val="FootnoteReference"/>
          <w:rFonts w:ascii="Times New Roman" w:hAnsi="Times New Roman"/>
        </w:rPr>
        <w:footnoteRef/>
      </w:r>
      <w:hyperlink r:id="rId12" w:anchor=":~:text=Employment%20by%20economic%20sector%20in,percent%20in%20the%20service%20sector" w:history="1">
        <w:r w:rsidRPr="000B147C">
          <w:rPr>
            <w:rStyle w:val="Hyperlink"/>
            <w:rFonts w:ascii="Times New Roman" w:hAnsi="Times New Roman"/>
          </w:rPr>
          <w:t>https://www.statista.com/statistics/373656/employment-by-economic-sector-in-bulgaria/#:~:text=Employment%20by%20economic%20sector%20in,percent%20in%20the%20service%20sector</w:t>
        </w:r>
      </w:hyperlink>
      <w:r w:rsidRPr="000B147C">
        <w:rPr>
          <w:rFonts w:ascii="Times New Roman" w:hAnsi="Times New Roman"/>
        </w:rPr>
        <w:t xml:space="preserve"> </w:t>
      </w:r>
    </w:p>
  </w:footnote>
  <w:footnote w:id="48">
    <w:p w14:paraId="50F43A1E" w14:textId="27F862FF" w:rsidR="00D22189" w:rsidRPr="000B147C" w:rsidRDefault="00D22189" w:rsidP="00E16161">
      <w:pPr>
        <w:pStyle w:val="FootnoteText"/>
        <w:jc w:val="both"/>
        <w:rPr>
          <w:rFonts w:ascii="Times New Roman" w:hAnsi="Times New Roman"/>
        </w:rPr>
      </w:pPr>
      <w:r w:rsidRPr="000B147C">
        <w:rPr>
          <w:rStyle w:val="FootnoteReference"/>
          <w:rFonts w:ascii="Times New Roman" w:hAnsi="Times New Roman"/>
        </w:rPr>
        <w:footnoteRef/>
      </w:r>
      <w:hyperlink r:id="rId13" w:anchor=":~:text=Primary%20Industries%20Employment%2C%202022%20Q2%2C,Agriculture%20Employment%2C%202017%2C%20202%2C991" w:history="1">
        <w:r w:rsidRPr="000B147C">
          <w:rPr>
            <w:rStyle w:val="Hyperlink"/>
            <w:rFonts w:ascii="Times New Roman" w:hAnsi="Times New Roman"/>
          </w:rPr>
          <w:t>https://www.economy.com/bulgaria/agriculture-employment#:~:text=Primary%20Industries%20Employment%2C%202022%20Q2%2C,Agriculture%20Employment%2C%202017%2C%20202%2C991</w:t>
        </w:r>
      </w:hyperlink>
      <w:r w:rsidRPr="000B147C">
        <w:rPr>
          <w:rFonts w:ascii="Times New Roman" w:hAnsi="Times New Roman"/>
        </w:rPr>
        <w:t xml:space="preserve"> </w:t>
      </w:r>
    </w:p>
  </w:footnote>
  <w:footnote w:id="49">
    <w:p w14:paraId="4466839D" w14:textId="78FBD376" w:rsidR="00D22189" w:rsidRPr="000B147C" w:rsidRDefault="00D22189" w:rsidP="00E16161">
      <w:pPr>
        <w:pStyle w:val="FootnoteText"/>
        <w:jc w:val="both"/>
        <w:rPr>
          <w:rFonts w:ascii="Times New Roman" w:hAnsi="Times New Roman"/>
        </w:rPr>
      </w:pPr>
      <w:r w:rsidRPr="000B147C">
        <w:rPr>
          <w:rStyle w:val="FootnoteReference"/>
          <w:rFonts w:ascii="Times New Roman" w:hAnsi="Times New Roman"/>
        </w:rPr>
        <w:footnoteRef/>
      </w:r>
      <w:r w:rsidRPr="000B147C">
        <w:rPr>
          <w:rFonts w:ascii="Times New Roman" w:hAnsi="Times New Roman"/>
        </w:rPr>
        <w:t xml:space="preserve"> Вж.</w:t>
      </w:r>
      <w:r>
        <w:rPr>
          <w:rFonts w:ascii="Times New Roman" w:hAnsi="Times New Roman"/>
        </w:rPr>
        <w:t xml:space="preserve"> 5.5.</w:t>
      </w:r>
      <w:r w:rsidRPr="000B147C">
        <w:rPr>
          <w:rFonts w:ascii="Times New Roman" w:hAnsi="Times New Roman"/>
        </w:rPr>
        <w:t xml:space="preserve"> </w:t>
      </w:r>
      <w:r>
        <w:rPr>
          <w:rFonts w:ascii="Times New Roman" w:hAnsi="Times New Roman"/>
        </w:rPr>
        <w:t>Оценка на въздействието върху малките и средните предприятия (МСП - тест).</w:t>
      </w:r>
    </w:p>
  </w:footnote>
  <w:footnote w:id="50">
    <w:p w14:paraId="4C4FFC9C" w14:textId="77777777" w:rsidR="00D22189" w:rsidRPr="000B147C" w:rsidRDefault="00D22189" w:rsidP="00E16161">
      <w:pPr>
        <w:pStyle w:val="FootnoteText"/>
        <w:jc w:val="both"/>
        <w:rPr>
          <w:rFonts w:ascii="Times New Roman" w:hAnsi="Times New Roman"/>
        </w:rPr>
      </w:pPr>
      <w:r w:rsidRPr="000B147C">
        <w:rPr>
          <w:rStyle w:val="FootnoteReference"/>
          <w:rFonts w:ascii="Times New Roman" w:hAnsi="Times New Roman"/>
        </w:rPr>
        <w:footnoteRef/>
      </w:r>
      <w:r w:rsidRPr="000B147C">
        <w:rPr>
          <w:rFonts w:ascii="Times New Roman" w:hAnsi="Times New Roman"/>
        </w:rPr>
        <w:t xml:space="preserve"> Забележка: При този критерий по-високата оценка означава по-малка тежест, тъй като ниската тежест е положително качество. Обратно, отрицателна оценка се дава на опции, които създават значителни нови разходи и усложнения.</w:t>
      </w:r>
    </w:p>
  </w:footnote>
  <w:footnote w:id="51">
    <w:p w14:paraId="5C1A4819" w14:textId="7586087B" w:rsidR="00D22189" w:rsidRPr="007E5563" w:rsidRDefault="00D22189" w:rsidP="00CB0A97">
      <w:pPr>
        <w:pStyle w:val="FootnoteText"/>
        <w:rPr>
          <w:rFonts w:ascii="Times New Roman" w:hAnsi="Times New Roman"/>
        </w:rPr>
      </w:pPr>
      <w:r w:rsidRPr="007E5563">
        <w:rPr>
          <w:rStyle w:val="FootnoteReference"/>
          <w:rFonts w:ascii="Times New Roman" w:hAnsi="Times New Roman"/>
        </w:rPr>
        <w:footnoteRef/>
      </w:r>
      <w:r w:rsidRPr="00E129ED">
        <w:rPr>
          <w:rFonts w:ascii="Times New Roman" w:hAnsi="Times New Roman"/>
          <w:lang w:val="ru-RU"/>
        </w:rPr>
        <w:t xml:space="preserve"> </w:t>
      </w:r>
      <w:hyperlink r:id="rId14" w:anchor=":~:text=%D0%B4%D0%BE%209%2010%C2%A0,854%20602%20157%2060%2035" w:history="1">
        <w:r w:rsidRPr="00E129ED">
          <w:rPr>
            <w:rStyle w:val="Hyperlink"/>
            <w:rFonts w:ascii="Times New Roman" w:hAnsi="Times New Roman"/>
            <w:lang w:val="ru-RU"/>
          </w:rPr>
          <w:t>Брой на предприятията | Национален статистически институт</w:t>
        </w:r>
      </w:hyperlink>
      <w:r>
        <w:rPr>
          <w:rStyle w:val="Hyperlink"/>
          <w:rFonts w:ascii="Times New Roman" w:hAnsi="Times New Roman"/>
          <w:lang w:val="ru-RU"/>
        </w:rPr>
        <w:t>.</w:t>
      </w:r>
    </w:p>
  </w:footnote>
  <w:footnote w:id="52">
    <w:p w14:paraId="774CD380" w14:textId="52CA0BEF" w:rsidR="00D22189" w:rsidRPr="007E5563" w:rsidRDefault="00D22189" w:rsidP="00CB0A97">
      <w:pPr>
        <w:pStyle w:val="FootnoteText"/>
        <w:rPr>
          <w:rFonts w:ascii="Times New Roman" w:hAnsi="Times New Roman"/>
        </w:rPr>
      </w:pPr>
      <w:r w:rsidRPr="007E5563">
        <w:rPr>
          <w:rStyle w:val="FootnoteReference"/>
          <w:rFonts w:ascii="Times New Roman" w:hAnsi="Times New Roman"/>
        </w:rPr>
        <w:footnoteRef/>
      </w:r>
      <w:r w:rsidRPr="007E5563">
        <w:rPr>
          <w:rFonts w:ascii="Times New Roman" w:hAnsi="Times New Roman"/>
        </w:rPr>
        <w:t xml:space="preserve"> </w:t>
      </w:r>
      <w:hyperlink r:id="rId15" w:anchor=":~:text=%D0%A1%D0%B5%D0%BB%D1%81%D0%BA%D0%BE%2C%20%D0%B3%D0%BE%D1%80%D1%81%D0%BA%D0%BE%20%D0%B8%20%D1%80%D0%B8%D0%B1%D0%BD%D0%BE%20%D1%81%D1%82%D0%BE%D0%BF%D0%B0%D0%BD%D1%81%D1%82%D0%B2%D0%BE,138%C2%A0086%20130%C2%A0897%206%C2%A0310%20793%2086" w:history="1">
        <w:r w:rsidRPr="007E5563">
          <w:rPr>
            <w:rStyle w:val="Hyperlink"/>
            <w:rFonts w:ascii="Times New Roman" w:hAnsi="Times New Roman"/>
          </w:rPr>
          <w:t>Брой на предприятията | Национален статистически институт</w:t>
        </w:r>
      </w:hyperlink>
      <w:r>
        <w:rPr>
          <w:rStyle w:val="Hyperlink"/>
          <w:rFonts w:ascii="Times New Roman" w:hAnsi="Times New Roman"/>
        </w:rPr>
        <w:t>.</w:t>
      </w:r>
    </w:p>
  </w:footnote>
  <w:footnote w:id="53">
    <w:p w14:paraId="595ACF55" w14:textId="77777777" w:rsidR="00D22189" w:rsidRPr="007E5563" w:rsidRDefault="00D22189" w:rsidP="00CB0A97">
      <w:pPr>
        <w:pStyle w:val="FootnoteText"/>
        <w:rPr>
          <w:rFonts w:ascii="Times New Roman" w:hAnsi="Times New Roman"/>
        </w:rPr>
      </w:pPr>
      <w:r w:rsidRPr="007E5563">
        <w:rPr>
          <w:rStyle w:val="FootnoteReference"/>
          <w:rFonts w:ascii="Times New Roman" w:hAnsi="Times New Roman"/>
        </w:rPr>
        <w:footnoteRef/>
      </w:r>
      <w:r w:rsidRPr="007E5563">
        <w:rPr>
          <w:rFonts w:ascii="Times New Roman" w:hAnsi="Times New Roman"/>
        </w:rPr>
        <w:t xml:space="preserve"> Пак там.</w:t>
      </w:r>
    </w:p>
  </w:footnote>
  <w:footnote w:id="54">
    <w:p w14:paraId="0BD0D735" w14:textId="2C38B4FB" w:rsidR="00D22189" w:rsidRPr="007E5563" w:rsidRDefault="00D22189" w:rsidP="00CB0A97">
      <w:pPr>
        <w:pStyle w:val="FootnoteText"/>
        <w:rPr>
          <w:rFonts w:ascii="Times New Roman" w:hAnsi="Times New Roman"/>
        </w:rPr>
      </w:pPr>
      <w:r w:rsidRPr="007E5563">
        <w:rPr>
          <w:rStyle w:val="FootnoteReference"/>
          <w:rFonts w:ascii="Times New Roman" w:hAnsi="Times New Roman"/>
        </w:rPr>
        <w:footnoteRef/>
      </w:r>
      <w:r w:rsidRPr="007E5563">
        <w:rPr>
          <w:rFonts w:ascii="Times New Roman" w:hAnsi="Times New Roman"/>
        </w:rPr>
        <w:t xml:space="preserve"> </w:t>
      </w:r>
      <w:hyperlink r:id="rId16" w:anchor=":~:text=%D0%97%D0%B0%20%D1%85%D1%80%D0%B0%D0%BD%D0%B8%2C%20%D0%BD%D0%B0%D0%BF%D0%B8%D1%82%D0%BA%D0%B8%20%D0%B8%20%D1%82%D1%8E%D1%82%D1%8E%D0%BD%D0%B5%D0%B2%D0%B8,24%C2%A0660%20%D0%97%D0%B0%20%D0%BD%D0%B5%D1%85%D1%80%D0%B0%D0%BD%D0%B8%D1%82%D0%B5%D0%BB%D0%" w:history="1">
        <w:r w:rsidRPr="007E5563">
          <w:rPr>
            <w:rStyle w:val="Hyperlink"/>
            <w:rFonts w:ascii="Times New Roman" w:hAnsi="Times New Roman"/>
          </w:rPr>
          <w:t>Търговски обекти за продажби на дребно - общо за страната и по статистически райони | Национален статистически институт</w:t>
        </w:r>
      </w:hyperlink>
      <w:r>
        <w:rPr>
          <w:rStyle w:val="Hyperlink"/>
          <w:rFonts w:ascii="Times New Roman" w:hAnsi="Times New Roman"/>
        </w:rPr>
        <w:t>.</w:t>
      </w:r>
    </w:p>
  </w:footnote>
  <w:footnote w:id="55">
    <w:p w14:paraId="65DCD23C" w14:textId="77777777" w:rsidR="00D22189" w:rsidRPr="007E5563" w:rsidRDefault="00D22189" w:rsidP="00CB0A97">
      <w:pPr>
        <w:pStyle w:val="FootnoteText"/>
        <w:rPr>
          <w:rFonts w:ascii="Times New Roman" w:hAnsi="Times New Roman"/>
        </w:rPr>
      </w:pPr>
      <w:r w:rsidRPr="007E5563">
        <w:rPr>
          <w:rStyle w:val="FootnoteReference"/>
          <w:rFonts w:ascii="Times New Roman" w:hAnsi="Times New Roman"/>
        </w:rPr>
        <w:footnoteRef/>
      </w:r>
      <w:r w:rsidRPr="007E5563">
        <w:rPr>
          <w:rFonts w:ascii="Times New Roman" w:hAnsi="Times New Roman"/>
        </w:rPr>
        <w:t xml:space="preserve"> </w:t>
      </w:r>
      <w:hyperlink r:id="rId17" w:anchor=":~:text=%D0%B4%D0%BE%209%2010%C2%A0,854%20602%20157%2060%2035" w:history="1">
        <w:r w:rsidRPr="007E5563">
          <w:rPr>
            <w:rFonts w:ascii="Times New Roman" w:eastAsia="Times New Roman" w:hAnsi="Times New Roman"/>
            <w:color w:val="0000FF"/>
            <w:u w:val="single"/>
          </w:rPr>
          <w:t xml:space="preserve"> Брой на предприятията | Национален статистически институт</w:t>
        </w:r>
      </w:hyperlink>
    </w:p>
  </w:footnote>
  <w:footnote w:id="56">
    <w:p w14:paraId="75A2C479" w14:textId="77777777" w:rsidR="00D22189" w:rsidRPr="00EE5459" w:rsidRDefault="00D22189" w:rsidP="00CB0A97">
      <w:pPr>
        <w:pStyle w:val="fn1"/>
        <w:jc w:val="both"/>
        <w:rPr>
          <w:rFonts w:ascii="Times New Roman" w:hAnsi="Times New Roman"/>
        </w:rPr>
      </w:pPr>
      <w:r w:rsidRPr="007E5563">
        <w:rPr>
          <w:rStyle w:val="FootnoteReference"/>
          <w:rFonts w:ascii="Times New Roman" w:hAnsi="Times New Roman"/>
        </w:rPr>
        <w:footnoteRef/>
      </w:r>
      <w:r w:rsidRPr="007E5563">
        <w:rPr>
          <w:rFonts w:ascii="Times New Roman" w:hAnsi="Times New Roman"/>
        </w:rPr>
        <w:t xml:space="preserve"> </w:t>
      </w:r>
      <w:hyperlink r:id="rId18" w:anchor=":~:text=%D0%97%D0%B0%20%D1%85%D1%80%D0%B0%D0%BD%D0%B8%2C%20%D0%BD%D0%B0%D0%BF%D0%B8%D1%82%D0%BA%D0%B8%20%D0%B8%20%D1%82%D1%8E%D1%82%D1%8E%D0%BD%D0%B5%D0%B2%D0%B8,24%C2%A0660%20%D0%97%D0%B0%20%D0%BD%D0%B5%D1%85%D1%80%D0%B0%D0%BD%D0%B8%D1%82%D0%B5%D0%BB%D0%" w:history="1">
        <w:r w:rsidRPr="007E5563">
          <w:rPr>
            <w:rFonts w:ascii="Times New Roman" w:eastAsia="Times New Roman" w:hAnsi="Times New Roman"/>
            <w:color w:val="0000FF"/>
            <w:u w:val="single"/>
          </w:rPr>
          <w:t xml:space="preserve"> Търговски обекти за продажби на дребно - общо за страната и по статистически райони | Национален статистически институт</w:t>
        </w:r>
      </w:hyperlink>
    </w:p>
  </w:footnote>
  <w:footnote w:id="57">
    <w:p w14:paraId="005846A7" w14:textId="189559FD" w:rsidR="00D22189" w:rsidRPr="00EC26B5" w:rsidRDefault="00D22189" w:rsidP="00CB0A97">
      <w:pPr>
        <w:pStyle w:val="FootnoteText"/>
        <w:jc w:val="both"/>
        <w:rPr>
          <w:rFonts w:ascii="Times New Roman" w:hAnsi="Times New Roman"/>
        </w:rPr>
      </w:pPr>
      <w:r w:rsidRPr="00EC26B5">
        <w:rPr>
          <w:rStyle w:val="FootnoteReference"/>
          <w:rFonts w:ascii="Times New Roman" w:hAnsi="Times New Roman"/>
        </w:rPr>
        <w:footnoteRef/>
      </w:r>
      <w:r w:rsidRPr="00EC26B5">
        <w:rPr>
          <w:rFonts w:ascii="Times New Roman" w:hAnsi="Times New Roman"/>
        </w:rPr>
        <w:t xml:space="preserve"> Тази стойност представлява приблизителната годишна загуба на доходи за земеделските производители и малките доставчици, причинявана от нелоялни търговски практики по веригата на доставки. Получена е на базата на анализ на текущото състояние на сектора и оценка на мащаба на неблагоприятните ефекти от </w:t>
      </w:r>
      <w:r w:rsidRPr="00C13AC0">
        <w:rPr>
          <w:rFonts w:ascii="Times New Roman" w:hAnsi="Times New Roman"/>
        </w:rPr>
        <w:t>нелоялни</w:t>
      </w:r>
      <w:r>
        <w:rPr>
          <w:rFonts w:ascii="Times New Roman" w:hAnsi="Times New Roman"/>
        </w:rPr>
        <w:t>те</w:t>
      </w:r>
      <w:r w:rsidRPr="00C13AC0">
        <w:rPr>
          <w:rFonts w:ascii="Times New Roman" w:hAnsi="Times New Roman"/>
        </w:rPr>
        <w:t xml:space="preserve"> търговски практики</w:t>
      </w:r>
      <w:r w:rsidRPr="00EC26B5">
        <w:rPr>
          <w:rFonts w:ascii="Times New Roman" w:hAnsi="Times New Roman"/>
        </w:rPr>
        <w:t>. Конкретно, стойността от 820–1 100 млн. лв. годишно се равнява на около 4</w:t>
      </w:r>
      <w:r>
        <w:rPr>
          <w:rFonts w:ascii="Times New Roman" w:hAnsi="Times New Roman"/>
        </w:rPr>
        <w:t xml:space="preserve"> </w:t>
      </w:r>
      <w:r w:rsidRPr="00EC26B5">
        <w:rPr>
          <w:rFonts w:ascii="Times New Roman" w:hAnsi="Times New Roman"/>
        </w:rPr>
        <w:t>–</w:t>
      </w:r>
      <w:r>
        <w:rPr>
          <w:rFonts w:ascii="Times New Roman" w:hAnsi="Times New Roman"/>
        </w:rPr>
        <w:t xml:space="preserve"> </w:t>
      </w:r>
      <w:r w:rsidRPr="00EC26B5">
        <w:rPr>
          <w:rFonts w:ascii="Times New Roman" w:hAnsi="Times New Roman"/>
        </w:rPr>
        <w:t xml:space="preserve">5% от общия годишен оборот на пазара на храни в България (≈20 млрд. лв./год.). Такъв размер е реалистичен като горна граница на потенциалните ползи при пълно елиминиране на нелоялните практики – т.е. максималният допълнителен доход, който би се разпределил към по-слабите участници (фермери, малки преработватели), ако </w:t>
      </w:r>
      <w:r>
        <w:rPr>
          <w:rFonts w:ascii="Times New Roman" w:hAnsi="Times New Roman"/>
        </w:rPr>
        <w:t>нелоялните практики</w:t>
      </w:r>
      <w:r w:rsidRPr="00EC26B5">
        <w:rPr>
          <w:rFonts w:ascii="Times New Roman" w:hAnsi="Times New Roman"/>
        </w:rPr>
        <w:t xml:space="preserve"> напълно изчезнат. Получаването на тази </w:t>
      </w:r>
      <w:r>
        <w:rPr>
          <w:rFonts w:ascii="Times New Roman" w:hAnsi="Times New Roman"/>
        </w:rPr>
        <w:t>сума</w:t>
      </w:r>
      <w:r w:rsidRPr="00EC26B5">
        <w:rPr>
          <w:rFonts w:ascii="Times New Roman" w:hAnsi="Times New Roman"/>
        </w:rPr>
        <w:t xml:space="preserve"> стъпва на експертна оценка на различни компоненти: например забавени плащания, наложени търговски отстъпки и такси, върнати или бракувани стоки</w:t>
      </w:r>
      <w:r>
        <w:rPr>
          <w:rFonts w:ascii="Times New Roman" w:hAnsi="Times New Roman"/>
        </w:rPr>
        <w:t xml:space="preserve"> поради нечестни условия и др. В</w:t>
      </w:r>
      <w:r w:rsidRPr="00EC26B5">
        <w:rPr>
          <w:rFonts w:ascii="Times New Roman" w:hAnsi="Times New Roman"/>
        </w:rPr>
        <w:t xml:space="preserve">сичко това намалява приходите на доставчиците. С други думи, около 1 млрд. лв. годишно е порядъкът на средствата, които в момента не достигат до производителите заради нелоялни </w:t>
      </w:r>
      <w:r>
        <w:rPr>
          <w:rFonts w:ascii="Times New Roman" w:hAnsi="Times New Roman"/>
        </w:rPr>
        <w:t xml:space="preserve">търговски </w:t>
      </w:r>
      <w:r w:rsidRPr="00EC26B5">
        <w:rPr>
          <w:rFonts w:ascii="Times New Roman" w:hAnsi="Times New Roman"/>
        </w:rPr>
        <w:t>практики. Тази сума е използвана в анализа като ориентировъчна максимална полза („теоретичен максимум“), спрямо която впоследствие се определят реалистичните очаквани ползи.</w:t>
      </w:r>
    </w:p>
  </w:footnote>
  <w:footnote w:id="58">
    <w:p w14:paraId="559B2F56" w14:textId="77777777" w:rsidR="00D22189" w:rsidRPr="00EC26B5" w:rsidRDefault="00D22189" w:rsidP="00CB0A97">
      <w:pPr>
        <w:pStyle w:val="FootnoteText"/>
        <w:jc w:val="both"/>
        <w:rPr>
          <w:rFonts w:ascii="Times New Roman" w:hAnsi="Times New Roman"/>
        </w:rPr>
      </w:pPr>
      <w:r w:rsidRPr="00EC26B5">
        <w:rPr>
          <w:rStyle w:val="FootnoteReference"/>
          <w:rFonts w:ascii="Times New Roman" w:hAnsi="Times New Roman"/>
        </w:rPr>
        <w:footnoteRef/>
      </w:r>
      <w:r w:rsidRPr="00EC26B5">
        <w:rPr>
          <w:rFonts w:ascii="Times New Roman" w:hAnsi="Times New Roman"/>
        </w:rPr>
        <w:t xml:space="preserve"> Стойността 50 млн. лв. годишно представлява реалистично предотвратимата част (~5–6%) от горепосочените общи загуби 820–1 100 млн. лв./год., която новият закон би могъл да реализира като нетна полза за земеделските производители и малките доставчици. При определянето на тази сума са отчетени няколко съображения: (1) Не всички вреди могат да бъдат елиминирани – дори след регулация част от предишните загуби ще продължат да съществуват (някои практики няма да бъдат напълно прекратени или имат необратим характер); (2) Адаптивно поведение на силните играчи – очаква се големите търговски вериги да се приспособят до известна степен, така че част от потенциалните ползи за по-малките доставчици може да бъде „изядена“ от нови търговски условия. Поради тези причини прогнозата от 50 млн. лв. годишно е консервативна, т.е. предпазливо занижена оценка. Тази сума всъщност се равнява на около 6% от теоретичния максимум и би била осезаем приток на средства към </w:t>
      </w:r>
      <w:r>
        <w:rPr>
          <w:rFonts w:ascii="Times New Roman" w:hAnsi="Times New Roman"/>
        </w:rPr>
        <w:t>производителите</w:t>
      </w:r>
      <w:r w:rsidRPr="00EC26B5">
        <w:rPr>
          <w:rFonts w:ascii="Times New Roman" w:hAnsi="Times New Roman"/>
        </w:rPr>
        <w:t>. В стойността от 50 млн. лв. са включени конкретни ефекти от закона, като например: по-високи изкупни цени за местната продукция (благодарение на по-силна позиция на фермерите при договаряне), навременно плащане от купувачите (което спестява лихви по кредити и загуби от просрочия), намалено бракуване на продукция поради отменени поръчки и по-добра предвидимост, позволяваща на фермерите по-ефективно да планират бизнеса си. Всички тези фактори в сумарен вид дават приблизително 50 млн. лв. годишно допълнителен нетен доход за земеделските стопани и малките преработватели след влизане в сила на новия закон. Това е ключова допускана полза в анализа, върху която стъпват останалите оценки за</w:t>
      </w:r>
      <w:r>
        <w:rPr>
          <w:rFonts w:ascii="Times New Roman" w:hAnsi="Times New Roman"/>
        </w:rPr>
        <w:t xml:space="preserve"> ефективност на интервенцията. </w:t>
      </w:r>
      <w:r w:rsidRPr="00EC26B5">
        <w:rPr>
          <w:rFonts w:ascii="Times New Roman" w:hAnsi="Times New Roman"/>
        </w:rPr>
        <w:t>За първата година на прилагане – 2025 г. – е отчетено, че ефектът ще бъде частичен поради нужното време за адаптация, а пълният годишен ефект от ~50 млн. лв. настъпва от 2026 г. нататък.</w:t>
      </w:r>
    </w:p>
  </w:footnote>
  <w:footnote w:id="59">
    <w:p w14:paraId="30C9B73C" w14:textId="3F7F931F" w:rsidR="00D22189" w:rsidRPr="00364174" w:rsidRDefault="00D22189" w:rsidP="00364174">
      <w:pPr>
        <w:pStyle w:val="FootnoteText"/>
        <w:jc w:val="both"/>
        <w:rPr>
          <w:rFonts w:ascii="Times New Roman" w:hAnsi="Times New Roman"/>
        </w:rPr>
      </w:pPr>
      <w:r w:rsidRPr="00364174">
        <w:rPr>
          <w:rStyle w:val="FootnoteReference"/>
          <w:rFonts w:ascii="Times New Roman" w:hAnsi="Times New Roman"/>
        </w:rPr>
        <w:footnoteRef/>
      </w:r>
      <w:r w:rsidRPr="00364174">
        <w:rPr>
          <w:rFonts w:ascii="Times New Roman" w:hAnsi="Times New Roman"/>
        </w:rPr>
        <w:t xml:space="preserve"> Из</w:t>
      </w:r>
      <w:r>
        <w:rPr>
          <w:rFonts w:ascii="Times New Roman" w:hAnsi="Times New Roman"/>
        </w:rPr>
        <w:t>ползвани са д</w:t>
      </w:r>
      <w:r w:rsidRPr="00364174">
        <w:rPr>
          <w:rFonts w:ascii="Times New Roman" w:hAnsi="Times New Roman"/>
        </w:rPr>
        <w:t>анни за бюджет 2023</w:t>
      </w:r>
      <w:r>
        <w:rPr>
          <w:rFonts w:ascii="Times New Roman" w:hAnsi="Times New Roman"/>
        </w:rPr>
        <w:t xml:space="preserve"> </w:t>
      </w:r>
      <w:r w:rsidRPr="00364174">
        <w:rPr>
          <w:rFonts w:ascii="Times New Roman" w:hAnsi="Times New Roman"/>
        </w:rPr>
        <w:t>–</w:t>
      </w:r>
      <w:r>
        <w:rPr>
          <w:rFonts w:ascii="Times New Roman" w:hAnsi="Times New Roman"/>
        </w:rPr>
        <w:t xml:space="preserve"> </w:t>
      </w:r>
      <w:r w:rsidRPr="00364174">
        <w:rPr>
          <w:rFonts w:ascii="Times New Roman" w:hAnsi="Times New Roman"/>
        </w:rPr>
        <w:t>2025</w:t>
      </w:r>
      <w:r>
        <w:rPr>
          <w:rFonts w:ascii="Times New Roman" w:hAnsi="Times New Roman"/>
        </w:rPr>
        <w:t xml:space="preserve"> г.</w:t>
      </w:r>
      <w:r w:rsidRPr="00364174">
        <w:rPr>
          <w:rFonts w:ascii="Times New Roman" w:hAnsi="Times New Roman"/>
        </w:rPr>
        <w:t xml:space="preserve"> на МЗХ за определяне на липсата на допълнителни разходи при този вариант. Оценката от 50 млн. лв. годишно пропуснати доходи за фермерите е базирана на анализа на наличните данни за нелоялни търговски практики. NPV е отрицателна стойност (около -231,5 млн. лв.), което отразява сумарните текущи загуби през 2025</w:t>
      </w:r>
      <w:r>
        <w:rPr>
          <w:rFonts w:ascii="Times New Roman" w:hAnsi="Times New Roman"/>
        </w:rPr>
        <w:t xml:space="preserve"> </w:t>
      </w:r>
      <w:r w:rsidRPr="00364174">
        <w:rPr>
          <w:rFonts w:ascii="Times New Roman" w:hAnsi="Times New Roman"/>
        </w:rPr>
        <w:t>–</w:t>
      </w:r>
      <w:r>
        <w:rPr>
          <w:rFonts w:ascii="Times New Roman" w:hAnsi="Times New Roman"/>
        </w:rPr>
        <w:t xml:space="preserve"> </w:t>
      </w:r>
      <w:r w:rsidRPr="00364174">
        <w:rPr>
          <w:rFonts w:ascii="Times New Roman" w:hAnsi="Times New Roman"/>
        </w:rPr>
        <w:t>2029</w:t>
      </w:r>
      <w:r>
        <w:rPr>
          <w:rFonts w:ascii="Times New Roman" w:hAnsi="Times New Roman"/>
        </w:rPr>
        <w:t xml:space="preserve"> г.</w:t>
      </w:r>
      <w:r w:rsidRPr="00364174">
        <w:rPr>
          <w:rFonts w:ascii="Times New Roman" w:hAnsi="Times New Roman"/>
        </w:rPr>
        <w:t xml:space="preserve"> при липса на намеса.</w:t>
      </w:r>
    </w:p>
  </w:footnote>
  <w:footnote w:id="60">
    <w:p w14:paraId="3960AF64" w14:textId="11DFF38F" w:rsidR="00D22189" w:rsidRPr="00364174" w:rsidRDefault="00D22189" w:rsidP="00364174">
      <w:pPr>
        <w:pStyle w:val="FootnoteText"/>
        <w:jc w:val="both"/>
        <w:rPr>
          <w:rFonts w:ascii="Times New Roman" w:hAnsi="Times New Roman"/>
        </w:rPr>
      </w:pPr>
      <w:r w:rsidRPr="00364174">
        <w:rPr>
          <w:rStyle w:val="FootnoteReference"/>
          <w:rFonts w:ascii="Times New Roman" w:hAnsi="Times New Roman"/>
        </w:rPr>
        <w:footnoteRef/>
      </w:r>
      <w:r w:rsidRPr="00364174">
        <w:rPr>
          <w:rFonts w:ascii="Times New Roman" w:hAnsi="Times New Roman"/>
        </w:rPr>
        <w:t xml:space="preserve"> </w:t>
      </w:r>
      <w:r w:rsidRPr="00364174">
        <w:rPr>
          <w:rFonts w:ascii="Times New Roman" w:eastAsia="Times New Roman" w:hAnsi="Times New Roman"/>
          <w:iCs/>
          <w:lang w:val="ru-RU"/>
        </w:rPr>
        <w:t>Източник:</w:t>
      </w:r>
      <w:r w:rsidRPr="00364174">
        <w:rPr>
          <w:rFonts w:ascii="Times New Roman" w:eastAsia="Times New Roman" w:hAnsi="Times New Roman"/>
          <w:lang w:val="ru-RU"/>
        </w:rPr>
        <w:t xml:space="preserve"> бюджетните данни потвърждават липсата на значими разходи за МЗХ при този вариант. Допускането за </w:t>
      </w:r>
      <w:r w:rsidRPr="00364174">
        <w:rPr>
          <w:rFonts w:ascii="Times New Roman" w:eastAsia="Times New Roman" w:hAnsi="Times New Roman"/>
        </w:rPr>
        <w:t xml:space="preserve">около </w:t>
      </w:r>
      <w:r w:rsidRPr="00364174">
        <w:rPr>
          <w:rFonts w:ascii="Times New Roman" w:eastAsia="Times New Roman" w:hAnsi="Times New Roman"/>
          <w:lang w:val="ru-RU"/>
        </w:rPr>
        <w:t>5</w:t>
      </w:r>
      <w:r w:rsidRPr="00364174">
        <w:rPr>
          <w:rFonts w:ascii="Times New Roman" w:eastAsia="Times New Roman" w:hAnsi="Times New Roman"/>
        </w:rPr>
        <w:t> </w:t>
      </w:r>
      <w:r w:rsidRPr="00364174">
        <w:rPr>
          <w:rFonts w:ascii="Times New Roman" w:eastAsia="Times New Roman" w:hAnsi="Times New Roman"/>
          <w:lang w:val="ru-RU"/>
        </w:rPr>
        <w:t>млн. лв. годишни ползи е обосновано на база експертна преценка като малък дял от теоретичния максимум.</w:t>
      </w:r>
    </w:p>
  </w:footnote>
  <w:footnote w:id="61">
    <w:p w14:paraId="42E8F722" w14:textId="5D1F8AFB" w:rsidR="00D22189" w:rsidRPr="00364174" w:rsidRDefault="00D22189" w:rsidP="00364174">
      <w:pPr>
        <w:pStyle w:val="FootnoteText"/>
        <w:jc w:val="both"/>
        <w:rPr>
          <w:rFonts w:ascii="Times New Roman" w:hAnsi="Times New Roman"/>
        </w:rPr>
      </w:pPr>
      <w:r w:rsidRPr="00364174">
        <w:rPr>
          <w:rStyle w:val="FootnoteReference"/>
          <w:rFonts w:ascii="Times New Roman" w:hAnsi="Times New Roman"/>
        </w:rPr>
        <w:footnoteRef/>
      </w:r>
      <w:r w:rsidRPr="00364174">
        <w:rPr>
          <w:rFonts w:ascii="Times New Roman" w:hAnsi="Times New Roman"/>
        </w:rPr>
        <w:t xml:space="preserve"> </w:t>
      </w:r>
      <w:r w:rsidRPr="003D685C">
        <w:rPr>
          <w:rFonts w:ascii="Times New Roman" w:eastAsia="Times New Roman" w:hAnsi="Times New Roman"/>
          <w:lang w:val="ru-RU"/>
        </w:rPr>
        <w:t>МЗХ не планира значими нови разходи за ограничената регулация, затова разходите се приемат около 0. Прогнозираната годишна полза (</w:t>
      </w:r>
      <w:r w:rsidRPr="003D685C">
        <w:rPr>
          <w:rFonts w:ascii="Times New Roman" w:eastAsia="Times New Roman" w:hAnsi="Times New Roman"/>
        </w:rPr>
        <w:t xml:space="preserve">около </w:t>
      </w:r>
      <w:r w:rsidRPr="003D685C">
        <w:rPr>
          <w:rFonts w:ascii="Times New Roman" w:eastAsia="Times New Roman" w:hAnsi="Times New Roman"/>
          <w:lang w:val="ru-RU"/>
        </w:rPr>
        <w:t>20</w:t>
      </w:r>
      <w:r w:rsidRPr="003D685C">
        <w:rPr>
          <w:rFonts w:ascii="Times New Roman" w:eastAsia="Times New Roman" w:hAnsi="Times New Roman"/>
        </w:rPr>
        <w:t> </w:t>
      </w:r>
      <w:r w:rsidRPr="003D685C">
        <w:rPr>
          <w:rFonts w:ascii="Times New Roman" w:eastAsia="Times New Roman" w:hAnsi="Times New Roman"/>
          <w:lang w:val="ru-RU"/>
        </w:rPr>
        <w:t>млн. лв.) е консистентна с частичното адресиране на проблемите (дял от общия размер на щетите от нелоялни търговски практики).</w:t>
      </w:r>
    </w:p>
  </w:footnote>
  <w:footnote w:id="62">
    <w:p w14:paraId="3D73D8B3" w14:textId="14554ED7" w:rsidR="00D22189" w:rsidRPr="002C702F" w:rsidRDefault="00D22189" w:rsidP="00CB0A97">
      <w:pPr>
        <w:pStyle w:val="FootnoteText"/>
        <w:jc w:val="both"/>
        <w:rPr>
          <w:rFonts w:ascii="Times New Roman" w:hAnsi="Times New Roman"/>
        </w:rPr>
      </w:pPr>
      <w:r w:rsidRPr="002C702F">
        <w:rPr>
          <w:rStyle w:val="FootnoteReference"/>
          <w:rFonts w:ascii="Times New Roman" w:hAnsi="Times New Roman"/>
        </w:rPr>
        <w:footnoteRef/>
      </w:r>
      <w:r w:rsidRPr="002C702F">
        <w:rPr>
          <w:rFonts w:ascii="Times New Roman" w:hAnsi="Times New Roman"/>
        </w:rPr>
        <w:t xml:space="preserve"> Тези стойности са из</w:t>
      </w:r>
      <w:r>
        <w:rPr>
          <w:rFonts w:ascii="Times New Roman" w:hAnsi="Times New Roman"/>
        </w:rPr>
        <w:t>ведени на база официални данни:</w:t>
      </w:r>
      <w:r w:rsidRPr="002C702F">
        <w:rPr>
          <w:rFonts w:ascii="Times New Roman" w:hAnsi="Times New Roman"/>
        </w:rPr>
        <w:t xml:space="preserve"> бюджетни разчети на М</w:t>
      </w:r>
      <w:r>
        <w:rPr>
          <w:rFonts w:ascii="Times New Roman" w:hAnsi="Times New Roman"/>
        </w:rPr>
        <w:t>ЗХ</w:t>
      </w:r>
      <w:r w:rsidRPr="002C702F">
        <w:rPr>
          <w:rFonts w:ascii="Times New Roman" w:hAnsi="Times New Roman"/>
        </w:rPr>
        <w:t xml:space="preserve"> за 2023</w:t>
      </w:r>
      <w:r>
        <w:rPr>
          <w:rFonts w:ascii="Times New Roman" w:hAnsi="Times New Roman"/>
        </w:rPr>
        <w:t xml:space="preserve"> </w:t>
      </w:r>
      <w:r w:rsidRPr="002C702F">
        <w:rPr>
          <w:rFonts w:ascii="Times New Roman" w:hAnsi="Times New Roman"/>
        </w:rPr>
        <w:t>–</w:t>
      </w:r>
      <w:r>
        <w:rPr>
          <w:rFonts w:ascii="Times New Roman" w:hAnsi="Times New Roman"/>
        </w:rPr>
        <w:t xml:space="preserve"> </w:t>
      </w:r>
      <w:r w:rsidRPr="002C702F">
        <w:rPr>
          <w:rFonts w:ascii="Times New Roman" w:hAnsi="Times New Roman"/>
        </w:rPr>
        <w:t>2025 г. и консултации със заинтересовани страни (за бизнес разходи и потенциалн</w:t>
      </w:r>
      <w:r>
        <w:rPr>
          <w:rFonts w:ascii="Times New Roman" w:hAnsi="Times New Roman"/>
        </w:rPr>
        <w:t xml:space="preserve">и ползи). </w:t>
      </w:r>
    </w:p>
  </w:footnote>
  <w:footnote w:id="63">
    <w:p w14:paraId="601223B6" w14:textId="5CFFAC11" w:rsidR="00D22189" w:rsidRPr="00364174" w:rsidRDefault="00D22189" w:rsidP="00364174">
      <w:pPr>
        <w:pStyle w:val="FootnoteText"/>
        <w:jc w:val="both"/>
        <w:rPr>
          <w:rFonts w:ascii="Times New Roman" w:hAnsi="Times New Roman"/>
        </w:rPr>
      </w:pPr>
      <w:r w:rsidRPr="00364174">
        <w:rPr>
          <w:rStyle w:val="FootnoteReference"/>
          <w:rFonts w:ascii="Times New Roman" w:hAnsi="Times New Roman"/>
        </w:rPr>
        <w:footnoteRef/>
      </w:r>
      <w:r w:rsidRPr="00364174">
        <w:rPr>
          <w:rFonts w:ascii="Times New Roman" w:hAnsi="Times New Roman"/>
        </w:rPr>
        <w:t xml:space="preserve"> </w:t>
      </w:r>
      <w:r w:rsidRPr="00364174">
        <w:rPr>
          <w:rFonts w:ascii="Times New Roman" w:eastAsia="Times New Roman" w:hAnsi="Times New Roman"/>
          <w:iCs/>
          <w:lang w:val="ru-RU"/>
        </w:rPr>
        <w:t>Източник:</w:t>
      </w:r>
      <w:r w:rsidRPr="00364174">
        <w:rPr>
          <w:rFonts w:ascii="Times New Roman" w:eastAsia="Times New Roman" w:hAnsi="Times New Roman"/>
          <w:lang w:val="ru-RU"/>
        </w:rPr>
        <w:t xml:space="preserve"> Изчисленията стъпват на предоставените стойности от бюджета на МЗХ (за държавните разходи) и консултациите със заинтересованите страни (за бизнес разходите и потенциалните ползи). Дисконтирането е извършено с </w:t>
      </w:r>
      <w:r w:rsidRPr="00364174">
        <w:rPr>
          <w:rFonts w:ascii="Times New Roman" w:eastAsia="Times New Roman" w:hAnsi="Times New Roman"/>
        </w:rPr>
        <w:t>r</w:t>
      </w:r>
      <w:r w:rsidRPr="00364174">
        <w:rPr>
          <w:rFonts w:ascii="Times New Roman" w:eastAsia="Times New Roman" w:hAnsi="Times New Roman"/>
          <w:lang w:val="ru-RU"/>
        </w:rPr>
        <w:t>=4%, а анюализацията – с</w:t>
      </w:r>
      <w:r w:rsidRPr="00364174">
        <w:rPr>
          <w:rFonts w:ascii="Times New Roman" w:eastAsia="Times New Roman" w:hAnsi="Times New Roman"/>
        </w:rPr>
        <w:t xml:space="preserve"> </w:t>
      </w:r>
      <w:r w:rsidRPr="00364174">
        <w:rPr>
          <w:rFonts w:ascii="Times New Roman" w:eastAsia="Times New Roman" w:hAnsi="Times New Roman"/>
          <w:lang w:val="ru-RU"/>
        </w:rPr>
        <w:t xml:space="preserve">капиталовъзстановителен фактор, изчислен по формулата (където </w:t>
      </w:r>
      <w:r w:rsidRPr="00364174">
        <w:rPr>
          <w:rFonts w:ascii="Times New Roman" w:eastAsia="Times New Roman" w:hAnsi="Times New Roman"/>
          <w:iCs/>
        </w:rPr>
        <w:t>r</w:t>
      </w:r>
      <w:r w:rsidRPr="00364174">
        <w:rPr>
          <w:rFonts w:ascii="Times New Roman" w:eastAsia="Times New Roman" w:hAnsi="Times New Roman"/>
          <w:lang w:val="ru-RU"/>
        </w:rPr>
        <w:t xml:space="preserve">=4%, </w:t>
      </w:r>
      <w:r w:rsidRPr="00364174">
        <w:rPr>
          <w:rFonts w:ascii="Times New Roman" w:eastAsia="Times New Roman" w:hAnsi="Times New Roman"/>
          <w:iCs/>
        </w:rPr>
        <w:t>n</w:t>
      </w:r>
      <w:r w:rsidRPr="00364174">
        <w:rPr>
          <w:rFonts w:ascii="Times New Roman" w:eastAsia="Times New Roman" w:hAnsi="Times New Roman"/>
          <w:lang w:val="ru-RU"/>
        </w:rPr>
        <w:t>=5 год.).</w:t>
      </w:r>
    </w:p>
  </w:footnote>
  <w:footnote w:id="64">
    <w:p w14:paraId="64F68C97" w14:textId="637A3AA9" w:rsidR="00D22189" w:rsidRPr="00C77099" w:rsidRDefault="00D22189" w:rsidP="00CB0A97">
      <w:pPr>
        <w:pStyle w:val="FootnoteText"/>
        <w:jc w:val="both"/>
        <w:rPr>
          <w:rFonts w:ascii="Times New Roman" w:hAnsi="Times New Roman"/>
        </w:rPr>
      </w:pPr>
      <w:r w:rsidRPr="00C77099">
        <w:rPr>
          <w:rStyle w:val="FootnoteReference"/>
          <w:rFonts w:ascii="Times New Roman" w:hAnsi="Times New Roman"/>
        </w:rPr>
        <w:footnoteRef/>
      </w:r>
      <w:r w:rsidRPr="00C77099">
        <w:rPr>
          <w:rFonts w:ascii="Times New Roman" w:hAnsi="Times New Roman"/>
        </w:rPr>
        <w:t xml:space="preserve"> Легенда: </w:t>
      </w:r>
    </w:p>
    <w:p w14:paraId="617C78A3" w14:textId="3E26C934" w:rsidR="00D22189" w:rsidRPr="00C77099" w:rsidRDefault="00D22189" w:rsidP="00CD1168">
      <w:pPr>
        <w:pStyle w:val="FootnoteText"/>
        <w:jc w:val="both"/>
        <w:rPr>
          <w:rFonts w:ascii="Times New Roman" w:hAnsi="Times New Roman"/>
        </w:rPr>
      </w:pPr>
      <w:r>
        <w:rPr>
          <w:rFonts w:ascii="Times New Roman" w:hAnsi="Times New Roman"/>
        </w:rPr>
        <w:t>(</w:t>
      </w:r>
      <w:r w:rsidRPr="001E3B2A">
        <w:rPr>
          <w:rFonts w:ascii="Times New Roman" w:hAnsi="Times New Roman"/>
        </w:rPr>
        <w:t>–</w:t>
      </w:r>
      <w:r>
        <w:rPr>
          <w:rFonts w:ascii="Times New Roman" w:hAnsi="Times New Roman"/>
        </w:rPr>
        <w:t>)</w:t>
      </w:r>
      <w:r w:rsidRPr="00C77099">
        <w:rPr>
          <w:rFonts w:ascii="Times New Roman" w:hAnsi="Times New Roman"/>
        </w:rPr>
        <w:t xml:space="preserve"> </w:t>
      </w:r>
      <w:r w:rsidRPr="00C77099">
        <w:rPr>
          <w:rFonts w:ascii="Times New Roman" w:hAnsi="Times New Roman"/>
          <w:b/>
        </w:rPr>
        <w:t>-</w:t>
      </w:r>
      <w:r w:rsidRPr="00C77099">
        <w:rPr>
          <w:rFonts w:ascii="Times New Roman" w:hAnsi="Times New Roman"/>
        </w:rPr>
        <w:t xml:space="preserve"> отрицателно въздействие; </w:t>
      </w:r>
    </w:p>
    <w:p w14:paraId="7F2CE1BF" w14:textId="72AFEC07" w:rsidR="00D22189" w:rsidRPr="00C77099" w:rsidRDefault="00D22189" w:rsidP="00CD1168">
      <w:pPr>
        <w:pStyle w:val="FootnoteText"/>
        <w:jc w:val="both"/>
        <w:rPr>
          <w:rFonts w:ascii="Times New Roman" w:hAnsi="Times New Roman"/>
        </w:rPr>
      </w:pPr>
      <w:r>
        <w:rPr>
          <w:rFonts w:ascii="Times New Roman" w:hAnsi="Times New Roman"/>
          <w:b/>
        </w:rPr>
        <w:t>(</w:t>
      </w:r>
      <w:r w:rsidRPr="001E3B2A">
        <w:rPr>
          <w:rFonts w:ascii="Times New Roman" w:hAnsi="Times New Roman"/>
          <w:b/>
        </w:rPr>
        <w:t>+</w:t>
      </w:r>
      <w:r>
        <w:rPr>
          <w:rFonts w:ascii="Times New Roman" w:hAnsi="Times New Roman"/>
          <w:b/>
        </w:rPr>
        <w:t>)</w:t>
      </w:r>
      <w:r w:rsidRPr="00C77099">
        <w:rPr>
          <w:rFonts w:ascii="Times New Roman" w:hAnsi="Times New Roman"/>
        </w:rPr>
        <w:t xml:space="preserve"> </w:t>
      </w:r>
      <w:r w:rsidRPr="00C77099">
        <w:rPr>
          <w:rFonts w:ascii="Times New Roman" w:hAnsi="Times New Roman"/>
          <w:b/>
        </w:rPr>
        <w:t>-</w:t>
      </w:r>
      <w:r w:rsidRPr="00C77099">
        <w:rPr>
          <w:rFonts w:ascii="Times New Roman" w:hAnsi="Times New Roman"/>
        </w:rPr>
        <w:t xml:space="preserve"> положително въздействие; </w:t>
      </w:r>
    </w:p>
    <w:p w14:paraId="77DD6919" w14:textId="04FDE96F" w:rsidR="00D22189" w:rsidRPr="00C77099" w:rsidRDefault="00D22189" w:rsidP="00CD1168">
      <w:pPr>
        <w:pStyle w:val="FootnoteText"/>
        <w:jc w:val="both"/>
        <w:rPr>
          <w:rFonts w:ascii="Times New Roman" w:hAnsi="Times New Roman"/>
        </w:rPr>
      </w:pPr>
      <w:r>
        <w:rPr>
          <w:rFonts w:ascii="Times New Roman" w:hAnsi="Times New Roman"/>
          <w:b/>
        </w:rPr>
        <w:t>(</w:t>
      </w:r>
      <w:r w:rsidRPr="00C77099">
        <w:rPr>
          <w:rFonts w:ascii="Times New Roman" w:hAnsi="Times New Roman"/>
          <w:b/>
        </w:rPr>
        <w:t>0</w:t>
      </w:r>
      <w:r>
        <w:rPr>
          <w:rFonts w:ascii="Times New Roman" w:hAnsi="Times New Roman"/>
          <w:b/>
        </w:rPr>
        <w:t>)</w:t>
      </w:r>
      <w:r w:rsidRPr="00C77099">
        <w:rPr>
          <w:rFonts w:ascii="Times New Roman" w:hAnsi="Times New Roman"/>
        </w:rPr>
        <w:t xml:space="preserve"> </w:t>
      </w:r>
      <w:r w:rsidRPr="00C77099">
        <w:rPr>
          <w:rFonts w:ascii="Times New Roman" w:hAnsi="Times New Roman"/>
          <w:b/>
        </w:rPr>
        <w:t>-</w:t>
      </w:r>
      <w:r w:rsidRPr="00C77099">
        <w:rPr>
          <w:rFonts w:ascii="Times New Roman" w:hAnsi="Times New Roman"/>
        </w:rPr>
        <w:t xml:space="preserve"> без въздействие;</w:t>
      </w:r>
    </w:p>
    <w:p w14:paraId="0415E915" w14:textId="06C5FAFD" w:rsidR="00D22189" w:rsidRPr="00C77099" w:rsidRDefault="00D22189" w:rsidP="00CD1168">
      <w:pPr>
        <w:pStyle w:val="FootnoteText"/>
        <w:jc w:val="both"/>
        <w:rPr>
          <w:rFonts w:ascii="Times New Roman" w:hAnsi="Times New Roman"/>
        </w:rPr>
      </w:pPr>
      <w:r>
        <w:rPr>
          <w:rFonts w:ascii="Times New Roman" w:hAnsi="Times New Roman"/>
          <w:b/>
        </w:rPr>
        <w:t>(</w:t>
      </w:r>
      <w:r w:rsidRPr="00C77099">
        <w:rPr>
          <w:rFonts w:ascii="Times New Roman" w:hAnsi="Times New Roman"/>
          <w:b/>
        </w:rPr>
        <w:t>–?</w:t>
      </w:r>
      <w:r>
        <w:rPr>
          <w:rFonts w:ascii="Times New Roman" w:hAnsi="Times New Roman"/>
          <w:b/>
        </w:rPr>
        <w:t>)</w:t>
      </w:r>
      <w:r w:rsidRPr="00C77099">
        <w:rPr>
          <w:rFonts w:ascii="Times New Roman" w:hAnsi="Times New Roman"/>
          <w:b/>
        </w:rPr>
        <w:t xml:space="preserve"> -</w:t>
      </w:r>
      <w:r w:rsidRPr="00C77099">
        <w:rPr>
          <w:rFonts w:ascii="Times New Roman" w:hAnsi="Times New Roman"/>
        </w:rPr>
        <w:t xml:space="preserve"> несигурно или косвено отрицателно въздействие; </w:t>
      </w:r>
    </w:p>
    <w:p w14:paraId="579B8DFD" w14:textId="03A739EC" w:rsidR="00D22189" w:rsidRPr="00C77099" w:rsidRDefault="00D22189" w:rsidP="00CD1168">
      <w:pPr>
        <w:pStyle w:val="FootnoteText"/>
        <w:jc w:val="both"/>
        <w:rPr>
          <w:rFonts w:ascii="Times New Roman" w:hAnsi="Times New Roman"/>
        </w:rPr>
      </w:pPr>
      <w:r>
        <w:rPr>
          <w:rFonts w:ascii="Times New Roman" w:hAnsi="Times New Roman"/>
          <w:b/>
        </w:rPr>
        <w:t>(</w:t>
      </w:r>
      <w:r w:rsidRPr="00C77099">
        <w:rPr>
          <w:rFonts w:ascii="Times New Roman" w:hAnsi="Times New Roman"/>
          <w:b/>
        </w:rPr>
        <w:t>+?</w:t>
      </w:r>
      <w:r>
        <w:rPr>
          <w:rFonts w:ascii="Times New Roman" w:hAnsi="Times New Roman"/>
          <w:b/>
        </w:rPr>
        <w:t>)</w:t>
      </w:r>
      <w:r w:rsidRPr="00C77099">
        <w:rPr>
          <w:rFonts w:ascii="Times New Roman" w:hAnsi="Times New Roman"/>
        </w:rPr>
        <w:t xml:space="preserve"> </w:t>
      </w:r>
      <w:r w:rsidRPr="00C77099">
        <w:rPr>
          <w:rFonts w:ascii="Times New Roman" w:hAnsi="Times New Roman"/>
          <w:b/>
        </w:rPr>
        <w:t>-</w:t>
      </w:r>
      <w:r w:rsidRPr="00C77099">
        <w:rPr>
          <w:rFonts w:ascii="Times New Roman" w:hAnsi="Times New Roman"/>
        </w:rPr>
        <w:t xml:space="preserve"> несигурно или косвено положително въздействие;</w:t>
      </w:r>
    </w:p>
    <w:p w14:paraId="05A30811" w14:textId="49E83744" w:rsidR="00D22189" w:rsidRPr="00C77099" w:rsidRDefault="00D22189" w:rsidP="00CD1168">
      <w:pPr>
        <w:pStyle w:val="FootnoteText"/>
        <w:jc w:val="both"/>
        <w:rPr>
          <w:rFonts w:ascii="Times New Roman" w:hAnsi="Times New Roman"/>
        </w:rPr>
      </w:pPr>
      <w:r>
        <w:rPr>
          <w:rFonts w:ascii="Times New Roman" w:hAnsi="Times New Roman"/>
        </w:rPr>
        <w:t>(</w:t>
      </w:r>
      <w:r w:rsidRPr="001E3B2A">
        <w:rPr>
          <w:rFonts w:ascii="Times New Roman" w:hAnsi="Times New Roman"/>
        </w:rPr>
        <w:t>– – –</w:t>
      </w:r>
      <w:r>
        <w:rPr>
          <w:rFonts w:ascii="Times New Roman" w:hAnsi="Times New Roman"/>
        </w:rPr>
        <w:t>)</w:t>
      </w:r>
      <w:r w:rsidRPr="00C77099">
        <w:rPr>
          <w:rFonts w:ascii="Times New Roman" w:hAnsi="Times New Roman"/>
          <w:b/>
        </w:rPr>
        <w:t xml:space="preserve"> -</w:t>
      </w:r>
      <w:r w:rsidRPr="00C77099">
        <w:rPr>
          <w:rFonts w:ascii="Times New Roman" w:hAnsi="Times New Roman"/>
        </w:rPr>
        <w:t xml:space="preserve"> запазване на негативно положение.</w:t>
      </w:r>
    </w:p>
  </w:footnote>
  <w:footnote w:id="65">
    <w:p w14:paraId="5A94D436" w14:textId="77777777" w:rsidR="00D22189" w:rsidRPr="00C77099" w:rsidRDefault="00D22189" w:rsidP="00C77099">
      <w:pPr>
        <w:spacing w:after="0" w:line="240" w:lineRule="auto"/>
        <w:jc w:val="both"/>
        <w:rPr>
          <w:rFonts w:ascii="Times New Roman" w:hAnsi="Times New Roman" w:cs="Times New Roman"/>
          <w:sz w:val="20"/>
          <w:szCs w:val="20"/>
        </w:rPr>
      </w:pPr>
      <w:r w:rsidRPr="00C77099">
        <w:rPr>
          <w:rStyle w:val="FootnoteReference"/>
          <w:rFonts w:ascii="Times New Roman" w:hAnsi="Times New Roman" w:cs="Times New Roman"/>
          <w:sz w:val="20"/>
          <w:szCs w:val="20"/>
        </w:rPr>
        <w:footnoteRef/>
      </w:r>
      <w:r w:rsidRPr="00C77099">
        <w:rPr>
          <w:rFonts w:ascii="Times New Roman" w:hAnsi="Times New Roman" w:cs="Times New Roman"/>
          <w:sz w:val="20"/>
          <w:szCs w:val="20"/>
        </w:rPr>
        <w:t xml:space="preserve"> Легенда:</w:t>
      </w:r>
    </w:p>
    <w:p w14:paraId="1A9E0891" w14:textId="07BBC568" w:rsidR="00D22189" w:rsidRPr="00C77099" w:rsidRDefault="00D22189" w:rsidP="00C77099">
      <w:pPr>
        <w:spacing w:after="0" w:line="240" w:lineRule="auto"/>
        <w:jc w:val="both"/>
        <w:rPr>
          <w:rFonts w:ascii="Times New Roman" w:hAnsi="Times New Roman" w:cs="Times New Roman"/>
          <w:noProof/>
          <w:sz w:val="20"/>
          <w:szCs w:val="20"/>
        </w:rPr>
      </w:pPr>
      <w:r w:rsidRPr="001E3B2A">
        <w:rPr>
          <w:rFonts w:ascii="Times New Roman" w:hAnsi="Times New Roman" w:cs="Times New Roman"/>
          <w:b/>
          <w:sz w:val="20"/>
          <w:szCs w:val="20"/>
        </w:rPr>
        <w:t>(+)</w:t>
      </w:r>
      <w:r w:rsidRPr="00C77099">
        <w:rPr>
          <w:rFonts w:ascii="Times New Roman" w:hAnsi="Times New Roman" w:cs="Times New Roman"/>
          <w:noProof/>
          <w:sz w:val="20"/>
          <w:szCs w:val="20"/>
        </w:rPr>
        <w:t xml:space="preserve"> - подобряване на ситуацията; </w:t>
      </w:r>
    </w:p>
    <w:p w14:paraId="3BBB5A33" w14:textId="545FAFAA" w:rsidR="00D22189" w:rsidRPr="00C77099" w:rsidRDefault="00D22189" w:rsidP="00C77099">
      <w:pPr>
        <w:spacing w:after="0" w:line="240" w:lineRule="auto"/>
        <w:jc w:val="both"/>
        <w:rPr>
          <w:rFonts w:ascii="Times New Roman" w:hAnsi="Times New Roman" w:cs="Times New Roman"/>
          <w:noProof/>
          <w:sz w:val="20"/>
          <w:szCs w:val="20"/>
        </w:rPr>
      </w:pPr>
      <w:r w:rsidRPr="001E3B2A">
        <w:rPr>
          <w:rFonts w:ascii="Times New Roman" w:hAnsi="Times New Roman" w:cs="Times New Roman"/>
          <w:b/>
          <w:sz w:val="20"/>
          <w:szCs w:val="20"/>
        </w:rPr>
        <w:t>(++)</w:t>
      </w:r>
      <w:r w:rsidRPr="00C77099">
        <w:rPr>
          <w:rFonts w:ascii="Times New Roman" w:hAnsi="Times New Roman" w:cs="Times New Roman"/>
          <w:noProof/>
          <w:sz w:val="20"/>
          <w:szCs w:val="20"/>
        </w:rPr>
        <w:t xml:space="preserve"> - значително подобряване на ситуацията;</w:t>
      </w:r>
      <w:r w:rsidRPr="00C77099">
        <w:rPr>
          <w:rFonts w:ascii="Times New Roman" w:eastAsia="Times New Roman" w:hAnsi="Times New Roman" w:cs="Times New Roman"/>
          <w:b/>
          <w:w w:val="151"/>
          <w:sz w:val="20"/>
          <w:szCs w:val="20"/>
          <w:lang w:eastAsia="bg-BG"/>
        </w:rPr>
        <w:t xml:space="preserve"> </w:t>
      </w:r>
    </w:p>
    <w:p w14:paraId="1D8020DC" w14:textId="206FA252" w:rsidR="00D22189" w:rsidRPr="00C77099" w:rsidRDefault="00D22189" w:rsidP="00C77099">
      <w:pPr>
        <w:spacing w:after="0" w:line="240" w:lineRule="auto"/>
        <w:jc w:val="both"/>
        <w:rPr>
          <w:rFonts w:ascii="Times New Roman" w:hAnsi="Times New Roman" w:cs="Times New Roman"/>
          <w:noProof/>
          <w:sz w:val="20"/>
          <w:szCs w:val="20"/>
        </w:rPr>
      </w:pPr>
      <w:r w:rsidRPr="001E3B2A">
        <w:rPr>
          <w:rFonts w:ascii="Times New Roman" w:hAnsi="Times New Roman" w:cs="Times New Roman"/>
          <w:sz w:val="20"/>
          <w:szCs w:val="20"/>
        </w:rPr>
        <w:t>(+</w:t>
      </w:r>
      <w:r w:rsidRPr="001E3B2A">
        <w:rPr>
          <w:rFonts w:ascii="Times New Roman" w:eastAsia="Times New Roman" w:hAnsi="Times New Roman" w:cs="Times New Roman"/>
          <w:w w:val="151"/>
          <w:sz w:val="20"/>
          <w:szCs w:val="20"/>
          <w:lang w:eastAsia="bg-BG"/>
        </w:rPr>
        <w:t>/-)</w:t>
      </w:r>
      <w:r w:rsidRPr="00C77099">
        <w:rPr>
          <w:rFonts w:ascii="Times New Roman" w:hAnsi="Times New Roman" w:cs="Times New Roman"/>
          <w:noProof/>
          <w:sz w:val="20"/>
          <w:szCs w:val="20"/>
        </w:rPr>
        <w:t xml:space="preserve"> - незначително, нетрайно подобряване на ситуацията;</w:t>
      </w:r>
    </w:p>
    <w:p w14:paraId="57795297" w14:textId="6ADC07A5" w:rsidR="00D22189" w:rsidRPr="00C77099" w:rsidRDefault="00D22189" w:rsidP="00C77099">
      <w:pPr>
        <w:spacing w:after="0" w:line="240" w:lineRule="auto"/>
        <w:jc w:val="both"/>
        <w:rPr>
          <w:rFonts w:ascii="Times New Roman" w:hAnsi="Times New Roman" w:cs="Times New Roman"/>
          <w:noProof/>
          <w:sz w:val="20"/>
          <w:szCs w:val="20"/>
        </w:rPr>
      </w:pPr>
      <w:r w:rsidRPr="001E3B2A">
        <w:rPr>
          <w:rFonts w:ascii="Times New Roman" w:hAnsi="Times New Roman" w:cs="Times New Roman"/>
          <w:b/>
          <w:noProof/>
          <w:sz w:val="20"/>
          <w:szCs w:val="20"/>
        </w:rPr>
        <w:t>(0)</w:t>
      </w:r>
      <w:r w:rsidRPr="00C77099">
        <w:rPr>
          <w:rFonts w:ascii="Times New Roman" w:hAnsi="Times New Roman" w:cs="Times New Roman"/>
          <w:noProof/>
          <w:sz w:val="20"/>
          <w:szCs w:val="20"/>
        </w:rPr>
        <w:t xml:space="preserve"> - без промяна; </w:t>
      </w:r>
    </w:p>
    <w:p w14:paraId="64624D4F" w14:textId="21FEF1D0" w:rsidR="00D22189" w:rsidRPr="00C77099" w:rsidRDefault="00D22189" w:rsidP="00C77099">
      <w:pPr>
        <w:spacing w:after="0" w:line="240" w:lineRule="auto"/>
        <w:jc w:val="both"/>
        <w:rPr>
          <w:rFonts w:ascii="Times New Roman" w:hAnsi="Times New Roman" w:cs="Times New Roman"/>
          <w:noProof/>
          <w:sz w:val="20"/>
          <w:szCs w:val="20"/>
        </w:rPr>
      </w:pPr>
      <w:r>
        <w:rPr>
          <w:rFonts w:ascii="Times New Roman" w:eastAsia="Times New Roman" w:hAnsi="Times New Roman" w:cs="Times New Roman"/>
          <w:b/>
          <w:w w:val="151"/>
          <w:sz w:val="20"/>
          <w:szCs w:val="20"/>
          <w:lang w:eastAsia="bg-BG"/>
        </w:rPr>
        <w:t>(</w:t>
      </w:r>
      <w:r w:rsidRPr="001E3B2A">
        <w:rPr>
          <w:rFonts w:ascii="Times New Roman" w:eastAsia="Times New Roman" w:hAnsi="Times New Roman" w:cs="Times New Roman"/>
          <w:w w:val="151"/>
          <w:sz w:val="20"/>
          <w:szCs w:val="20"/>
          <w:lang w:eastAsia="bg-BG"/>
        </w:rPr>
        <w:t>-</w:t>
      </w:r>
      <w:r>
        <w:rPr>
          <w:rFonts w:ascii="Times New Roman" w:eastAsia="Times New Roman" w:hAnsi="Times New Roman" w:cs="Times New Roman"/>
          <w:b/>
          <w:w w:val="151"/>
          <w:sz w:val="20"/>
          <w:szCs w:val="20"/>
          <w:lang w:eastAsia="bg-BG"/>
        </w:rPr>
        <w:t>)</w:t>
      </w:r>
      <w:r w:rsidRPr="00C77099">
        <w:rPr>
          <w:rFonts w:ascii="Times New Roman" w:eastAsia="Times New Roman" w:hAnsi="Times New Roman" w:cs="Times New Roman"/>
          <w:w w:val="151"/>
          <w:sz w:val="20"/>
          <w:szCs w:val="20"/>
          <w:lang w:eastAsia="bg-BG"/>
        </w:rPr>
        <w:t xml:space="preserve"> </w:t>
      </w:r>
      <w:r w:rsidRPr="00C77099">
        <w:rPr>
          <w:rFonts w:ascii="Times New Roman" w:hAnsi="Times New Roman" w:cs="Times New Roman"/>
          <w:noProof/>
          <w:sz w:val="20"/>
          <w:szCs w:val="20"/>
        </w:rPr>
        <w:t xml:space="preserve">- слабо влошаване на ситуацията; </w:t>
      </w:r>
    </w:p>
    <w:p w14:paraId="2A3CC377" w14:textId="46A01AC0" w:rsidR="00D22189" w:rsidRPr="00C77099" w:rsidRDefault="00D22189" w:rsidP="00C77099">
      <w:pPr>
        <w:spacing w:after="0" w:line="240" w:lineRule="auto"/>
        <w:jc w:val="both"/>
        <w:rPr>
          <w:rFonts w:ascii="Times New Roman" w:hAnsi="Times New Roman" w:cs="Times New Roman"/>
          <w:noProof/>
          <w:sz w:val="20"/>
          <w:szCs w:val="20"/>
        </w:rPr>
      </w:pPr>
      <w:r>
        <w:rPr>
          <w:rFonts w:ascii="Times New Roman" w:eastAsia="Times New Roman" w:hAnsi="Times New Roman" w:cs="Times New Roman"/>
          <w:b/>
          <w:w w:val="151"/>
          <w:sz w:val="20"/>
          <w:szCs w:val="20"/>
          <w:lang w:eastAsia="bg-BG"/>
        </w:rPr>
        <w:t>(</w:t>
      </w:r>
      <w:r w:rsidRPr="001E3B2A">
        <w:rPr>
          <w:rFonts w:ascii="Times New Roman" w:eastAsia="Times New Roman" w:hAnsi="Times New Roman" w:cs="Times New Roman"/>
          <w:w w:val="151"/>
          <w:sz w:val="20"/>
          <w:szCs w:val="20"/>
          <w:lang w:eastAsia="bg-BG"/>
        </w:rPr>
        <w:t>- -</w:t>
      </w:r>
      <w:r>
        <w:rPr>
          <w:rFonts w:ascii="Times New Roman" w:eastAsia="Times New Roman" w:hAnsi="Times New Roman" w:cs="Times New Roman"/>
          <w:b/>
          <w:w w:val="151"/>
          <w:sz w:val="20"/>
          <w:szCs w:val="20"/>
          <w:lang w:eastAsia="bg-BG"/>
        </w:rPr>
        <w:t>)</w:t>
      </w:r>
      <w:r w:rsidRPr="00C77099">
        <w:rPr>
          <w:rFonts w:ascii="Times New Roman" w:eastAsia="Times New Roman" w:hAnsi="Times New Roman" w:cs="Times New Roman"/>
          <w:b/>
          <w:w w:val="151"/>
          <w:sz w:val="20"/>
          <w:szCs w:val="20"/>
          <w:lang w:eastAsia="bg-BG"/>
        </w:rPr>
        <w:t xml:space="preserve"> </w:t>
      </w:r>
      <w:r w:rsidRPr="00C77099">
        <w:rPr>
          <w:rFonts w:ascii="Times New Roman" w:hAnsi="Times New Roman" w:cs="Times New Roman"/>
          <w:noProof/>
          <w:sz w:val="20"/>
          <w:szCs w:val="20"/>
        </w:rPr>
        <w:t xml:space="preserve">- значително влошаване на ситуацията;  </w:t>
      </w:r>
    </w:p>
    <w:p w14:paraId="7823780E" w14:textId="319D983B" w:rsidR="00D22189" w:rsidRPr="00C77099" w:rsidRDefault="00D22189" w:rsidP="00C77099">
      <w:pPr>
        <w:pStyle w:val="FootnoteText"/>
        <w:jc w:val="both"/>
        <w:rPr>
          <w:rFonts w:ascii="Times New Roman" w:hAnsi="Times New Roman"/>
        </w:rPr>
      </w:pPr>
      <w:r w:rsidRPr="001E3B2A">
        <w:rPr>
          <w:rFonts w:ascii="Times New Roman" w:eastAsia="Times New Roman" w:hAnsi="Times New Roman"/>
          <w:b/>
          <w:w w:val="151"/>
        </w:rPr>
        <w:t>(-/</w:t>
      </w:r>
      <w:r w:rsidRPr="00144BC5">
        <w:rPr>
          <w:rFonts w:ascii="Times New Roman" w:hAnsi="Times New Roman"/>
          <w:b/>
        </w:rPr>
        <w:t>+</w:t>
      </w:r>
      <w:r w:rsidRPr="001E3B2A">
        <w:rPr>
          <w:rFonts w:ascii="Times New Roman" w:hAnsi="Times New Roman"/>
          <w:b/>
        </w:rPr>
        <w:t>)</w:t>
      </w:r>
      <w:r w:rsidRPr="00C77099">
        <w:rPr>
          <w:rFonts w:ascii="Times New Roman" w:hAnsi="Times New Roman"/>
          <w:b/>
        </w:rPr>
        <w:t xml:space="preserve"> </w:t>
      </w:r>
      <w:r w:rsidRPr="00C77099">
        <w:rPr>
          <w:rFonts w:ascii="Times New Roman" w:hAnsi="Times New Roman"/>
          <w:noProof/>
        </w:rPr>
        <w:t>- незначително, нетрайно влошаване на ситуацията.</w:t>
      </w:r>
    </w:p>
  </w:footnote>
  <w:footnote w:id="66">
    <w:p w14:paraId="3AA1E72D" w14:textId="5B44B7D4" w:rsidR="00D22189" w:rsidRPr="00A50666" w:rsidRDefault="00D22189" w:rsidP="0088591D">
      <w:pPr>
        <w:pStyle w:val="FootnoteText"/>
        <w:rPr>
          <w:rFonts w:ascii="Times New Roman" w:hAnsi="Times New Roman"/>
          <w:lang w:val="ru-RU"/>
        </w:rPr>
      </w:pPr>
      <w:r w:rsidRPr="00A50666">
        <w:rPr>
          <w:rStyle w:val="FootnoteReference"/>
          <w:rFonts w:ascii="Times New Roman" w:hAnsi="Times New Roman"/>
        </w:rPr>
        <w:footnoteRef/>
      </w:r>
      <w:r w:rsidRPr="00A50666">
        <w:rPr>
          <w:rFonts w:ascii="Times New Roman" w:hAnsi="Times New Roman"/>
          <w:lang w:val="ru-RU"/>
        </w:rPr>
        <w:t xml:space="preserve"> Насоките са приети с Решение № 1777 на КЗК от 20.12.2011 г.</w:t>
      </w:r>
      <w:r>
        <w:rPr>
          <w:rFonts w:ascii="Times New Roman" w:hAnsi="Times New Roman"/>
          <w:lang w:val="ru-RU"/>
        </w:rPr>
        <w:t>, достъпни на:</w:t>
      </w:r>
      <w:r w:rsidRPr="00A50666">
        <w:rPr>
          <w:rFonts w:ascii="Times New Roman" w:hAnsi="Times New Roman"/>
        </w:rPr>
        <w:t xml:space="preserve"> </w:t>
      </w:r>
      <w:hyperlink r:id="rId19" w:history="1">
        <w:r w:rsidRPr="00EF1C2D">
          <w:rPr>
            <w:rStyle w:val="Hyperlink"/>
            <w:rFonts w:ascii="Times New Roman" w:hAnsi="Times New Roman"/>
            <w:lang w:val="ru-RU"/>
          </w:rPr>
          <w:t>https://cpc.bg/media/legislation/contracts/%D0%9D%D0%B0%D1%81%D0%BE%D0%BA%D0%B8.doc</w:t>
        </w:r>
      </w:hyperlink>
      <w:r>
        <w:rPr>
          <w:rFonts w:ascii="Times New Roman" w:hAnsi="Times New Roman"/>
          <w:lang w:val="ru-RU"/>
        </w:rPr>
        <w:t xml:space="preserve"> </w:t>
      </w:r>
    </w:p>
  </w:footnote>
  <w:footnote w:id="67">
    <w:p w14:paraId="620C3A7D" w14:textId="77777777" w:rsidR="00D22189" w:rsidRPr="00C77099" w:rsidRDefault="00D22189" w:rsidP="00C77099">
      <w:pPr>
        <w:pStyle w:val="FootnoteText"/>
        <w:jc w:val="both"/>
        <w:rPr>
          <w:rFonts w:ascii="Times New Roman" w:hAnsi="Times New Roman"/>
        </w:rPr>
      </w:pPr>
      <w:r w:rsidRPr="00C77099">
        <w:rPr>
          <w:rStyle w:val="FootnoteReference"/>
          <w:rFonts w:ascii="Times New Roman" w:hAnsi="Times New Roman"/>
        </w:rPr>
        <w:footnoteRef/>
      </w:r>
      <w:r w:rsidRPr="00C77099">
        <w:rPr>
          <w:rFonts w:ascii="Times New Roman" w:hAnsi="Times New Roman"/>
        </w:rPr>
        <w:t xml:space="preserve">От англ. evaluation.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842BB" w14:textId="5D0CF591" w:rsidR="00D22189" w:rsidRPr="0009775E" w:rsidRDefault="00D22189" w:rsidP="0009775E">
    <w:pPr>
      <w:pBdr>
        <w:bottom w:val="single" w:sz="6" w:space="1" w:color="auto"/>
      </w:pBdr>
      <w:spacing w:after="0" w:line="240" w:lineRule="auto"/>
      <w:ind w:right="-425"/>
      <w:jc w:val="center"/>
      <w:rPr>
        <w:rFonts w:ascii="Century" w:eastAsia="Calibri" w:hAnsi="Century" w:cs="Times New Roman"/>
        <w:b/>
        <w:noProof/>
        <w:color w:val="1F4E79" w:themeColor="accent1" w:themeShade="80"/>
        <w:sz w:val="20"/>
        <w:szCs w:val="20"/>
        <w:lang w:eastAsia="bg-BG"/>
      </w:rPr>
    </w:pPr>
    <w:r w:rsidRPr="00560C94">
      <w:rPr>
        <w:rFonts w:ascii="Century" w:eastAsia="Calibri" w:hAnsi="Century" w:cs="Times New Roman"/>
        <w:b/>
        <w:noProof/>
        <w:color w:val="1F4E79" w:themeColor="accent1" w:themeShade="80"/>
        <w:sz w:val="20"/>
        <w:szCs w:val="20"/>
        <w:lang w:eastAsia="bg-BG"/>
      </w:rPr>
      <w:t>Доклад с цялостна предварителна оценка на въздействието на проект на Закон за веригата на доставки на земеделски продукти и храни</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0B33"/>
    <w:multiLevelType w:val="hybridMultilevel"/>
    <w:tmpl w:val="66C03844"/>
    <w:lvl w:ilvl="0" w:tplc="E6169C72">
      <w:numFmt w:val="bullet"/>
      <w:lvlText w:val="-"/>
      <w:lvlJc w:val="left"/>
      <w:pPr>
        <w:ind w:left="720" w:hanging="360"/>
      </w:pPr>
      <w:rPr>
        <w:rFonts w:ascii="Century" w:eastAsiaTheme="minorHAnsi"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E7ABA"/>
    <w:multiLevelType w:val="hybridMultilevel"/>
    <w:tmpl w:val="F8266B6A"/>
    <w:lvl w:ilvl="0" w:tplc="3FDC4ED8">
      <w:start w:val="1"/>
      <w:numFmt w:val="bullet"/>
      <w:lvlText w:val="þ"/>
      <w:lvlJc w:val="left"/>
      <w:pPr>
        <w:ind w:left="720" w:hanging="360"/>
      </w:pPr>
      <w:rPr>
        <w:rFonts w:ascii="Wingdings" w:hAnsi="Wingdings" w:hint="default"/>
        <w:color w:val="323E4F"/>
        <w:sz w:val="20"/>
        <w:szCs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4292DCF"/>
    <w:multiLevelType w:val="hybridMultilevel"/>
    <w:tmpl w:val="419081B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 w15:restartNumberingAfterBreak="0">
    <w:nsid w:val="18760BE7"/>
    <w:multiLevelType w:val="hybridMultilevel"/>
    <w:tmpl w:val="9606C93A"/>
    <w:lvl w:ilvl="0" w:tplc="D730D758">
      <w:start w:val="3"/>
      <w:numFmt w:val="bullet"/>
      <w:lvlText w:val="-"/>
      <w:lvlJc w:val="left"/>
      <w:pPr>
        <w:ind w:left="1080" w:hanging="360"/>
      </w:pPr>
      <w:rPr>
        <w:rFonts w:ascii="Century" w:eastAsiaTheme="minorHAnsi" w:hAnsi="Century"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9B06B9"/>
    <w:multiLevelType w:val="multilevel"/>
    <w:tmpl w:val="4FB6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E90298"/>
    <w:multiLevelType w:val="hybridMultilevel"/>
    <w:tmpl w:val="79BCAE9C"/>
    <w:lvl w:ilvl="0" w:tplc="0809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6" w15:restartNumberingAfterBreak="0">
    <w:nsid w:val="3E3E193A"/>
    <w:multiLevelType w:val="hybridMultilevel"/>
    <w:tmpl w:val="1C74110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15:restartNumberingAfterBreak="0">
    <w:nsid w:val="4C174796"/>
    <w:multiLevelType w:val="multilevel"/>
    <w:tmpl w:val="2010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474F0C"/>
    <w:multiLevelType w:val="hybridMultilevel"/>
    <w:tmpl w:val="8FB8137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38B27A7"/>
    <w:multiLevelType w:val="hybridMultilevel"/>
    <w:tmpl w:val="C74E8620"/>
    <w:lvl w:ilvl="0" w:tplc="D730D758">
      <w:start w:val="3"/>
      <w:numFmt w:val="bullet"/>
      <w:lvlText w:val="-"/>
      <w:lvlJc w:val="left"/>
      <w:pPr>
        <w:ind w:left="720" w:hanging="360"/>
      </w:pPr>
      <w:rPr>
        <w:rFonts w:ascii="Century" w:eastAsiaTheme="minorHAnsi" w:hAnsi="Century"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883488"/>
    <w:multiLevelType w:val="multilevel"/>
    <w:tmpl w:val="08C006A4"/>
    <w:lvl w:ilvl="0">
      <w:start w:val="1"/>
      <w:numFmt w:val="decimal"/>
      <w:pStyle w:val="Heading1"/>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D97FEE"/>
    <w:multiLevelType w:val="hybridMultilevel"/>
    <w:tmpl w:val="274CFAFA"/>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num w:numId="1">
    <w:abstractNumId w:val="10"/>
  </w:num>
  <w:num w:numId="2">
    <w:abstractNumId w:val="1"/>
  </w:num>
  <w:num w:numId="3">
    <w:abstractNumId w:val="9"/>
  </w:num>
  <w:num w:numId="4">
    <w:abstractNumId w:val="3"/>
  </w:num>
  <w:num w:numId="5">
    <w:abstractNumId w:val="0"/>
  </w:num>
  <w:num w:numId="6">
    <w:abstractNumId w:val="5"/>
  </w:num>
  <w:num w:numId="7">
    <w:abstractNumId w:val="8"/>
  </w:num>
  <w:num w:numId="8">
    <w:abstractNumId w:val="11"/>
  </w:num>
  <w:num w:numId="9">
    <w:abstractNumId w:val="7"/>
  </w:num>
  <w:num w:numId="10">
    <w:abstractNumId w:val="4"/>
  </w:num>
  <w:num w:numId="11">
    <w:abstractNumId w:val="2"/>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047"/>
    <w:rsid w:val="0000070B"/>
    <w:rsid w:val="00000C92"/>
    <w:rsid w:val="00001A3D"/>
    <w:rsid w:val="0000368F"/>
    <w:rsid w:val="00003D68"/>
    <w:rsid w:val="00004232"/>
    <w:rsid w:val="00004614"/>
    <w:rsid w:val="00005D95"/>
    <w:rsid w:val="00006218"/>
    <w:rsid w:val="000117B1"/>
    <w:rsid w:val="000121DA"/>
    <w:rsid w:val="00012496"/>
    <w:rsid w:val="00012CBD"/>
    <w:rsid w:val="0001420C"/>
    <w:rsid w:val="000146AF"/>
    <w:rsid w:val="000149CC"/>
    <w:rsid w:val="00014E1E"/>
    <w:rsid w:val="00014F1E"/>
    <w:rsid w:val="000221DA"/>
    <w:rsid w:val="00022F89"/>
    <w:rsid w:val="00023D0C"/>
    <w:rsid w:val="000240E4"/>
    <w:rsid w:val="000244AC"/>
    <w:rsid w:val="00025E62"/>
    <w:rsid w:val="00026631"/>
    <w:rsid w:val="00026A22"/>
    <w:rsid w:val="000272BF"/>
    <w:rsid w:val="00027A2F"/>
    <w:rsid w:val="00027E0B"/>
    <w:rsid w:val="00030104"/>
    <w:rsid w:val="000324DC"/>
    <w:rsid w:val="00032526"/>
    <w:rsid w:val="0003598A"/>
    <w:rsid w:val="00035DC6"/>
    <w:rsid w:val="00035EEA"/>
    <w:rsid w:val="00041540"/>
    <w:rsid w:val="00043624"/>
    <w:rsid w:val="000443CB"/>
    <w:rsid w:val="00045724"/>
    <w:rsid w:val="00045782"/>
    <w:rsid w:val="00045961"/>
    <w:rsid w:val="00050BCE"/>
    <w:rsid w:val="0005342C"/>
    <w:rsid w:val="00054A0A"/>
    <w:rsid w:val="000568C9"/>
    <w:rsid w:val="0005723C"/>
    <w:rsid w:val="000605E5"/>
    <w:rsid w:val="00061571"/>
    <w:rsid w:val="00062D2C"/>
    <w:rsid w:val="000642BA"/>
    <w:rsid w:val="0006461F"/>
    <w:rsid w:val="000666CD"/>
    <w:rsid w:val="00066FD2"/>
    <w:rsid w:val="00070696"/>
    <w:rsid w:val="00071505"/>
    <w:rsid w:val="00071E50"/>
    <w:rsid w:val="0007276C"/>
    <w:rsid w:val="0007308D"/>
    <w:rsid w:val="00074029"/>
    <w:rsid w:val="00075155"/>
    <w:rsid w:val="0007553B"/>
    <w:rsid w:val="0007724C"/>
    <w:rsid w:val="0008193A"/>
    <w:rsid w:val="00081BA1"/>
    <w:rsid w:val="000832B3"/>
    <w:rsid w:val="000874A2"/>
    <w:rsid w:val="0009034E"/>
    <w:rsid w:val="00090BBD"/>
    <w:rsid w:val="00090F50"/>
    <w:rsid w:val="00091707"/>
    <w:rsid w:val="00091BA1"/>
    <w:rsid w:val="00091E03"/>
    <w:rsid w:val="00092BAA"/>
    <w:rsid w:val="00092F70"/>
    <w:rsid w:val="00094868"/>
    <w:rsid w:val="00095F30"/>
    <w:rsid w:val="0009632D"/>
    <w:rsid w:val="0009775E"/>
    <w:rsid w:val="00097843"/>
    <w:rsid w:val="000A00F5"/>
    <w:rsid w:val="000A2CF9"/>
    <w:rsid w:val="000A2F2C"/>
    <w:rsid w:val="000A47E8"/>
    <w:rsid w:val="000A5DF3"/>
    <w:rsid w:val="000A62F2"/>
    <w:rsid w:val="000A6665"/>
    <w:rsid w:val="000A6956"/>
    <w:rsid w:val="000B2B26"/>
    <w:rsid w:val="000B30CE"/>
    <w:rsid w:val="000B4B12"/>
    <w:rsid w:val="000B63ED"/>
    <w:rsid w:val="000B7AA5"/>
    <w:rsid w:val="000B7CE1"/>
    <w:rsid w:val="000C385C"/>
    <w:rsid w:val="000C627B"/>
    <w:rsid w:val="000C659B"/>
    <w:rsid w:val="000C72C0"/>
    <w:rsid w:val="000D0213"/>
    <w:rsid w:val="000D08E0"/>
    <w:rsid w:val="000D0D91"/>
    <w:rsid w:val="000D1E07"/>
    <w:rsid w:val="000D3407"/>
    <w:rsid w:val="000D505B"/>
    <w:rsid w:val="000D72C1"/>
    <w:rsid w:val="000D7D7C"/>
    <w:rsid w:val="000E0E39"/>
    <w:rsid w:val="000E2302"/>
    <w:rsid w:val="000E27CB"/>
    <w:rsid w:val="000E2E04"/>
    <w:rsid w:val="000E3929"/>
    <w:rsid w:val="000E5309"/>
    <w:rsid w:val="000E5348"/>
    <w:rsid w:val="000E54A2"/>
    <w:rsid w:val="000E551C"/>
    <w:rsid w:val="000E56F5"/>
    <w:rsid w:val="000E5A6A"/>
    <w:rsid w:val="000E74FD"/>
    <w:rsid w:val="000E7A3A"/>
    <w:rsid w:val="000F1088"/>
    <w:rsid w:val="000F15A1"/>
    <w:rsid w:val="000F2342"/>
    <w:rsid w:val="000F33C3"/>
    <w:rsid w:val="000F4922"/>
    <w:rsid w:val="000F5308"/>
    <w:rsid w:val="001006C5"/>
    <w:rsid w:val="00100A9F"/>
    <w:rsid w:val="00101864"/>
    <w:rsid w:val="00102022"/>
    <w:rsid w:val="00105034"/>
    <w:rsid w:val="00106D4B"/>
    <w:rsid w:val="0011039C"/>
    <w:rsid w:val="00110881"/>
    <w:rsid w:val="00115678"/>
    <w:rsid w:val="001158BA"/>
    <w:rsid w:val="00115CD9"/>
    <w:rsid w:val="00115FF9"/>
    <w:rsid w:val="00116A9B"/>
    <w:rsid w:val="00116D6E"/>
    <w:rsid w:val="00117862"/>
    <w:rsid w:val="00117C76"/>
    <w:rsid w:val="00117E69"/>
    <w:rsid w:val="00121050"/>
    <w:rsid w:val="0012107D"/>
    <w:rsid w:val="0012187D"/>
    <w:rsid w:val="00122DE6"/>
    <w:rsid w:val="00125791"/>
    <w:rsid w:val="00130542"/>
    <w:rsid w:val="00131735"/>
    <w:rsid w:val="00132F69"/>
    <w:rsid w:val="00136409"/>
    <w:rsid w:val="001369BF"/>
    <w:rsid w:val="0013773A"/>
    <w:rsid w:val="00141991"/>
    <w:rsid w:val="00143DEB"/>
    <w:rsid w:val="001447B5"/>
    <w:rsid w:val="00144BC5"/>
    <w:rsid w:val="00144C9C"/>
    <w:rsid w:val="001455F4"/>
    <w:rsid w:val="001468FF"/>
    <w:rsid w:val="00147CC6"/>
    <w:rsid w:val="00150C3A"/>
    <w:rsid w:val="0015360B"/>
    <w:rsid w:val="00153AC2"/>
    <w:rsid w:val="00153C65"/>
    <w:rsid w:val="0015625F"/>
    <w:rsid w:val="001579C1"/>
    <w:rsid w:val="00165647"/>
    <w:rsid w:val="001672DA"/>
    <w:rsid w:val="00170AD2"/>
    <w:rsid w:val="00170C89"/>
    <w:rsid w:val="0017180A"/>
    <w:rsid w:val="00171F85"/>
    <w:rsid w:val="0017237F"/>
    <w:rsid w:val="00176380"/>
    <w:rsid w:val="00177948"/>
    <w:rsid w:val="00180CD5"/>
    <w:rsid w:val="00181A7A"/>
    <w:rsid w:val="00184307"/>
    <w:rsid w:val="001857B4"/>
    <w:rsid w:val="0018621F"/>
    <w:rsid w:val="001906F0"/>
    <w:rsid w:val="001917F4"/>
    <w:rsid w:val="0019279B"/>
    <w:rsid w:val="0019369E"/>
    <w:rsid w:val="001940CB"/>
    <w:rsid w:val="0019410F"/>
    <w:rsid w:val="001944C5"/>
    <w:rsid w:val="00194561"/>
    <w:rsid w:val="00194B52"/>
    <w:rsid w:val="001956BB"/>
    <w:rsid w:val="0019762E"/>
    <w:rsid w:val="001A01A8"/>
    <w:rsid w:val="001A0EF3"/>
    <w:rsid w:val="001A1000"/>
    <w:rsid w:val="001A17A3"/>
    <w:rsid w:val="001A263C"/>
    <w:rsid w:val="001A3229"/>
    <w:rsid w:val="001A33B6"/>
    <w:rsid w:val="001A3A60"/>
    <w:rsid w:val="001A428E"/>
    <w:rsid w:val="001A4CEE"/>
    <w:rsid w:val="001A4DA6"/>
    <w:rsid w:val="001A562D"/>
    <w:rsid w:val="001A57D8"/>
    <w:rsid w:val="001A6853"/>
    <w:rsid w:val="001A7741"/>
    <w:rsid w:val="001B117A"/>
    <w:rsid w:val="001B36E7"/>
    <w:rsid w:val="001B5A92"/>
    <w:rsid w:val="001B6E3E"/>
    <w:rsid w:val="001B7CA8"/>
    <w:rsid w:val="001C0993"/>
    <w:rsid w:val="001C1AA5"/>
    <w:rsid w:val="001C5211"/>
    <w:rsid w:val="001C549F"/>
    <w:rsid w:val="001C6123"/>
    <w:rsid w:val="001C62C0"/>
    <w:rsid w:val="001C73E8"/>
    <w:rsid w:val="001D132A"/>
    <w:rsid w:val="001D4156"/>
    <w:rsid w:val="001D489D"/>
    <w:rsid w:val="001E088D"/>
    <w:rsid w:val="001E1A94"/>
    <w:rsid w:val="001E3103"/>
    <w:rsid w:val="001E3B2A"/>
    <w:rsid w:val="001E593E"/>
    <w:rsid w:val="001E5CBB"/>
    <w:rsid w:val="001F02C9"/>
    <w:rsid w:val="001F2070"/>
    <w:rsid w:val="002036CA"/>
    <w:rsid w:val="002064A3"/>
    <w:rsid w:val="00210B7B"/>
    <w:rsid w:val="0021116D"/>
    <w:rsid w:val="0021138D"/>
    <w:rsid w:val="002113CC"/>
    <w:rsid w:val="00211C6A"/>
    <w:rsid w:val="0021284C"/>
    <w:rsid w:val="002157E7"/>
    <w:rsid w:val="002175C4"/>
    <w:rsid w:val="00217654"/>
    <w:rsid w:val="00217E81"/>
    <w:rsid w:val="002203A9"/>
    <w:rsid w:val="00223D63"/>
    <w:rsid w:val="00227506"/>
    <w:rsid w:val="00227D55"/>
    <w:rsid w:val="00231027"/>
    <w:rsid w:val="00236BDF"/>
    <w:rsid w:val="0023795F"/>
    <w:rsid w:val="00240046"/>
    <w:rsid w:val="002423E7"/>
    <w:rsid w:val="002433F5"/>
    <w:rsid w:val="00243E61"/>
    <w:rsid w:val="00244937"/>
    <w:rsid w:val="00247AFF"/>
    <w:rsid w:val="00247BC1"/>
    <w:rsid w:val="00251228"/>
    <w:rsid w:val="00251AA1"/>
    <w:rsid w:val="00251C54"/>
    <w:rsid w:val="00253FAC"/>
    <w:rsid w:val="00256247"/>
    <w:rsid w:val="002610A2"/>
    <w:rsid w:val="002628C8"/>
    <w:rsid w:val="00262C0B"/>
    <w:rsid w:val="002660E5"/>
    <w:rsid w:val="0026731E"/>
    <w:rsid w:val="002706E8"/>
    <w:rsid w:val="00271058"/>
    <w:rsid w:val="002714EB"/>
    <w:rsid w:val="002715AF"/>
    <w:rsid w:val="00272BCA"/>
    <w:rsid w:val="00273754"/>
    <w:rsid w:val="00275867"/>
    <w:rsid w:val="00275D7E"/>
    <w:rsid w:val="002766C6"/>
    <w:rsid w:val="002809CA"/>
    <w:rsid w:val="00280E4D"/>
    <w:rsid w:val="0028109A"/>
    <w:rsid w:val="0028118D"/>
    <w:rsid w:val="002837EC"/>
    <w:rsid w:val="00285C0C"/>
    <w:rsid w:val="002907A2"/>
    <w:rsid w:val="00290914"/>
    <w:rsid w:val="002932A8"/>
    <w:rsid w:val="00293C5A"/>
    <w:rsid w:val="00294C78"/>
    <w:rsid w:val="002950F0"/>
    <w:rsid w:val="002955C5"/>
    <w:rsid w:val="002958CA"/>
    <w:rsid w:val="002A0049"/>
    <w:rsid w:val="002A08AC"/>
    <w:rsid w:val="002A1831"/>
    <w:rsid w:val="002A29BE"/>
    <w:rsid w:val="002A2B27"/>
    <w:rsid w:val="002A4A1E"/>
    <w:rsid w:val="002A5ADE"/>
    <w:rsid w:val="002A7B29"/>
    <w:rsid w:val="002B015E"/>
    <w:rsid w:val="002B0F7E"/>
    <w:rsid w:val="002B111D"/>
    <w:rsid w:val="002B2933"/>
    <w:rsid w:val="002B3957"/>
    <w:rsid w:val="002B5EAE"/>
    <w:rsid w:val="002B696C"/>
    <w:rsid w:val="002C1EB5"/>
    <w:rsid w:val="002C36E1"/>
    <w:rsid w:val="002C4C8D"/>
    <w:rsid w:val="002D1F29"/>
    <w:rsid w:val="002D1F59"/>
    <w:rsid w:val="002D2263"/>
    <w:rsid w:val="002D307D"/>
    <w:rsid w:val="002D361B"/>
    <w:rsid w:val="002D5721"/>
    <w:rsid w:val="002D6312"/>
    <w:rsid w:val="002D6B9A"/>
    <w:rsid w:val="002D70E3"/>
    <w:rsid w:val="002D7A13"/>
    <w:rsid w:val="002E0F8D"/>
    <w:rsid w:val="002E1234"/>
    <w:rsid w:val="002E1A69"/>
    <w:rsid w:val="002E204A"/>
    <w:rsid w:val="002E211A"/>
    <w:rsid w:val="002E304E"/>
    <w:rsid w:val="002E4AA9"/>
    <w:rsid w:val="002E5D77"/>
    <w:rsid w:val="002E5E4E"/>
    <w:rsid w:val="002E736D"/>
    <w:rsid w:val="002F1737"/>
    <w:rsid w:val="002F2796"/>
    <w:rsid w:val="002F289F"/>
    <w:rsid w:val="002F6B73"/>
    <w:rsid w:val="002F76B9"/>
    <w:rsid w:val="002F774C"/>
    <w:rsid w:val="002F7F79"/>
    <w:rsid w:val="0030111B"/>
    <w:rsid w:val="00301607"/>
    <w:rsid w:val="00302C41"/>
    <w:rsid w:val="00303960"/>
    <w:rsid w:val="00303CEA"/>
    <w:rsid w:val="003041EE"/>
    <w:rsid w:val="0030433D"/>
    <w:rsid w:val="00307508"/>
    <w:rsid w:val="00307AD7"/>
    <w:rsid w:val="00310072"/>
    <w:rsid w:val="00310552"/>
    <w:rsid w:val="003117BE"/>
    <w:rsid w:val="00311838"/>
    <w:rsid w:val="003129F1"/>
    <w:rsid w:val="003132F0"/>
    <w:rsid w:val="003140FC"/>
    <w:rsid w:val="00314CB8"/>
    <w:rsid w:val="00315381"/>
    <w:rsid w:val="00316C03"/>
    <w:rsid w:val="00317649"/>
    <w:rsid w:val="003176C0"/>
    <w:rsid w:val="003220B4"/>
    <w:rsid w:val="0032278E"/>
    <w:rsid w:val="003229A6"/>
    <w:rsid w:val="00323197"/>
    <w:rsid w:val="003257FA"/>
    <w:rsid w:val="00327280"/>
    <w:rsid w:val="003278E6"/>
    <w:rsid w:val="00330C9F"/>
    <w:rsid w:val="0033146E"/>
    <w:rsid w:val="00335966"/>
    <w:rsid w:val="00336704"/>
    <w:rsid w:val="00341C3E"/>
    <w:rsid w:val="003422C5"/>
    <w:rsid w:val="0034292F"/>
    <w:rsid w:val="0035055A"/>
    <w:rsid w:val="00351E9F"/>
    <w:rsid w:val="003549E4"/>
    <w:rsid w:val="00354C3F"/>
    <w:rsid w:val="00354C5F"/>
    <w:rsid w:val="0035557D"/>
    <w:rsid w:val="00356D97"/>
    <w:rsid w:val="00362E7A"/>
    <w:rsid w:val="00363156"/>
    <w:rsid w:val="0036373B"/>
    <w:rsid w:val="00363984"/>
    <w:rsid w:val="00364159"/>
    <w:rsid w:val="00364174"/>
    <w:rsid w:val="00365599"/>
    <w:rsid w:val="00370F3C"/>
    <w:rsid w:val="00371B0D"/>
    <w:rsid w:val="00372254"/>
    <w:rsid w:val="003732A2"/>
    <w:rsid w:val="00373622"/>
    <w:rsid w:val="00374438"/>
    <w:rsid w:val="00375498"/>
    <w:rsid w:val="00375CDA"/>
    <w:rsid w:val="003764F5"/>
    <w:rsid w:val="00376BFB"/>
    <w:rsid w:val="00376C9B"/>
    <w:rsid w:val="00376E6F"/>
    <w:rsid w:val="0037759C"/>
    <w:rsid w:val="00380CCB"/>
    <w:rsid w:val="00380E68"/>
    <w:rsid w:val="00381352"/>
    <w:rsid w:val="003818C7"/>
    <w:rsid w:val="00381AA7"/>
    <w:rsid w:val="00381D13"/>
    <w:rsid w:val="003830CB"/>
    <w:rsid w:val="003836DB"/>
    <w:rsid w:val="00383C83"/>
    <w:rsid w:val="00385912"/>
    <w:rsid w:val="003861DB"/>
    <w:rsid w:val="00386CCC"/>
    <w:rsid w:val="003905BB"/>
    <w:rsid w:val="0039136B"/>
    <w:rsid w:val="003920C0"/>
    <w:rsid w:val="003938EC"/>
    <w:rsid w:val="00394576"/>
    <w:rsid w:val="00395BA5"/>
    <w:rsid w:val="00396DB4"/>
    <w:rsid w:val="00397176"/>
    <w:rsid w:val="00397BAE"/>
    <w:rsid w:val="003A117C"/>
    <w:rsid w:val="003A14B4"/>
    <w:rsid w:val="003A3396"/>
    <w:rsid w:val="003A366A"/>
    <w:rsid w:val="003A472E"/>
    <w:rsid w:val="003A5403"/>
    <w:rsid w:val="003A5861"/>
    <w:rsid w:val="003B0663"/>
    <w:rsid w:val="003B106A"/>
    <w:rsid w:val="003B331D"/>
    <w:rsid w:val="003B6F7D"/>
    <w:rsid w:val="003C4275"/>
    <w:rsid w:val="003C44F8"/>
    <w:rsid w:val="003D213A"/>
    <w:rsid w:val="003D685C"/>
    <w:rsid w:val="003D79D3"/>
    <w:rsid w:val="003E01B8"/>
    <w:rsid w:val="003E25B7"/>
    <w:rsid w:val="003E3521"/>
    <w:rsid w:val="003F1514"/>
    <w:rsid w:val="003F223C"/>
    <w:rsid w:val="003F2DB3"/>
    <w:rsid w:val="003F5520"/>
    <w:rsid w:val="003F5B06"/>
    <w:rsid w:val="0040409C"/>
    <w:rsid w:val="004072C3"/>
    <w:rsid w:val="00410078"/>
    <w:rsid w:val="00411C1D"/>
    <w:rsid w:val="00417139"/>
    <w:rsid w:val="00417586"/>
    <w:rsid w:val="00421884"/>
    <w:rsid w:val="00422265"/>
    <w:rsid w:val="00422ABE"/>
    <w:rsid w:val="00422C48"/>
    <w:rsid w:val="004271B3"/>
    <w:rsid w:val="004272DB"/>
    <w:rsid w:val="004329BD"/>
    <w:rsid w:val="00433E78"/>
    <w:rsid w:val="00433FB8"/>
    <w:rsid w:val="00434BEC"/>
    <w:rsid w:val="00435FA0"/>
    <w:rsid w:val="00436959"/>
    <w:rsid w:val="00436D85"/>
    <w:rsid w:val="004370D7"/>
    <w:rsid w:val="004379E2"/>
    <w:rsid w:val="00440181"/>
    <w:rsid w:val="004403EF"/>
    <w:rsid w:val="0044128C"/>
    <w:rsid w:val="0044224F"/>
    <w:rsid w:val="00444C30"/>
    <w:rsid w:val="00445DEE"/>
    <w:rsid w:val="004469FF"/>
    <w:rsid w:val="004500BD"/>
    <w:rsid w:val="0045025E"/>
    <w:rsid w:val="004503C8"/>
    <w:rsid w:val="0045069C"/>
    <w:rsid w:val="00450A6D"/>
    <w:rsid w:val="00450E0F"/>
    <w:rsid w:val="00452F0E"/>
    <w:rsid w:val="00454218"/>
    <w:rsid w:val="004547FB"/>
    <w:rsid w:val="00454952"/>
    <w:rsid w:val="004578D9"/>
    <w:rsid w:val="00457C71"/>
    <w:rsid w:val="004615F4"/>
    <w:rsid w:val="00462849"/>
    <w:rsid w:val="00462853"/>
    <w:rsid w:val="00471F9A"/>
    <w:rsid w:val="00473646"/>
    <w:rsid w:val="0048055B"/>
    <w:rsid w:val="004835D1"/>
    <w:rsid w:val="0048392D"/>
    <w:rsid w:val="00484579"/>
    <w:rsid w:val="004845A6"/>
    <w:rsid w:val="004851D2"/>
    <w:rsid w:val="00485985"/>
    <w:rsid w:val="00486A68"/>
    <w:rsid w:val="00487E3D"/>
    <w:rsid w:val="004906EA"/>
    <w:rsid w:val="004921D4"/>
    <w:rsid w:val="0049468F"/>
    <w:rsid w:val="004A0643"/>
    <w:rsid w:val="004A0868"/>
    <w:rsid w:val="004A4476"/>
    <w:rsid w:val="004A45D1"/>
    <w:rsid w:val="004A4FB0"/>
    <w:rsid w:val="004A566F"/>
    <w:rsid w:val="004A7C08"/>
    <w:rsid w:val="004B063E"/>
    <w:rsid w:val="004B0D06"/>
    <w:rsid w:val="004B1BED"/>
    <w:rsid w:val="004B2C20"/>
    <w:rsid w:val="004B59DF"/>
    <w:rsid w:val="004B5B39"/>
    <w:rsid w:val="004B6305"/>
    <w:rsid w:val="004B67B7"/>
    <w:rsid w:val="004C0824"/>
    <w:rsid w:val="004C1557"/>
    <w:rsid w:val="004C2DA1"/>
    <w:rsid w:val="004C39E0"/>
    <w:rsid w:val="004C5995"/>
    <w:rsid w:val="004C5D4A"/>
    <w:rsid w:val="004C638A"/>
    <w:rsid w:val="004C68EF"/>
    <w:rsid w:val="004C79C2"/>
    <w:rsid w:val="004D00BA"/>
    <w:rsid w:val="004D1C47"/>
    <w:rsid w:val="004D316A"/>
    <w:rsid w:val="004D50A6"/>
    <w:rsid w:val="004D5F8C"/>
    <w:rsid w:val="004E1BAD"/>
    <w:rsid w:val="004E2069"/>
    <w:rsid w:val="004E3DDF"/>
    <w:rsid w:val="004E497C"/>
    <w:rsid w:val="004E538B"/>
    <w:rsid w:val="004E5614"/>
    <w:rsid w:val="004E5897"/>
    <w:rsid w:val="004E6E9A"/>
    <w:rsid w:val="004E77B3"/>
    <w:rsid w:val="004E7F56"/>
    <w:rsid w:val="004F0620"/>
    <w:rsid w:val="004F290C"/>
    <w:rsid w:val="004F295F"/>
    <w:rsid w:val="004F3C52"/>
    <w:rsid w:val="004F3D3F"/>
    <w:rsid w:val="004F4ED4"/>
    <w:rsid w:val="004F6B67"/>
    <w:rsid w:val="00500501"/>
    <w:rsid w:val="005015F3"/>
    <w:rsid w:val="005019F3"/>
    <w:rsid w:val="0050271B"/>
    <w:rsid w:val="005029C7"/>
    <w:rsid w:val="00502BBC"/>
    <w:rsid w:val="005037F1"/>
    <w:rsid w:val="00506F92"/>
    <w:rsid w:val="005154E2"/>
    <w:rsid w:val="005163F0"/>
    <w:rsid w:val="0051707A"/>
    <w:rsid w:val="005173C1"/>
    <w:rsid w:val="005205DA"/>
    <w:rsid w:val="0052220D"/>
    <w:rsid w:val="005245E8"/>
    <w:rsid w:val="00525AC4"/>
    <w:rsid w:val="00530676"/>
    <w:rsid w:val="00530A6F"/>
    <w:rsid w:val="0053108C"/>
    <w:rsid w:val="00531B17"/>
    <w:rsid w:val="00532807"/>
    <w:rsid w:val="00533455"/>
    <w:rsid w:val="005336D2"/>
    <w:rsid w:val="00534FE2"/>
    <w:rsid w:val="00535D2C"/>
    <w:rsid w:val="0053614E"/>
    <w:rsid w:val="00536915"/>
    <w:rsid w:val="00536C32"/>
    <w:rsid w:val="00537798"/>
    <w:rsid w:val="00542351"/>
    <w:rsid w:val="00542C81"/>
    <w:rsid w:val="00543997"/>
    <w:rsid w:val="00546CB8"/>
    <w:rsid w:val="0054739B"/>
    <w:rsid w:val="005515DE"/>
    <w:rsid w:val="005517AE"/>
    <w:rsid w:val="00557D64"/>
    <w:rsid w:val="00557FBF"/>
    <w:rsid w:val="00560C94"/>
    <w:rsid w:val="0056229A"/>
    <w:rsid w:val="00566342"/>
    <w:rsid w:val="00566E82"/>
    <w:rsid w:val="00567927"/>
    <w:rsid w:val="00567D8C"/>
    <w:rsid w:val="00570089"/>
    <w:rsid w:val="005704A4"/>
    <w:rsid w:val="00570786"/>
    <w:rsid w:val="005712B1"/>
    <w:rsid w:val="00571678"/>
    <w:rsid w:val="00571A7E"/>
    <w:rsid w:val="00571EC8"/>
    <w:rsid w:val="005737E3"/>
    <w:rsid w:val="00574206"/>
    <w:rsid w:val="00574D15"/>
    <w:rsid w:val="005770D6"/>
    <w:rsid w:val="005809F2"/>
    <w:rsid w:val="00582854"/>
    <w:rsid w:val="00583556"/>
    <w:rsid w:val="0058440D"/>
    <w:rsid w:val="00584C0C"/>
    <w:rsid w:val="0058745A"/>
    <w:rsid w:val="005903D4"/>
    <w:rsid w:val="00591BF8"/>
    <w:rsid w:val="005921ED"/>
    <w:rsid w:val="00592FA7"/>
    <w:rsid w:val="0059331C"/>
    <w:rsid w:val="00593D70"/>
    <w:rsid w:val="0059406F"/>
    <w:rsid w:val="0059635E"/>
    <w:rsid w:val="005A22E8"/>
    <w:rsid w:val="005A3045"/>
    <w:rsid w:val="005A5068"/>
    <w:rsid w:val="005B1EE9"/>
    <w:rsid w:val="005B2C8B"/>
    <w:rsid w:val="005B70C1"/>
    <w:rsid w:val="005C01E8"/>
    <w:rsid w:val="005C29B6"/>
    <w:rsid w:val="005C3AB0"/>
    <w:rsid w:val="005C41CD"/>
    <w:rsid w:val="005C7F2D"/>
    <w:rsid w:val="005C7FF3"/>
    <w:rsid w:val="005D2436"/>
    <w:rsid w:val="005D3752"/>
    <w:rsid w:val="005D42D0"/>
    <w:rsid w:val="005D4B15"/>
    <w:rsid w:val="005D680F"/>
    <w:rsid w:val="005D7032"/>
    <w:rsid w:val="005E0DB9"/>
    <w:rsid w:val="005E10AB"/>
    <w:rsid w:val="005E19DD"/>
    <w:rsid w:val="005E2822"/>
    <w:rsid w:val="005E2DBB"/>
    <w:rsid w:val="005E55B4"/>
    <w:rsid w:val="005E7A5E"/>
    <w:rsid w:val="005F115D"/>
    <w:rsid w:val="005F372D"/>
    <w:rsid w:val="005F3F0A"/>
    <w:rsid w:val="005F44C3"/>
    <w:rsid w:val="005F4878"/>
    <w:rsid w:val="005F51DD"/>
    <w:rsid w:val="005F5920"/>
    <w:rsid w:val="00603DA0"/>
    <w:rsid w:val="0060493B"/>
    <w:rsid w:val="00607CBB"/>
    <w:rsid w:val="00607FE5"/>
    <w:rsid w:val="006124B1"/>
    <w:rsid w:val="00612E2F"/>
    <w:rsid w:val="0061300E"/>
    <w:rsid w:val="00613AF7"/>
    <w:rsid w:val="006141FA"/>
    <w:rsid w:val="00615B34"/>
    <w:rsid w:val="006172CD"/>
    <w:rsid w:val="0061783C"/>
    <w:rsid w:val="006208E5"/>
    <w:rsid w:val="00622701"/>
    <w:rsid w:val="00627A96"/>
    <w:rsid w:val="00627E2D"/>
    <w:rsid w:val="00630BB2"/>
    <w:rsid w:val="00631640"/>
    <w:rsid w:val="00631ECF"/>
    <w:rsid w:val="006325C1"/>
    <w:rsid w:val="00633B97"/>
    <w:rsid w:val="00636E34"/>
    <w:rsid w:val="0063751A"/>
    <w:rsid w:val="00641050"/>
    <w:rsid w:val="00643818"/>
    <w:rsid w:val="006447C1"/>
    <w:rsid w:val="006452AC"/>
    <w:rsid w:val="00651E99"/>
    <w:rsid w:val="006528FD"/>
    <w:rsid w:val="00655273"/>
    <w:rsid w:val="006552C1"/>
    <w:rsid w:val="00655A62"/>
    <w:rsid w:val="006565F6"/>
    <w:rsid w:val="006570B7"/>
    <w:rsid w:val="0066371F"/>
    <w:rsid w:val="0066455B"/>
    <w:rsid w:val="006678D7"/>
    <w:rsid w:val="00670EDC"/>
    <w:rsid w:val="0067342C"/>
    <w:rsid w:val="00681757"/>
    <w:rsid w:val="006826F0"/>
    <w:rsid w:val="00682E22"/>
    <w:rsid w:val="00685471"/>
    <w:rsid w:val="00687E37"/>
    <w:rsid w:val="00690E70"/>
    <w:rsid w:val="00691B95"/>
    <w:rsid w:val="00691EA2"/>
    <w:rsid w:val="006925C9"/>
    <w:rsid w:val="0069290C"/>
    <w:rsid w:val="00694177"/>
    <w:rsid w:val="00694D00"/>
    <w:rsid w:val="006951C9"/>
    <w:rsid w:val="006951EB"/>
    <w:rsid w:val="006955D1"/>
    <w:rsid w:val="006958A5"/>
    <w:rsid w:val="006959B7"/>
    <w:rsid w:val="0069633A"/>
    <w:rsid w:val="00696711"/>
    <w:rsid w:val="00696AB3"/>
    <w:rsid w:val="006A141F"/>
    <w:rsid w:val="006A14CF"/>
    <w:rsid w:val="006A1699"/>
    <w:rsid w:val="006A241C"/>
    <w:rsid w:val="006A31F9"/>
    <w:rsid w:val="006A34B9"/>
    <w:rsid w:val="006A3EBB"/>
    <w:rsid w:val="006A55EA"/>
    <w:rsid w:val="006B0F75"/>
    <w:rsid w:val="006B128D"/>
    <w:rsid w:val="006B2513"/>
    <w:rsid w:val="006B2711"/>
    <w:rsid w:val="006B2747"/>
    <w:rsid w:val="006B38E6"/>
    <w:rsid w:val="006B4385"/>
    <w:rsid w:val="006B68AC"/>
    <w:rsid w:val="006B6D5E"/>
    <w:rsid w:val="006C02CC"/>
    <w:rsid w:val="006C0715"/>
    <w:rsid w:val="006C071E"/>
    <w:rsid w:val="006C1CD2"/>
    <w:rsid w:val="006C1F5F"/>
    <w:rsid w:val="006C2DC7"/>
    <w:rsid w:val="006C2F70"/>
    <w:rsid w:val="006C69C1"/>
    <w:rsid w:val="006D0607"/>
    <w:rsid w:val="006D13D2"/>
    <w:rsid w:val="006D1444"/>
    <w:rsid w:val="006D151C"/>
    <w:rsid w:val="006D2945"/>
    <w:rsid w:val="006D2CCA"/>
    <w:rsid w:val="006D5047"/>
    <w:rsid w:val="006E0704"/>
    <w:rsid w:val="006E08D1"/>
    <w:rsid w:val="006E11D5"/>
    <w:rsid w:val="006E1B51"/>
    <w:rsid w:val="006E3BBF"/>
    <w:rsid w:val="006E5541"/>
    <w:rsid w:val="006E5DD2"/>
    <w:rsid w:val="006E5DE7"/>
    <w:rsid w:val="006E66D1"/>
    <w:rsid w:val="006E78F8"/>
    <w:rsid w:val="006E7E83"/>
    <w:rsid w:val="006F0BF5"/>
    <w:rsid w:val="006F24A5"/>
    <w:rsid w:val="006F4650"/>
    <w:rsid w:val="006F513D"/>
    <w:rsid w:val="006F53E0"/>
    <w:rsid w:val="006F683C"/>
    <w:rsid w:val="006F7848"/>
    <w:rsid w:val="0070143F"/>
    <w:rsid w:val="00701CA9"/>
    <w:rsid w:val="0070548D"/>
    <w:rsid w:val="007054EE"/>
    <w:rsid w:val="00707E35"/>
    <w:rsid w:val="0071077F"/>
    <w:rsid w:val="00711111"/>
    <w:rsid w:val="00711653"/>
    <w:rsid w:val="007116C9"/>
    <w:rsid w:val="00711944"/>
    <w:rsid w:val="00711DEB"/>
    <w:rsid w:val="00715C87"/>
    <w:rsid w:val="00717937"/>
    <w:rsid w:val="00717A98"/>
    <w:rsid w:val="0072019E"/>
    <w:rsid w:val="007201FF"/>
    <w:rsid w:val="00720331"/>
    <w:rsid w:val="00722ED5"/>
    <w:rsid w:val="007234CE"/>
    <w:rsid w:val="00724465"/>
    <w:rsid w:val="00726295"/>
    <w:rsid w:val="0072650D"/>
    <w:rsid w:val="00733A27"/>
    <w:rsid w:val="00733C31"/>
    <w:rsid w:val="00733FF9"/>
    <w:rsid w:val="0073631A"/>
    <w:rsid w:val="007408BE"/>
    <w:rsid w:val="00741AC3"/>
    <w:rsid w:val="00742621"/>
    <w:rsid w:val="007447A5"/>
    <w:rsid w:val="00744FBB"/>
    <w:rsid w:val="007461DE"/>
    <w:rsid w:val="00746707"/>
    <w:rsid w:val="00746A15"/>
    <w:rsid w:val="00746B0D"/>
    <w:rsid w:val="00747146"/>
    <w:rsid w:val="00747C8B"/>
    <w:rsid w:val="00747CA3"/>
    <w:rsid w:val="00752D5E"/>
    <w:rsid w:val="00755195"/>
    <w:rsid w:val="0076156E"/>
    <w:rsid w:val="00761C95"/>
    <w:rsid w:val="00762521"/>
    <w:rsid w:val="00763B02"/>
    <w:rsid w:val="00765614"/>
    <w:rsid w:val="00766C40"/>
    <w:rsid w:val="00767741"/>
    <w:rsid w:val="0076785E"/>
    <w:rsid w:val="00767ED4"/>
    <w:rsid w:val="007703B1"/>
    <w:rsid w:val="00772350"/>
    <w:rsid w:val="0077395B"/>
    <w:rsid w:val="007754B3"/>
    <w:rsid w:val="007773DD"/>
    <w:rsid w:val="00780196"/>
    <w:rsid w:val="0078064C"/>
    <w:rsid w:val="00780D8E"/>
    <w:rsid w:val="0078209E"/>
    <w:rsid w:val="0078270F"/>
    <w:rsid w:val="00783C97"/>
    <w:rsid w:val="007843DF"/>
    <w:rsid w:val="0078485F"/>
    <w:rsid w:val="007848EC"/>
    <w:rsid w:val="00785242"/>
    <w:rsid w:val="00786B9B"/>
    <w:rsid w:val="007917E7"/>
    <w:rsid w:val="00793184"/>
    <w:rsid w:val="00794001"/>
    <w:rsid w:val="00794641"/>
    <w:rsid w:val="00794EFA"/>
    <w:rsid w:val="00795B55"/>
    <w:rsid w:val="00795D6B"/>
    <w:rsid w:val="00796C6B"/>
    <w:rsid w:val="00796DD7"/>
    <w:rsid w:val="00797BEE"/>
    <w:rsid w:val="007A2F54"/>
    <w:rsid w:val="007A3001"/>
    <w:rsid w:val="007A3C71"/>
    <w:rsid w:val="007A6532"/>
    <w:rsid w:val="007B0732"/>
    <w:rsid w:val="007B0A86"/>
    <w:rsid w:val="007B212D"/>
    <w:rsid w:val="007B2418"/>
    <w:rsid w:val="007B2FB2"/>
    <w:rsid w:val="007B356D"/>
    <w:rsid w:val="007B3A45"/>
    <w:rsid w:val="007B4448"/>
    <w:rsid w:val="007B4A99"/>
    <w:rsid w:val="007B4C9C"/>
    <w:rsid w:val="007B5A6E"/>
    <w:rsid w:val="007B64E1"/>
    <w:rsid w:val="007C367B"/>
    <w:rsid w:val="007C3E0F"/>
    <w:rsid w:val="007C3EB0"/>
    <w:rsid w:val="007C6C35"/>
    <w:rsid w:val="007C72BB"/>
    <w:rsid w:val="007C7E1F"/>
    <w:rsid w:val="007D1548"/>
    <w:rsid w:val="007D58A5"/>
    <w:rsid w:val="007D5D80"/>
    <w:rsid w:val="007E02CD"/>
    <w:rsid w:val="007E1D50"/>
    <w:rsid w:val="007E2172"/>
    <w:rsid w:val="007E246A"/>
    <w:rsid w:val="007E3C03"/>
    <w:rsid w:val="007E6B27"/>
    <w:rsid w:val="007F0721"/>
    <w:rsid w:val="007F0CD8"/>
    <w:rsid w:val="007F0E77"/>
    <w:rsid w:val="007F1D03"/>
    <w:rsid w:val="007F2536"/>
    <w:rsid w:val="007F3398"/>
    <w:rsid w:val="007F41DC"/>
    <w:rsid w:val="007F5494"/>
    <w:rsid w:val="007F6F3E"/>
    <w:rsid w:val="007F725F"/>
    <w:rsid w:val="007F78AF"/>
    <w:rsid w:val="00800051"/>
    <w:rsid w:val="008005EF"/>
    <w:rsid w:val="008021CD"/>
    <w:rsid w:val="0080246B"/>
    <w:rsid w:val="0080294E"/>
    <w:rsid w:val="008029B9"/>
    <w:rsid w:val="00802A59"/>
    <w:rsid w:val="00802CB7"/>
    <w:rsid w:val="00802E7D"/>
    <w:rsid w:val="00804500"/>
    <w:rsid w:val="00804DE8"/>
    <w:rsid w:val="008073B6"/>
    <w:rsid w:val="0080757E"/>
    <w:rsid w:val="0081112F"/>
    <w:rsid w:val="00812050"/>
    <w:rsid w:val="008126F1"/>
    <w:rsid w:val="00812A41"/>
    <w:rsid w:val="008169A1"/>
    <w:rsid w:val="00816A19"/>
    <w:rsid w:val="00816AC5"/>
    <w:rsid w:val="00817453"/>
    <w:rsid w:val="008175B8"/>
    <w:rsid w:val="008205D6"/>
    <w:rsid w:val="00821A3C"/>
    <w:rsid w:val="008237E8"/>
    <w:rsid w:val="0082457C"/>
    <w:rsid w:val="008245B6"/>
    <w:rsid w:val="0082603E"/>
    <w:rsid w:val="008262FE"/>
    <w:rsid w:val="00830244"/>
    <w:rsid w:val="008304D9"/>
    <w:rsid w:val="00831AD2"/>
    <w:rsid w:val="00831AF8"/>
    <w:rsid w:val="00833B83"/>
    <w:rsid w:val="00833D07"/>
    <w:rsid w:val="008345A0"/>
    <w:rsid w:val="00840583"/>
    <w:rsid w:val="0084287D"/>
    <w:rsid w:val="00843636"/>
    <w:rsid w:val="0084412A"/>
    <w:rsid w:val="0084694E"/>
    <w:rsid w:val="0084740E"/>
    <w:rsid w:val="0084772B"/>
    <w:rsid w:val="00847DBC"/>
    <w:rsid w:val="00850734"/>
    <w:rsid w:val="00854350"/>
    <w:rsid w:val="00855A06"/>
    <w:rsid w:val="008568EE"/>
    <w:rsid w:val="0085769C"/>
    <w:rsid w:val="0086064C"/>
    <w:rsid w:val="008606EC"/>
    <w:rsid w:val="00860A65"/>
    <w:rsid w:val="00861982"/>
    <w:rsid w:val="00861EA7"/>
    <w:rsid w:val="008622AD"/>
    <w:rsid w:val="00863DA5"/>
    <w:rsid w:val="00864405"/>
    <w:rsid w:val="008658B5"/>
    <w:rsid w:val="00865C92"/>
    <w:rsid w:val="00866E79"/>
    <w:rsid w:val="00867C09"/>
    <w:rsid w:val="00871AFC"/>
    <w:rsid w:val="008720A9"/>
    <w:rsid w:val="00872F6E"/>
    <w:rsid w:val="0087338E"/>
    <w:rsid w:val="00874754"/>
    <w:rsid w:val="008750D1"/>
    <w:rsid w:val="00877EF0"/>
    <w:rsid w:val="008804AB"/>
    <w:rsid w:val="00881C9A"/>
    <w:rsid w:val="00882D03"/>
    <w:rsid w:val="008844F1"/>
    <w:rsid w:val="0088591D"/>
    <w:rsid w:val="0088645E"/>
    <w:rsid w:val="0088777B"/>
    <w:rsid w:val="00890FF7"/>
    <w:rsid w:val="00892240"/>
    <w:rsid w:val="008935B3"/>
    <w:rsid w:val="00893B6A"/>
    <w:rsid w:val="00895FC6"/>
    <w:rsid w:val="008973A6"/>
    <w:rsid w:val="008977CB"/>
    <w:rsid w:val="00897C7E"/>
    <w:rsid w:val="008A1234"/>
    <w:rsid w:val="008A1DD6"/>
    <w:rsid w:val="008A2B61"/>
    <w:rsid w:val="008A3356"/>
    <w:rsid w:val="008A37FB"/>
    <w:rsid w:val="008A458D"/>
    <w:rsid w:val="008A60FE"/>
    <w:rsid w:val="008A617F"/>
    <w:rsid w:val="008B0155"/>
    <w:rsid w:val="008B0569"/>
    <w:rsid w:val="008B0E05"/>
    <w:rsid w:val="008B1538"/>
    <w:rsid w:val="008B2A2E"/>
    <w:rsid w:val="008B391C"/>
    <w:rsid w:val="008B3C7F"/>
    <w:rsid w:val="008B54A0"/>
    <w:rsid w:val="008B79A5"/>
    <w:rsid w:val="008B7CEE"/>
    <w:rsid w:val="008C0E40"/>
    <w:rsid w:val="008C1F4F"/>
    <w:rsid w:val="008C2654"/>
    <w:rsid w:val="008C419E"/>
    <w:rsid w:val="008C48BB"/>
    <w:rsid w:val="008C4E6A"/>
    <w:rsid w:val="008D0E15"/>
    <w:rsid w:val="008D14A2"/>
    <w:rsid w:val="008D3D38"/>
    <w:rsid w:val="008D5902"/>
    <w:rsid w:val="008E140C"/>
    <w:rsid w:val="008E2F0B"/>
    <w:rsid w:val="008E3370"/>
    <w:rsid w:val="008E3E4C"/>
    <w:rsid w:val="008E5534"/>
    <w:rsid w:val="008E69B5"/>
    <w:rsid w:val="008E6F9B"/>
    <w:rsid w:val="008E6FDA"/>
    <w:rsid w:val="008E7F03"/>
    <w:rsid w:val="008F123D"/>
    <w:rsid w:val="008F2D17"/>
    <w:rsid w:val="008F2FFE"/>
    <w:rsid w:val="008F366C"/>
    <w:rsid w:val="008F52A9"/>
    <w:rsid w:val="008F60FD"/>
    <w:rsid w:val="008F7328"/>
    <w:rsid w:val="008F79CF"/>
    <w:rsid w:val="0090026A"/>
    <w:rsid w:val="00901BB9"/>
    <w:rsid w:val="00903C2F"/>
    <w:rsid w:val="0090444C"/>
    <w:rsid w:val="009049A7"/>
    <w:rsid w:val="009052D9"/>
    <w:rsid w:val="00906BF6"/>
    <w:rsid w:val="0091131D"/>
    <w:rsid w:val="0091147A"/>
    <w:rsid w:val="00911E90"/>
    <w:rsid w:val="009130CF"/>
    <w:rsid w:val="0091327B"/>
    <w:rsid w:val="00914990"/>
    <w:rsid w:val="0091624D"/>
    <w:rsid w:val="0091656D"/>
    <w:rsid w:val="009210D9"/>
    <w:rsid w:val="009216D2"/>
    <w:rsid w:val="00921BA2"/>
    <w:rsid w:val="009238CD"/>
    <w:rsid w:val="00926038"/>
    <w:rsid w:val="00926764"/>
    <w:rsid w:val="00927EB5"/>
    <w:rsid w:val="00930190"/>
    <w:rsid w:val="00931B4A"/>
    <w:rsid w:val="009339BE"/>
    <w:rsid w:val="00933CAC"/>
    <w:rsid w:val="00933FA1"/>
    <w:rsid w:val="00935AB9"/>
    <w:rsid w:val="00935B84"/>
    <w:rsid w:val="00937221"/>
    <w:rsid w:val="009402FD"/>
    <w:rsid w:val="00940D80"/>
    <w:rsid w:val="00941491"/>
    <w:rsid w:val="00941AD9"/>
    <w:rsid w:val="00943123"/>
    <w:rsid w:val="00950802"/>
    <w:rsid w:val="00951016"/>
    <w:rsid w:val="00952987"/>
    <w:rsid w:val="00952D16"/>
    <w:rsid w:val="0095418E"/>
    <w:rsid w:val="0095423E"/>
    <w:rsid w:val="00955D6A"/>
    <w:rsid w:val="00957C82"/>
    <w:rsid w:val="00960A76"/>
    <w:rsid w:val="00962546"/>
    <w:rsid w:val="009632BD"/>
    <w:rsid w:val="00964D43"/>
    <w:rsid w:val="00964D83"/>
    <w:rsid w:val="009671DD"/>
    <w:rsid w:val="00967227"/>
    <w:rsid w:val="009678BA"/>
    <w:rsid w:val="0097091E"/>
    <w:rsid w:val="009716A6"/>
    <w:rsid w:val="0097239F"/>
    <w:rsid w:val="00975C31"/>
    <w:rsid w:val="00976832"/>
    <w:rsid w:val="0098164A"/>
    <w:rsid w:val="009831AC"/>
    <w:rsid w:val="009835D2"/>
    <w:rsid w:val="00983762"/>
    <w:rsid w:val="0098398D"/>
    <w:rsid w:val="00984317"/>
    <w:rsid w:val="00984737"/>
    <w:rsid w:val="009858CE"/>
    <w:rsid w:val="00985F0B"/>
    <w:rsid w:val="00991938"/>
    <w:rsid w:val="00992EA3"/>
    <w:rsid w:val="009951DD"/>
    <w:rsid w:val="00995951"/>
    <w:rsid w:val="009971E9"/>
    <w:rsid w:val="009A2833"/>
    <w:rsid w:val="009A3EA8"/>
    <w:rsid w:val="009A40A8"/>
    <w:rsid w:val="009A6CC7"/>
    <w:rsid w:val="009A7224"/>
    <w:rsid w:val="009B1F12"/>
    <w:rsid w:val="009B21AA"/>
    <w:rsid w:val="009B261E"/>
    <w:rsid w:val="009B2E6B"/>
    <w:rsid w:val="009B365E"/>
    <w:rsid w:val="009B7004"/>
    <w:rsid w:val="009B7599"/>
    <w:rsid w:val="009B7EAA"/>
    <w:rsid w:val="009C0D24"/>
    <w:rsid w:val="009C0EA6"/>
    <w:rsid w:val="009C11AD"/>
    <w:rsid w:val="009C4544"/>
    <w:rsid w:val="009C59C2"/>
    <w:rsid w:val="009C70E2"/>
    <w:rsid w:val="009D11CD"/>
    <w:rsid w:val="009D1C2A"/>
    <w:rsid w:val="009D3FA8"/>
    <w:rsid w:val="009D3FB1"/>
    <w:rsid w:val="009D4755"/>
    <w:rsid w:val="009D4837"/>
    <w:rsid w:val="009D4A37"/>
    <w:rsid w:val="009D4EEC"/>
    <w:rsid w:val="009D6110"/>
    <w:rsid w:val="009E06B0"/>
    <w:rsid w:val="009E1F65"/>
    <w:rsid w:val="009E22B6"/>
    <w:rsid w:val="009E24D0"/>
    <w:rsid w:val="009E26C5"/>
    <w:rsid w:val="009E4AE8"/>
    <w:rsid w:val="009E5064"/>
    <w:rsid w:val="009E54EB"/>
    <w:rsid w:val="009F209D"/>
    <w:rsid w:val="009F2D8D"/>
    <w:rsid w:val="009F3150"/>
    <w:rsid w:val="009F44BC"/>
    <w:rsid w:val="009F4891"/>
    <w:rsid w:val="009F4AE5"/>
    <w:rsid w:val="009F54F3"/>
    <w:rsid w:val="009F5887"/>
    <w:rsid w:val="009F686D"/>
    <w:rsid w:val="009F7075"/>
    <w:rsid w:val="009F7E5F"/>
    <w:rsid w:val="00A00153"/>
    <w:rsid w:val="00A002B6"/>
    <w:rsid w:val="00A016EC"/>
    <w:rsid w:val="00A0285C"/>
    <w:rsid w:val="00A04747"/>
    <w:rsid w:val="00A063CB"/>
    <w:rsid w:val="00A0642B"/>
    <w:rsid w:val="00A10304"/>
    <w:rsid w:val="00A10ECA"/>
    <w:rsid w:val="00A114A6"/>
    <w:rsid w:val="00A1758C"/>
    <w:rsid w:val="00A21B81"/>
    <w:rsid w:val="00A23CDE"/>
    <w:rsid w:val="00A25CFC"/>
    <w:rsid w:val="00A26190"/>
    <w:rsid w:val="00A34A29"/>
    <w:rsid w:val="00A369F3"/>
    <w:rsid w:val="00A37BA3"/>
    <w:rsid w:val="00A42450"/>
    <w:rsid w:val="00A4458E"/>
    <w:rsid w:val="00A44935"/>
    <w:rsid w:val="00A46824"/>
    <w:rsid w:val="00A50520"/>
    <w:rsid w:val="00A50666"/>
    <w:rsid w:val="00A50D54"/>
    <w:rsid w:val="00A51A93"/>
    <w:rsid w:val="00A51F67"/>
    <w:rsid w:val="00A51FD0"/>
    <w:rsid w:val="00A5236A"/>
    <w:rsid w:val="00A550C8"/>
    <w:rsid w:val="00A55C7C"/>
    <w:rsid w:val="00A60ABB"/>
    <w:rsid w:val="00A60D10"/>
    <w:rsid w:val="00A627B6"/>
    <w:rsid w:val="00A62B8A"/>
    <w:rsid w:val="00A62DB3"/>
    <w:rsid w:val="00A63A2E"/>
    <w:rsid w:val="00A642C4"/>
    <w:rsid w:val="00A6529C"/>
    <w:rsid w:val="00A65C1A"/>
    <w:rsid w:val="00A66EB8"/>
    <w:rsid w:val="00A674C8"/>
    <w:rsid w:val="00A679D5"/>
    <w:rsid w:val="00A708FB"/>
    <w:rsid w:val="00A70BE6"/>
    <w:rsid w:val="00A70E4F"/>
    <w:rsid w:val="00A723DF"/>
    <w:rsid w:val="00A74C8D"/>
    <w:rsid w:val="00A77E80"/>
    <w:rsid w:val="00A80065"/>
    <w:rsid w:val="00A87501"/>
    <w:rsid w:val="00A90045"/>
    <w:rsid w:val="00A901F5"/>
    <w:rsid w:val="00A9164D"/>
    <w:rsid w:val="00A91BE9"/>
    <w:rsid w:val="00A91EC5"/>
    <w:rsid w:val="00A92370"/>
    <w:rsid w:val="00A92745"/>
    <w:rsid w:val="00A957DE"/>
    <w:rsid w:val="00AA1090"/>
    <w:rsid w:val="00AA11AF"/>
    <w:rsid w:val="00AA4358"/>
    <w:rsid w:val="00AA4731"/>
    <w:rsid w:val="00AA510E"/>
    <w:rsid w:val="00AA626A"/>
    <w:rsid w:val="00AA77CB"/>
    <w:rsid w:val="00AA7ADD"/>
    <w:rsid w:val="00AB0BC4"/>
    <w:rsid w:val="00AB209E"/>
    <w:rsid w:val="00AB219B"/>
    <w:rsid w:val="00AB2332"/>
    <w:rsid w:val="00AB3CBA"/>
    <w:rsid w:val="00AB3EDB"/>
    <w:rsid w:val="00AB6CE8"/>
    <w:rsid w:val="00AB6D1C"/>
    <w:rsid w:val="00AB6F4E"/>
    <w:rsid w:val="00AB7DC6"/>
    <w:rsid w:val="00AC0848"/>
    <w:rsid w:val="00AC2F82"/>
    <w:rsid w:val="00AC3099"/>
    <w:rsid w:val="00AC365F"/>
    <w:rsid w:val="00AC5D87"/>
    <w:rsid w:val="00AC6213"/>
    <w:rsid w:val="00AC6AC0"/>
    <w:rsid w:val="00AC7C9C"/>
    <w:rsid w:val="00AD0E56"/>
    <w:rsid w:val="00AD2103"/>
    <w:rsid w:val="00AD26DF"/>
    <w:rsid w:val="00AD3394"/>
    <w:rsid w:val="00AD43D4"/>
    <w:rsid w:val="00AD4449"/>
    <w:rsid w:val="00AD7D1B"/>
    <w:rsid w:val="00AE529F"/>
    <w:rsid w:val="00AF055E"/>
    <w:rsid w:val="00AF05AC"/>
    <w:rsid w:val="00AF0FEC"/>
    <w:rsid w:val="00AF34C4"/>
    <w:rsid w:val="00AF55ED"/>
    <w:rsid w:val="00AF5E8C"/>
    <w:rsid w:val="00B014F0"/>
    <w:rsid w:val="00B03BD0"/>
    <w:rsid w:val="00B12602"/>
    <w:rsid w:val="00B12BC5"/>
    <w:rsid w:val="00B139A8"/>
    <w:rsid w:val="00B14246"/>
    <w:rsid w:val="00B15E39"/>
    <w:rsid w:val="00B16388"/>
    <w:rsid w:val="00B169BE"/>
    <w:rsid w:val="00B17876"/>
    <w:rsid w:val="00B2077B"/>
    <w:rsid w:val="00B20BB7"/>
    <w:rsid w:val="00B22C3A"/>
    <w:rsid w:val="00B244DD"/>
    <w:rsid w:val="00B2616A"/>
    <w:rsid w:val="00B26551"/>
    <w:rsid w:val="00B26729"/>
    <w:rsid w:val="00B272F7"/>
    <w:rsid w:val="00B275F3"/>
    <w:rsid w:val="00B3061B"/>
    <w:rsid w:val="00B306A0"/>
    <w:rsid w:val="00B30E78"/>
    <w:rsid w:val="00B31368"/>
    <w:rsid w:val="00B329F5"/>
    <w:rsid w:val="00B32AFD"/>
    <w:rsid w:val="00B34170"/>
    <w:rsid w:val="00B343F7"/>
    <w:rsid w:val="00B355C2"/>
    <w:rsid w:val="00B36369"/>
    <w:rsid w:val="00B36BBE"/>
    <w:rsid w:val="00B36EAC"/>
    <w:rsid w:val="00B37218"/>
    <w:rsid w:val="00B37C24"/>
    <w:rsid w:val="00B424FB"/>
    <w:rsid w:val="00B431AC"/>
    <w:rsid w:val="00B431C4"/>
    <w:rsid w:val="00B46454"/>
    <w:rsid w:val="00B50769"/>
    <w:rsid w:val="00B520C7"/>
    <w:rsid w:val="00B52FBE"/>
    <w:rsid w:val="00B5389F"/>
    <w:rsid w:val="00B55D7B"/>
    <w:rsid w:val="00B5657B"/>
    <w:rsid w:val="00B57EB3"/>
    <w:rsid w:val="00B64ECC"/>
    <w:rsid w:val="00B66754"/>
    <w:rsid w:val="00B667B4"/>
    <w:rsid w:val="00B7053A"/>
    <w:rsid w:val="00B716FB"/>
    <w:rsid w:val="00B71B38"/>
    <w:rsid w:val="00B72BD8"/>
    <w:rsid w:val="00B73074"/>
    <w:rsid w:val="00B73740"/>
    <w:rsid w:val="00B73741"/>
    <w:rsid w:val="00B73B76"/>
    <w:rsid w:val="00B7542A"/>
    <w:rsid w:val="00B75A9F"/>
    <w:rsid w:val="00B76013"/>
    <w:rsid w:val="00B771D9"/>
    <w:rsid w:val="00B7782C"/>
    <w:rsid w:val="00B8084F"/>
    <w:rsid w:val="00B81457"/>
    <w:rsid w:val="00B817ED"/>
    <w:rsid w:val="00B83A67"/>
    <w:rsid w:val="00B853DD"/>
    <w:rsid w:val="00B8646D"/>
    <w:rsid w:val="00B877DF"/>
    <w:rsid w:val="00B90957"/>
    <w:rsid w:val="00B91790"/>
    <w:rsid w:val="00B920D8"/>
    <w:rsid w:val="00B92B76"/>
    <w:rsid w:val="00B96563"/>
    <w:rsid w:val="00B966EB"/>
    <w:rsid w:val="00BA0115"/>
    <w:rsid w:val="00BA0CA1"/>
    <w:rsid w:val="00BA1498"/>
    <w:rsid w:val="00BA398B"/>
    <w:rsid w:val="00BA3EEB"/>
    <w:rsid w:val="00BA4D6A"/>
    <w:rsid w:val="00BA4F2F"/>
    <w:rsid w:val="00BA6B5E"/>
    <w:rsid w:val="00BB15ED"/>
    <w:rsid w:val="00BB176B"/>
    <w:rsid w:val="00BB1E51"/>
    <w:rsid w:val="00BB245C"/>
    <w:rsid w:val="00BB323F"/>
    <w:rsid w:val="00BB3544"/>
    <w:rsid w:val="00BB4514"/>
    <w:rsid w:val="00BB52BC"/>
    <w:rsid w:val="00BB6BD6"/>
    <w:rsid w:val="00BB6E67"/>
    <w:rsid w:val="00BB6E97"/>
    <w:rsid w:val="00BC74EC"/>
    <w:rsid w:val="00BC7D8D"/>
    <w:rsid w:val="00BD031A"/>
    <w:rsid w:val="00BD069F"/>
    <w:rsid w:val="00BD1286"/>
    <w:rsid w:val="00BD6C53"/>
    <w:rsid w:val="00BD7151"/>
    <w:rsid w:val="00BD762B"/>
    <w:rsid w:val="00BE0181"/>
    <w:rsid w:val="00BE22FB"/>
    <w:rsid w:val="00BE3300"/>
    <w:rsid w:val="00BE4073"/>
    <w:rsid w:val="00BE417F"/>
    <w:rsid w:val="00BE4797"/>
    <w:rsid w:val="00BE6EB7"/>
    <w:rsid w:val="00BE7D4F"/>
    <w:rsid w:val="00BF09EC"/>
    <w:rsid w:val="00BF119F"/>
    <w:rsid w:val="00BF2837"/>
    <w:rsid w:val="00BF28C8"/>
    <w:rsid w:val="00BF3001"/>
    <w:rsid w:val="00BF758D"/>
    <w:rsid w:val="00BF7AD5"/>
    <w:rsid w:val="00C008CE"/>
    <w:rsid w:val="00C0144F"/>
    <w:rsid w:val="00C016F4"/>
    <w:rsid w:val="00C029B5"/>
    <w:rsid w:val="00C02EB6"/>
    <w:rsid w:val="00C03765"/>
    <w:rsid w:val="00C038AA"/>
    <w:rsid w:val="00C041DA"/>
    <w:rsid w:val="00C069E6"/>
    <w:rsid w:val="00C11E79"/>
    <w:rsid w:val="00C1207E"/>
    <w:rsid w:val="00C13AA5"/>
    <w:rsid w:val="00C13AC0"/>
    <w:rsid w:val="00C13D9B"/>
    <w:rsid w:val="00C13DA0"/>
    <w:rsid w:val="00C13E53"/>
    <w:rsid w:val="00C1475E"/>
    <w:rsid w:val="00C161B7"/>
    <w:rsid w:val="00C16C2C"/>
    <w:rsid w:val="00C20AD5"/>
    <w:rsid w:val="00C20BBB"/>
    <w:rsid w:val="00C20BD8"/>
    <w:rsid w:val="00C20DFD"/>
    <w:rsid w:val="00C23B06"/>
    <w:rsid w:val="00C25043"/>
    <w:rsid w:val="00C25FC8"/>
    <w:rsid w:val="00C26851"/>
    <w:rsid w:val="00C274F1"/>
    <w:rsid w:val="00C334BB"/>
    <w:rsid w:val="00C3632B"/>
    <w:rsid w:val="00C3718D"/>
    <w:rsid w:val="00C37C27"/>
    <w:rsid w:val="00C37E40"/>
    <w:rsid w:val="00C4077F"/>
    <w:rsid w:val="00C40A49"/>
    <w:rsid w:val="00C438B5"/>
    <w:rsid w:val="00C44457"/>
    <w:rsid w:val="00C45254"/>
    <w:rsid w:val="00C458A1"/>
    <w:rsid w:val="00C476FB"/>
    <w:rsid w:val="00C47849"/>
    <w:rsid w:val="00C505FB"/>
    <w:rsid w:val="00C5257A"/>
    <w:rsid w:val="00C527DD"/>
    <w:rsid w:val="00C52A75"/>
    <w:rsid w:val="00C52DEE"/>
    <w:rsid w:val="00C54033"/>
    <w:rsid w:val="00C549FA"/>
    <w:rsid w:val="00C56949"/>
    <w:rsid w:val="00C639A8"/>
    <w:rsid w:val="00C64E89"/>
    <w:rsid w:val="00C65496"/>
    <w:rsid w:val="00C66897"/>
    <w:rsid w:val="00C70BD6"/>
    <w:rsid w:val="00C7171F"/>
    <w:rsid w:val="00C72BBF"/>
    <w:rsid w:val="00C746D0"/>
    <w:rsid w:val="00C75FCB"/>
    <w:rsid w:val="00C77099"/>
    <w:rsid w:val="00C81BE4"/>
    <w:rsid w:val="00C82E1B"/>
    <w:rsid w:val="00C836A0"/>
    <w:rsid w:val="00C83CA4"/>
    <w:rsid w:val="00C8511B"/>
    <w:rsid w:val="00C8782E"/>
    <w:rsid w:val="00C87FAE"/>
    <w:rsid w:val="00C91091"/>
    <w:rsid w:val="00C91B3B"/>
    <w:rsid w:val="00C93AEC"/>
    <w:rsid w:val="00C9637B"/>
    <w:rsid w:val="00C96F04"/>
    <w:rsid w:val="00C97FBA"/>
    <w:rsid w:val="00CA097B"/>
    <w:rsid w:val="00CA1723"/>
    <w:rsid w:val="00CA37E2"/>
    <w:rsid w:val="00CA4186"/>
    <w:rsid w:val="00CA5FB4"/>
    <w:rsid w:val="00CA6D3E"/>
    <w:rsid w:val="00CB0A97"/>
    <w:rsid w:val="00CB27F0"/>
    <w:rsid w:val="00CB2D50"/>
    <w:rsid w:val="00CB3E40"/>
    <w:rsid w:val="00CB4272"/>
    <w:rsid w:val="00CB5880"/>
    <w:rsid w:val="00CB6786"/>
    <w:rsid w:val="00CB67EB"/>
    <w:rsid w:val="00CC0049"/>
    <w:rsid w:val="00CC2646"/>
    <w:rsid w:val="00CC4500"/>
    <w:rsid w:val="00CC651D"/>
    <w:rsid w:val="00CD0FA1"/>
    <w:rsid w:val="00CD1168"/>
    <w:rsid w:val="00CD217C"/>
    <w:rsid w:val="00CD2AD5"/>
    <w:rsid w:val="00CD7411"/>
    <w:rsid w:val="00CE10AC"/>
    <w:rsid w:val="00CE43AF"/>
    <w:rsid w:val="00CE5AB9"/>
    <w:rsid w:val="00CE5F76"/>
    <w:rsid w:val="00CE6ED5"/>
    <w:rsid w:val="00CE7CCD"/>
    <w:rsid w:val="00CF2411"/>
    <w:rsid w:val="00CF2446"/>
    <w:rsid w:val="00CF2A95"/>
    <w:rsid w:val="00CF2D07"/>
    <w:rsid w:val="00CF2DA7"/>
    <w:rsid w:val="00CF448C"/>
    <w:rsid w:val="00CF5410"/>
    <w:rsid w:val="00D00FEC"/>
    <w:rsid w:val="00D010CB"/>
    <w:rsid w:val="00D0165D"/>
    <w:rsid w:val="00D01DDD"/>
    <w:rsid w:val="00D02838"/>
    <w:rsid w:val="00D0312F"/>
    <w:rsid w:val="00D031C5"/>
    <w:rsid w:val="00D0365A"/>
    <w:rsid w:val="00D036B5"/>
    <w:rsid w:val="00D04B0E"/>
    <w:rsid w:val="00D102E9"/>
    <w:rsid w:val="00D11A93"/>
    <w:rsid w:val="00D11F8D"/>
    <w:rsid w:val="00D1204A"/>
    <w:rsid w:val="00D13896"/>
    <w:rsid w:val="00D13D75"/>
    <w:rsid w:val="00D14E83"/>
    <w:rsid w:val="00D162A5"/>
    <w:rsid w:val="00D1659A"/>
    <w:rsid w:val="00D16BE1"/>
    <w:rsid w:val="00D20FEE"/>
    <w:rsid w:val="00D2108A"/>
    <w:rsid w:val="00D2171D"/>
    <w:rsid w:val="00D22189"/>
    <w:rsid w:val="00D224BA"/>
    <w:rsid w:val="00D236FE"/>
    <w:rsid w:val="00D2457F"/>
    <w:rsid w:val="00D262D5"/>
    <w:rsid w:val="00D2742F"/>
    <w:rsid w:val="00D31B3A"/>
    <w:rsid w:val="00D32292"/>
    <w:rsid w:val="00D344D6"/>
    <w:rsid w:val="00D363A5"/>
    <w:rsid w:val="00D365C9"/>
    <w:rsid w:val="00D37210"/>
    <w:rsid w:val="00D3763A"/>
    <w:rsid w:val="00D40A0A"/>
    <w:rsid w:val="00D43873"/>
    <w:rsid w:val="00D43DB0"/>
    <w:rsid w:val="00D457D8"/>
    <w:rsid w:val="00D47ACA"/>
    <w:rsid w:val="00D50E73"/>
    <w:rsid w:val="00D51DF1"/>
    <w:rsid w:val="00D524B8"/>
    <w:rsid w:val="00D53F35"/>
    <w:rsid w:val="00D55BB7"/>
    <w:rsid w:val="00D56158"/>
    <w:rsid w:val="00D57E59"/>
    <w:rsid w:val="00D6059C"/>
    <w:rsid w:val="00D60C1F"/>
    <w:rsid w:val="00D612ED"/>
    <w:rsid w:val="00D61DF9"/>
    <w:rsid w:val="00D62206"/>
    <w:rsid w:val="00D6331B"/>
    <w:rsid w:val="00D65CD4"/>
    <w:rsid w:val="00D66398"/>
    <w:rsid w:val="00D66912"/>
    <w:rsid w:val="00D66AB5"/>
    <w:rsid w:val="00D67773"/>
    <w:rsid w:val="00D71206"/>
    <w:rsid w:val="00D74FF6"/>
    <w:rsid w:val="00D75CF6"/>
    <w:rsid w:val="00D7711F"/>
    <w:rsid w:val="00D77C2D"/>
    <w:rsid w:val="00D8147A"/>
    <w:rsid w:val="00D82130"/>
    <w:rsid w:val="00D837F8"/>
    <w:rsid w:val="00D84B47"/>
    <w:rsid w:val="00D84CB3"/>
    <w:rsid w:val="00D85532"/>
    <w:rsid w:val="00D8595B"/>
    <w:rsid w:val="00D859F0"/>
    <w:rsid w:val="00D8603D"/>
    <w:rsid w:val="00D86BE0"/>
    <w:rsid w:val="00D86DE4"/>
    <w:rsid w:val="00D8711F"/>
    <w:rsid w:val="00D90978"/>
    <w:rsid w:val="00D91104"/>
    <w:rsid w:val="00D918E0"/>
    <w:rsid w:val="00D924B1"/>
    <w:rsid w:val="00D93194"/>
    <w:rsid w:val="00D9463F"/>
    <w:rsid w:val="00D94B6E"/>
    <w:rsid w:val="00D953EE"/>
    <w:rsid w:val="00D95D38"/>
    <w:rsid w:val="00D96B5B"/>
    <w:rsid w:val="00D96E8B"/>
    <w:rsid w:val="00D97981"/>
    <w:rsid w:val="00DA0F09"/>
    <w:rsid w:val="00DA3681"/>
    <w:rsid w:val="00DA4688"/>
    <w:rsid w:val="00DA47C0"/>
    <w:rsid w:val="00DA6956"/>
    <w:rsid w:val="00DA6A77"/>
    <w:rsid w:val="00DA6E65"/>
    <w:rsid w:val="00DA753F"/>
    <w:rsid w:val="00DB0D3A"/>
    <w:rsid w:val="00DB2627"/>
    <w:rsid w:val="00DB36EF"/>
    <w:rsid w:val="00DB5E09"/>
    <w:rsid w:val="00DB6268"/>
    <w:rsid w:val="00DB64D8"/>
    <w:rsid w:val="00DB7FED"/>
    <w:rsid w:val="00DC1315"/>
    <w:rsid w:val="00DC367A"/>
    <w:rsid w:val="00DC3762"/>
    <w:rsid w:val="00DC3F8C"/>
    <w:rsid w:val="00DC472B"/>
    <w:rsid w:val="00DC67C0"/>
    <w:rsid w:val="00DC7B54"/>
    <w:rsid w:val="00DC7D4A"/>
    <w:rsid w:val="00DD3307"/>
    <w:rsid w:val="00DD5E28"/>
    <w:rsid w:val="00DD6386"/>
    <w:rsid w:val="00DD69D5"/>
    <w:rsid w:val="00DE0597"/>
    <w:rsid w:val="00DE0974"/>
    <w:rsid w:val="00DE11E7"/>
    <w:rsid w:val="00DE1731"/>
    <w:rsid w:val="00DE2073"/>
    <w:rsid w:val="00DE43CE"/>
    <w:rsid w:val="00DE4F02"/>
    <w:rsid w:val="00DE531F"/>
    <w:rsid w:val="00DE5F97"/>
    <w:rsid w:val="00DE649B"/>
    <w:rsid w:val="00DE742A"/>
    <w:rsid w:val="00DF1B7A"/>
    <w:rsid w:val="00DF215E"/>
    <w:rsid w:val="00DF4C95"/>
    <w:rsid w:val="00DF4F72"/>
    <w:rsid w:val="00DF4FA0"/>
    <w:rsid w:val="00DF6224"/>
    <w:rsid w:val="00DF6DF0"/>
    <w:rsid w:val="00DF704F"/>
    <w:rsid w:val="00DF7517"/>
    <w:rsid w:val="00DF7DC0"/>
    <w:rsid w:val="00E00DFC"/>
    <w:rsid w:val="00E0123D"/>
    <w:rsid w:val="00E01818"/>
    <w:rsid w:val="00E02FA0"/>
    <w:rsid w:val="00E07C99"/>
    <w:rsid w:val="00E1027C"/>
    <w:rsid w:val="00E102B4"/>
    <w:rsid w:val="00E111D6"/>
    <w:rsid w:val="00E12608"/>
    <w:rsid w:val="00E14C45"/>
    <w:rsid w:val="00E16161"/>
    <w:rsid w:val="00E164D8"/>
    <w:rsid w:val="00E2093A"/>
    <w:rsid w:val="00E20B73"/>
    <w:rsid w:val="00E2218D"/>
    <w:rsid w:val="00E2571A"/>
    <w:rsid w:val="00E26AFF"/>
    <w:rsid w:val="00E33D1A"/>
    <w:rsid w:val="00E33E7D"/>
    <w:rsid w:val="00E357E9"/>
    <w:rsid w:val="00E36526"/>
    <w:rsid w:val="00E373B8"/>
    <w:rsid w:val="00E378B1"/>
    <w:rsid w:val="00E425C8"/>
    <w:rsid w:val="00E43188"/>
    <w:rsid w:val="00E4464C"/>
    <w:rsid w:val="00E464CF"/>
    <w:rsid w:val="00E474C0"/>
    <w:rsid w:val="00E52F46"/>
    <w:rsid w:val="00E6003A"/>
    <w:rsid w:val="00E60AA6"/>
    <w:rsid w:val="00E61AB7"/>
    <w:rsid w:val="00E62418"/>
    <w:rsid w:val="00E643FB"/>
    <w:rsid w:val="00E662CD"/>
    <w:rsid w:val="00E66716"/>
    <w:rsid w:val="00E67A0B"/>
    <w:rsid w:val="00E702CE"/>
    <w:rsid w:val="00E75AFC"/>
    <w:rsid w:val="00E75F03"/>
    <w:rsid w:val="00E774D2"/>
    <w:rsid w:val="00E77B27"/>
    <w:rsid w:val="00E83607"/>
    <w:rsid w:val="00E848B4"/>
    <w:rsid w:val="00E904B8"/>
    <w:rsid w:val="00E91316"/>
    <w:rsid w:val="00E913D0"/>
    <w:rsid w:val="00E9154D"/>
    <w:rsid w:val="00E91E05"/>
    <w:rsid w:val="00E94C70"/>
    <w:rsid w:val="00EA020E"/>
    <w:rsid w:val="00EA1628"/>
    <w:rsid w:val="00EA2264"/>
    <w:rsid w:val="00EA3126"/>
    <w:rsid w:val="00EA37C7"/>
    <w:rsid w:val="00EA656A"/>
    <w:rsid w:val="00EB079C"/>
    <w:rsid w:val="00EB1749"/>
    <w:rsid w:val="00EB3922"/>
    <w:rsid w:val="00EB3CD8"/>
    <w:rsid w:val="00EB3E7D"/>
    <w:rsid w:val="00EB4056"/>
    <w:rsid w:val="00EB4069"/>
    <w:rsid w:val="00EB4CFE"/>
    <w:rsid w:val="00EC2B08"/>
    <w:rsid w:val="00EC3E4F"/>
    <w:rsid w:val="00EC4D26"/>
    <w:rsid w:val="00EC5272"/>
    <w:rsid w:val="00EC63C5"/>
    <w:rsid w:val="00EC6E54"/>
    <w:rsid w:val="00ED0108"/>
    <w:rsid w:val="00ED0C04"/>
    <w:rsid w:val="00ED2D1E"/>
    <w:rsid w:val="00ED6430"/>
    <w:rsid w:val="00ED7FB1"/>
    <w:rsid w:val="00EE3369"/>
    <w:rsid w:val="00EE3B9F"/>
    <w:rsid w:val="00EE492D"/>
    <w:rsid w:val="00EE4F2E"/>
    <w:rsid w:val="00EE74BD"/>
    <w:rsid w:val="00EF03C6"/>
    <w:rsid w:val="00EF23CB"/>
    <w:rsid w:val="00EF2D80"/>
    <w:rsid w:val="00EF44A7"/>
    <w:rsid w:val="00EF450E"/>
    <w:rsid w:val="00EF52C3"/>
    <w:rsid w:val="00EF651D"/>
    <w:rsid w:val="00EF6F48"/>
    <w:rsid w:val="00EF7B3B"/>
    <w:rsid w:val="00EF7EC9"/>
    <w:rsid w:val="00F01717"/>
    <w:rsid w:val="00F01DC3"/>
    <w:rsid w:val="00F02350"/>
    <w:rsid w:val="00F04089"/>
    <w:rsid w:val="00F10FBB"/>
    <w:rsid w:val="00F113E7"/>
    <w:rsid w:val="00F13FFA"/>
    <w:rsid w:val="00F15277"/>
    <w:rsid w:val="00F157D6"/>
    <w:rsid w:val="00F1690A"/>
    <w:rsid w:val="00F20A3A"/>
    <w:rsid w:val="00F20E8E"/>
    <w:rsid w:val="00F2209A"/>
    <w:rsid w:val="00F22D3F"/>
    <w:rsid w:val="00F24CBC"/>
    <w:rsid w:val="00F26DAF"/>
    <w:rsid w:val="00F277F9"/>
    <w:rsid w:val="00F27F0B"/>
    <w:rsid w:val="00F317EE"/>
    <w:rsid w:val="00F31B33"/>
    <w:rsid w:val="00F35440"/>
    <w:rsid w:val="00F36B5A"/>
    <w:rsid w:val="00F40BBA"/>
    <w:rsid w:val="00F4244F"/>
    <w:rsid w:val="00F4450D"/>
    <w:rsid w:val="00F44841"/>
    <w:rsid w:val="00F46E88"/>
    <w:rsid w:val="00F47EE1"/>
    <w:rsid w:val="00F50381"/>
    <w:rsid w:val="00F50689"/>
    <w:rsid w:val="00F50BC3"/>
    <w:rsid w:val="00F51623"/>
    <w:rsid w:val="00F5363D"/>
    <w:rsid w:val="00F536F4"/>
    <w:rsid w:val="00F55361"/>
    <w:rsid w:val="00F557F5"/>
    <w:rsid w:val="00F56469"/>
    <w:rsid w:val="00F57410"/>
    <w:rsid w:val="00F608F7"/>
    <w:rsid w:val="00F6099D"/>
    <w:rsid w:val="00F636AC"/>
    <w:rsid w:val="00F63EB7"/>
    <w:rsid w:val="00F64594"/>
    <w:rsid w:val="00F651EC"/>
    <w:rsid w:val="00F678CB"/>
    <w:rsid w:val="00F67ED9"/>
    <w:rsid w:val="00F70307"/>
    <w:rsid w:val="00F7440A"/>
    <w:rsid w:val="00F7453A"/>
    <w:rsid w:val="00F76FF2"/>
    <w:rsid w:val="00F81E3A"/>
    <w:rsid w:val="00F83096"/>
    <w:rsid w:val="00F86F67"/>
    <w:rsid w:val="00F87D58"/>
    <w:rsid w:val="00F92AA8"/>
    <w:rsid w:val="00F947F1"/>
    <w:rsid w:val="00F94F80"/>
    <w:rsid w:val="00F971A7"/>
    <w:rsid w:val="00F97F2E"/>
    <w:rsid w:val="00FA0751"/>
    <w:rsid w:val="00FA0B87"/>
    <w:rsid w:val="00FA0C3C"/>
    <w:rsid w:val="00FA1D3C"/>
    <w:rsid w:val="00FA27D2"/>
    <w:rsid w:val="00FA4885"/>
    <w:rsid w:val="00FB0251"/>
    <w:rsid w:val="00FB2C65"/>
    <w:rsid w:val="00FB2D1D"/>
    <w:rsid w:val="00FB386A"/>
    <w:rsid w:val="00FB588D"/>
    <w:rsid w:val="00FB621F"/>
    <w:rsid w:val="00FB685B"/>
    <w:rsid w:val="00FB74CA"/>
    <w:rsid w:val="00FC0B6F"/>
    <w:rsid w:val="00FC1329"/>
    <w:rsid w:val="00FC1546"/>
    <w:rsid w:val="00FC2036"/>
    <w:rsid w:val="00FC3AAA"/>
    <w:rsid w:val="00FC4127"/>
    <w:rsid w:val="00FC439B"/>
    <w:rsid w:val="00FC4CED"/>
    <w:rsid w:val="00FC5BA2"/>
    <w:rsid w:val="00FD1198"/>
    <w:rsid w:val="00FD3215"/>
    <w:rsid w:val="00FD3AEE"/>
    <w:rsid w:val="00FD3CB4"/>
    <w:rsid w:val="00FD3D2A"/>
    <w:rsid w:val="00FD51F2"/>
    <w:rsid w:val="00FD7307"/>
    <w:rsid w:val="00FE1623"/>
    <w:rsid w:val="00FE5A3F"/>
    <w:rsid w:val="00FE5AEB"/>
    <w:rsid w:val="00FE65A9"/>
    <w:rsid w:val="00FF0304"/>
    <w:rsid w:val="00FF07C3"/>
    <w:rsid w:val="00FF1BCC"/>
    <w:rsid w:val="00FF2A89"/>
    <w:rsid w:val="00FF4E4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7AF49"/>
  <w15:docId w15:val="{94718DA8-9BD4-4EC5-8514-B4F463D2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F09"/>
  </w:style>
  <w:style w:type="paragraph" w:styleId="Heading1">
    <w:name w:val="heading 1"/>
    <w:basedOn w:val="Normal"/>
    <w:next w:val="Normal"/>
    <w:link w:val="Heading1Char"/>
    <w:uiPriority w:val="9"/>
    <w:qFormat/>
    <w:rsid w:val="00B8646D"/>
    <w:pPr>
      <w:keepNext/>
      <w:keepLines/>
      <w:numPr>
        <w:numId w:val="1"/>
      </w:numPr>
      <w:spacing w:before="240" w:after="0"/>
      <w:jc w:val="both"/>
      <w:outlineLvl w:val="0"/>
    </w:pPr>
    <w:rPr>
      <w:rFonts w:ascii="Century" w:eastAsiaTheme="majorEastAsia" w:hAnsi="Century" w:cs="Times New Roman"/>
      <w:b/>
      <w:color w:val="1F4E79" w:themeColor="accent1" w:themeShade="80"/>
      <w:sz w:val="32"/>
      <w:szCs w:val="32"/>
    </w:rPr>
  </w:style>
  <w:style w:type="paragraph" w:styleId="Heading2">
    <w:name w:val="heading 2"/>
    <w:basedOn w:val="Normal"/>
    <w:next w:val="Normal"/>
    <w:link w:val="Heading2Char"/>
    <w:uiPriority w:val="9"/>
    <w:unhideWhenUsed/>
    <w:qFormat/>
    <w:rsid w:val="00B8646D"/>
    <w:pPr>
      <w:keepNext/>
      <w:keepLines/>
      <w:spacing w:before="40" w:after="0"/>
      <w:outlineLvl w:val="1"/>
    </w:pPr>
    <w:rPr>
      <w:rFonts w:ascii="Century" w:eastAsiaTheme="majorEastAsia" w:hAnsi="Century" w:cs="Times New Roman"/>
      <w:b/>
      <w:color w:val="1F4E79" w:themeColor="accent1" w:themeShade="80"/>
      <w:sz w:val="26"/>
      <w:szCs w:val="26"/>
    </w:rPr>
  </w:style>
  <w:style w:type="paragraph" w:styleId="Heading3">
    <w:name w:val="heading 3"/>
    <w:basedOn w:val="Normal"/>
    <w:next w:val="Normal"/>
    <w:link w:val="Heading3Char"/>
    <w:uiPriority w:val="9"/>
    <w:unhideWhenUsed/>
    <w:qFormat/>
    <w:rsid w:val="007B21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C65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46D"/>
    <w:rPr>
      <w:rFonts w:ascii="Century" w:eastAsiaTheme="majorEastAsia" w:hAnsi="Century" w:cs="Times New Roman"/>
      <w:b/>
      <w:color w:val="1F4E79" w:themeColor="accent1" w:themeShade="80"/>
      <w:sz w:val="32"/>
      <w:szCs w:val="32"/>
    </w:rPr>
  </w:style>
  <w:style w:type="character" w:customStyle="1" w:styleId="Heading2Char">
    <w:name w:val="Heading 2 Char"/>
    <w:basedOn w:val="DefaultParagraphFont"/>
    <w:link w:val="Heading2"/>
    <w:uiPriority w:val="9"/>
    <w:rsid w:val="00B8646D"/>
    <w:rPr>
      <w:rFonts w:ascii="Century" w:eastAsiaTheme="majorEastAsia" w:hAnsi="Century" w:cs="Times New Roman"/>
      <w:b/>
      <w:color w:val="1F4E79" w:themeColor="accent1" w:themeShade="80"/>
      <w:sz w:val="26"/>
      <w:szCs w:val="26"/>
    </w:rPr>
  </w:style>
  <w:style w:type="character" w:customStyle="1" w:styleId="Heading3Char">
    <w:name w:val="Heading 3 Char"/>
    <w:basedOn w:val="DefaultParagraphFont"/>
    <w:link w:val="Heading3"/>
    <w:uiPriority w:val="9"/>
    <w:rsid w:val="007B212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C651D"/>
    <w:rPr>
      <w:rFonts w:asciiTheme="majorHAnsi" w:eastAsiaTheme="majorEastAsia" w:hAnsiTheme="majorHAnsi" w:cstheme="majorBidi"/>
      <w:i/>
      <w:iCs/>
      <w:color w:val="2E74B5" w:themeColor="accent1" w:themeShade="BF"/>
    </w:rPr>
  </w:style>
  <w:style w:type="paragraph" w:styleId="NoSpacing">
    <w:name w:val="No Spacing"/>
    <w:link w:val="NoSpacingChar"/>
    <w:uiPriority w:val="1"/>
    <w:qFormat/>
    <w:rsid w:val="001917F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917F4"/>
    <w:rPr>
      <w:rFonts w:eastAsiaTheme="minorEastAsia"/>
      <w:lang w:val="en-US"/>
    </w:rPr>
  </w:style>
  <w:style w:type="paragraph" w:styleId="TOCHeading">
    <w:name w:val="TOC Heading"/>
    <w:basedOn w:val="Heading1"/>
    <w:next w:val="Normal"/>
    <w:uiPriority w:val="39"/>
    <w:unhideWhenUsed/>
    <w:qFormat/>
    <w:rsid w:val="001917F4"/>
    <w:pPr>
      <w:outlineLvl w:val="9"/>
    </w:pPr>
    <w:rPr>
      <w:lang w:val="en-US"/>
    </w:rPr>
  </w:style>
  <w:style w:type="table" w:styleId="TableGrid">
    <w:name w:val="Table Grid"/>
    <w:basedOn w:val="TableNormal"/>
    <w:uiPriority w:val="39"/>
    <w:rsid w:val="00826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E0E39"/>
    <w:pPr>
      <w:tabs>
        <w:tab w:val="left" w:pos="440"/>
        <w:tab w:val="right" w:leader="dot" w:pos="9062"/>
      </w:tabs>
      <w:spacing w:after="100"/>
    </w:pPr>
    <w:rPr>
      <w:rFonts w:ascii="Times New Roman" w:hAnsi="Times New Roman" w:cs="Times New Roman"/>
      <w:noProof/>
    </w:rPr>
  </w:style>
  <w:style w:type="character" w:styleId="Hyperlink">
    <w:name w:val="Hyperlink"/>
    <w:basedOn w:val="DefaultParagraphFont"/>
    <w:uiPriority w:val="99"/>
    <w:unhideWhenUsed/>
    <w:rsid w:val="00BA0CA1"/>
    <w:rPr>
      <w:color w:val="0563C1" w:themeColor="hyperlink"/>
      <w:u w:val="single"/>
    </w:rPr>
  </w:style>
  <w:style w:type="paragraph" w:styleId="ListParagraph">
    <w:name w:val="List Paragraph"/>
    <w:aliases w:val="Numbered list,ПАРАГРАФ"/>
    <w:basedOn w:val="Normal"/>
    <w:uiPriority w:val="34"/>
    <w:qFormat/>
    <w:rsid w:val="000D7D7C"/>
    <w:pPr>
      <w:ind w:left="720"/>
      <w:contextualSpacing/>
    </w:pPr>
  </w:style>
  <w:style w:type="paragraph" w:styleId="TOC2">
    <w:name w:val="toc 2"/>
    <w:basedOn w:val="Normal"/>
    <w:next w:val="Normal"/>
    <w:autoRedefine/>
    <w:uiPriority w:val="39"/>
    <w:unhideWhenUsed/>
    <w:rsid w:val="00761C95"/>
    <w:pPr>
      <w:spacing w:after="100"/>
      <w:ind w:left="220"/>
    </w:pPr>
  </w:style>
  <w:style w:type="paragraph" w:styleId="Title">
    <w:name w:val="Title"/>
    <w:basedOn w:val="Normal"/>
    <w:next w:val="Normal"/>
    <w:link w:val="TitleChar"/>
    <w:uiPriority w:val="10"/>
    <w:qFormat/>
    <w:rsid w:val="006C2DC7"/>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6C2DC7"/>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6C2DC7"/>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6C2DC7"/>
    <w:rPr>
      <w:rFonts w:eastAsiaTheme="minorEastAsia" w:cs="Times New Roman"/>
      <w:color w:val="5A5A5A" w:themeColor="text1" w:themeTint="A5"/>
      <w:spacing w:val="15"/>
      <w:lang w:val="en-US"/>
    </w:rPr>
  </w:style>
  <w:style w:type="paragraph" w:styleId="Header">
    <w:name w:val="header"/>
    <w:aliases w:val="_2.Seite,2.Seite,Kopfzeile 2.Seite,hd,(17) EPR Header Char Char,(17) EPR Header Char,Intestazione.int.intestazione,Intestazione.int,Char2,Char5 Char,Char5,Char,(17) EPR Header,Знак Знак"/>
    <w:basedOn w:val="Normal"/>
    <w:link w:val="HeaderChar"/>
    <w:uiPriority w:val="99"/>
    <w:unhideWhenUsed/>
    <w:rsid w:val="002D7A13"/>
    <w:pPr>
      <w:tabs>
        <w:tab w:val="center" w:pos="4536"/>
        <w:tab w:val="right" w:pos="9072"/>
      </w:tabs>
      <w:spacing w:after="0" w:line="240" w:lineRule="auto"/>
    </w:pPr>
  </w:style>
  <w:style w:type="character" w:customStyle="1" w:styleId="HeaderChar">
    <w:name w:val="Header Char"/>
    <w:aliases w:val="_2.Seite Char,2.Seite Char,Kopfzeile 2.Seite Char,hd Char,(17) EPR Header Char Char Char,(17) EPR Header Char Char1,Intestazione.int.intestazione Char,Intestazione.int Char,Char2 Char,Char5 Char Char,Char5 Char1,Char Char1,Знак Знак Char"/>
    <w:basedOn w:val="DefaultParagraphFont"/>
    <w:link w:val="Header"/>
    <w:uiPriority w:val="99"/>
    <w:rsid w:val="002D7A13"/>
  </w:style>
  <w:style w:type="paragraph" w:styleId="Footer">
    <w:name w:val="footer"/>
    <w:basedOn w:val="Normal"/>
    <w:link w:val="FooterChar"/>
    <w:uiPriority w:val="99"/>
    <w:unhideWhenUsed/>
    <w:rsid w:val="002D7A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7A13"/>
  </w:style>
  <w:style w:type="character" w:styleId="CommentReference">
    <w:name w:val="annotation reference"/>
    <w:basedOn w:val="DefaultParagraphFont"/>
    <w:uiPriority w:val="99"/>
    <w:semiHidden/>
    <w:unhideWhenUsed/>
    <w:rsid w:val="00E662CD"/>
    <w:rPr>
      <w:sz w:val="16"/>
      <w:szCs w:val="16"/>
    </w:rPr>
  </w:style>
  <w:style w:type="paragraph" w:styleId="CommentText">
    <w:name w:val="annotation text"/>
    <w:basedOn w:val="Normal"/>
    <w:link w:val="CommentTextChar"/>
    <w:uiPriority w:val="99"/>
    <w:unhideWhenUsed/>
    <w:rsid w:val="00E662CD"/>
    <w:pPr>
      <w:spacing w:line="240" w:lineRule="auto"/>
    </w:pPr>
    <w:rPr>
      <w:sz w:val="20"/>
      <w:szCs w:val="20"/>
    </w:rPr>
  </w:style>
  <w:style w:type="character" w:customStyle="1" w:styleId="CommentTextChar">
    <w:name w:val="Comment Text Char"/>
    <w:basedOn w:val="DefaultParagraphFont"/>
    <w:link w:val="CommentText"/>
    <w:uiPriority w:val="99"/>
    <w:rsid w:val="00E662CD"/>
    <w:rPr>
      <w:sz w:val="20"/>
      <w:szCs w:val="20"/>
    </w:rPr>
  </w:style>
  <w:style w:type="paragraph" w:styleId="CommentSubject">
    <w:name w:val="annotation subject"/>
    <w:basedOn w:val="CommentText"/>
    <w:next w:val="CommentText"/>
    <w:link w:val="CommentSubjectChar"/>
    <w:uiPriority w:val="99"/>
    <w:semiHidden/>
    <w:unhideWhenUsed/>
    <w:rsid w:val="00E662CD"/>
    <w:rPr>
      <w:b/>
      <w:bCs/>
    </w:rPr>
  </w:style>
  <w:style w:type="character" w:customStyle="1" w:styleId="CommentSubjectChar">
    <w:name w:val="Comment Subject Char"/>
    <w:basedOn w:val="CommentTextChar"/>
    <w:link w:val="CommentSubject"/>
    <w:uiPriority w:val="99"/>
    <w:semiHidden/>
    <w:rsid w:val="00E662CD"/>
    <w:rPr>
      <w:b/>
      <w:bCs/>
      <w:sz w:val="20"/>
      <w:szCs w:val="20"/>
    </w:rPr>
  </w:style>
  <w:style w:type="paragraph" w:styleId="BalloonText">
    <w:name w:val="Balloon Text"/>
    <w:basedOn w:val="Normal"/>
    <w:link w:val="BalloonTextChar"/>
    <w:uiPriority w:val="99"/>
    <w:semiHidden/>
    <w:unhideWhenUsed/>
    <w:rsid w:val="00E66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2CD"/>
    <w:rPr>
      <w:rFonts w:ascii="Segoe UI" w:hAnsi="Segoe UI" w:cs="Segoe UI"/>
      <w:sz w:val="18"/>
      <w:szCs w:val="18"/>
    </w:rPr>
  </w:style>
  <w:style w:type="table" w:customStyle="1" w:styleId="TableGrid1">
    <w:name w:val="Table Grid1"/>
    <w:basedOn w:val="TableNormal"/>
    <w:next w:val="TableGrid"/>
    <w:uiPriority w:val="39"/>
    <w:rsid w:val="00CC651D"/>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78">
    <w:name w:val="7878"/>
    <w:basedOn w:val="Normal"/>
    <w:link w:val="7878Char"/>
    <w:qFormat/>
    <w:rsid w:val="00BA4F2F"/>
    <w:pPr>
      <w:spacing w:before="120" w:after="240" w:line="240" w:lineRule="auto"/>
      <w:ind w:left="360"/>
      <w:jc w:val="both"/>
    </w:pPr>
    <w:rPr>
      <w:rFonts w:ascii="Century" w:hAnsi="Century" w:cs="Times New Roman"/>
      <w:i/>
      <w:color w:val="1F4E79" w:themeColor="accent1" w:themeShade="80"/>
      <w:sz w:val="20"/>
      <w:szCs w:val="20"/>
    </w:rPr>
  </w:style>
  <w:style w:type="character" w:customStyle="1" w:styleId="7878Char">
    <w:name w:val="7878 Char"/>
    <w:basedOn w:val="DefaultParagraphFont"/>
    <w:link w:val="7878"/>
    <w:rsid w:val="00BA4F2F"/>
    <w:rPr>
      <w:rFonts w:ascii="Century" w:hAnsi="Century" w:cs="Times New Roman"/>
      <w:i/>
      <w:color w:val="1F4E79" w:themeColor="accent1" w:themeShade="80"/>
      <w:sz w:val="20"/>
      <w:szCs w:val="20"/>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n,ALTS FOOTNOTE"/>
    <w:basedOn w:val="Normal"/>
    <w:link w:val="FootnoteTextChar"/>
    <w:uiPriority w:val="99"/>
    <w:unhideWhenUsed/>
    <w:qFormat/>
    <w:rsid w:val="00435FA0"/>
    <w:pPr>
      <w:spacing w:after="0"/>
    </w:pPr>
    <w:rPr>
      <w:rFonts w:ascii="Century" w:hAnsi="Century" w:cs="Times New Roman"/>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n Char"/>
    <w:basedOn w:val="DefaultParagraphFont"/>
    <w:link w:val="FootnoteText"/>
    <w:uiPriority w:val="99"/>
    <w:rsid w:val="00435FA0"/>
    <w:rPr>
      <w:rFonts w:ascii="Century" w:hAnsi="Century" w:cs="Times New Roman"/>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fr"/>
    <w:basedOn w:val="DefaultParagraphFont"/>
    <w:link w:val="CharCharCharCharCarChar"/>
    <w:uiPriority w:val="99"/>
    <w:qFormat/>
    <w:rsid w:val="00435FA0"/>
    <w:rPr>
      <w:vertAlign w:val="superscript"/>
    </w:rPr>
  </w:style>
  <w:style w:type="paragraph" w:customStyle="1" w:styleId="CharCharCharCharCarChar">
    <w:name w:val="Char Char Char Char Car Char"/>
    <w:aliases w:val="Char Char,Char Char Char Char Car Char Char1,Char Char Char1,16 Point Char1,Superscript 6 Point Char1,ftref Char1,Char Char Char1 Char Char Char"/>
    <w:basedOn w:val="Normal"/>
    <w:next w:val="Normal"/>
    <w:link w:val="FootnoteReference"/>
    <w:uiPriority w:val="99"/>
    <w:rsid w:val="00435FA0"/>
    <w:pPr>
      <w:spacing w:after="0" w:line="240" w:lineRule="exact"/>
    </w:pPr>
    <w:rPr>
      <w:vertAlign w:val="superscript"/>
    </w:rPr>
  </w:style>
  <w:style w:type="paragraph" w:customStyle="1" w:styleId="Default">
    <w:name w:val="Default"/>
    <w:rsid w:val="00435FA0"/>
    <w:pPr>
      <w:autoSpaceDE w:val="0"/>
      <w:autoSpaceDN w:val="0"/>
      <w:adjustRightInd w:val="0"/>
      <w:spacing w:after="0" w:line="240" w:lineRule="auto"/>
    </w:pPr>
    <w:rPr>
      <w:rFonts w:ascii="Century" w:hAnsi="Century" w:cs="Century"/>
      <w:color w:val="000000"/>
      <w:sz w:val="24"/>
      <w:szCs w:val="24"/>
      <w:lang w:val="en-US"/>
    </w:rPr>
  </w:style>
  <w:style w:type="paragraph" w:styleId="NormalWeb">
    <w:name w:val="Normal (Web)"/>
    <w:basedOn w:val="Normal"/>
    <w:uiPriority w:val="99"/>
    <w:unhideWhenUsed/>
    <w:rsid w:val="002B395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2B3957"/>
    <w:rPr>
      <w:b/>
      <w:bCs/>
    </w:rPr>
  </w:style>
  <w:style w:type="character" w:styleId="PageNumber">
    <w:name w:val="page number"/>
    <w:basedOn w:val="DefaultParagraphFont"/>
    <w:uiPriority w:val="99"/>
    <w:rsid w:val="007848EC"/>
  </w:style>
  <w:style w:type="character" w:styleId="FollowedHyperlink">
    <w:name w:val="FollowedHyperlink"/>
    <w:basedOn w:val="DefaultParagraphFont"/>
    <w:uiPriority w:val="99"/>
    <w:semiHidden/>
    <w:unhideWhenUsed/>
    <w:rsid w:val="007848EC"/>
    <w:rPr>
      <w:color w:val="954F72" w:themeColor="followedHyperlink"/>
      <w:u w:val="single"/>
    </w:rPr>
  </w:style>
  <w:style w:type="paragraph" w:styleId="HTMLPreformatted">
    <w:name w:val="HTML Preformatted"/>
    <w:basedOn w:val="Normal"/>
    <w:link w:val="HTMLPreformattedChar"/>
    <w:uiPriority w:val="99"/>
    <w:semiHidden/>
    <w:unhideWhenUsed/>
    <w:rsid w:val="0098431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84317"/>
    <w:rPr>
      <w:rFonts w:ascii="Consolas" w:hAnsi="Consolas" w:cs="Consolas"/>
      <w:sz w:val="20"/>
      <w:szCs w:val="20"/>
    </w:rPr>
  </w:style>
  <w:style w:type="paragraph" w:customStyle="1" w:styleId="Para">
    <w:name w:val="Para"/>
    <w:link w:val="ParaChar"/>
    <w:uiPriority w:val="4"/>
    <w:qFormat/>
    <w:rsid w:val="00EF7EC9"/>
    <w:pPr>
      <w:spacing w:before="120" w:after="120" w:line="260" w:lineRule="atLeast"/>
      <w:jc w:val="both"/>
    </w:pPr>
    <w:rPr>
      <w:color w:val="000000" w:themeColor="text1"/>
      <w:sz w:val="20"/>
      <w:lang w:val="en-GB"/>
    </w:rPr>
  </w:style>
  <w:style w:type="character" w:customStyle="1" w:styleId="ParaChar">
    <w:name w:val="Para Char"/>
    <w:basedOn w:val="DefaultParagraphFont"/>
    <w:link w:val="Para"/>
    <w:uiPriority w:val="4"/>
    <w:rsid w:val="00EF7EC9"/>
    <w:rPr>
      <w:color w:val="000000" w:themeColor="text1"/>
      <w:sz w:val="20"/>
      <w:lang w:val="en-GB"/>
    </w:rPr>
  </w:style>
  <w:style w:type="character" w:customStyle="1" w:styleId="FootnoteTextChar1">
    <w:name w:val="Footnote Text Char1"/>
    <w:uiPriority w:val="99"/>
    <w:semiHidden/>
    <w:locked/>
    <w:rsid w:val="00543997"/>
  </w:style>
  <w:style w:type="character" w:customStyle="1" w:styleId="longtext">
    <w:name w:val="long_text"/>
    <w:basedOn w:val="DefaultParagraphFont"/>
    <w:uiPriority w:val="99"/>
    <w:rsid w:val="00543997"/>
  </w:style>
  <w:style w:type="character" w:customStyle="1" w:styleId="ldef">
    <w:name w:val="ldef"/>
    <w:basedOn w:val="DefaultParagraphFont"/>
    <w:rsid w:val="0011039C"/>
  </w:style>
  <w:style w:type="character" w:customStyle="1" w:styleId="A7">
    <w:name w:val="A7"/>
    <w:uiPriority w:val="99"/>
    <w:rsid w:val="00CE7CCD"/>
    <w:rPr>
      <w:color w:val="000000"/>
      <w:sz w:val="14"/>
      <w:szCs w:val="14"/>
    </w:rPr>
  </w:style>
  <w:style w:type="character" w:styleId="Emphasis">
    <w:name w:val="Emphasis"/>
    <w:basedOn w:val="DefaultParagraphFont"/>
    <w:uiPriority w:val="20"/>
    <w:qFormat/>
    <w:rsid w:val="00FF2A89"/>
    <w:rPr>
      <w:i/>
      <w:iCs/>
    </w:rPr>
  </w:style>
  <w:style w:type="paragraph" w:styleId="Revision">
    <w:name w:val="Revision"/>
    <w:hidden/>
    <w:uiPriority w:val="99"/>
    <w:semiHidden/>
    <w:rsid w:val="007E02CD"/>
    <w:pPr>
      <w:spacing w:after="0" w:line="240" w:lineRule="auto"/>
    </w:pPr>
  </w:style>
  <w:style w:type="character" w:customStyle="1" w:styleId="FontStyle30">
    <w:name w:val="Font Style30"/>
    <w:rsid w:val="002610A2"/>
    <w:rPr>
      <w:rFonts w:ascii="Times New Roman" w:hAnsi="Times New Roman" w:cs="Times New Roman"/>
      <w:b/>
      <w:bCs/>
      <w:sz w:val="22"/>
      <w:szCs w:val="22"/>
    </w:rPr>
  </w:style>
  <w:style w:type="paragraph" w:customStyle="1" w:styleId="Style31">
    <w:name w:val="Style31"/>
    <w:basedOn w:val="Normal"/>
    <w:rsid w:val="002610A2"/>
    <w:pPr>
      <w:widowControl w:val="0"/>
      <w:autoSpaceDE w:val="0"/>
      <w:autoSpaceDN w:val="0"/>
      <w:adjustRightInd w:val="0"/>
      <w:spacing w:after="0" w:line="237" w:lineRule="exact"/>
      <w:jc w:val="both"/>
    </w:pPr>
    <w:rPr>
      <w:rFonts w:ascii="Times New Roman" w:eastAsia="Times New Roman" w:hAnsi="Times New Roman" w:cs="Times New Roman"/>
      <w:sz w:val="24"/>
      <w:szCs w:val="24"/>
      <w:lang w:eastAsia="bg-BG"/>
    </w:rPr>
  </w:style>
  <w:style w:type="paragraph" w:customStyle="1" w:styleId="a">
    <w:name w:val="Акцент"/>
    <w:basedOn w:val="Normal"/>
    <w:link w:val="Char"/>
    <w:qFormat/>
    <w:rsid w:val="00273754"/>
    <w:pPr>
      <w:spacing w:after="0"/>
    </w:pPr>
    <w:rPr>
      <w:rFonts w:ascii="Century" w:hAnsi="Century" w:cs="Times New Roman"/>
      <w:b/>
      <w:i/>
      <w:color w:val="C00000"/>
      <w:sz w:val="24"/>
      <w:szCs w:val="24"/>
    </w:rPr>
  </w:style>
  <w:style w:type="character" w:customStyle="1" w:styleId="Char">
    <w:name w:val="Акцент Char"/>
    <w:basedOn w:val="DefaultParagraphFont"/>
    <w:link w:val="a"/>
    <w:rsid w:val="00273754"/>
    <w:rPr>
      <w:rFonts w:ascii="Century" w:hAnsi="Century" w:cs="Times New Roman"/>
      <w:b/>
      <w:i/>
      <w:color w:val="C00000"/>
      <w:sz w:val="24"/>
      <w:szCs w:val="24"/>
    </w:rPr>
  </w:style>
  <w:style w:type="paragraph" w:customStyle="1" w:styleId="m">
    <w:name w:val="m"/>
    <w:basedOn w:val="Normal"/>
    <w:rsid w:val="00747CA3"/>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par-caption">
    <w:name w:val="par-caption"/>
    <w:basedOn w:val="DefaultParagraphFont"/>
    <w:rsid w:val="00747CA3"/>
  </w:style>
  <w:style w:type="character" w:customStyle="1" w:styleId="day">
    <w:name w:val="day"/>
    <w:basedOn w:val="DefaultParagraphFont"/>
    <w:rsid w:val="00BF28C8"/>
  </w:style>
  <w:style w:type="character" w:customStyle="1" w:styleId="month">
    <w:name w:val="month"/>
    <w:basedOn w:val="DefaultParagraphFont"/>
    <w:rsid w:val="00BF28C8"/>
  </w:style>
  <w:style w:type="character" w:customStyle="1" w:styleId="year">
    <w:name w:val="year"/>
    <w:basedOn w:val="DefaultParagraphFont"/>
    <w:rsid w:val="00BF28C8"/>
  </w:style>
  <w:style w:type="character" w:customStyle="1" w:styleId="Bodytext1">
    <w:name w:val="Body text|1_"/>
    <w:basedOn w:val="DefaultParagraphFont"/>
    <w:link w:val="Bodytext10"/>
    <w:rsid w:val="007B5A6E"/>
    <w:rPr>
      <w:rFonts w:ascii="Arial" w:eastAsia="Arial" w:hAnsi="Arial" w:cs="Arial"/>
      <w:sz w:val="20"/>
    </w:rPr>
  </w:style>
  <w:style w:type="paragraph" w:customStyle="1" w:styleId="Bodytext10">
    <w:name w:val="Body text|1"/>
    <w:basedOn w:val="Normal"/>
    <w:link w:val="Bodytext1"/>
    <w:rsid w:val="007B5A6E"/>
    <w:pPr>
      <w:widowControl w:val="0"/>
      <w:spacing w:after="0" w:line="252" w:lineRule="auto"/>
      <w:ind w:firstLine="340"/>
    </w:pPr>
    <w:rPr>
      <w:rFonts w:ascii="Arial" w:eastAsia="Arial" w:hAnsi="Arial" w:cs="Arial"/>
      <w:sz w:val="20"/>
    </w:rPr>
  </w:style>
  <w:style w:type="character" w:customStyle="1" w:styleId="1">
    <w:name w:val="Неразрешено споменаване1"/>
    <w:basedOn w:val="DefaultParagraphFont"/>
    <w:uiPriority w:val="99"/>
    <w:semiHidden/>
    <w:unhideWhenUsed/>
    <w:rsid w:val="003C44F8"/>
    <w:rPr>
      <w:color w:val="605E5C"/>
      <w:shd w:val="clear" w:color="auto" w:fill="E1DFDD"/>
    </w:rPr>
  </w:style>
  <w:style w:type="character" w:customStyle="1" w:styleId="2">
    <w:name w:val="Неразрешено споменаване2"/>
    <w:basedOn w:val="DefaultParagraphFont"/>
    <w:uiPriority w:val="99"/>
    <w:semiHidden/>
    <w:unhideWhenUsed/>
    <w:rsid w:val="00B355C2"/>
    <w:rPr>
      <w:color w:val="605E5C"/>
      <w:shd w:val="clear" w:color="auto" w:fill="E1DFDD"/>
    </w:rPr>
  </w:style>
  <w:style w:type="paragraph" w:customStyle="1" w:styleId="msonormal0">
    <w:name w:val="msonormal"/>
    <w:basedOn w:val="Normal"/>
    <w:rsid w:val="00CB0A9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n1">
    <w:name w:val="fn1"/>
    <w:basedOn w:val="Normal"/>
    <w:next w:val="FootnoteText"/>
    <w:uiPriority w:val="99"/>
    <w:semiHidden/>
    <w:rsid w:val="00CB0A97"/>
    <w:pPr>
      <w:spacing w:after="0" w:line="240" w:lineRule="auto"/>
    </w:pPr>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9804">
      <w:bodyDiv w:val="1"/>
      <w:marLeft w:val="0"/>
      <w:marRight w:val="0"/>
      <w:marTop w:val="0"/>
      <w:marBottom w:val="0"/>
      <w:divBdr>
        <w:top w:val="none" w:sz="0" w:space="0" w:color="auto"/>
        <w:left w:val="none" w:sz="0" w:space="0" w:color="auto"/>
        <w:bottom w:val="none" w:sz="0" w:space="0" w:color="auto"/>
        <w:right w:val="none" w:sz="0" w:space="0" w:color="auto"/>
      </w:divBdr>
    </w:div>
    <w:div w:id="53478344">
      <w:bodyDiv w:val="1"/>
      <w:marLeft w:val="0"/>
      <w:marRight w:val="0"/>
      <w:marTop w:val="0"/>
      <w:marBottom w:val="0"/>
      <w:divBdr>
        <w:top w:val="none" w:sz="0" w:space="0" w:color="auto"/>
        <w:left w:val="none" w:sz="0" w:space="0" w:color="auto"/>
        <w:bottom w:val="none" w:sz="0" w:space="0" w:color="auto"/>
        <w:right w:val="none" w:sz="0" w:space="0" w:color="auto"/>
      </w:divBdr>
    </w:div>
    <w:div w:id="55057658">
      <w:bodyDiv w:val="1"/>
      <w:marLeft w:val="0"/>
      <w:marRight w:val="0"/>
      <w:marTop w:val="0"/>
      <w:marBottom w:val="0"/>
      <w:divBdr>
        <w:top w:val="none" w:sz="0" w:space="0" w:color="auto"/>
        <w:left w:val="none" w:sz="0" w:space="0" w:color="auto"/>
        <w:bottom w:val="none" w:sz="0" w:space="0" w:color="auto"/>
        <w:right w:val="none" w:sz="0" w:space="0" w:color="auto"/>
      </w:divBdr>
    </w:div>
    <w:div w:id="67502379">
      <w:bodyDiv w:val="1"/>
      <w:marLeft w:val="0"/>
      <w:marRight w:val="0"/>
      <w:marTop w:val="0"/>
      <w:marBottom w:val="0"/>
      <w:divBdr>
        <w:top w:val="none" w:sz="0" w:space="0" w:color="auto"/>
        <w:left w:val="none" w:sz="0" w:space="0" w:color="auto"/>
        <w:bottom w:val="none" w:sz="0" w:space="0" w:color="auto"/>
        <w:right w:val="none" w:sz="0" w:space="0" w:color="auto"/>
      </w:divBdr>
    </w:div>
    <w:div w:id="90247204">
      <w:bodyDiv w:val="1"/>
      <w:marLeft w:val="0"/>
      <w:marRight w:val="0"/>
      <w:marTop w:val="0"/>
      <w:marBottom w:val="0"/>
      <w:divBdr>
        <w:top w:val="none" w:sz="0" w:space="0" w:color="auto"/>
        <w:left w:val="none" w:sz="0" w:space="0" w:color="auto"/>
        <w:bottom w:val="none" w:sz="0" w:space="0" w:color="auto"/>
        <w:right w:val="none" w:sz="0" w:space="0" w:color="auto"/>
      </w:divBdr>
    </w:div>
    <w:div w:id="98184541">
      <w:bodyDiv w:val="1"/>
      <w:marLeft w:val="0"/>
      <w:marRight w:val="0"/>
      <w:marTop w:val="0"/>
      <w:marBottom w:val="0"/>
      <w:divBdr>
        <w:top w:val="none" w:sz="0" w:space="0" w:color="auto"/>
        <w:left w:val="none" w:sz="0" w:space="0" w:color="auto"/>
        <w:bottom w:val="none" w:sz="0" w:space="0" w:color="auto"/>
        <w:right w:val="none" w:sz="0" w:space="0" w:color="auto"/>
      </w:divBdr>
    </w:div>
    <w:div w:id="137377805">
      <w:bodyDiv w:val="1"/>
      <w:marLeft w:val="0"/>
      <w:marRight w:val="0"/>
      <w:marTop w:val="0"/>
      <w:marBottom w:val="0"/>
      <w:divBdr>
        <w:top w:val="none" w:sz="0" w:space="0" w:color="auto"/>
        <w:left w:val="none" w:sz="0" w:space="0" w:color="auto"/>
        <w:bottom w:val="none" w:sz="0" w:space="0" w:color="auto"/>
        <w:right w:val="none" w:sz="0" w:space="0" w:color="auto"/>
      </w:divBdr>
    </w:div>
    <w:div w:id="204416904">
      <w:bodyDiv w:val="1"/>
      <w:marLeft w:val="0"/>
      <w:marRight w:val="0"/>
      <w:marTop w:val="0"/>
      <w:marBottom w:val="0"/>
      <w:divBdr>
        <w:top w:val="none" w:sz="0" w:space="0" w:color="auto"/>
        <w:left w:val="none" w:sz="0" w:space="0" w:color="auto"/>
        <w:bottom w:val="none" w:sz="0" w:space="0" w:color="auto"/>
        <w:right w:val="none" w:sz="0" w:space="0" w:color="auto"/>
      </w:divBdr>
    </w:div>
    <w:div w:id="217471108">
      <w:bodyDiv w:val="1"/>
      <w:marLeft w:val="0"/>
      <w:marRight w:val="0"/>
      <w:marTop w:val="0"/>
      <w:marBottom w:val="0"/>
      <w:divBdr>
        <w:top w:val="none" w:sz="0" w:space="0" w:color="auto"/>
        <w:left w:val="none" w:sz="0" w:space="0" w:color="auto"/>
        <w:bottom w:val="none" w:sz="0" w:space="0" w:color="auto"/>
        <w:right w:val="none" w:sz="0" w:space="0" w:color="auto"/>
      </w:divBdr>
      <w:divsChild>
        <w:div w:id="458305469">
          <w:marLeft w:val="547"/>
          <w:marRight w:val="0"/>
          <w:marTop w:val="0"/>
          <w:marBottom w:val="0"/>
          <w:divBdr>
            <w:top w:val="none" w:sz="0" w:space="0" w:color="auto"/>
            <w:left w:val="none" w:sz="0" w:space="0" w:color="auto"/>
            <w:bottom w:val="none" w:sz="0" w:space="0" w:color="auto"/>
            <w:right w:val="none" w:sz="0" w:space="0" w:color="auto"/>
          </w:divBdr>
        </w:div>
      </w:divsChild>
    </w:div>
    <w:div w:id="219219092">
      <w:bodyDiv w:val="1"/>
      <w:marLeft w:val="0"/>
      <w:marRight w:val="0"/>
      <w:marTop w:val="0"/>
      <w:marBottom w:val="0"/>
      <w:divBdr>
        <w:top w:val="none" w:sz="0" w:space="0" w:color="auto"/>
        <w:left w:val="none" w:sz="0" w:space="0" w:color="auto"/>
        <w:bottom w:val="none" w:sz="0" w:space="0" w:color="auto"/>
        <w:right w:val="none" w:sz="0" w:space="0" w:color="auto"/>
      </w:divBdr>
    </w:div>
    <w:div w:id="255292967">
      <w:bodyDiv w:val="1"/>
      <w:marLeft w:val="0"/>
      <w:marRight w:val="0"/>
      <w:marTop w:val="0"/>
      <w:marBottom w:val="0"/>
      <w:divBdr>
        <w:top w:val="none" w:sz="0" w:space="0" w:color="auto"/>
        <w:left w:val="none" w:sz="0" w:space="0" w:color="auto"/>
        <w:bottom w:val="none" w:sz="0" w:space="0" w:color="auto"/>
        <w:right w:val="none" w:sz="0" w:space="0" w:color="auto"/>
      </w:divBdr>
    </w:div>
    <w:div w:id="276331500">
      <w:bodyDiv w:val="1"/>
      <w:marLeft w:val="0"/>
      <w:marRight w:val="0"/>
      <w:marTop w:val="0"/>
      <w:marBottom w:val="0"/>
      <w:divBdr>
        <w:top w:val="none" w:sz="0" w:space="0" w:color="auto"/>
        <w:left w:val="none" w:sz="0" w:space="0" w:color="auto"/>
        <w:bottom w:val="none" w:sz="0" w:space="0" w:color="auto"/>
        <w:right w:val="none" w:sz="0" w:space="0" w:color="auto"/>
      </w:divBdr>
    </w:div>
    <w:div w:id="303698319">
      <w:bodyDiv w:val="1"/>
      <w:marLeft w:val="0"/>
      <w:marRight w:val="0"/>
      <w:marTop w:val="0"/>
      <w:marBottom w:val="0"/>
      <w:divBdr>
        <w:top w:val="none" w:sz="0" w:space="0" w:color="auto"/>
        <w:left w:val="none" w:sz="0" w:space="0" w:color="auto"/>
        <w:bottom w:val="none" w:sz="0" w:space="0" w:color="auto"/>
        <w:right w:val="none" w:sz="0" w:space="0" w:color="auto"/>
      </w:divBdr>
      <w:divsChild>
        <w:div w:id="192422365">
          <w:marLeft w:val="0"/>
          <w:marRight w:val="0"/>
          <w:marTop w:val="60"/>
          <w:marBottom w:val="0"/>
          <w:divBdr>
            <w:top w:val="none" w:sz="0" w:space="0" w:color="auto"/>
            <w:left w:val="none" w:sz="0" w:space="0" w:color="auto"/>
            <w:bottom w:val="none" w:sz="0" w:space="0" w:color="auto"/>
            <w:right w:val="none" w:sz="0" w:space="0" w:color="auto"/>
          </w:divBdr>
        </w:div>
        <w:div w:id="556749406">
          <w:marLeft w:val="0"/>
          <w:marRight w:val="0"/>
          <w:marTop w:val="60"/>
          <w:marBottom w:val="0"/>
          <w:divBdr>
            <w:top w:val="none" w:sz="0" w:space="0" w:color="auto"/>
            <w:left w:val="none" w:sz="0" w:space="0" w:color="auto"/>
            <w:bottom w:val="none" w:sz="0" w:space="0" w:color="auto"/>
            <w:right w:val="none" w:sz="0" w:space="0" w:color="auto"/>
          </w:divBdr>
        </w:div>
        <w:div w:id="939026059">
          <w:marLeft w:val="0"/>
          <w:marRight w:val="0"/>
          <w:marTop w:val="60"/>
          <w:marBottom w:val="0"/>
          <w:divBdr>
            <w:top w:val="none" w:sz="0" w:space="0" w:color="auto"/>
            <w:left w:val="none" w:sz="0" w:space="0" w:color="auto"/>
            <w:bottom w:val="none" w:sz="0" w:space="0" w:color="auto"/>
            <w:right w:val="none" w:sz="0" w:space="0" w:color="auto"/>
          </w:divBdr>
        </w:div>
        <w:div w:id="2054305279">
          <w:marLeft w:val="0"/>
          <w:marRight w:val="0"/>
          <w:marTop w:val="60"/>
          <w:marBottom w:val="0"/>
          <w:divBdr>
            <w:top w:val="none" w:sz="0" w:space="0" w:color="auto"/>
            <w:left w:val="none" w:sz="0" w:space="0" w:color="auto"/>
            <w:bottom w:val="none" w:sz="0" w:space="0" w:color="auto"/>
            <w:right w:val="none" w:sz="0" w:space="0" w:color="auto"/>
          </w:divBdr>
        </w:div>
      </w:divsChild>
    </w:div>
    <w:div w:id="314843795">
      <w:bodyDiv w:val="1"/>
      <w:marLeft w:val="0"/>
      <w:marRight w:val="0"/>
      <w:marTop w:val="0"/>
      <w:marBottom w:val="0"/>
      <w:divBdr>
        <w:top w:val="none" w:sz="0" w:space="0" w:color="auto"/>
        <w:left w:val="none" w:sz="0" w:space="0" w:color="auto"/>
        <w:bottom w:val="none" w:sz="0" w:space="0" w:color="auto"/>
        <w:right w:val="none" w:sz="0" w:space="0" w:color="auto"/>
      </w:divBdr>
    </w:div>
    <w:div w:id="329792006">
      <w:bodyDiv w:val="1"/>
      <w:marLeft w:val="0"/>
      <w:marRight w:val="0"/>
      <w:marTop w:val="0"/>
      <w:marBottom w:val="0"/>
      <w:divBdr>
        <w:top w:val="none" w:sz="0" w:space="0" w:color="auto"/>
        <w:left w:val="none" w:sz="0" w:space="0" w:color="auto"/>
        <w:bottom w:val="none" w:sz="0" w:space="0" w:color="auto"/>
        <w:right w:val="none" w:sz="0" w:space="0" w:color="auto"/>
      </w:divBdr>
      <w:divsChild>
        <w:div w:id="1293632450">
          <w:marLeft w:val="0"/>
          <w:marRight w:val="0"/>
          <w:marTop w:val="0"/>
          <w:marBottom w:val="0"/>
          <w:divBdr>
            <w:top w:val="none" w:sz="0" w:space="0" w:color="auto"/>
            <w:left w:val="none" w:sz="0" w:space="0" w:color="auto"/>
            <w:bottom w:val="none" w:sz="0" w:space="0" w:color="auto"/>
            <w:right w:val="none" w:sz="0" w:space="0" w:color="auto"/>
          </w:divBdr>
          <w:divsChild>
            <w:div w:id="1004087194">
              <w:marLeft w:val="0"/>
              <w:marRight w:val="0"/>
              <w:marTop w:val="0"/>
              <w:marBottom w:val="0"/>
              <w:divBdr>
                <w:top w:val="none" w:sz="0" w:space="0" w:color="auto"/>
                <w:left w:val="none" w:sz="0" w:space="0" w:color="auto"/>
                <w:bottom w:val="none" w:sz="0" w:space="0" w:color="auto"/>
                <w:right w:val="none" w:sz="0" w:space="0" w:color="auto"/>
              </w:divBdr>
              <w:divsChild>
                <w:div w:id="382755044">
                  <w:marLeft w:val="1005"/>
                  <w:marRight w:val="0"/>
                  <w:marTop w:val="0"/>
                  <w:marBottom w:val="0"/>
                  <w:divBdr>
                    <w:top w:val="none" w:sz="0" w:space="0" w:color="auto"/>
                    <w:left w:val="none" w:sz="0" w:space="0" w:color="auto"/>
                    <w:bottom w:val="none" w:sz="0" w:space="0" w:color="auto"/>
                    <w:right w:val="none" w:sz="0" w:space="0" w:color="auto"/>
                  </w:divBdr>
                  <w:divsChild>
                    <w:div w:id="10330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0533">
              <w:marLeft w:val="0"/>
              <w:marRight w:val="0"/>
              <w:marTop w:val="0"/>
              <w:marBottom w:val="0"/>
              <w:divBdr>
                <w:top w:val="none" w:sz="0" w:space="0" w:color="auto"/>
                <w:left w:val="none" w:sz="0" w:space="0" w:color="auto"/>
                <w:bottom w:val="none" w:sz="0" w:space="0" w:color="auto"/>
                <w:right w:val="none" w:sz="0" w:space="0" w:color="auto"/>
              </w:divBdr>
              <w:divsChild>
                <w:div w:id="1270509458">
                  <w:marLeft w:val="10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44394">
      <w:bodyDiv w:val="1"/>
      <w:marLeft w:val="0"/>
      <w:marRight w:val="0"/>
      <w:marTop w:val="0"/>
      <w:marBottom w:val="0"/>
      <w:divBdr>
        <w:top w:val="none" w:sz="0" w:space="0" w:color="auto"/>
        <w:left w:val="none" w:sz="0" w:space="0" w:color="auto"/>
        <w:bottom w:val="none" w:sz="0" w:space="0" w:color="auto"/>
        <w:right w:val="none" w:sz="0" w:space="0" w:color="auto"/>
      </w:divBdr>
    </w:div>
    <w:div w:id="351761380">
      <w:bodyDiv w:val="1"/>
      <w:marLeft w:val="0"/>
      <w:marRight w:val="0"/>
      <w:marTop w:val="0"/>
      <w:marBottom w:val="0"/>
      <w:divBdr>
        <w:top w:val="none" w:sz="0" w:space="0" w:color="auto"/>
        <w:left w:val="none" w:sz="0" w:space="0" w:color="auto"/>
        <w:bottom w:val="none" w:sz="0" w:space="0" w:color="auto"/>
        <w:right w:val="none" w:sz="0" w:space="0" w:color="auto"/>
      </w:divBdr>
      <w:divsChild>
        <w:div w:id="694499837">
          <w:marLeft w:val="0"/>
          <w:marRight w:val="0"/>
          <w:marTop w:val="0"/>
          <w:marBottom w:val="0"/>
          <w:divBdr>
            <w:top w:val="none" w:sz="0" w:space="0" w:color="auto"/>
            <w:left w:val="none" w:sz="0" w:space="0" w:color="auto"/>
            <w:bottom w:val="none" w:sz="0" w:space="0" w:color="auto"/>
            <w:right w:val="none" w:sz="0" w:space="0" w:color="auto"/>
          </w:divBdr>
        </w:div>
        <w:div w:id="1220827356">
          <w:marLeft w:val="0"/>
          <w:marRight w:val="0"/>
          <w:marTop w:val="0"/>
          <w:marBottom w:val="0"/>
          <w:divBdr>
            <w:top w:val="none" w:sz="0" w:space="0" w:color="auto"/>
            <w:left w:val="none" w:sz="0" w:space="0" w:color="auto"/>
            <w:bottom w:val="none" w:sz="0" w:space="0" w:color="auto"/>
            <w:right w:val="none" w:sz="0" w:space="0" w:color="auto"/>
          </w:divBdr>
        </w:div>
        <w:div w:id="592008203">
          <w:marLeft w:val="0"/>
          <w:marRight w:val="0"/>
          <w:marTop w:val="0"/>
          <w:marBottom w:val="0"/>
          <w:divBdr>
            <w:top w:val="none" w:sz="0" w:space="0" w:color="auto"/>
            <w:left w:val="none" w:sz="0" w:space="0" w:color="auto"/>
            <w:bottom w:val="none" w:sz="0" w:space="0" w:color="auto"/>
            <w:right w:val="none" w:sz="0" w:space="0" w:color="auto"/>
          </w:divBdr>
        </w:div>
        <w:div w:id="1146774624">
          <w:marLeft w:val="0"/>
          <w:marRight w:val="0"/>
          <w:marTop w:val="0"/>
          <w:marBottom w:val="0"/>
          <w:divBdr>
            <w:top w:val="none" w:sz="0" w:space="0" w:color="auto"/>
            <w:left w:val="none" w:sz="0" w:space="0" w:color="auto"/>
            <w:bottom w:val="none" w:sz="0" w:space="0" w:color="auto"/>
            <w:right w:val="none" w:sz="0" w:space="0" w:color="auto"/>
          </w:divBdr>
        </w:div>
        <w:div w:id="1523738954">
          <w:marLeft w:val="0"/>
          <w:marRight w:val="0"/>
          <w:marTop w:val="0"/>
          <w:marBottom w:val="0"/>
          <w:divBdr>
            <w:top w:val="none" w:sz="0" w:space="0" w:color="auto"/>
            <w:left w:val="none" w:sz="0" w:space="0" w:color="auto"/>
            <w:bottom w:val="none" w:sz="0" w:space="0" w:color="auto"/>
            <w:right w:val="none" w:sz="0" w:space="0" w:color="auto"/>
          </w:divBdr>
        </w:div>
        <w:div w:id="1557661580">
          <w:marLeft w:val="0"/>
          <w:marRight w:val="0"/>
          <w:marTop w:val="0"/>
          <w:marBottom w:val="0"/>
          <w:divBdr>
            <w:top w:val="none" w:sz="0" w:space="0" w:color="auto"/>
            <w:left w:val="none" w:sz="0" w:space="0" w:color="auto"/>
            <w:bottom w:val="none" w:sz="0" w:space="0" w:color="auto"/>
            <w:right w:val="none" w:sz="0" w:space="0" w:color="auto"/>
          </w:divBdr>
        </w:div>
        <w:div w:id="327561571">
          <w:marLeft w:val="0"/>
          <w:marRight w:val="0"/>
          <w:marTop w:val="0"/>
          <w:marBottom w:val="0"/>
          <w:divBdr>
            <w:top w:val="none" w:sz="0" w:space="0" w:color="auto"/>
            <w:left w:val="none" w:sz="0" w:space="0" w:color="auto"/>
            <w:bottom w:val="none" w:sz="0" w:space="0" w:color="auto"/>
            <w:right w:val="none" w:sz="0" w:space="0" w:color="auto"/>
          </w:divBdr>
        </w:div>
        <w:div w:id="1136675950">
          <w:marLeft w:val="0"/>
          <w:marRight w:val="0"/>
          <w:marTop w:val="0"/>
          <w:marBottom w:val="0"/>
          <w:divBdr>
            <w:top w:val="none" w:sz="0" w:space="0" w:color="auto"/>
            <w:left w:val="none" w:sz="0" w:space="0" w:color="auto"/>
            <w:bottom w:val="none" w:sz="0" w:space="0" w:color="auto"/>
            <w:right w:val="none" w:sz="0" w:space="0" w:color="auto"/>
          </w:divBdr>
        </w:div>
        <w:div w:id="1128430942">
          <w:marLeft w:val="0"/>
          <w:marRight w:val="0"/>
          <w:marTop w:val="0"/>
          <w:marBottom w:val="0"/>
          <w:divBdr>
            <w:top w:val="none" w:sz="0" w:space="0" w:color="auto"/>
            <w:left w:val="none" w:sz="0" w:space="0" w:color="auto"/>
            <w:bottom w:val="none" w:sz="0" w:space="0" w:color="auto"/>
            <w:right w:val="none" w:sz="0" w:space="0" w:color="auto"/>
          </w:divBdr>
        </w:div>
        <w:div w:id="876085962">
          <w:marLeft w:val="0"/>
          <w:marRight w:val="0"/>
          <w:marTop w:val="0"/>
          <w:marBottom w:val="0"/>
          <w:divBdr>
            <w:top w:val="none" w:sz="0" w:space="0" w:color="auto"/>
            <w:left w:val="none" w:sz="0" w:space="0" w:color="auto"/>
            <w:bottom w:val="none" w:sz="0" w:space="0" w:color="auto"/>
            <w:right w:val="none" w:sz="0" w:space="0" w:color="auto"/>
          </w:divBdr>
        </w:div>
        <w:div w:id="22558727">
          <w:marLeft w:val="0"/>
          <w:marRight w:val="0"/>
          <w:marTop w:val="0"/>
          <w:marBottom w:val="0"/>
          <w:divBdr>
            <w:top w:val="none" w:sz="0" w:space="0" w:color="auto"/>
            <w:left w:val="none" w:sz="0" w:space="0" w:color="auto"/>
            <w:bottom w:val="none" w:sz="0" w:space="0" w:color="auto"/>
            <w:right w:val="none" w:sz="0" w:space="0" w:color="auto"/>
          </w:divBdr>
        </w:div>
        <w:div w:id="48234590">
          <w:marLeft w:val="0"/>
          <w:marRight w:val="0"/>
          <w:marTop w:val="0"/>
          <w:marBottom w:val="0"/>
          <w:divBdr>
            <w:top w:val="none" w:sz="0" w:space="0" w:color="auto"/>
            <w:left w:val="none" w:sz="0" w:space="0" w:color="auto"/>
            <w:bottom w:val="none" w:sz="0" w:space="0" w:color="auto"/>
            <w:right w:val="none" w:sz="0" w:space="0" w:color="auto"/>
          </w:divBdr>
        </w:div>
        <w:div w:id="751506705">
          <w:marLeft w:val="0"/>
          <w:marRight w:val="0"/>
          <w:marTop w:val="0"/>
          <w:marBottom w:val="0"/>
          <w:divBdr>
            <w:top w:val="none" w:sz="0" w:space="0" w:color="auto"/>
            <w:left w:val="none" w:sz="0" w:space="0" w:color="auto"/>
            <w:bottom w:val="none" w:sz="0" w:space="0" w:color="auto"/>
            <w:right w:val="none" w:sz="0" w:space="0" w:color="auto"/>
          </w:divBdr>
        </w:div>
        <w:div w:id="843907112">
          <w:marLeft w:val="0"/>
          <w:marRight w:val="0"/>
          <w:marTop w:val="0"/>
          <w:marBottom w:val="0"/>
          <w:divBdr>
            <w:top w:val="none" w:sz="0" w:space="0" w:color="auto"/>
            <w:left w:val="none" w:sz="0" w:space="0" w:color="auto"/>
            <w:bottom w:val="none" w:sz="0" w:space="0" w:color="auto"/>
            <w:right w:val="none" w:sz="0" w:space="0" w:color="auto"/>
          </w:divBdr>
        </w:div>
        <w:div w:id="1958218138">
          <w:marLeft w:val="0"/>
          <w:marRight w:val="0"/>
          <w:marTop w:val="0"/>
          <w:marBottom w:val="0"/>
          <w:divBdr>
            <w:top w:val="none" w:sz="0" w:space="0" w:color="auto"/>
            <w:left w:val="none" w:sz="0" w:space="0" w:color="auto"/>
            <w:bottom w:val="none" w:sz="0" w:space="0" w:color="auto"/>
            <w:right w:val="none" w:sz="0" w:space="0" w:color="auto"/>
          </w:divBdr>
        </w:div>
        <w:div w:id="1752580761">
          <w:marLeft w:val="0"/>
          <w:marRight w:val="0"/>
          <w:marTop w:val="0"/>
          <w:marBottom w:val="0"/>
          <w:divBdr>
            <w:top w:val="none" w:sz="0" w:space="0" w:color="auto"/>
            <w:left w:val="none" w:sz="0" w:space="0" w:color="auto"/>
            <w:bottom w:val="none" w:sz="0" w:space="0" w:color="auto"/>
            <w:right w:val="none" w:sz="0" w:space="0" w:color="auto"/>
          </w:divBdr>
        </w:div>
        <w:div w:id="228806705">
          <w:marLeft w:val="0"/>
          <w:marRight w:val="0"/>
          <w:marTop w:val="0"/>
          <w:marBottom w:val="0"/>
          <w:divBdr>
            <w:top w:val="none" w:sz="0" w:space="0" w:color="auto"/>
            <w:left w:val="none" w:sz="0" w:space="0" w:color="auto"/>
            <w:bottom w:val="none" w:sz="0" w:space="0" w:color="auto"/>
            <w:right w:val="none" w:sz="0" w:space="0" w:color="auto"/>
          </w:divBdr>
        </w:div>
        <w:div w:id="409816727">
          <w:marLeft w:val="0"/>
          <w:marRight w:val="0"/>
          <w:marTop w:val="0"/>
          <w:marBottom w:val="0"/>
          <w:divBdr>
            <w:top w:val="none" w:sz="0" w:space="0" w:color="auto"/>
            <w:left w:val="none" w:sz="0" w:space="0" w:color="auto"/>
            <w:bottom w:val="none" w:sz="0" w:space="0" w:color="auto"/>
            <w:right w:val="none" w:sz="0" w:space="0" w:color="auto"/>
          </w:divBdr>
        </w:div>
        <w:div w:id="129057678">
          <w:marLeft w:val="0"/>
          <w:marRight w:val="0"/>
          <w:marTop w:val="0"/>
          <w:marBottom w:val="0"/>
          <w:divBdr>
            <w:top w:val="none" w:sz="0" w:space="0" w:color="auto"/>
            <w:left w:val="none" w:sz="0" w:space="0" w:color="auto"/>
            <w:bottom w:val="none" w:sz="0" w:space="0" w:color="auto"/>
            <w:right w:val="none" w:sz="0" w:space="0" w:color="auto"/>
          </w:divBdr>
        </w:div>
        <w:div w:id="1157913377">
          <w:marLeft w:val="0"/>
          <w:marRight w:val="0"/>
          <w:marTop w:val="0"/>
          <w:marBottom w:val="0"/>
          <w:divBdr>
            <w:top w:val="none" w:sz="0" w:space="0" w:color="auto"/>
            <w:left w:val="none" w:sz="0" w:space="0" w:color="auto"/>
            <w:bottom w:val="none" w:sz="0" w:space="0" w:color="auto"/>
            <w:right w:val="none" w:sz="0" w:space="0" w:color="auto"/>
          </w:divBdr>
        </w:div>
      </w:divsChild>
    </w:div>
    <w:div w:id="360059780">
      <w:bodyDiv w:val="1"/>
      <w:marLeft w:val="0"/>
      <w:marRight w:val="0"/>
      <w:marTop w:val="0"/>
      <w:marBottom w:val="0"/>
      <w:divBdr>
        <w:top w:val="none" w:sz="0" w:space="0" w:color="auto"/>
        <w:left w:val="none" w:sz="0" w:space="0" w:color="auto"/>
        <w:bottom w:val="none" w:sz="0" w:space="0" w:color="auto"/>
        <w:right w:val="none" w:sz="0" w:space="0" w:color="auto"/>
      </w:divBdr>
    </w:div>
    <w:div w:id="365718585">
      <w:bodyDiv w:val="1"/>
      <w:marLeft w:val="0"/>
      <w:marRight w:val="0"/>
      <w:marTop w:val="0"/>
      <w:marBottom w:val="0"/>
      <w:divBdr>
        <w:top w:val="none" w:sz="0" w:space="0" w:color="auto"/>
        <w:left w:val="none" w:sz="0" w:space="0" w:color="auto"/>
        <w:bottom w:val="none" w:sz="0" w:space="0" w:color="auto"/>
        <w:right w:val="none" w:sz="0" w:space="0" w:color="auto"/>
      </w:divBdr>
    </w:div>
    <w:div w:id="379091070">
      <w:bodyDiv w:val="1"/>
      <w:marLeft w:val="0"/>
      <w:marRight w:val="0"/>
      <w:marTop w:val="0"/>
      <w:marBottom w:val="0"/>
      <w:divBdr>
        <w:top w:val="none" w:sz="0" w:space="0" w:color="auto"/>
        <w:left w:val="none" w:sz="0" w:space="0" w:color="auto"/>
        <w:bottom w:val="none" w:sz="0" w:space="0" w:color="auto"/>
        <w:right w:val="none" w:sz="0" w:space="0" w:color="auto"/>
      </w:divBdr>
    </w:div>
    <w:div w:id="388068174">
      <w:bodyDiv w:val="1"/>
      <w:marLeft w:val="0"/>
      <w:marRight w:val="0"/>
      <w:marTop w:val="0"/>
      <w:marBottom w:val="0"/>
      <w:divBdr>
        <w:top w:val="none" w:sz="0" w:space="0" w:color="auto"/>
        <w:left w:val="none" w:sz="0" w:space="0" w:color="auto"/>
        <w:bottom w:val="none" w:sz="0" w:space="0" w:color="auto"/>
        <w:right w:val="none" w:sz="0" w:space="0" w:color="auto"/>
      </w:divBdr>
    </w:div>
    <w:div w:id="390471425">
      <w:bodyDiv w:val="1"/>
      <w:marLeft w:val="0"/>
      <w:marRight w:val="0"/>
      <w:marTop w:val="0"/>
      <w:marBottom w:val="0"/>
      <w:divBdr>
        <w:top w:val="none" w:sz="0" w:space="0" w:color="auto"/>
        <w:left w:val="none" w:sz="0" w:space="0" w:color="auto"/>
        <w:bottom w:val="none" w:sz="0" w:space="0" w:color="auto"/>
        <w:right w:val="none" w:sz="0" w:space="0" w:color="auto"/>
      </w:divBdr>
    </w:div>
    <w:div w:id="398096436">
      <w:bodyDiv w:val="1"/>
      <w:marLeft w:val="0"/>
      <w:marRight w:val="0"/>
      <w:marTop w:val="0"/>
      <w:marBottom w:val="0"/>
      <w:divBdr>
        <w:top w:val="none" w:sz="0" w:space="0" w:color="auto"/>
        <w:left w:val="none" w:sz="0" w:space="0" w:color="auto"/>
        <w:bottom w:val="none" w:sz="0" w:space="0" w:color="auto"/>
        <w:right w:val="none" w:sz="0" w:space="0" w:color="auto"/>
      </w:divBdr>
    </w:div>
    <w:div w:id="407653014">
      <w:bodyDiv w:val="1"/>
      <w:marLeft w:val="0"/>
      <w:marRight w:val="0"/>
      <w:marTop w:val="0"/>
      <w:marBottom w:val="0"/>
      <w:divBdr>
        <w:top w:val="none" w:sz="0" w:space="0" w:color="auto"/>
        <w:left w:val="none" w:sz="0" w:space="0" w:color="auto"/>
        <w:bottom w:val="none" w:sz="0" w:space="0" w:color="auto"/>
        <w:right w:val="none" w:sz="0" w:space="0" w:color="auto"/>
      </w:divBdr>
    </w:div>
    <w:div w:id="429860490">
      <w:bodyDiv w:val="1"/>
      <w:marLeft w:val="0"/>
      <w:marRight w:val="0"/>
      <w:marTop w:val="0"/>
      <w:marBottom w:val="0"/>
      <w:divBdr>
        <w:top w:val="none" w:sz="0" w:space="0" w:color="auto"/>
        <w:left w:val="none" w:sz="0" w:space="0" w:color="auto"/>
        <w:bottom w:val="none" w:sz="0" w:space="0" w:color="auto"/>
        <w:right w:val="none" w:sz="0" w:space="0" w:color="auto"/>
      </w:divBdr>
    </w:div>
    <w:div w:id="476536767">
      <w:bodyDiv w:val="1"/>
      <w:marLeft w:val="0"/>
      <w:marRight w:val="0"/>
      <w:marTop w:val="0"/>
      <w:marBottom w:val="0"/>
      <w:divBdr>
        <w:top w:val="none" w:sz="0" w:space="0" w:color="auto"/>
        <w:left w:val="none" w:sz="0" w:space="0" w:color="auto"/>
        <w:bottom w:val="none" w:sz="0" w:space="0" w:color="auto"/>
        <w:right w:val="none" w:sz="0" w:space="0" w:color="auto"/>
      </w:divBdr>
    </w:div>
    <w:div w:id="528030683">
      <w:bodyDiv w:val="1"/>
      <w:marLeft w:val="0"/>
      <w:marRight w:val="0"/>
      <w:marTop w:val="0"/>
      <w:marBottom w:val="0"/>
      <w:divBdr>
        <w:top w:val="none" w:sz="0" w:space="0" w:color="auto"/>
        <w:left w:val="none" w:sz="0" w:space="0" w:color="auto"/>
        <w:bottom w:val="none" w:sz="0" w:space="0" w:color="auto"/>
        <w:right w:val="none" w:sz="0" w:space="0" w:color="auto"/>
      </w:divBdr>
      <w:divsChild>
        <w:div w:id="388654505">
          <w:marLeft w:val="0"/>
          <w:marRight w:val="0"/>
          <w:marTop w:val="0"/>
          <w:marBottom w:val="0"/>
          <w:divBdr>
            <w:top w:val="none" w:sz="0" w:space="0" w:color="auto"/>
            <w:left w:val="none" w:sz="0" w:space="0" w:color="auto"/>
            <w:bottom w:val="none" w:sz="0" w:space="0" w:color="auto"/>
            <w:right w:val="none" w:sz="0" w:space="0" w:color="auto"/>
          </w:divBdr>
        </w:div>
        <w:div w:id="673846278">
          <w:marLeft w:val="0"/>
          <w:marRight w:val="0"/>
          <w:marTop w:val="0"/>
          <w:marBottom w:val="0"/>
          <w:divBdr>
            <w:top w:val="none" w:sz="0" w:space="0" w:color="auto"/>
            <w:left w:val="none" w:sz="0" w:space="0" w:color="auto"/>
            <w:bottom w:val="none" w:sz="0" w:space="0" w:color="auto"/>
            <w:right w:val="none" w:sz="0" w:space="0" w:color="auto"/>
          </w:divBdr>
        </w:div>
        <w:div w:id="836188198">
          <w:marLeft w:val="0"/>
          <w:marRight w:val="0"/>
          <w:marTop w:val="0"/>
          <w:marBottom w:val="0"/>
          <w:divBdr>
            <w:top w:val="none" w:sz="0" w:space="0" w:color="auto"/>
            <w:left w:val="none" w:sz="0" w:space="0" w:color="auto"/>
            <w:bottom w:val="none" w:sz="0" w:space="0" w:color="auto"/>
            <w:right w:val="none" w:sz="0" w:space="0" w:color="auto"/>
          </w:divBdr>
        </w:div>
        <w:div w:id="698239155">
          <w:marLeft w:val="0"/>
          <w:marRight w:val="0"/>
          <w:marTop w:val="0"/>
          <w:marBottom w:val="0"/>
          <w:divBdr>
            <w:top w:val="none" w:sz="0" w:space="0" w:color="auto"/>
            <w:left w:val="none" w:sz="0" w:space="0" w:color="auto"/>
            <w:bottom w:val="none" w:sz="0" w:space="0" w:color="auto"/>
            <w:right w:val="none" w:sz="0" w:space="0" w:color="auto"/>
          </w:divBdr>
        </w:div>
        <w:div w:id="305161386">
          <w:marLeft w:val="0"/>
          <w:marRight w:val="0"/>
          <w:marTop w:val="0"/>
          <w:marBottom w:val="0"/>
          <w:divBdr>
            <w:top w:val="none" w:sz="0" w:space="0" w:color="auto"/>
            <w:left w:val="none" w:sz="0" w:space="0" w:color="auto"/>
            <w:bottom w:val="none" w:sz="0" w:space="0" w:color="auto"/>
            <w:right w:val="none" w:sz="0" w:space="0" w:color="auto"/>
          </w:divBdr>
        </w:div>
        <w:div w:id="1961954985">
          <w:marLeft w:val="0"/>
          <w:marRight w:val="0"/>
          <w:marTop w:val="0"/>
          <w:marBottom w:val="0"/>
          <w:divBdr>
            <w:top w:val="none" w:sz="0" w:space="0" w:color="auto"/>
            <w:left w:val="none" w:sz="0" w:space="0" w:color="auto"/>
            <w:bottom w:val="none" w:sz="0" w:space="0" w:color="auto"/>
            <w:right w:val="none" w:sz="0" w:space="0" w:color="auto"/>
          </w:divBdr>
        </w:div>
        <w:div w:id="1848252954">
          <w:marLeft w:val="0"/>
          <w:marRight w:val="0"/>
          <w:marTop w:val="0"/>
          <w:marBottom w:val="0"/>
          <w:divBdr>
            <w:top w:val="none" w:sz="0" w:space="0" w:color="auto"/>
            <w:left w:val="none" w:sz="0" w:space="0" w:color="auto"/>
            <w:bottom w:val="none" w:sz="0" w:space="0" w:color="auto"/>
            <w:right w:val="none" w:sz="0" w:space="0" w:color="auto"/>
          </w:divBdr>
        </w:div>
        <w:div w:id="1541240774">
          <w:marLeft w:val="0"/>
          <w:marRight w:val="0"/>
          <w:marTop w:val="0"/>
          <w:marBottom w:val="0"/>
          <w:divBdr>
            <w:top w:val="none" w:sz="0" w:space="0" w:color="auto"/>
            <w:left w:val="none" w:sz="0" w:space="0" w:color="auto"/>
            <w:bottom w:val="none" w:sz="0" w:space="0" w:color="auto"/>
            <w:right w:val="none" w:sz="0" w:space="0" w:color="auto"/>
          </w:divBdr>
        </w:div>
        <w:div w:id="609439090">
          <w:marLeft w:val="0"/>
          <w:marRight w:val="0"/>
          <w:marTop w:val="0"/>
          <w:marBottom w:val="0"/>
          <w:divBdr>
            <w:top w:val="none" w:sz="0" w:space="0" w:color="auto"/>
            <w:left w:val="none" w:sz="0" w:space="0" w:color="auto"/>
            <w:bottom w:val="none" w:sz="0" w:space="0" w:color="auto"/>
            <w:right w:val="none" w:sz="0" w:space="0" w:color="auto"/>
          </w:divBdr>
        </w:div>
        <w:div w:id="909194647">
          <w:marLeft w:val="0"/>
          <w:marRight w:val="0"/>
          <w:marTop w:val="0"/>
          <w:marBottom w:val="0"/>
          <w:divBdr>
            <w:top w:val="none" w:sz="0" w:space="0" w:color="auto"/>
            <w:left w:val="none" w:sz="0" w:space="0" w:color="auto"/>
            <w:bottom w:val="none" w:sz="0" w:space="0" w:color="auto"/>
            <w:right w:val="none" w:sz="0" w:space="0" w:color="auto"/>
          </w:divBdr>
        </w:div>
        <w:div w:id="1800953952">
          <w:marLeft w:val="0"/>
          <w:marRight w:val="0"/>
          <w:marTop w:val="0"/>
          <w:marBottom w:val="0"/>
          <w:divBdr>
            <w:top w:val="none" w:sz="0" w:space="0" w:color="auto"/>
            <w:left w:val="none" w:sz="0" w:space="0" w:color="auto"/>
            <w:bottom w:val="none" w:sz="0" w:space="0" w:color="auto"/>
            <w:right w:val="none" w:sz="0" w:space="0" w:color="auto"/>
          </w:divBdr>
        </w:div>
        <w:div w:id="1490367202">
          <w:marLeft w:val="0"/>
          <w:marRight w:val="0"/>
          <w:marTop w:val="0"/>
          <w:marBottom w:val="0"/>
          <w:divBdr>
            <w:top w:val="none" w:sz="0" w:space="0" w:color="auto"/>
            <w:left w:val="none" w:sz="0" w:space="0" w:color="auto"/>
            <w:bottom w:val="none" w:sz="0" w:space="0" w:color="auto"/>
            <w:right w:val="none" w:sz="0" w:space="0" w:color="auto"/>
          </w:divBdr>
        </w:div>
        <w:div w:id="719012064">
          <w:marLeft w:val="0"/>
          <w:marRight w:val="0"/>
          <w:marTop w:val="0"/>
          <w:marBottom w:val="0"/>
          <w:divBdr>
            <w:top w:val="none" w:sz="0" w:space="0" w:color="auto"/>
            <w:left w:val="none" w:sz="0" w:space="0" w:color="auto"/>
            <w:bottom w:val="none" w:sz="0" w:space="0" w:color="auto"/>
            <w:right w:val="none" w:sz="0" w:space="0" w:color="auto"/>
          </w:divBdr>
        </w:div>
        <w:div w:id="1901594739">
          <w:marLeft w:val="0"/>
          <w:marRight w:val="0"/>
          <w:marTop w:val="0"/>
          <w:marBottom w:val="0"/>
          <w:divBdr>
            <w:top w:val="none" w:sz="0" w:space="0" w:color="auto"/>
            <w:left w:val="none" w:sz="0" w:space="0" w:color="auto"/>
            <w:bottom w:val="none" w:sz="0" w:space="0" w:color="auto"/>
            <w:right w:val="none" w:sz="0" w:space="0" w:color="auto"/>
          </w:divBdr>
        </w:div>
        <w:div w:id="510874139">
          <w:marLeft w:val="0"/>
          <w:marRight w:val="0"/>
          <w:marTop w:val="0"/>
          <w:marBottom w:val="0"/>
          <w:divBdr>
            <w:top w:val="none" w:sz="0" w:space="0" w:color="auto"/>
            <w:left w:val="none" w:sz="0" w:space="0" w:color="auto"/>
            <w:bottom w:val="none" w:sz="0" w:space="0" w:color="auto"/>
            <w:right w:val="none" w:sz="0" w:space="0" w:color="auto"/>
          </w:divBdr>
        </w:div>
        <w:div w:id="1848863177">
          <w:marLeft w:val="0"/>
          <w:marRight w:val="0"/>
          <w:marTop w:val="0"/>
          <w:marBottom w:val="0"/>
          <w:divBdr>
            <w:top w:val="none" w:sz="0" w:space="0" w:color="auto"/>
            <w:left w:val="none" w:sz="0" w:space="0" w:color="auto"/>
            <w:bottom w:val="none" w:sz="0" w:space="0" w:color="auto"/>
            <w:right w:val="none" w:sz="0" w:space="0" w:color="auto"/>
          </w:divBdr>
        </w:div>
        <w:div w:id="1541438667">
          <w:marLeft w:val="0"/>
          <w:marRight w:val="0"/>
          <w:marTop w:val="0"/>
          <w:marBottom w:val="0"/>
          <w:divBdr>
            <w:top w:val="none" w:sz="0" w:space="0" w:color="auto"/>
            <w:left w:val="none" w:sz="0" w:space="0" w:color="auto"/>
            <w:bottom w:val="none" w:sz="0" w:space="0" w:color="auto"/>
            <w:right w:val="none" w:sz="0" w:space="0" w:color="auto"/>
          </w:divBdr>
        </w:div>
        <w:div w:id="660349677">
          <w:marLeft w:val="0"/>
          <w:marRight w:val="0"/>
          <w:marTop w:val="0"/>
          <w:marBottom w:val="0"/>
          <w:divBdr>
            <w:top w:val="none" w:sz="0" w:space="0" w:color="auto"/>
            <w:left w:val="none" w:sz="0" w:space="0" w:color="auto"/>
            <w:bottom w:val="none" w:sz="0" w:space="0" w:color="auto"/>
            <w:right w:val="none" w:sz="0" w:space="0" w:color="auto"/>
          </w:divBdr>
        </w:div>
        <w:div w:id="1935017283">
          <w:marLeft w:val="0"/>
          <w:marRight w:val="0"/>
          <w:marTop w:val="0"/>
          <w:marBottom w:val="0"/>
          <w:divBdr>
            <w:top w:val="none" w:sz="0" w:space="0" w:color="auto"/>
            <w:left w:val="none" w:sz="0" w:space="0" w:color="auto"/>
            <w:bottom w:val="none" w:sz="0" w:space="0" w:color="auto"/>
            <w:right w:val="none" w:sz="0" w:space="0" w:color="auto"/>
          </w:divBdr>
        </w:div>
        <w:div w:id="1916039820">
          <w:marLeft w:val="0"/>
          <w:marRight w:val="0"/>
          <w:marTop w:val="0"/>
          <w:marBottom w:val="0"/>
          <w:divBdr>
            <w:top w:val="none" w:sz="0" w:space="0" w:color="auto"/>
            <w:left w:val="none" w:sz="0" w:space="0" w:color="auto"/>
            <w:bottom w:val="none" w:sz="0" w:space="0" w:color="auto"/>
            <w:right w:val="none" w:sz="0" w:space="0" w:color="auto"/>
          </w:divBdr>
        </w:div>
      </w:divsChild>
    </w:div>
    <w:div w:id="533691348">
      <w:bodyDiv w:val="1"/>
      <w:marLeft w:val="0"/>
      <w:marRight w:val="0"/>
      <w:marTop w:val="0"/>
      <w:marBottom w:val="0"/>
      <w:divBdr>
        <w:top w:val="none" w:sz="0" w:space="0" w:color="auto"/>
        <w:left w:val="none" w:sz="0" w:space="0" w:color="auto"/>
        <w:bottom w:val="none" w:sz="0" w:space="0" w:color="auto"/>
        <w:right w:val="none" w:sz="0" w:space="0" w:color="auto"/>
      </w:divBdr>
    </w:div>
    <w:div w:id="572276738">
      <w:bodyDiv w:val="1"/>
      <w:marLeft w:val="0"/>
      <w:marRight w:val="0"/>
      <w:marTop w:val="0"/>
      <w:marBottom w:val="0"/>
      <w:divBdr>
        <w:top w:val="none" w:sz="0" w:space="0" w:color="auto"/>
        <w:left w:val="none" w:sz="0" w:space="0" w:color="auto"/>
        <w:bottom w:val="none" w:sz="0" w:space="0" w:color="auto"/>
        <w:right w:val="none" w:sz="0" w:space="0" w:color="auto"/>
      </w:divBdr>
    </w:div>
    <w:div w:id="589631052">
      <w:bodyDiv w:val="1"/>
      <w:marLeft w:val="0"/>
      <w:marRight w:val="0"/>
      <w:marTop w:val="0"/>
      <w:marBottom w:val="0"/>
      <w:divBdr>
        <w:top w:val="none" w:sz="0" w:space="0" w:color="auto"/>
        <w:left w:val="none" w:sz="0" w:space="0" w:color="auto"/>
        <w:bottom w:val="none" w:sz="0" w:space="0" w:color="auto"/>
        <w:right w:val="none" w:sz="0" w:space="0" w:color="auto"/>
      </w:divBdr>
    </w:div>
    <w:div w:id="593787060">
      <w:bodyDiv w:val="1"/>
      <w:marLeft w:val="0"/>
      <w:marRight w:val="0"/>
      <w:marTop w:val="0"/>
      <w:marBottom w:val="0"/>
      <w:divBdr>
        <w:top w:val="none" w:sz="0" w:space="0" w:color="auto"/>
        <w:left w:val="none" w:sz="0" w:space="0" w:color="auto"/>
        <w:bottom w:val="none" w:sz="0" w:space="0" w:color="auto"/>
        <w:right w:val="none" w:sz="0" w:space="0" w:color="auto"/>
      </w:divBdr>
    </w:div>
    <w:div w:id="610168412">
      <w:bodyDiv w:val="1"/>
      <w:marLeft w:val="0"/>
      <w:marRight w:val="0"/>
      <w:marTop w:val="0"/>
      <w:marBottom w:val="0"/>
      <w:divBdr>
        <w:top w:val="none" w:sz="0" w:space="0" w:color="auto"/>
        <w:left w:val="none" w:sz="0" w:space="0" w:color="auto"/>
        <w:bottom w:val="none" w:sz="0" w:space="0" w:color="auto"/>
        <w:right w:val="none" w:sz="0" w:space="0" w:color="auto"/>
      </w:divBdr>
    </w:div>
    <w:div w:id="613631283">
      <w:bodyDiv w:val="1"/>
      <w:marLeft w:val="0"/>
      <w:marRight w:val="0"/>
      <w:marTop w:val="0"/>
      <w:marBottom w:val="0"/>
      <w:divBdr>
        <w:top w:val="none" w:sz="0" w:space="0" w:color="auto"/>
        <w:left w:val="none" w:sz="0" w:space="0" w:color="auto"/>
        <w:bottom w:val="none" w:sz="0" w:space="0" w:color="auto"/>
        <w:right w:val="none" w:sz="0" w:space="0" w:color="auto"/>
      </w:divBdr>
    </w:div>
    <w:div w:id="632829254">
      <w:bodyDiv w:val="1"/>
      <w:marLeft w:val="0"/>
      <w:marRight w:val="0"/>
      <w:marTop w:val="0"/>
      <w:marBottom w:val="0"/>
      <w:divBdr>
        <w:top w:val="none" w:sz="0" w:space="0" w:color="auto"/>
        <w:left w:val="none" w:sz="0" w:space="0" w:color="auto"/>
        <w:bottom w:val="none" w:sz="0" w:space="0" w:color="auto"/>
        <w:right w:val="none" w:sz="0" w:space="0" w:color="auto"/>
      </w:divBdr>
    </w:div>
    <w:div w:id="671297860">
      <w:bodyDiv w:val="1"/>
      <w:marLeft w:val="0"/>
      <w:marRight w:val="0"/>
      <w:marTop w:val="0"/>
      <w:marBottom w:val="0"/>
      <w:divBdr>
        <w:top w:val="none" w:sz="0" w:space="0" w:color="auto"/>
        <w:left w:val="none" w:sz="0" w:space="0" w:color="auto"/>
        <w:bottom w:val="none" w:sz="0" w:space="0" w:color="auto"/>
        <w:right w:val="none" w:sz="0" w:space="0" w:color="auto"/>
      </w:divBdr>
    </w:div>
    <w:div w:id="691146020">
      <w:bodyDiv w:val="1"/>
      <w:marLeft w:val="0"/>
      <w:marRight w:val="0"/>
      <w:marTop w:val="0"/>
      <w:marBottom w:val="0"/>
      <w:divBdr>
        <w:top w:val="none" w:sz="0" w:space="0" w:color="auto"/>
        <w:left w:val="none" w:sz="0" w:space="0" w:color="auto"/>
        <w:bottom w:val="none" w:sz="0" w:space="0" w:color="auto"/>
        <w:right w:val="none" w:sz="0" w:space="0" w:color="auto"/>
      </w:divBdr>
      <w:divsChild>
        <w:div w:id="1164974481">
          <w:marLeft w:val="0"/>
          <w:marRight w:val="0"/>
          <w:marTop w:val="0"/>
          <w:marBottom w:val="0"/>
          <w:divBdr>
            <w:top w:val="none" w:sz="0" w:space="0" w:color="auto"/>
            <w:left w:val="none" w:sz="0" w:space="0" w:color="auto"/>
            <w:bottom w:val="none" w:sz="0" w:space="0" w:color="auto"/>
            <w:right w:val="none" w:sz="0" w:space="0" w:color="auto"/>
          </w:divBdr>
        </w:div>
        <w:div w:id="1622221601">
          <w:marLeft w:val="0"/>
          <w:marRight w:val="0"/>
          <w:marTop w:val="0"/>
          <w:marBottom w:val="0"/>
          <w:divBdr>
            <w:top w:val="none" w:sz="0" w:space="0" w:color="auto"/>
            <w:left w:val="none" w:sz="0" w:space="0" w:color="auto"/>
            <w:bottom w:val="none" w:sz="0" w:space="0" w:color="auto"/>
            <w:right w:val="none" w:sz="0" w:space="0" w:color="auto"/>
          </w:divBdr>
        </w:div>
      </w:divsChild>
    </w:div>
    <w:div w:id="704453554">
      <w:bodyDiv w:val="1"/>
      <w:marLeft w:val="0"/>
      <w:marRight w:val="0"/>
      <w:marTop w:val="0"/>
      <w:marBottom w:val="0"/>
      <w:divBdr>
        <w:top w:val="none" w:sz="0" w:space="0" w:color="auto"/>
        <w:left w:val="none" w:sz="0" w:space="0" w:color="auto"/>
        <w:bottom w:val="none" w:sz="0" w:space="0" w:color="auto"/>
        <w:right w:val="none" w:sz="0" w:space="0" w:color="auto"/>
      </w:divBdr>
    </w:div>
    <w:div w:id="712654532">
      <w:bodyDiv w:val="1"/>
      <w:marLeft w:val="0"/>
      <w:marRight w:val="0"/>
      <w:marTop w:val="0"/>
      <w:marBottom w:val="0"/>
      <w:divBdr>
        <w:top w:val="none" w:sz="0" w:space="0" w:color="auto"/>
        <w:left w:val="none" w:sz="0" w:space="0" w:color="auto"/>
        <w:bottom w:val="none" w:sz="0" w:space="0" w:color="auto"/>
        <w:right w:val="none" w:sz="0" w:space="0" w:color="auto"/>
      </w:divBdr>
    </w:div>
    <w:div w:id="726874760">
      <w:bodyDiv w:val="1"/>
      <w:marLeft w:val="0"/>
      <w:marRight w:val="0"/>
      <w:marTop w:val="0"/>
      <w:marBottom w:val="0"/>
      <w:divBdr>
        <w:top w:val="none" w:sz="0" w:space="0" w:color="auto"/>
        <w:left w:val="none" w:sz="0" w:space="0" w:color="auto"/>
        <w:bottom w:val="none" w:sz="0" w:space="0" w:color="auto"/>
        <w:right w:val="none" w:sz="0" w:space="0" w:color="auto"/>
      </w:divBdr>
    </w:div>
    <w:div w:id="779180740">
      <w:bodyDiv w:val="1"/>
      <w:marLeft w:val="0"/>
      <w:marRight w:val="0"/>
      <w:marTop w:val="0"/>
      <w:marBottom w:val="0"/>
      <w:divBdr>
        <w:top w:val="none" w:sz="0" w:space="0" w:color="auto"/>
        <w:left w:val="none" w:sz="0" w:space="0" w:color="auto"/>
        <w:bottom w:val="none" w:sz="0" w:space="0" w:color="auto"/>
        <w:right w:val="none" w:sz="0" w:space="0" w:color="auto"/>
      </w:divBdr>
    </w:div>
    <w:div w:id="786850711">
      <w:bodyDiv w:val="1"/>
      <w:marLeft w:val="0"/>
      <w:marRight w:val="0"/>
      <w:marTop w:val="0"/>
      <w:marBottom w:val="0"/>
      <w:divBdr>
        <w:top w:val="none" w:sz="0" w:space="0" w:color="auto"/>
        <w:left w:val="none" w:sz="0" w:space="0" w:color="auto"/>
        <w:bottom w:val="none" w:sz="0" w:space="0" w:color="auto"/>
        <w:right w:val="none" w:sz="0" w:space="0" w:color="auto"/>
      </w:divBdr>
    </w:div>
    <w:div w:id="787310509">
      <w:bodyDiv w:val="1"/>
      <w:marLeft w:val="0"/>
      <w:marRight w:val="0"/>
      <w:marTop w:val="0"/>
      <w:marBottom w:val="0"/>
      <w:divBdr>
        <w:top w:val="none" w:sz="0" w:space="0" w:color="auto"/>
        <w:left w:val="none" w:sz="0" w:space="0" w:color="auto"/>
        <w:bottom w:val="none" w:sz="0" w:space="0" w:color="auto"/>
        <w:right w:val="none" w:sz="0" w:space="0" w:color="auto"/>
      </w:divBdr>
    </w:div>
    <w:div w:id="817646270">
      <w:bodyDiv w:val="1"/>
      <w:marLeft w:val="0"/>
      <w:marRight w:val="0"/>
      <w:marTop w:val="0"/>
      <w:marBottom w:val="0"/>
      <w:divBdr>
        <w:top w:val="none" w:sz="0" w:space="0" w:color="auto"/>
        <w:left w:val="none" w:sz="0" w:space="0" w:color="auto"/>
        <w:bottom w:val="none" w:sz="0" w:space="0" w:color="auto"/>
        <w:right w:val="none" w:sz="0" w:space="0" w:color="auto"/>
      </w:divBdr>
      <w:divsChild>
        <w:div w:id="1337416239">
          <w:marLeft w:val="0"/>
          <w:marRight w:val="0"/>
          <w:marTop w:val="0"/>
          <w:marBottom w:val="0"/>
          <w:divBdr>
            <w:top w:val="none" w:sz="0" w:space="0" w:color="auto"/>
            <w:left w:val="none" w:sz="0" w:space="0" w:color="auto"/>
            <w:bottom w:val="none" w:sz="0" w:space="0" w:color="auto"/>
            <w:right w:val="none" w:sz="0" w:space="0" w:color="auto"/>
          </w:divBdr>
        </w:div>
        <w:div w:id="1913807113">
          <w:marLeft w:val="0"/>
          <w:marRight w:val="0"/>
          <w:marTop w:val="0"/>
          <w:marBottom w:val="0"/>
          <w:divBdr>
            <w:top w:val="none" w:sz="0" w:space="0" w:color="auto"/>
            <w:left w:val="none" w:sz="0" w:space="0" w:color="auto"/>
            <w:bottom w:val="none" w:sz="0" w:space="0" w:color="auto"/>
            <w:right w:val="none" w:sz="0" w:space="0" w:color="auto"/>
          </w:divBdr>
        </w:div>
        <w:div w:id="948002590">
          <w:marLeft w:val="0"/>
          <w:marRight w:val="0"/>
          <w:marTop w:val="0"/>
          <w:marBottom w:val="0"/>
          <w:divBdr>
            <w:top w:val="none" w:sz="0" w:space="0" w:color="auto"/>
            <w:left w:val="none" w:sz="0" w:space="0" w:color="auto"/>
            <w:bottom w:val="none" w:sz="0" w:space="0" w:color="auto"/>
            <w:right w:val="none" w:sz="0" w:space="0" w:color="auto"/>
          </w:divBdr>
        </w:div>
        <w:div w:id="783964152">
          <w:marLeft w:val="0"/>
          <w:marRight w:val="0"/>
          <w:marTop w:val="0"/>
          <w:marBottom w:val="0"/>
          <w:divBdr>
            <w:top w:val="none" w:sz="0" w:space="0" w:color="auto"/>
            <w:left w:val="none" w:sz="0" w:space="0" w:color="auto"/>
            <w:bottom w:val="none" w:sz="0" w:space="0" w:color="auto"/>
            <w:right w:val="none" w:sz="0" w:space="0" w:color="auto"/>
          </w:divBdr>
        </w:div>
        <w:div w:id="1991321236">
          <w:marLeft w:val="0"/>
          <w:marRight w:val="0"/>
          <w:marTop w:val="0"/>
          <w:marBottom w:val="0"/>
          <w:divBdr>
            <w:top w:val="none" w:sz="0" w:space="0" w:color="auto"/>
            <w:left w:val="none" w:sz="0" w:space="0" w:color="auto"/>
            <w:bottom w:val="none" w:sz="0" w:space="0" w:color="auto"/>
            <w:right w:val="none" w:sz="0" w:space="0" w:color="auto"/>
          </w:divBdr>
        </w:div>
        <w:div w:id="320426703">
          <w:marLeft w:val="0"/>
          <w:marRight w:val="0"/>
          <w:marTop w:val="0"/>
          <w:marBottom w:val="0"/>
          <w:divBdr>
            <w:top w:val="none" w:sz="0" w:space="0" w:color="auto"/>
            <w:left w:val="none" w:sz="0" w:space="0" w:color="auto"/>
            <w:bottom w:val="none" w:sz="0" w:space="0" w:color="auto"/>
            <w:right w:val="none" w:sz="0" w:space="0" w:color="auto"/>
          </w:divBdr>
        </w:div>
        <w:div w:id="1760131724">
          <w:marLeft w:val="0"/>
          <w:marRight w:val="0"/>
          <w:marTop w:val="0"/>
          <w:marBottom w:val="0"/>
          <w:divBdr>
            <w:top w:val="none" w:sz="0" w:space="0" w:color="auto"/>
            <w:left w:val="none" w:sz="0" w:space="0" w:color="auto"/>
            <w:bottom w:val="none" w:sz="0" w:space="0" w:color="auto"/>
            <w:right w:val="none" w:sz="0" w:space="0" w:color="auto"/>
          </w:divBdr>
        </w:div>
        <w:div w:id="1975792708">
          <w:marLeft w:val="0"/>
          <w:marRight w:val="0"/>
          <w:marTop w:val="0"/>
          <w:marBottom w:val="0"/>
          <w:divBdr>
            <w:top w:val="none" w:sz="0" w:space="0" w:color="auto"/>
            <w:left w:val="none" w:sz="0" w:space="0" w:color="auto"/>
            <w:bottom w:val="none" w:sz="0" w:space="0" w:color="auto"/>
            <w:right w:val="none" w:sz="0" w:space="0" w:color="auto"/>
          </w:divBdr>
        </w:div>
        <w:div w:id="442576925">
          <w:marLeft w:val="0"/>
          <w:marRight w:val="0"/>
          <w:marTop w:val="0"/>
          <w:marBottom w:val="0"/>
          <w:divBdr>
            <w:top w:val="none" w:sz="0" w:space="0" w:color="auto"/>
            <w:left w:val="none" w:sz="0" w:space="0" w:color="auto"/>
            <w:bottom w:val="none" w:sz="0" w:space="0" w:color="auto"/>
            <w:right w:val="none" w:sz="0" w:space="0" w:color="auto"/>
          </w:divBdr>
        </w:div>
        <w:div w:id="1411655116">
          <w:marLeft w:val="0"/>
          <w:marRight w:val="0"/>
          <w:marTop w:val="0"/>
          <w:marBottom w:val="0"/>
          <w:divBdr>
            <w:top w:val="none" w:sz="0" w:space="0" w:color="auto"/>
            <w:left w:val="none" w:sz="0" w:space="0" w:color="auto"/>
            <w:bottom w:val="none" w:sz="0" w:space="0" w:color="auto"/>
            <w:right w:val="none" w:sz="0" w:space="0" w:color="auto"/>
          </w:divBdr>
        </w:div>
        <w:div w:id="463305377">
          <w:marLeft w:val="0"/>
          <w:marRight w:val="0"/>
          <w:marTop w:val="0"/>
          <w:marBottom w:val="0"/>
          <w:divBdr>
            <w:top w:val="none" w:sz="0" w:space="0" w:color="auto"/>
            <w:left w:val="none" w:sz="0" w:space="0" w:color="auto"/>
            <w:bottom w:val="none" w:sz="0" w:space="0" w:color="auto"/>
            <w:right w:val="none" w:sz="0" w:space="0" w:color="auto"/>
          </w:divBdr>
        </w:div>
        <w:div w:id="569774272">
          <w:marLeft w:val="0"/>
          <w:marRight w:val="0"/>
          <w:marTop w:val="0"/>
          <w:marBottom w:val="0"/>
          <w:divBdr>
            <w:top w:val="none" w:sz="0" w:space="0" w:color="auto"/>
            <w:left w:val="none" w:sz="0" w:space="0" w:color="auto"/>
            <w:bottom w:val="none" w:sz="0" w:space="0" w:color="auto"/>
            <w:right w:val="none" w:sz="0" w:space="0" w:color="auto"/>
          </w:divBdr>
        </w:div>
        <w:div w:id="580602542">
          <w:marLeft w:val="0"/>
          <w:marRight w:val="0"/>
          <w:marTop w:val="0"/>
          <w:marBottom w:val="0"/>
          <w:divBdr>
            <w:top w:val="none" w:sz="0" w:space="0" w:color="auto"/>
            <w:left w:val="none" w:sz="0" w:space="0" w:color="auto"/>
            <w:bottom w:val="none" w:sz="0" w:space="0" w:color="auto"/>
            <w:right w:val="none" w:sz="0" w:space="0" w:color="auto"/>
          </w:divBdr>
        </w:div>
        <w:div w:id="611059782">
          <w:marLeft w:val="0"/>
          <w:marRight w:val="0"/>
          <w:marTop w:val="0"/>
          <w:marBottom w:val="0"/>
          <w:divBdr>
            <w:top w:val="none" w:sz="0" w:space="0" w:color="auto"/>
            <w:left w:val="none" w:sz="0" w:space="0" w:color="auto"/>
            <w:bottom w:val="none" w:sz="0" w:space="0" w:color="auto"/>
            <w:right w:val="none" w:sz="0" w:space="0" w:color="auto"/>
          </w:divBdr>
        </w:div>
        <w:div w:id="1825317798">
          <w:marLeft w:val="0"/>
          <w:marRight w:val="0"/>
          <w:marTop w:val="0"/>
          <w:marBottom w:val="0"/>
          <w:divBdr>
            <w:top w:val="none" w:sz="0" w:space="0" w:color="auto"/>
            <w:left w:val="none" w:sz="0" w:space="0" w:color="auto"/>
            <w:bottom w:val="none" w:sz="0" w:space="0" w:color="auto"/>
            <w:right w:val="none" w:sz="0" w:space="0" w:color="auto"/>
          </w:divBdr>
        </w:div>
        <w:div w:id="617562981">
          <w:marLeft w:val="0"/>
          <w:marRight w:val="0"/>
          <w:marTop w:val="0"/>
          <w:marBottom w:val="0"/>
          <w:divBdr>
            <w:top w:val="none" w:sz="0" w:space="0" w:color="auto"/>
            <w:left w:val="none" w:sz="0" w:space="0" w:color="auto"/>
            <w:bottom w:val="none" w:sz="0" w:space="0" w:color="auto"/>
            <w:right w:val="none" w:sz="0" w:space="0" w:color="auto"/>
          </w:divBdr>
        </w:div>
        <w:div w:id="144199201">
          <w:marLeft w:val="0"/>
          <w:marRight w:val="0"/>
          <w:marTop w:val="0"/>
          <w:marBottom w:val="0"/>
          <w:divBdr>
            <w:top w:val="none" w:sz="0" w:space="0" w:color="auto"/>
            <w:left w:val="none" w:sz="0" w:space="0" w:color="auto"/>
            <w:bottom w:val="none" w:sz="0" w:space="0" w:color="auto"/>
            <w:right w:val="none" w:sz="0" w:space="0" w:color="auto"/>
          </w:divBdr>
        </w:div>
        <w:div w:id="1683824110">
          <w:marLeft w:val="0"/>
          <w:marRight w:val="0"/>
          <w:marTop w:val="0"/>
          <w:marBottom w:val="0"/>
          <w:divBdr>
            <w:top w:val="none" w:sz="0" w:space="0" w:color="auto"/>
            <w:left w:val="none" w:sz="0" w:space="0" w:color="auto"/>
            <w:bottom w:val="none" w:sz="0" w:space="0" w:color="auto"/>
            <w:right w:val="none" w:sz="0" w:space="0" w:color="auto"/>
          </w:divBdr>
        </w:div>
        <w:div w:id="1421293795">
          <w:marLeft w:val="0"/>
          <w:marRight w:val="0"/>
          <w:marTop w:val="0"/>
          <w:marBottom w:val="0"/>
          <w:divBdr>
            <w:top w:val="none" w:sz="0" w:space="0" w:color="auto"/>
            <w:left w:val="none" w:sz="0" w:space="0" w:color="auto"/>
            <w:bottom w:val="none" w:sz="0" w:space="0" w:color="auto"/>
            <w:right w:val="none" w:sz="0" w:space="0" w:color="auto"/>
          </w:divBdr>
        </w:div>
        <w:div w:id="1967614050">
          <w:marLeft w:val="0"/>
          <w:marRight w:val="0"/>
          <w:marTop w:val="0"/>
          <w:marBottom w:val="0"/>
          <w:divBdr>
            <w:top w:val="none" w:sz="0" w:space="0" w:color="auto"/>
            <w:left w:val="none" w:sz="0" w:space="0" w:color="auto"/>
            <w:bottom w:val="none" w:sz="0" w:space="0" w:color="auto"/>
            <w:right w:val="none" w:sz="0" w:space="0" w:color="auto"/>
          </w:divBdr>
        </w:div>
      </w:divsChild>
    </w:div>
    <w:div w:id="872960118">
      <w:bodyDiv w:val="1"/>
      <w:marLeft w:val="0"/>
      <w:marRight w:val="0"/>
      <w:marTop w:val="0"/>
      <w:marBottom w:val="0"/>
      <w:divBdr>
        <w:top w:val="none" w:sz="0" w:space="0" w:color="auto"/>
        <w:left w:val="none" w:sz="0" w:space="0" w:color="auto"/>
        <w:bottom w:val="none" w:sz="0" w:space="0" w:color="auto"/>
        <w:right w:val="none" w:sz="0" w:space="0" w:color="auto"/>
      </w:divBdr>
    </w:div>
    <w:div w:id="896235579">
      <w:bodyDiv w:val="1"/>
      <w:marLeft w:val="0"/>
      <w:marRight w:val="0"/>
      <w:marTop w:val="0"/>
      <w:marBottom w:val="0"/>
      <w:divBdr>
        <w:top w:val="none" w:sz="0" w:space="0" w:color="auto"/>
        <w:left w:val="none" w:sz="0" w:space="0" w:color="auto"/>
        <w:bottom w:val="none" w:sz="0" w:space="0" w:color="auto"/>
        <w:right w:val="none" w:sz="0" w:space="0" w:color="auto"/>
      </w:divBdr>
    </w:div>
    <w:div w:id="903955032">
      <w:bodyDiv w:val="1"/>
      <w:marLeft w:val="0"/>
      <w:marRight w:val="0"/>
      <w:marTop w:val="0"/>
      <w:marBottom w:val="0"/>
      <w:divBdr>
        <w:top w:val="none" w:sz="0" w:space="0" w:color="auto"/>
        <w:left w:val="none" w:sz="0" w:space="0" w:color="auto"/>
        <w:bottom w:val="none" w:sz="0" w:space="0" w:color="auto"/>
        <w:right w:val="none" w:sz="0" w:space="0" w:color="auto"/>
      </w:divBdr>
    </w:div>
    <w:div w:id="928079087">
      <w:bodyDiv w:val="1"/>
      <w:marLeft w:val="0"/>
      <w:marRight w:val="0"/>
      <w:marTop w:val="0"/>
      <w:marBottom w:val="0"/>
      <w:divBdr>
        <w:top w:val="none" w:sz="0" w:space="0" w:color="auto"/>
        <w:left w:val="none" w:sz="0" w:space="0" w:color="auto"/>
        <w:bottom w:val="none" w:sz="0" w:space="0" w:color="auto"/>
        <w:right w:val="none" w:sz="0" w:space="0" w:color="auto"/>
      </w:divBdr>
    </w:div>
    <w:div w:id="976448608">
      <w:bodyDiv w:val="1"/>
      <w:marLeft w:val="0"/>
      <w:marRight w:val="0"/>
      <w:marTop w:val="0"/>
      <w:marBottom w:val="0"/>
      <w:divBdr>
        <w:top w:val="none" w:sz="0" w:space="0" w:color="auto"/>
        <w:left w:val="none" w:sz="0" w:space="0" w:color="auto"/>
        <w:bottom w:val="none" w:sz="0" w:space="0" w:color="auto"/>
        <w:right w:val="none" w:sz="0" w:space="0" w:color="auto"/>
      </w:divBdr>
    </w:div>
    <w:div w:id="996105197">
      <w:bodyDiv w:val="1"/>
      <w:marLeft w:val="0"/>
      <w:marRight w:val="0"/>
      <w:marTop w:val="0"/>
      <w:marBottom w:val="0"/>
      <w:divBdr>
        <w:top w:val="none" w:sz="0" w:space="0" w:color="auto"/>
        <w:left w:val="none" w:sz="0" w:space="0" w:color="auto"/>
        <w:bottom w:val="none" w:sz="0" w:space="0" w:color="auto"/>
        <w:right w:val="none" w:sz="0" w:space="0" w:color="auto"/>
      </w:divBdr>
    </w:div>
    <w:div w:id="998266815">
      <w:bodyDiv w:val="1"/>
      <w:marLeft w:val="0"/>
      <w:marRight w:val="0"/>
      <w:marTop w:val="0"/>
      <w:marBottom w:val="0"/>
      <w:divBdr>
        <w:top w:val="none" w:sz="0" w:space="0" w:color="auto"/>
        <w:left w:val="none" w:sz="0" w:space="0" w:color="auto"/>
        <w:bottom w:val="none" w:sz="0" w:space="0" w:color="auto"/>
        <w:right w:val="none" w:sz="0" w:space="0" w:color="auto"/>
      </w:divBdr>
    </w:div>
    <w:div w:id="998969591">
      <w:bodyDiv w:val="1"/>
      <w:marLeft w:val="0"/>
      <w:marRight w:val="0"/>
      <w:marTop w:val="0"/>
      <w:marBottom w:val="0"/>
      <w:divBdr>
        <w:top w:val="none" w:sz="0" w:space="0" w:color="auto"/>
        <w:left w:val="none" w:sz="0" w:space="0" w:color="auto"/>
        <w:bottom w:val="none" w:sz="0" w:space="0" w:color="auto"/>
        <w:right w:val="none" w:sz="0" w:space="0" w:color="auto"/>
      </w:divBdr>
    </w:div>
    <w:div w:id="1004359980">
      <w:bodyDiv w:val="1"/>
      <w:marLeft w:val="0"/>
      <w:marRight w:val="0"/>
      <w:marTop w:val="0"/>
      <w:marBottom w:val="0"/>
      <w:divBdr>
        <w:top w:val="none" w:sz="0" w:space="0" w:color="auto"/>
        <w:left w:val="none" w:sz="0" w:space="0" w:color="auto"/>
        <w:bottom w:val="none" w:sz="0" w:space="0" w:color="auto"/>
        <w:right w:val="none" w:sz="0" w:space="0" w:color="auto"/>
      </w:divBdr>
    </w:div>
    <w:div w:id="1009142004">
      <w:bodyDiv w:val="1"/>
      <w:marLeft w:val="0"/>
      <w:marRight w:val="0"/>
      <w:marTop w:val="0"/>
      <w:marBottom w:val="0"/>
      <w:divBdr>
        <w:top w:val="none" w:sz="0" w:space="0" w:color="auto"/>
        <w:left w:val="none" w:sz="0" w:space="0" w:color="auto"/>
        <w:bottom w:val="none" w:sz="0" w:space="0" w:color="auto"/>
        <w:right w:val="none" w:sz="0" w:space="0" w:color="auto"/>
      </w:divBdr>
    </w:div>
    <w:div w:id="1010639333">
      <w:bodyDiv w:val="1"/>
      <w:marLeft w:val="0"/>
      <w:marRight w:val="0"/>
      <w:marTop w:val="0"/>
      <w:marBottom w:val="0"/>
      <w:divBdr>
        <w:top w:val="none" w:sz="0" w:space="0" w:color="auto"/>
        <w:left w:val="none" w:sz="0" w:space="0" w:color="auto"/>
        <w:bottom w:val="none" w:sz="0" w:space="0" w:color="auto"/>
        <w:right w:val="none" w:sz="0" w:space="0" w:color="auto"/>
      </w:divBdr>
      <w:divsChild>
        <w:div w:id="783770039">
          <w:marLeft w:val="0"/>
          <w:marRight w:val="0"/>
          <w:marTop w:val="0"/>
          <w:marBottom w:val="0"/>
          <w:divBdr>
            <w:top w:val="none" w:sz="0" w:space="0" w:color="auto"/>
            <w:left w:val="none" w:sz="0" w:space="0" w:color="auto"/>
            <w:bottom w:val="none" w:sz="0" w:space="0" w:color="auto"/>
            <w:right w:val="none" w:sz="0" w:space="0" w:color="auto"/>
          </w:divBdr>
        </w:div>
        <w:div w:id="1240603217">
          <w:marLeft w:val="0"/>
          <w:marRight w:val="0"/>
          <w:marTop w:val="0"/>
          <w:marBottom w:val="0"/>
          <w:divBdr>
            <w:top w:val="none" w:sz="0" w:space="0" w:color="auto"/>
            <w:left w:val="none" w:sz="0" w:space="0" w:color="auto"/>
            <w:bottom w:val="none" w:sz="0" w:space="0" w:color="auto"/>
            <w:right w:val="none" w:sz="0" w:space="0" w:color="auto"/>
          </w:divBdr>
        </w:div>
      </w:divsChild>
    </w:div>
    <w:div w:id="1026056619">
      <w:bodyDiv w:val="1"/>
      <w:marLeft w:val="0"/>
      <w:marRight w:val="0"/>
      <w:marTop w:val="0"/>
      <w:marBottom w:val="0"/>
      <w:divBdr>
        <w:top w:val="none" w:sz="0" w:space="0" w:color="auto"/>
        <w:left w:val="none" w:sz="0" w:space="0" w:color="auto"/>
        <w:bottom w:val="none" w:sz="0" w:space="0" w:color="auto"/>
        <w:right w:val="none" w:sz="0" w:space="0" w:color="auto"/>
      </w:divBdr>
    </w:div>
    <w:div w:id="1056507643">
      <w:bodyDiv w:val="1"/>
      <w:marLeft w:val="0"/>
      <w:marRight w:val="0"/>
      <w:marTop w:val="0"/>
      <w:marBottom w:val="0"/>
      <w:divBdr>
        <w:top w:val="none" w:sz="0" w:space="0" w:color="auto"/>
        <w:left w:val="none" w:sz="0" w:space="0" w:color="auto"/>
        <w:bottom w:val="none" w:sz="0" w:space="0" w:color="auto"/>
        <w:right w:val="none" w:sz="0" w:space="0" w:color="auto"/>
      </w:divBdr>
    </w:div>
    <w:div w:id="1059524115">
      <w:bodyDiv w:val="1"/>
      <w:marLeft w:val="0"/>
      <w:marRight w:val="0"/>
      <w:marTop w:val="0"/>
      <w:marBottom w:val="0"/>
      <w:divBdr>
        <w:top w:val="none" w:sz="0" w:space="0" w:color="auto"/>
        <w:left w:val="none" w:sz="0" w:space="0" w:color="auto"/>
        <w:bottom w:val="none" w:sz="0" w:space="0" w:color="auto"/>
        <w:right w:val="none" w:sz="0" w:space="0" w:color="auto"/>
      </w:divBdr>
    </w:div>
    <w:div w:id="1072309358">
      <w:bodyDiv w:val="1"/>
      <w:marLeft w:val="0"/>
      <w:marRight w:val="0"/>
      <w:marTop w:val="0"/>
      <w:marBottom w:val="0"/>
      <w:divBdr>
        <w:top w:val="none" w:sz="0" w:space="0" w:color="auto"/>
        <w:left w:val="none" w:sz="0" w:space="0" w:color="auto"/>
        <w:bottom w:val="none" w:sz="0" w:space="0" w:color="auto"/>
        <w:right w:val="none" w:sz="0" w:space="0" w:color="auto"/>
      </w:divBdr>
    </w:div>
    <w:div w:id="1075131551">
      <w:bodyDiv w:val="1"/>
      <w:marLeft w:val="0"/>
      <w:marRight w:val="0"/>
      <w:marTop w:val="0"/>
      <w:marBottom w:val="0"/>
      <w:divBdr>
        <w:top w:val="none" w:sz="0" w:space="0" w:color="auto"/>
        <w:left w:val="none" w:sz="0" w:space="0" w:color="auto"/>
        <w:bottom w:val="none" w:sz="0" w:space="0" w:color="auto"/>
        <w:right w:val="none" w:sz="0" w:space="0" w:color="auto"/>
      </w:divBdr>
    </w:div>
    <w:div w:id="1085029131">
      <w:bodyDiv w:val="1"/>
      <w:marLeft w:val="0"/>
      <w:marRight w:val="0"/>
      <w:marTop w:val="0"/>
      <w:marBottom w:val="0"/>
      <w:divBdr>
        <w:top w:val="none" w:sz="0" w:space="0" w:color="auto"/>
        <w:left w:val="none" w:sz="0" w:space="0" w:color="auto"/>
        <w:bottom w:val="none" w:sz="0" w:space="0" w:color="auto"/>
        <w:right w:val="none" w:sz="0" w:space="0" w:color="auto"/>
      </w:divBdr>
    </w:div>
    <w:div w:id="1096363467">
      <w:bodyDiv w:val="1"/>
      <w:marLeft w:val="0"/>
      <w:marRight w:val="0"/>
      <w:marTop w:val="0"/>
      <w:marBottom w:val="0"/>
      <w:divBdr>
        <w:top w:val="none" w:sz="0" w:space="0" w:color="auto"/>
        <w:left w:val="none" w:sz="0" w:space="0" w:color="auto"/>
        <w:bottom w:val="none" w:sz="0" w:space="0" w:color="auto"/>
        <w:right w:val="none" w:sz="0" w:space="0" w:color="auto"/>
      </w:divBdr>
    </w:div>
    <w:div w:id="1118793649">
      <w:bodyDiv w:val="1"/>
      <w:marLeft w:val="0"/>
      <w:marRight w:val="0"/>
      <w:marTop w:val="0"/>
      <w:marBottom w:val="0"/>
      <w:divBdr>
        <w:top w:val="none" w:sz="0" w:space="0" w:color="auto"/>
        <w:left w:val="none" w:sz="0" w:space="0" w:color="auto"/>
        <w:bottom w:val="none" w:sz="0" w:space="0" w:color="auto"/>
        <w:right w:val="none" w:sz="0" w:space="0" w:color="auto"/>
      </w:divBdr>
      <w:divsChild>
        <w:div w:id="76095608">
          <w:marLeft w:val="0"/>
          <w:marRight w:val="0"/>
          <w:marTop w:val="0"/>
          <w:marBottom w:val="0"/>
          <w:divBdr>
            <w:top w:val="none" w:sz="0" w:space="0" w:color="auto"/>
            <w:left w:val="none" w:sz="0" w:space="0" w:color="auto"/>
            <w:bottom w:val="none" w:sz="0" w:space="0" w:color="auto"/>
            <w:right w:val="none" w:sz="0" w:space="0" w:color="auto"/>
          </w:divBdr>
        </w:div>
        <w:div w:id="565729721">
          <w:marLeft w:val="0"/>
          <w:marRight w:val="0"/>
          <w:marTop w:val="0"/>
          <w:marBottom w:val="0"/>
          <w:divBdr>
            <w:top w:val="none" w:sz="0" w:space="0" w:color="auto"/>
            <w:left w:val="none" w:sz="0" w:space="0" w:color="auto"/>
            <w:bottom w:val="none" w:sz="0" w:space="0" w:color="auto"/>
            <w:right w:val="none" w:sz="0" w:space="0" w:color="auto"/>
          </w:divBdr>
        </w:div>
      </w:divsChild>
    </w:div>
    <w:div w:id="1125343650">
      <w:bodyDiv w:val="1"/>
      <w:marLeft w:val="0"/>
      <w:marRight w:val="0"/>
      <w:marTop w:val="0"/>
      <w:marBottom w:val="0"/>
      <w:divBdr>
        <w:top w:val="none" w:sz="0" w:space="0" w:color="auto"/>
        <w:left w:val="none" w:sz="0" w:space="0" w:color="auto"/>
        <w:bottom w:val="none" w:sz="0" w:space="0" w:color="auto"/>
        <w:right w:val="none" w:sz="0" w:space="0" w:color="auto"/>
      </w:divBdr>
    </w:div>
    <w:div w:id="1129742170">
      <w:bodyDiv w:val="1"/>
      <w:marLeft w:val="0"/>
      <w:marRight w:val="0"/>
      <w:marTop w:val="0"/>
      <w:marBottom w:val="0"/>
      <w:divBdr>
        <w:top w:val="none" w:sz="0" w:space="0" w:color="auto"/>
        <w:left w:val="none" w:sz="0" w:space="0" w:color="auto"/>
        <w:bottom w:val="none" w:sz="0" w:space="0" w:color="auto"/>
        <w:right w:val="none" w:sz="0" w:space="0" w:color="auto"/>
      </w:divBdr>
    </w:div>
    <w:div w:id="1148480520">
      <w:bodyDiv w:val="1"/>
      <w:marLeft w:val="0"/>
      <w:marRight w:val="0"/>
      <w:marTop w:val="0"/>
      <w:marBottom w:val="0"/>
      <w:divBdr>
        <w:top w:val="none" w:sz="0" w:space="0" w:color="auto"/>
        <w:left w:val="none" w:sz="0" w:space="0" w:color="auto"/>
        <w:bottom w:val="none" w:sz="0" w:space="0" w:color="auto"/>
        <w:right w:val="none" w:sz="0" w:space="0" w:color="auto"/>
      </w:divBdr>
    </w:div>
    <w:div w:id="1156218063">
      <w:bodyDiv w:val="1"/>
      <w:marLeft w:val="0"/>
      <w:marRight w:val="0"/>
      <w:marTop w:val="0"/>
      <w:marBottom w:val="0"/>
      <w:divBdr>
        <w:top w:val="none" w:sz="0" w:space="0" w:color="auto"/>
        <w:left w:val="none" w:sz="0" w:space="0" w:color="auto"/>
        <w:bottom w:val="none" w:sz="0" w:space="0" w:color="auto"/>
        <w:right w:val="none" w:sz="0" w:space="0" w:color="auto"/>
      </w:divBdr>
    </w:div>
    <w:div w:id="1166166689">
      <w:bodyDiv w:val="1"/>
      <w:marLeft w:val="0"/>
      <w:marRight w:val="0"/>
      <w:marTop w:val="0"/>
      <w:marBottom w:val="0"/>
      <w:divBdr>
        <w:top w:val="none" w:sz="0" w:space="0" w:color="auto"/>
        <w:left w:val="none" w:sz="0" w:space="0" w:color="auto"/>
        <w:bottom w:val="none" w:sz="0" w:space="0" w:color="auto"/>
        <w:right w:val="none" w:sz="0" w:space="0" w:color="auto"/>
      </w:divBdr>
      <w:divsChild>
        <w:div w:id="75515122">
          <w:marLeft w:val="0"/>
          <w:marRight w:val="0"/>
          <w:marTop w:val="60"/>
          <w:marBottom w:val="0"/>
          <w:divBdr>
            <w:top w:val="none" w:sz="0" w:space="0" w:color="auto"/>
            <w:left w:val="none" w:sz="0" w:space="0" w:color="auto"/>
            <w:bottom w:val="none" w:sz="0" w:space="0" w:color="auto"/>
            <w:right w:val="none" w:sz="0" w:space="0" w:color="auto"/>
          </w:divBdr>
        </w:div>
        <w:div w:id="272372015">
          <w:marLeft w:val="0"/>
          <w:marRight w:val="0"/>
          <w:marTop w:val="60"/>
          <w:marBottom w:val="0"/>
          <w:divBdr>
            <w:top w:val="none" w:sz="0" w:space="0" w:color="auto"/>
            <w:left w:val="none" w:sz="0" w:space="0" w:color="auto"/>
            <w:bottom w:val="none" w:sz="0" w:space="0" w:color="auto"/>
            <w:right w:val="none" w:sz="0" w:space="0" w:color="auto"/>
          </w:divBdr>
        </w:div>
        <w:div w:id="321399446">
          <w:marLeft w:val="0"/>
          <w:marRight w:val="0"/>
          <w:marTop w:val="60"/>
          <w:marBottom w:val="0"/>
          <w:divBdr>
            <w:top w:val="none" w:sz="0" w:space="0" w:color="auto"/>
            <w:left w:val="none" w:sz="0" w:space="0" w:color="auto"/>
            <w:bottom w:val="none" w:sz="0" w:space="0" w:color="auto"/>
            <w:right w:val="none" w:sz="0" w:space="0" w:color="auto"/>
          </w:divBdr>
        </w:div>
        <w:div w:id="760417639">
          <w:marLeft w:val="0"/>
          <w:marRight w:val="0"/>
          <w:marTop w:val="60"/>
          <w:marBottom w:val="0"/>
          <w:divBdr>
            <w:top w:val="none" w:sz="0" w:space="0" w:color="auto"/>
            <w:left w:val="none" w:sz="0" w:space="0" w:color="auto"/>
            <w:bottom w:val="none" w:sz="0" w:space="0" w:color="auto"/>
            <w:right w:val="none" w:sz="0" w:space="0" w:color="auto"/>
          </w:divBdr>
        </w:div>
        <w:div w:id="895241664">
          <w:marLeft w:val="0"/>
          <w:marRight w:val="0"/>
          <w:marTop w:val="60"/>
          <w:marBottom w:val="0"/>
          <w:divBdr>
            <w:top w:val="none" w:sz="0" w:space="0" w:color="auto"/>
            <w:left w:val="none" w:sz="0" w:space="0" w:color="auto"/>
            <w:bottom w:val="none" w:sz="0" w:space="0" w:color="auto"/>
            <w:right w:val="none" w:sz="0" w:space="0" w:color="auto"/>
          </w:divBdr>
        </w:div>
        <w:div w:id="1251499381">
          <w:marLeft w:val="0"/>
          <w:marRight w:val="0"/>
          <w:marTop w:val="60"/>
          <w:marBottom w:val="0"/>
          <w:divBdr>
            <w:top w:val="none" w:sz="0" w:space="0" w:color="auto"/>
            <w:left w:val="none" w:sz="0" w:space="0" w:color="auto"/>
            <w:bottom w:val="none" w:sz="0" w:space="0" w:color="auto"/>
            <w:right w:val="none" w:sz="0" w:space="0" w:color="auto"/>
          </w:divBdr>
        </w:div>
        <w:div w:id="1406686068">
          <w:marLeft w:val="0"/>
          <w:marRight w:val="0"/>
          <w:marTop w:val="60"/>
          <w:marBottom w:val="0"/>
          <w:divBdr>
            <w:top w:val="none" w:sz="0" w:space="0" w:color="auto"/>
            <w:left w:val="none" w:sz="0" w:space="0" w:color="auto"/>
            <w:bottom w:val="none" w:sz="0" w:space="0" w:color="auto"/>
            <w:right w:val="none" w:sz="0" w:space="0" w:color="auto"/>
          </w:divBdr>
        </w:div>
        <w:div w:id="1568225591">
          <w:marLeft w:val="0"/>
          <w:marRight w:val="0"/>
          <w:marTop w:val="60"/>
          <w:marBottom w:val="0"/>
          <w:divBdr>
            <w:top w:val="none" w:sz="0" w:space="0" w:color="auto"/>
            <w:left w:val="none" w:sz="0" w:space="0" w:color="auto"/>
            <w:bottom w:val="none" w:sz="0" w:space="0" w:color="auto"/>
            <w:right w:val="none" w:sz="0" w:space="0" w:color="auto"/>
          </w:divBdr>
        </w:div>
        <w:div w:id="1991403167">
          <w:marLeft w:val="0"/>
          <w:marRight w:val="0"/>
          <w:marTop w:val="60"/>
          <w:marBottom w:val="0"/>
          <w:divBdr>
            <w:top w:val="none" w:sz="0" w:space="0" w:color="auto"/>
            <w:left w:val="none" w:sz="0" w:space="0" w:color="auto"/>
            <w:bottom w:val="none" w:sz="0" w:space="0" w:color="auto"/>
            <w:right w:val="none" w:sz="0" w:space="0" w:color="auto"/>
          </w:divBdr>
        </w:div>
        <w:div w:id="2140491321">
          <w:marLeft w:val="0"/>
          <w:marRight w:val="0"/>
          <w:marTop w:val="60"/>
          <w:marBottom w:val="0"/>
          <w:divBdr>
            <w:top w:val="none" w:sz="0" w:space="0" w:color="auto"/>
            <w:left w:val="none" w:sz="0" w:space="0" w:color="auto"/>
            <w:bottom w:val="none" w:sz="0" w:space="0" w:color="auto"/>
            <w:right w:val="none" w:sz="0" w:space="0" w:color="auto"/>
          </w:divBdr>
        </w:div>
      </w:divsChild>
    </w:div>
    <w:div w:id="1175416909">
      <w:bodyDiv w:val="1"/>
      <w:marLeft w:val="0"/>
      <w:marRight w:val="0"/>
      <w:marTop w:val="0"/>
      <w:marBottom w:val="0"/>
      <w:divBdr>
        <w:top w:val="none" w:sz="0" w:space="0" w:color="auto"/>
        <w:left w:val="none" w:sz="0" w:space="0" w:color="auto"/>
        <w:bottom w:val="none" w:sz="0" w:space="0" w:color="auto"/>
        <w:right w:val="none" w:sz="0" w:space="0" w:color="auto"/>
      </w:divBdr>
    </w:div>
    <w:div w:id="1177309688">
      <w:bodyDiv w:val="1"/>
      <w:marLeft w:val="0"/>
      <w:marRight w:val="0"/>
      <w:marTop w:val="0"/>
      <w:marBottom w:val="0"/>
      <w:divBdr>
        <w:top w:val="none" w:sz="0" w:space="0" w:color="auto"/>
        <w:left w:val="none" w:sz="0" w:space="0" w:color="auto"/>
        <w:bottom w:val="none" w:sz="0" w:space="0" w:color="auto"/>
        <w:right w:val="none" w:sz="0" w:space="0" w:color="auto"/>
      </w:divBdr>
      <w:divsChild>
        <w:div w:id="1380130040">
          <w:marLeft w:val="0"/>
          <w:marRight w:val="0"/>
          <w:marTop w:val="0"/>
          <w:marBottom w:val="0"/>
          <w:divBdr>
            <w:top w:val="none" w:sz="0" w:space="0" w:color="auto"/>
            <w:left w:val="none" w:sz="0" w:space="0" w:color="auto"/>
            <w:bottom w:val="none" w:sz="0" w:space="0" w:color="auto"/>
            <w:right w:val="none" w:sz="0" w:space="0" w:color="auto"/>
          </w:divBdr>
        </w:div>
        <w:div w:id="1847859953">
          <w:marLeft w:val="0"/>
          <w:marRight w:val="0"/>
          <w:marTop w:val="0"/>
          <w:marBottom w:val="0"/>
          <w:divBdr>
            <w:top w:val="none" w:sz="0" w:space="0" w:color="auto"/>
            <w:left w:val="none" w:sz="0" w:space="0" w:color="auto"/>
            <w:bottom w:val="none" w:sz="0" w:space="0" w:color="auto"/>
            <w:right w:val="none" w:sz="0" w:space="0" w:color="auto"/>
          </w:divBdr>
        </w:div>
        <w:div w:id="391078616">
          <w:marLeft w:val="0"/>
          <w:marRight w:val="0"/>
          <w:marTop w:val="0"/>
          <w:marBottom w:val="0"/>
          <w:divBdr>
            <w:top w:val="none" w:sz="0" w:space="0" w:color="auto"/>
            <w:left w:val="none" w:sz="0" w:space="0" w:color="auto"/>
            <w:bottom w:val="none" w:sz="0" w:space="0" w:color="auto"/>
            <w:right w:val="none" w:sz="0" w:space="0" w:color="auto"/>
          </w:divBdr>
        </w:div>
        <w:div w:id="526793033">
          <w:marLeft w:val="0"/>
          <w:marRight w:val="0"/>
          <w:marTop w:val="0"/>
          <w:marBottom w:val="0"/>
          <w:divBdr>
            <w:top w:val="none" w:sz="0" w:space="0" w:color="auto"/>
            <w:left w:val="none" w:sz="0" w:space="0" w:color="auto"/>
            <w:bottom w:val="none" w:sz="0" w:space="0" w:color="auto"/>
            <w:right w:val="none" w:sz="0" w:space="0" w:color="auto"/>
          </w:divBdr>
        </w:div>
        <w:div w:id="950236632">
          <w:marLeft w:val="0"/>
          <w:marRight w:val="0"/>
          <w:marTop w:val="0"/>
          <w:marBottom w:val="0"/>
          <w:divBdr>
            <w:top w:val="none" w:sz="0" w:space="0" w:color="auto"/>
            <w:left w:val="none" w:sz="0" w:space="0" w:color="auto"/>
            <w:bottom w:val="none" w:sz="0" w:space="0" w:color="auto"/>
            <w:right w:val="none" w:sz="0" w:space="0" w:color="auto"/>
          </w:divBdr>
        </w:div>
        <w:div w:id="318996035">
          <w:marLeft w:val="0"/>
          <w:marRight w:val="0"/>
          <w:marTop w:val="0"/>
          <w:marBottom w:val="0"/>
          <w:divBdr>
            <w:top w:val="none" w:sz="0" w:space="0" w:color="auto"/>
            <w:left w:val="none" w:sz="0" w:space="0" w:color="auto"/>
            <w:bottom w:val="none" w:sz="0" w:space="0" w:color="auto"/>
            <w:right w:val="none" w:sz="0" w:space="0" w:color="auto"/>
          </w:divBdr>
        </w:div>
        <w:div w:id="2099056896">
          <w:marLeft w:val="0"/>
          <w:marRight w:val="0"/>
          <w:marTop w:val="0"/>
          <w:marBottom w:val="0"/>
          <w:divBdr>
            <w:top w:val="none" w:sz="0" w:space="0" w:color="auto"/>
            <w:left w:val="none" w:sz="0" w:space="0" w:color="auto"/>
            <w:bottom w:val="none" w:sz="0" w:space="0" w:color="auto"/>
            <w:right w:val="none" w:sz="0" w:space="0" w:color="auto"/>
          </w:divBdr>
        </w:div>
        <w:div w:id="1072969683">
          <w:marLeft w:val="0"/>
          <w:marRight w:val="0"/>
          <w:marTop w:val="0"/>
          <w:marBottom w:val="0"/>
          <w:divBdr>
            <w:top w:val="none" w:sz="0" w:space="0" w:color="auto"/>
            <w:left w:val="none" w:sz="0" w:space="0" w:color="auto"/>
            <w:bottom w:val="none" w:sz="0" w:space="0" w:color="auto"/>
            <w:right w:val="none" w:sz="0" w:space="0" w:color="auto"/>
          </w:divBdr>
        </w:div>
        <w:div w:id="723678815">
          <w:marLeft w:val="0"/>
          <w:marRight w:val="0"/>
          <w:marTop w:val="0"/>
          <w:marBottom w:val="0"/>
          <w:divBdr>
            <w:top w:val="none" w:sz="0" w:space="0" w:color="auto"/>
            <w:left w:val="none" w:sz="0" w:space="0" w:color="auto"/>
            <w:bottom w:val="none" w:sz="0" w:space="0" w:color="auto"/>
            <w:right w:val="none" w:sz="0" w:space="0" w:color="auto"/>
          </w:divBdr>
        </w:div>
      </w:divsChild>
    </w:div>
    <w:div w:id="1222639996">
      <w:bodyDiv w:val="1"/>
      <w:marLeft w:val="0"/>
      <w:marRight w:val="0"/>
      <w:marTop w:val="0"/>
      <w:marBottom w:val="0"/>
      <w:divBdr>
        <w:top w:val="none" w:sz="0" w:space="0" w:color="auto"/>
        <w:left w:val="none" w:sz="0" w:space="0" w:color="auto"/>
        <w:bottom w:val="none" w:sz="0" w:space="0" w:color="auto"/>
        <w:right w:val="none" w:sz="0" w:space="0" w:color="auto"/>
      </w:divBdr>
    </w:div>
    <w:div w:id="1253510719">
      <w:bodyDiv w:val="1"/>
      <w:marLeft w:val="0"/>
      <w:marRight w:val="0"/>
      <w:marTop w:val="0"/>
      <w:marBottom w:val="0"/>
      <w:divBdr>
        <w:top w:val="none" w:sz="0" w:space="0" w:color="auto"/>
        <w:left w:val="none" w:sz="0" w:space="0" w:color="auto"/>
        <w:bottom w:val="none" w:sz="0" w:space="0" w:color="auto"/>
        <w:right w:val="none" w:sz="0" w:space="0" w:color="auto"/>
      </w:divBdr>
      <w:divsChild>
        <w:div w:id="67310230">
          <w:marLeft w:val="0"/>
          <w:marRight w:val="0"/>
          <w:marTop w:val="0"/>
          <w:marBottom w:val="0"/>
          <w:divBdr>
            <w:top w:val="none" w:sz="0" w:space="0" w:color="auto"/>
            <w:left w:val="none" w:sz="0" w:space="0" w:color="auto"/>
            <w:bottom w:val="none" w:sz="0" w:space="0" w:color="auto"/>
            <w:right w:val="none" w:sz="0" w:space="0" w:color="auto"/>
          </w:divBdr>
        </w:div>
        <w:div w:id="320695569">
          <w:marLeft w:val="0"/>
          <w:marRight w:val="0"/>
          <w:marTop w:val="0"/>
          <w:marBottom w:val="0"/>
          <w:divBdr>
            <w:top w:val="none" w:sz="0" w:space="0" w:color="auto"/>
            <w:left w:val="none" w:sz="0" w:space="0" w:color="auto"/>
            <w:bottom w:val="none" w:sz="0" w:space="0" w:color="auto"/>
            <w:right w:val="none" w:sz="0" w:space="0" w:color="auto"/>
          </w:divBdr>
        </w:div>
      </w:divsChild>
    </w:div>
    <w:div w:id="1309285165">
      <w:bodyDiv w:val="1"/>
      <w:marLeft w:val="0"/>
      <w:marRight w:val="0"/>
      <w:marTop w:val="0"/>
      <w:marBottom w:val="0"/>
      <w:divBdr>
        <w:top w:val="none" w:sz="0" w:space="0" w:color="auto"/>
        <w:left w:val="none" w:sz="0" w:space="0" w:color="auto"/>
        <w:bottom w:val="none" w:sz="0" w:space="0" w:color="auto"/>
        <w:right w:val="none" w:sz="0" w:space="0" w:color="auto"/>
      </w:divBdr>
      <w:divsChild>
        <w:div w:id="170680450">
          <w:marLeft w:val="0"/>
          <w:marRight w:val="0"/>
          <w:marTop w:val="0"/>
          <w:marBottom w:val="0"/>
          <w:divBdr>
            <w:top w:val="none" w:sz="0" w:space="0" w:color="auto"/>
            <w:left w:val="none" w:sz="0" w:space="0" w:color="auto"/>
            <w:bottom w:val="none" w:sz="0" w:space="0" w:color="auto"/>
            <w:right w:val="none" w:sz="0" w:space="0" w:color="auto"/>
          </w:divBdr>
        </w:div>
        <w:div w:id="283391045">
          <w:marLeft w:val="0"/>
          <w:marRight w:val="0"/>
          <w:marTop w:val="0"/>
          <w:marBottom w:val="0"/>
          <w:divBdr>
            <w:top w:val="none" w:sz="0" w:space="0" w:color="auto"/>
            <w:left w:val="none" w:sz="0" w:space="0" w:color="auto"/>
            <w:bottom w:val="none" w:sz="0" w:space="0" w:color="auto"/>
            <w:right w:val="none" w:sz="0" w:space="0" w:color="auto"/>
          </w:divBdr>
        </w:div>
      </w:divsChild>
    </w:div>
    <w:div w:id="1314531469">
      <w:bodyDiv w:val="1"/>
      <w:marLeft w:val="0"/>
      <w:marRight w:val="0"/>
      <w:marTop w:val="0"/>
      <w:marBottom w:val="0"/>
      <w:divBdr>
        <w:top w:val="none" w:sz="0" w:space="0" w:color="auto"/>
        <w:left w:val="none" w:sz="0" w:space="0" w:color="auto"/>
        <w:bottom w:val="none" w:sz="0" w:space="0" w:color="auto"/>
        <w:right w:val="none" w:sz="0" w:space="0" w:color="auto"/>
      </w:divBdr>
    </w:div>
    <w:div w:id="1318916029">
      <w:bodyDiv w:val="1"/>
      <w:marLeft w:val="0"/>
      <w:marRight w:val="0"/>
      <w:marTop w:val="0"/>
      <w:marBottom w:val="0"/>
      <w:divBdr>
        <w:top w:val="none" w:sz="0" w:space="0" w:color="auto"/>
        <w:left w:val="none" w:sz="0" w:space="0" w:color="auto"/>
        <w:bottom w:val="none" w:sz="0" w:space="0" w:color="auto"/>
        <w:right w:val="none" w:sz="0" w:space="0" w:color="auto"/>
      </w:divBdr>
    </w:div>
    <w:div w:id="1332417331">
      <w:bodyDiv w:val="1"/>
      <w:marLeft w:val="0"/>
      <w:marRight w:val="0"/>
      <w:marTop w:val="0"/>
      <w:marBottom w:val="0"/>
      <w:divBdr>
        <w:top w:val="none" w:sz="0" w:space="0" w:color="auto"/>
        <w:left w:val="none" w:sz="0" w:space="0" w:color="auto"/>
        <w:bottom w:val="none" w:sz="0" w:space="0" w:color="auto"/>
        <w:right w:val="none" w:sz="0" w:space="0" w:color="auto"/>
      </w:divBdr>
    </w:div>
    <w:div w:id="1360162118">
      <w:bodyDiv w:val="1"/>
      <w:marLeft w:val="0"/>
      <w:marRight w:val="0"/>
      <w:marTop w:val="0"/>
      <w:marBottom w:val="0"/>
      <w:divBdr>
        <w:top w:val="none" w:sz="0" w:space="0" w:color="auto"/>
        <w:left w:val="none" w:sz="0" w:space="0" w:color="auto"/>
        <w:bottom w:val="none" w:sz="0" w:space="0" w:color="auto"/>
        <w:right w:val="none" w:sz="0" w:space="0" w:color="auto"/>
      </w:divBdr>
    </w:div>
    <w:div w:id="1365521647">
      <w:bodyDiv w:val="1"/>
      <w:marLeft w:val="0"/>
      <w:marRight w:val="0"/>
      <w:marTop w:val="0"/>
      <w:marBottom w:val="0"/>
      <w:divBdr>
        <w:top w:val="none" w:sz="0" w:space="0" w:color="auto"/>
        <w:left w:val="none" w:sz="0" w:space="0" w:color="auto"/>
        <w:bottom w:val="none" w:sz="0" w:space="0" w:color="auto"/>
        <w:right w:val="none" w:sz="0" w:space="0" w:color="auto"/>
      </w:divBdr>
    </w:div>
    <w:div w:id="1383021479">
      <w:bodyDiv w:val="1"/>
      <w:marLeft w:val="0"/>
      <w:marRight w:val="0"/>
      <w:marTop w:val="0"/>
      <w:marBottom w:val="0"/>
      <w:divBdr>
        <w:top w:val="none" w:sz="0" w:space="0" w:color="auto"/>
        <w:left w:val="none" w:sz="0" w:space="0" w:color="auto"/>
        <w:bottom w:val="none" w:sz="0" w:space="0" w:color="auto"/>
        <w:right w:val="none" w:sz="0" w:space="0" w:color="auto"/>
      </w:divBdr>
    </w:div>
    <w:div w:id="1384862401">
      <w:bodyDiv w:val="1"/>
      <w:marLeft w:val="0"/>
      <w:marRight w:val="0"/>
      <w:marTop w:val="0"/>
      <w:marBottom w:val="0"/>
      <w:divBdr>
        <w:top w:val="none" w:sz="0" w:space="0" w:color="auto"/>
        <w:left w:val="none" w:sz="0" w:space="0" w:color="auto"/>
        <w:bottom w:val="none" w:sz="0" w:space="0" w:color="auto"/>
        <w:right w:val="none" w:sz="0" w:space="0" w:color="auto"/>
      </w:divBdr>
    </w:div>
    <w:div w:id="1419903535">
      <w:bodyDiv w:val="1"/>
      <w:marLeft w:val="0"/>
      <w:marRight w:val="0"/>
      <w:marTop w:val="0"/>
      <w:marBottom w:val="0"/>
      <w:divBdr>
        <w:top w:val="none" w:sz="0" w:space="0" w:color="auto"/>
        <w:left w:val="none" w:sz="0" w:space="0" w:color="auto"/>
        <w:bottom w:val="none" w:sz="0" w:space="0" w:color="auto"/>
        <w:right w:val="none" w:sz="0" w:space="0" w:color="auto"/>
      </w:divBdr>
    </w:div>
    <w:div w:id="1427773482">
      <w:bodyDiv w:val="1"/>
      <w:marLeft w:val="0"/>
      <w:marRight w:val="0"/>
      <w:marTop w:val="0"/>
      <w:marBottom w:val="0"/>
      <w:divBdr>
        <w:top w:val="none" w:sz="0" w:space="0" w:color="auto"/>
        <w:left w:val="none" w:sz="0" w:space="0" w:color="auto"/>
        <w:bottom w:val="none" w:sz="0" w:space="0" w:color="auto"/>
        <w:right w:val="none" w:sz="0" w:space="0" w:color="auto"/>
      </w:divBdr>
    </w:div>
    <w:div w:id="1461413600">
      <w:bodyDiv w:val="1"/>
      <w:marLeft w:val="0"/>
      <w:marRight w:val="0"/>
      <w:marTop w:val="0"/>
      <w:marBottom w:val="0"/>
      <w:divBdr>
        <w:top w:val="none" w:sz="0" w:space="0" w:color="auto"/>
        <w:left w:val="none" w:sz="0" w:space="0" w:color="auto"/>
        <w:bottom w:val="none" w:sz="0" w:space="0" w:color="auto"/>
        <w:right w:val="none" w:sz="0" w:space="0" w:color="auto"/>
      </w:divBdr>
    </w:div>
    <w:div w:id="1499806146">
      <w:bodyDiv w:val="1"/>
      <w:marLeft w:val="0"/>
      <w:marRight w:val="0"/>
      <w:marTop w:val="0"/>
      <w:marBottom w:val="0"/>
      <w:divBdr>
        <w:top w:val="none" w:sz="0" w:space="0" w:color="auto"/>
        <w:left w:val="none" w:sz="0" w:space="0" w:color="auto"/>
        <w:bottom w:val="none" w:sz="0" w:space="0" w:color="auto"/>
        <w:right w:val="none" w:sz="0" w:space="0" w:color="auto"/>
      </w:divBdr>
      <w:divsChild>
        <w:div w:id="394931445">
          <w:marLeft w:val="547"/>
          <w:marRight w:val="0"/>
          <w:marTop w:val="200"/>
          <w:marBottom w:val="0"/>
          <w:divBdr>
            <w:top w:val="none" w:sz="0" w:space="0" w:color="auto"/>
            <w:left w:val="none" w:sz="0" w:space="0" w:color="auto"/>
            <w:bottom w:val="none" w:sz="0" w:space="0" w:color="auto"/>
            <w:right w:val="none" w:sz="0" w:space="0" w:color="auto"/>
          </w:divBdr>
        </w:div>
        <w:div w:id="861289221">
          <w:marLeft w:val="547"/>
          <w:marRight w:val="0"/>
          <w:marTop w:val="200"/>
          <w:marBottom w:val="0"/>
          <w:divBdr>
            <w:top w:val="none" w:sz="0" w:space="0" w:color="auto"/>
            <w:left w:val="none" w:sz="0" w:space="0" w:color="auto"/>
            <w:bottom w:val="none" w:sz="0" w:space="0" w:color="auto"/>
            <w:right w:val="none" w:sz="0" w:space="0" w:color="auto"/>
          </w:divBdr>
        </w:div>
        <w:div w:id="1586526118">
          <w:marLeft w:val="547"/>
          <w:marRight w:val="0"/>
          <w:marTop w:val="200"/>
          <w:marBottom w:val="0"/>
          <w:divBdr>
            <w:top w:val="none" w:sz="0" w:space="0" w:color="auto"/>
            <w:left w:val="none" w:sz="0" w:space="0" w:color="auto"/>
            <w:bottom w:val="none" w:sz="0" w:space="0" w:color="auto"/>
            <w:right w:val="none" w:sz="0" w:space="0" w:color="auto"/>
          </w:divBdr>
        </w:div>
      </w:divsChild>
    </w:div>
    <w:div w:id="1520268737">
      <w:bodyDiv w:val="1"/>
      <w:marLeft w:val="0"/>
      <w:marRight w:val="0"/>
      <w:marTop w:val="0"/>
      <w:marBottom w:val="0"/>
      <w:divBdr>
        <w:top w:val="none" w:sz="0" w:space="0" w:color="auto"/>
        <w:left w:val="none" w:sz="0" w:space="0" w:color="auto"/>
        <w:bottom w:val="none" w:sz="0" w:space="0" w:color="auto"/>
        <w:right w:val="none" w:sz="0" w:space="0" w:color="auto"/>
      </w:divBdr>
    </w:div>
    <w:div w:id="1528179026">
      <w:bodyDiv w:val="1"/>
      <w:marLeft w:val="0"/>
      <w:marRight w:val="0"/>
      <w:marTop w:val="0"/>
      <w:marBottom w:val="0"/>
      <w:divBdr>
        <w:top w:val="none" w:sz="0" w:space="0" w:color="auto"/>
        <w:left w:val="none" w:sz="0" w:space="0" w:color="auto"/>
        <w:bottom w:val="none" w:sz="0" w:space="0" w:color="auto"/>
        <w:right w:val="none" w:sz="0" w:space="0" w:color="auto"/>
      </w:divBdr>
    </w:div>
    <w:div w:id="1542089133">
      <w:bodyDiv w:val="1"/>
      <w:marLeft w:val="0"/>
      <w:marRight w:val="0"/>
      <w:marTop w:val="0"/>
      <w:marBottom w:val="0"/>
      <w:divBdr>
        <w:top w:val="none" w:sz="0" w:space="0" w:color="auto"/>
        <w:left w:val="none" w:sz="0" w:space="0" w:color="auto"/>
        <w:bottom w:val="none" w:sz="0" w:space="0" w:color="auto"/>
        <w:right w:val="none" w:sz="0" w:space="0" w:color="auto"/>
      </w:divBdr>
    </w:div>
    <w:div w:id="1565023249">
      <w:bodyDiv w:val="1"/>
      <w:marLeft w:val="0"/>
      <w:marRight w:val="0"/>
      <w:marTop w:val="0"/>
      <w:marBottom w:val="0"/>
      <w:divBdr>
        <w:top w:val="none" w:sz="0" w:space="0" w:color="auto"/>
        <w:left w:val="none" w:sz="0" w:space="0" w:color="auto"/>
        <w:bottom w:val="none" w:sz="0" w:space="0" w:color="auto"/>
        <w:right w:val="none" w:sz="0" w:space="0" w:color="auto"/>
      </w:divBdr>
    </w:div>
    <w:div w:id="1571962755">
      <w:bodyDiv w:val="1"/>
      <w:marLeft w:val="0"/>
      <w:marRight w:val="0"/>
      <w:marTop w:val="0"/>
      <w:marBottom w:val="0"/>
      <w:divBdr>
        <w:top w:val="none" w:sz="0" w:space="0" w:color="auto"/>
        <w:left w:val="none" w:sz="0" w:space="0" w:color="auto"/>
        <w:bottom w:val="none" w:sz="0" w:space="0" w:color="auto"/>
        <w:right w:val="none" w:sz="0" w:space="0" w:color="auto"/>
      </w:divBdr>
      <w:divsChild>
        <w:div w:id="387461456">
          <w:marLeft w:val="547"/>
          <w:marRight w:val="0"/>
          <w:marTop w:val="0"/>
          <w:marBottom w:val="0"/>
          <w:divBdr>
            <w:top w:val="none" w:sz="0" w:space="0" w:color="auto"/>
            <w:left w:val="none" w:sz="0" w:space="0" w:color="auto"/>
            <w:bottom w:val="none" w:sz="0" w:space="0" w:color="auto"/>
            <w:right w:val="none" w:sz="0" w:space="0" w:color="auto"/>
          </w:divBdr>
        </w:div>
      </w:divsChild>
    </w:div>
    <w:div w:id="1602031906">
      <w:bodyDiv w:val="1"/>
      <w:marLeft w:val="0"/>
      <w:marRight w:val="0"/>
      <w:marTop w:val="0"/>
      <w:marBottom w:val="0"/>
      <w:divBdr>
        <w:top w:val="none" w:sz="0" w:space="0" w:color="auto"/>
        <w:left w:val="none" w:sz="0" w:space="0" w:color="auto"/>
        <w:bottom w:val="none" w:sz="0" w:space="0" w:color="auto"/>
        <w:right w:val="none" w:sz="0" w:space="0" w:color="auto"/>
      </w:divBdr>
    </w:div>
    <w:div w:id="1624582111">
      <w:bodyDiv w:val="1"/>
      <w:marLeft w:val="0"/>
      <w:marRight w:val="0"/>
      <w:marTop w:val="0"/>
      <w:marBottom w:val="0"/>
      <w:divBdr>
        <w:top w:val="none" w:sz="0" w:space="0" w:color="auto"/>
        <w:left w:val="none" w:sz="0" w:space="0" w:color="auto"/>
        <w:bottom w:val="none" w:sz="0" w:space="0" w:color="auto"/>
        <w:right w:val="none" w:sz="0" w:space="0" w:color="auto"/>
      </w:divBdr>
      <w:divsChild>
        <w:div w:id="151145510">
          <w:marLeft w:val="0"/>
          <w:marRight w:val="0"/>
          <w:marTop w:val="0"/>
          <w:marBottom w:val="0"/>
          <w:divBdr>
            <w:top w:val="none" w:sz="0" w:space="0" w:color="auto"/>
            <w:left w:val="none" w:sz="0" w:space="0" w:color="auto"/>
            <w:bottom w:val="none" w:sz="0" w:space="0" w:color="auto"/>
            <w:right w:val="none" w:sz="0" w:space="0" w:color="auto"/>
          </w:divBdr>
        </w:div>
        <w:div w:id="1595553271">
          <w:marLeft w:val="0"/>
          <w:marRight w:val="0"/>
          <w:marTop w:val="0"/>
          <w:marBottom w:val="0"/>
          <w:divBdr>
            <w:top w:val="none" w:sz="0" w:space="0" w:color="auto"/>
            <w:left w:val="none" w:sz="0" w:space="0" w:color="auto"/>
            <w:bottom w:val="none" w:sz="0" w:space="0" w:color="auto"/>
            <w:right w:val="none" w:sz="0" w:space="0" w:color="auto"/>
          </w:divBdr>
        </w:div>
      </w:divsChild>
    </w:div>
    <w:div w:id="1682048215">
      <w:bodyDiv w:val="1"/>
      <w:marLeft w:val="0"/>
      <w:marRight w:val="0"/>
      <w:marTop w:val="0"/>
      <w:marBottom w:val="0"/>
      <w:divBdr>
        <w:top w:val="none" w:sz="0" w:space="0" w:color="auto"/>
        <w:left w:val="none" w:sz="0" w:space="0" w:color="auto"/>
        <w:bottom w:val="none" w:sz="0" w:space="0" w:color="auto"/>
        <w:right w:val="none" w:sz="0" w:space="0" w:color="auto"/>
      </w:divBdr>
    </w:div>
    <w:div w:id="1745452639">
      <w:bodyDiv w:val="1"/>
      <w:marLeft w:val="0"/>
      <w:marRight w:val="0"/>
      <w:marTop w:val="0"/>
      <w:marBottom w:val="0"/>
      <w:divBdr>
        <w:top w:val="none" w:sz="0" w:space="0" w:color="auto"/>
        <w:left w:val="none" w:sz="0" w:space="0" w:color="auto"/>
        <w:bottom w:val="none" w:sz="0" w:space="0" w:color="auto"/>
        <w:right w:val="none" w:sz="0" w:space="0" w:color="auto"/>
      </w:divBdr>
    </w:div>
    <w:div w:id="1786534663">
      <w:bodyDiv w:val="1"/>
      <w:marLeft w:val="0"/>
      <w:marRight w:val="0"/>
      <w:marTop w:val="0"/>
      <w:marBottom w:val="0"/>
      <w:divBdr>
        <w:top w:val="none" w:sz="0" w:space="0" w:color="auto"/>
        <w:left w:val="none" w:sz="0" w:space="0" w:color="auto"/>
        <w:bottom w:val="none" w:sz="0" w:space="0" w:color="auto"/>
        <w:right w:val="none" w:sz="0" w:space="0" w:color="auto"/>
      </w:divBdr>
    </w:div>
    <w:div w:id="1794473481">
      <w:bodyDiv w:val="1"/>
      <w:marLeft w:val="0"/>
      <w:marRight w:val="0"/>
      <w:marTop w:val="0"/>
      <w:marBottom w:val="0"/>
      <w:divBdr>
        <w:top w:val="none" w:sz="0" w:space="0" w:color="auto"/>
        <w:left w:val="none" w:sz="0" w:space="0" w:color="auto"/>
        <w:bottom w:val="none" w:sz="0" w:space="0" w:color="auto"/>
        <w:right w:val="none" w:sz="0" w:space="0" w:color="auto"/>
      </w:divBdr>
    </w:div>
    <w:div w:id="1819227122">
      <w:bodyDiv w:val="1"/>
      <w:marLeft w:val="0"/>
      <w:marRight w:val="0"/>
      <w:marTop w:val="0"/>
      <w:marBottom w:val="0"/>
      <w:divBdr>
        <w:top w:val="none" w:sz="0" w:space="0" w:color="auto"/>
        <w:left w:val="none" w:sz="0" w:space="0" w:color="auto"/>
        <w:bottom w:val="none" w:sz="0" w:space="0" w:color="auto"/>
        <w:right w:val="none" w:sz="0" w:space="0" w:color="auto"/>
      </w:divBdr>
      <w:divsChild>
        <w:div w:id="870730033">
          <w:marLeft w:val="0"/>
          <w:marRight w:val="0"/>
          <w:marTop w:val="0"/>
          <w:marBottom w:val="0"/>
          <w:divBdr>
            <w:top w:val="none" w:sz="0" w:space="0" w:color="auto"/>
            <w:left w:val="none" w:sz="0" w:space="0" w:color="auto"/>
            <w:bottom w:val="none" w:sz="0" w:space="0" w:color="auto"/>
            <w:right w:val="none" w:sz="0" w:space="0" w:color="auto"/>
          </w:divBdr>
        </w:div>
        <w:div w:id="1078747182">
          <w:marLeft w:val="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 w:id="1913925964">
              <w:marLeft w:val="0"/>
              <w:marRight w:val="0"/>
              <w:marTop w:val="0"/>
              <w:marBottom w:val="0"/>
              <w:divBdr>
                <w:top w:val="none" w:sz="0" w:space="0" w:color="auto"/>
                <w:left w:val="none" w:sz="0" w:space="0" w:color="auto"/>
                <w:bottom w:val="none" w:sz="0" w:space="0" w:color="auto"/>
                <w:right w:val="none" w:sz="0" w:space="0" w:color="auto"/>
              </w:divBdr>
            </w:div>
          </w:divsChild>
        </w:div>
        <w:div w:id="1953710820">
          <w:marLeft w:val="0"/>
          <w:marRight w:val="0"/>
          <w:marTop w:val="0"/>
          <w:marBottom w:val="0"/>
          <w:divBdr>
            <w:top w:val="single" w:sz="6" w:space="5" w:color="CCCCCC"/>
            <w:left w:val="none" w:sz="0" w:space="0" w:color="auto"/>
            <w:bottom w:val="single" w:sz="6" w:space="5" w:color="CCCCCC"/>
            <w:right w:val="none" w:sz="0" w:space="0" w:color="auto"/>
          </w:divBdr>
        </w:div>
      </w:divsChild>
    </w:div>
    <w:div w:id="1825312058">
      <w:bodyDiv w:val="1"/>
      <w:marLeft w:val="0"/>
      <w:marRight w:val="0"/>
      <w:marTop w:val="0"/>
      <w:marBottom w:val="0"/>
      <w:divBdr>
        <w:top w:val="none" w:sz="0" w:space="0" w:color="auto"/>
        <w:left w:val="none" w:sz="0" w:space="0" w:color="auto"/>
        <w:bottom w:val="none" w:sz="0" w:space="0" w:color="auto"/>
        <w:right w:val="none" w:sz="0" w:space="0" w:color="auto"/>
      </w:divBdr>
      <w:divsChild>
        <w:div w:id="1169449124">
          <w:marLeft w:val="0"/>
          <w:marRight w:val="0"/>
          <w:marTop w:val="0"/>
          <w:marBottom w:val="480"/>
          <w:divBdr>
            <w:top w:val="none" w:sz="0" w:space="0" w:color="auto"/>
            <w:left w:val="none" w:sz="0" w:space="0" w:color="auto"/>
            <w:bottom w:val="none" w:sz="0" w:space="0" w:color="auto"/>
            <w:right w:val="none" w:sz="0" w:space="0" w:color="auto"/>
          </w:divBdr>
        </w:div>
        <w:div w:id="535040654">
          <w:marLeft w:val="0"/>
          <w:marRight w:val="0"/>
          <w:marTop w:val="0"/>
          <w:marBottom w:val="0"/>
          <w:divBdr>
            <w:top w:val="none" w:sz="0" w:space="0" w:color="auto"/>
            <w:left w:val="none" w:sz="0" w:space="0" w:color="auto"/>
            <w:bottom w:val="none" w:sz="0" w:space="0" w:color="auto"/>
            <w:right w:val="none" w:sz="0" w:space="0" w:color="auto"/>
          </w:divBdr>
        </w:div>
      </w:divsChild>
    </w:div>
    <w:div w:id="1859392192">
      <w:bodyDiv w:val="1"/>
      <w:marLeft w:val="0"/>
      <w:marRight w:val="0"/>
      <w:marTop w:val="0"/>
      <w:marBottom w:val="0"/>
      <w:divBdr>
        <w:top w:val="none" w:sz="0" w:space="0" w:color="auto"/>
        <w:left w:val="none" w:sz="0" w:space="0" w:color="auto"/>
        <w:bottom w:val="none" w:sz="0" w:space="0" w:color="auto"/>
        <w:right w:val="none" w:sz="0" w:space="0" w:color="auto"/>
      </w:divBdr>
    </w:div>
    <w:div w:id="1894148085">
      <w:bodyDiv w:val="1"/>
      <w:marLeft w:val="0"/>
      <w:marRight w:val="0"/>
      <w:marTop w:val="0"/>
      <w:marBottom w:val="0"/>
      <w:divBdr>
        <w:top w:val="none" w:sz="0" w:space="0" w:color="auto"/>
        <w:left w:val="none" w:sz="0" w:space="0" w:color="auto"/>
        <w:bottom w:val="none" w:sz="0" w:space="0" w:color="auto"/>
        <w:right w:val="none" w:sz="0" w:space="0" w:color="auto"/>
      </w:divBdr>
    </w:div>
    <w:div w:id="1919558318">
      <w:bodyDiv w:val="1"/>
      <w:marLeft w:val="0"/>
      <w:marRight w:val="0"/>
      <w:marTop w:val="0"/>
      <w:marBottom w:val="0"/>
      <w:divBdr>
        <w:top w:val="none" w:sz="0" w:space="0" w:color="auto"/>
        <w:left w:val="none" w:sz="0" w:space="0" w:color="auto"/>
        <w:bottom w:val="none" w:sz="0" w:space="0" w:color="auto"/>
        <w:right w:val="none" w:sz="0" w:space="0" w:color="auto"/>
      </w:divBdr>
    </w:div>
    <w:div w:id="1946425136">
      <w:bodyDiv w:val="1"/>
      <w:marLeft w:val="0"/>
      <w:marRight w:val="0"/>
      <w:marTop w:val="0"/>
      <w:marBottom w:val="0"/>
      <w:divBdr>
        <w:top w:val="none" w:sz="0" w:space="0" w:color="auto"/>
        <w:left w:val="none" w:sz="0" w:space="0" w:color="auto"/>
        <w:bottom w:val="none" w:sz="0" w:space="0" w:color="auto"/>
        <w:right w:val="none" w:sz="0" w:space="0" w:color="auto"/>
      </w:divBdr>
    </w:div>
    <w:div w:id="1969624373">
      <w:bodyDiv w:val="1"/>
      <w:marLeft w:val="0"/>
      <w:marRight w:val="0"/>
      <w:marTop w:val="0"/>
      <w:marBottom w:val="0"/>
      <w:divBdr>
        <w:top w:val="none" w:sz="0" w:space="0" w:color="auto"/>
        <w:left w:val="none" w:sz="0" w:space="0" w:color="auto"/>
        <w:bottom w:val="none" w:sz="0" w:space="0" w:color="auto"/>
        <w:right w:val="none" w:sz="0" w:space="0" w:color="auto"/>
      </w:divBdr>
    </w:div>
    <w:div w:id="2012026609">
      <w:bodyDiv w:val="1"/>
      <w:marLeft w:val="0"/>
      <w:marRight w:val="0"/>
      <w:marTop w:val="0"/>
      <w:marBottom w:val="0"/>
      <w:divBdr>
        <w:top w:val="none" w:sz="0" w:space="0" w:color="auto"/>
        <w:left w:val="none" w:sz="0" w:space="0" w:color="auto"/>
        <w:bottom w:val="none" w:sz="0" w:space="0" w:color="auto"/>
        <w:right w:val="none" w:sz="0" w:space="0" w:color="auto"/>
      </w:divBdr>
    </w:div>
    <w:div w:id="2015452448">
      <w:bodyDiv w:val="1"/>
      <w:marLeft w:val="0"/>
      <w:marRight w:val="0"/>
      <w:marTop w:val="0"/>
      <w:marBottom w:val="0"/>
      <w:divBdr>
        <w:top w:val="none" w:sz="0" w:space="0" w:color="auto"/>
        <w:left w:val="none" w:sz="0" w:space="0" w:color="auto"/>
        <w:bottom w:val="none" w:sz="0" w:space="0" w:color="auto"/>
        <w:right w:val="none" w:sz="0" w:space="0" w:color="auto"/>
      </w:divBdr>
    </w:div>
    <w:div w:id="2044742553">
      <w:bodyDiv w:val="1"/>
      <w:marLeft w:val="0"/>
      <w:marRight w:val="0"/>
      <w:marTop w:val="0"/>
      <w:marBottom w:val="0"/>
      <w:divBdr>
        <w:top w:val="none" w:sz="0" w:space="0" w:color="auto"/>
        <w:left w:val="none" w:sz="0" w:space="0" w:color="auto"/>
        <w:bottom w:val="none" w:sz="0" w:space="0" w:color="auto"/>
        <w:right w:val="none" w:sz="0" w:space="0" w:color="auto"/>
      </w:divBdr>
    </w:div>
    <w:div w:id="2080788572">
      <w:bodyDiv w:val="1"/>
      <w:marLeft w:val="0"/>
      <w:marRight w:val="0"/>
      <w:marTop w:val="0"/>
      <w:marBottom w:val="0"/>
      <w:divBdr>
        <w:top w:val="none" w:sz="0" w:space="0" w:color="auto"/>
        <w:left w:val="none" w:sz="0" w:space="0" w:color="auto"/>
        <w:bottom w:val="none" w:sz="0" w:space="0" w:color="auto"/>
        <w:right w:val="none" w:sz="0" w:space="0" w:color="auto"/>
      </w:divBdr>
    </w:div>
    <w:div w:id="210864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image" Target="media/image3.png"/><Relationship Id="rId26"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2.png"/><Relationship Id="rId25" Type="http://schemas.openxmlformats.org/officeDocument/2006/relationships/image" Target="media/image6.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oodprice.bg" TargetMode="External"/><Relationship Id="rId20" Type="http://schemas.openxmlformats.org/officeDocument/2006/relationships/hyperlink" Target="https://moderntrade.bg/news/%D1%81%D0%BC%D1%82-%D1%81-%D0%BF%D0%B8%D1%81%D0%BC%D0%BE-%D0%B4%D0%BE-%D0%BC%D0%B7%D1%85%D0%B3-%D0%BE%D1%82%D0%BD%D0%BE%D1%81%D0%BD%D0%BE-%D0%BA%D0%BE%D0%BD%D1%86%D0%B5%D0%BF%D1%86%D0%B8%D1%8F%D1%82/" TargetMode="Externa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chart" Target="charts/chart3.xml"/><Relationship Id="rId32" Type="http://schemas.openxmlformats.org/officeDocument/2006/relationships/footer" Target="footer2.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chart" Target="charts/chart2.xml"/><Relationship Id="rId28" Type="http://schemas.openxmlformats.org/officeDocument/2006/relationships/image" Target="media/image8.emf"/><Relationship Id="rId10" Type="http://schemas.openxmlformats.org/officeDocument/2006/relationships/hyperlink" Target="http://www.foodprice.bg" TargetMode="External"/><Relationship Id="rId19" Type="http://schemas.openxmlformats.org/officeDocument/2006/relationships/image" Target="media/image4.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chart" Target="charts/chart1.xml"/><Relationship Id="rId27" Type="http://schemas.openxmlformats.org/officeDocument/2006/relationships/image" Target="media/image7.emf"/><Relationship Id="rId30" Type="http://schemas.openxmlformats.org/officeDocument/2006/relationships/header" Target="header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8" Type="http://schemas.openxmlformats.org/officeDocument/2006/relationships/hyperlink" Target="https://apps.fas.usda.gov/newgainapi/api/Report/DownloadReportByFileName?fileName=Retail%20Foods%20Bulgaria_Sofia_Bulgaria_BU2023-0023" TargetMode="External"/><Relationship Id="rId13" Type="http://schemas.openxmlformats.org/officeDocument/2006/relationships/hyperlink" Target="https://www.economy.com/bulgaria/agriculture-employment" TargetMode="External"/><Relationship Id="rId18" Type="http://schemas.openxmlformats.org/officeDocument/2006/relationships/hyperlink" Target="https://www.nsi.bg/bg/content/1631/%D1%82%D1%8A%D1%80%D0%B3%D0%BE%D0%B2%D1%81%D0%BA%D0%B8-%D0%BE%D0%B1%D0%B5%D0%BA%D1%82%D0%B8-%D0%B7%D0%B0-%D0%BF%D1%80%D0%BE%D0%B4%D0%B0%D0%B6%D0%B1%D0%B8-%D0%BD%D0%B0-%D0%B4%D1%80%D0%B5%D0%B1%D0%BD%D0%BE-%D0%BE%D0%B1%D1%89%D0%BE-%D0%B7%D0%B0-%D1%81%D1%82%D1%80%D0%B0%D0%BD%D0%B0%D1%82%D0%B0-%D0%B8-%D0%BF%D0%BE-%D1%81%D1%82%D0%B0%D1%82%D0%B8%D1%81%D1%82%D0%B8%D1%87%D0%B5%D1%81%D0%BA%D0%B8-%D1%80%D0%B0%D0%B9%D0%BE%D0%BD%D0%B8" TargetMode="External"/><Relationship Id="rId3" Type="http://schemas.openxmlformats.org/officeDocument/2006/relationships/hyperlink" Target="https://www.cpc.bg/news-389" TargetMode="External"/><Relationship Id="rId7" Type="http://schemas.openxmlformats.org/officeDocument/2006/relationships/hyperlink" Target="https://www.legifrance.gouv.fr/loda/id/JORFTEXT000037547946/" TargetMode="External"/><Relationship Id="rId12" Type="http://schemas.openxmlformats.org/officeDocument/2006/relationships/hyperlink" Target="https://www.statista.com/statistics/373656/employment-by-economic-sector-in-bulgaria/" TargetMode="External"/><Relationship Id="rId17" Type="http://schemas.openxmlformats.org/officeDocument/2006/relationships/hyperlink" Target="https://www.nsi.bg/bg/content/8225/%D0%B1%D1%80%D0%BE%D0%B9-%D0%BD%D0%B0-%D0%BF%D1%80%D0%B5%D0%B4%D0%BF%D1%80%D0%B8%D1%8F%D1%82%D0%B8%D1%8F%D1%82%D0%B0" TargetMode="External"/><Relationship Id="rId2" Type="http://schemas.openxmlformats.org/officeDocument/2006/relationships/hyperlink" Target="https://agriculture.ec.europa.eu/common-agricultural-policy/agri-food-supply-chain/unfair-trading-practices_bg" TargetMode="External"/><Relationship Id="rId16" Type="http://schemas.openxmlformats.org/officeDocument/2006/relationships/hyperlink" Target="https://www.nsi.bg/bg/content/1631/%D1%82%D1%8A%D1%80%D0%B3%D0%BE%D0%B2%D1%81%D0%BA%D0%B8-%D0%BE%D0%B1%D0%B5%D0%BA%D1%82%D0%B8-%D0%B7%D0%B0-%D0%BF%D1%80%D0%BE%D0%B4%D0%B0%D0%B6%D0%B1%D0%B8-%D0%BD%D0%B0-%D0%B4%D1%80%D0%B5%D0%B1%D0%BD%D0%BE-%D0%BE%D0%B1%D1%89%D0%BE-%D0%B7%D0%B0-%D1%81%D1%82%D1%80%D0%B0%D0%BD%D0%B0%D1%82%D0%B0-%D0%B8-%D0%BF%D0%BE-%D1%81%D1%82%D0%B0%D1%82%D0%B8%D1%81%D1%82%D0%B8%D1%87%D0%B5%D1%81%D0%BA%D0%B8-%D1%80%D0%B0%D0%B9%D0%BE%D0%BD%D0%B8" TargetMode="External"/><Relationship Id="rId1" Type="http://schemas.openxmlformats.org/officeDocument/2006/relationships/hyperlink" Target="https://www.strategy.bg/PublicConsultations/View.aspx?lang=bg-BG&amp;Id=7619" TargetMode="External"/><Relationship Id="rId6" Type="http://schemas.openxmlformats.org/officeDocument/2006/relationships/hyperlink" Target="https://commission.europa.eu/system/files/2023-09/BR%20toolbox%20-%20Jul%202023%20-%20FINAL.pdf" TargetMode="External"/><Relationship Id="rId11" Type="http://schemas.openxmlformats.org/officeDocument/2006/relationships/hyperlink" Target="https://www.nsi.bg/bg/content/21063/%D0%BF%D1%80%D0%B5%D1%81%D1%81%D1%8A%D0%BE%D0%B1%D1%89%D0%B5%D0%BD%D0%B8%D0%B5/%D0%B8%D0%BD%D1%84%D0%BB%D0%B0%D1%86%D0%B8%D1%8F-%D0%B8-%D0%B8%D0%BD%D0%B4%D0%B5%D0%BA%D1%81%D0%B8-%D0%BD%D0%B0-%D0%BF%D0%BE%D1%82%D1%80%D0%B5%D0%B1%D0%B8%D1%82%D0%B5%D0%BB%D1%81%D0%BA%D0%B8%D1%82%D0%B5-%D1%86%D0%B5%D0%BD%D0%B8-%D0%B7%D0%B0-%D0%B4%D0%B5%D0%BA%D0%B5%D0%BC%D0%B2%D1%80%D0%B8-2023-%D0%B3%D0%BE%D0%B4%D0%B8%D0%BD%D0%B0" TargetMode="External"/><Relationship Id="rId5" Type="http://schemas.openxmlformats.org/officeDocument/2006/relationships/hyperlink" Target="https://www.strategy.bg/PublicConsultations/View.aspx?lang=bg-BG&amp;Id=7510" TargetMode="External"/><Relationship Id="rId15" Type="http://schemas.openxmlformats.org/officeDocument/2006/relationships/hyperlink" Target="https://www.nsi.bg/bg/content/8225/%D0%B1%D1%80%D0%BE%D0%B9-%D0%BD%D0%B0-%D0%BF%D1%80%D0%B5%D0%B4%D0%BF%D1%80%D0%B8%D1%8F%D1%82%D0%B8%D1%8F%D1%82%D0%B0" TargetMode="External"/><Relationship Id="rId10" Type="http://schemas.openxmlformats.org/officeDocument/2006/relationships/hyperlink" Target="https://apps.fas.usda.gov/newgainapi/api/Report/DownloadReportByFileName?fileName=Retail%20Foods%20Bulgaria_Sofia_Bulgaria_BU2023-0023" TargetMode="External"/><Relationship Id="rId19" Type="http://schemas.openxmlformats.org/officeDocument/2006/relationships/hyperlink" Target="https://cpc.bg/media/legislation/contracts/%D0%9D%D0%B0%D1%81%D0%BE%D0%BA%D0%B8.doc" TargetMode="External"/><Relationship Id="rId4" Type="http://schemas.openxmlformats.org/officeDocument/2006/relationships/hyperlink" Target="https://www.cpc.bg/annual-reports" TargetMode="External"/><Relationship Id="rId9" Type="http://schemas.openxmlformats.org/officeDocument/2006/relationships/hyperlink" Target="https://apps.fas.usda.gov/newgainapi/api/Report/DownloadReportByFileName?fileName=Retail%20Foods%20Bulgaria_Sofia_Bulgaria_BU2023-0023" TargetMode="External"/><Relationship Id="rId14" Type="http://schemas.openxmlformats.org/officeDocument/2006/relationships/hyperlink" Target="https://www.nsi.bg/bg/content/8225/%D0%B1%D1%80%D0%BE%D0%B9-%D0%BD%D0%B0-%D0%BF%D1%80%D0%B5%D0%B4%D0%BF%D1%80%D0%B8%D1%8F%D1%82%D0%B8%D1%8F%D1%82%D0%B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Downloads\EU-SPI%202.0_2024_sco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54;&#1094;&#1077;&#1085;&#1082;&#1072;%20&#1085;&#1072;%20&#1074;&#1098;&#1079;&#1076;&#1077;&#1081;&#1089;&#1090;&#1074;&#1080;&#1077;&#1090;&#1086;\&#1048;&#1082;&#1086;&#1085;&#1086;&#1084;&#1080;&#1095;&#1077;&#1089;&#1082;&#1080;%20&#1072;&#1085;&#1072;&#1083;&#1080;&#1079;&#1080;%20&#1079;&#1072;%20&#1087;&#1088;&#1077;&#1076;&#1072;&#1074;&#1072;&#1085;&#1077;_draft\&#1052;&#1091;&#1083;&#1090;&#1080;&#1082;&#1088;&#1080;&#1090;&#1077;&#1088;&#1080;&#1077;&#1085;%20&#1072;&#1085;&#1072;&#1083;&#1080;&#107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Sheet1!$B$1:$B$2</c:f>
              <c:strCache>
                <c:ptCount val="2"/>
                <c:pt idx="0">
                  <c:v>Вариант 0:</c:v>
                </c:pt>
                <c:pt idx="1">
                  <c:v>„Без действие“</c:v>
                </c:pt>
              </c:strCache>
            </c:strRef>
          </c:tx>
          <c:spPr>
            <a:solidFill>
              <a:schemeClr val="accent1"/>
            </a:solidFill>
            <a:ln>
              <a:noFill/>
            </a:ln>
            <a:effectLst/>
          </c:spPr>
          <c:invertIfNegative val="0"/>
          <c:cat>
            <c:strRef>
              <c:f>Sheet1!$A$3:$A$7</c:f>
              <c:strCache>
                <c:ptCount val="5"/>
                <c:pt idx="0">
                  <c:v>Ескалация на административните разходи</c:v>
                </c:pt>
                <c:pt idx="1">
                  <c:v>Отрицателни въздействия върху МСП</c:v>
                </c:pt>
                <c:pt idx="2">
                  <c:v>Изкривявания на пазара/непредвидени</c:v>
                </c:pt>
                <c:pt idx="3">
                  <c:v>Неуспешно изпълнение (без полза)</c:v>
                </c:pt>
                <c:pt idx="4">
                  <c:v>Ниско съответствие</c:v>
                </c:pt>
              </c:strCache>
            </c:strRef>
          </c:cat>
          <c:val>
            <c:numRef>
              <c:f>Sheet1!$B$3:$B$7</c:f>
              <c:numCache>
                <c:formatCode>General</c:formatCode>
                <c:ptCount val="5"/>
                <c:pt idx="0">
                  <c:v>1</c:v>
                </c:pt>
                <c:pt idx="1">
                  <c:v>20</c:v>
                </c:pt>
                <c:pt idx="2">
                  <c:v>12</c:v>
                </c:pt>
                <c:pt idx="3">
                  <c:v>20</c:v>
                </c:pt>
                <c:pt idx="4">
                  <c:v>15</c:v>
                </c:pt>
              </c:numCache>
            </c:numRef>
          </c:val>
          <c:extLst>
            <c:ext xmlns:c16="http://schemas.microsoft.com/office/drawing/2014/chart" uri="{C3380CC4-5D6E-409C-BE32-E72D297353CC}">
              <c16:uniqueId val="{00000000-7989-459B-8137-F5D1E90F627C}"/>
            </c:ext>
          </c:extLst>
        </c:ser>
        <c:ser>
          <c:idx val="1"/>
          <c:order val="1"/>
          <c:tx>
            <c:strRef>
              <c:f>Sheet1!$C$1:$C$2</c:f>
              <c:strCache>
                <c:ptCount val="2"/>
                <c:pt idx="0">
                  <c:v>Вариант 1: „Нерегулаторен“</c:v>
                </c:pt>
              </c:strCache>
            </c:strRef>
          </c:tx>
          <c:spPr>
            <a:solidFill>
              <a:schemeClr val="accent2"/>
            </a:solidFill>
            <a:ln>
              <a:noFill/>
            </a:ln>
            <a:effectLst/>
          </c:spPr>
          <c:invertIfNegative val="0"/>
          <c:cat>
            <c:strRef>
              <c:f>Sheet1!$A$3:$A$7</c:f>
              <c:strCache>
                <c:ptCount val="5"/>
                <c:pt idx="0">
                  <c:v>Ескалация на административните разходи</c:v>
                </c:pt>
                <c:pt idx="1">
                  <c:v>Отрицателни въздействия върху МСП</c:v>
                </c:pt>
                <c:pt idx="2">
                  <c:v>Изкривявания на пазара/непредвидени</c:v>
                </c:pt>
                <c:pt idx="3">
                  <c:v>Неуспешно изпълнение (без полза)</c:v>
                </c:pt>
                <c:pt idx="4">
                  <c:v>Ниско съответствие</c:v>
                </c:pt>
              </c:strCache>
            </c:strRef>
          </c:cat>
          <c:val>
            <c:numRef>
              <c:f>Sheet1!$C$3:$C$7</c:f>
              <c:numCache>
                <c:formatCode>General</c:formatCode>
                <c:ptCount val="5"/>
                <c:pt idx="0">
                  <c:v>4</c:v>
                </c:pt>
                <c:pt idx="1">
                  <c:v>16</c:v>
                </c:pt>
                <c:pt idx="2">
                  <c:v>1</c:v>
                </c:pt>
                <c:pt idx="3">
                  <c:v>15</c:v>
                </c:pt>
                <c:pt idx="4">
                  <c:v>15</c:v>
                </c:pt>
              </c:numCache>
            </c:numRef>
          </c:val>
          <c:extLst>
            <c:ext xmlns:c16="http://schemas.microsoft.com/office/drawing/2014/chart" uri="{C3380CC4-5D6E-409C-BE32-E72D297353CC}">
              <c16:uniqueId val="{00000001-7989-459B-8137-F5D1E90F627C}"/>
            </c:ext>
          </c:extLst>
        </c:ser>
        <c:ser>
          <c:idx val="2"/>
          <c:order val="2"/>
          <c:tx>
            <c:strRef>
              <c:f>Sheet1!$D$1:$D$2</c:f>
              <c:strCache>
                <c:ptCount val="2"/>
                <c:pt idx="0">
                  <c:v>Вариант 2: „Регулаторен - промени в действащата правна уредба“</c:v>
                </c:pt>
              </c:strCache>
            </c:strRef>
          </c:tx>
          <c:spPr>
            <a:solidFill>
              <a:schemeClr val="accent3"/>
            </a:solidFill>
            <a:ln>
              <a:noFill/>
            </a:ln>
            <a:effectLst/>
          </c:spPr>
          <c:invertIfNegative val="0"/>
          <c:cat>
            <c:strRef>
              <c:f>Sheet1!$A$3:$A$7</c:f>
              <c:strCache>
                <c:ptCount val="5"/>
                <c:pt idx="0">
                  <c:v>Ескалация на административните разходи</c:v>
                </c:pt>
                <c:pt idx="1">
                  <c:v>Отрицателни въздействия върху МСП</c:v>
                </c:pt>
                <c:pt idx="2">
                  <c:v>Изкривявания на пазара/непредвидени</c:v>
                </c:pt>
                <c:pt idx="3">
                  <c:v>Неуспешно изпълнение (без полза)</c:v>
                </c:pt>
                <c:pt idx="4">
                  <c:v>Ниско съответствие</c:v>
                </c:pt>
              </c:strCache>
            </c:strRef>
          </c:cat>
          <c:val>
            <c:numRef>
              <c:f>Sheet1!$D$3:$D$7</c:f>
              <c:numCache>
                <c:formatCode>General</c:formatCode>
                <c:ptCount val="5"/>
                <c:pt idx="0">
                  <c:v>6</c:v>
                </c:pt>
                <c:pt idx="1">
                  <c:v>4</c:v>
                </c:pt>
                <c:pt idx="2">
                  <c:v>2</c:v>
                </c:pt>
                <c:pt idx="3">
                  <c:v>16</c:v>
                </c:pt>
                <c:pt idx="4">
                  <c:v>9</c:v>
                </c:pt>
              </c:numCache>
            </c:numRef>
          </c:val>
          <c:extLst>
            <c:ext xmlns:c16="http://schemas.microsoft.com/office/drawing/2014/chart" uri="{C3380CC4-5D6E-409C-BE32-E72D297353CC}">
              <c16:uniqueId val="{00000002-7989-459B-8137-F5D1E90F627C}"/>
            </c:ext>
          </c:extLst>
        </c:ser>
        <c:ser>
          <c:idx val="3"/>
          <c:order val="3"/>
          <c:tx>
            <c:strRef>
              <c:f>Sheet1!$E$1:$E$2</c:f>
              <c:strCache>
                <c:ptCount val="2"/>
                <c:pt idx="0">
                  <c:v>Вариант 3: „Регулаторен – изцяло нов специален закон“</c:v>
                </c:pt>
              </c:strCache>
            </c:strRef>
          </c:tx>
          <c:spPr>
            <a:solidFill>
              <a:schemeClr val="accent4"/>
            </a:solidFill>
            <a:ln>
              <a:noFill/>
            </a:ln>
            <a:effectLst/>
          </c:spPr>
          <c:invertIfNegative val="0"/>
          <c:cat>
            <c:strRef>
              <c:f>Sheet1!$A$3:$A$7</c:f>
              <c:strCache>
                <c:ptCount val="5"/>
                <c:pt idx="0">
                  <c:v>Ескалация на административните разходи</c:v>
                </c:pt>
                <c:pt idx="1">
                  <c:v>Отрицателни въздействия върху МСП</c:v>
                </c:pt>
                <c:pt idx="2">
                  <c:v>Изкривявания на пазара/непредвидени</c:v>
                </c:pt>
                <c:pt idx="3">
                  <c:v>Неуспешно изпълнение (без полза)</c:v>
                </c:pt>
                <c:pt idx="4">
                  <c:v>Ниско съответствие</c:v>
                </c:pt>
              </c:strCache>
            </c:strRef>
          </c:cat>
          <c:val>
            <c:numRef>
              <c:f>Sheet1!$E$3:$E$7</c:f>
              <c:numCache>
                <c:formatCode>General</c:formatCode>
                <c:ptCount val="5"/>
                <c:pt idx="0">
                  <c:v>20</c:v>
                </c:pt>
                <c:pt idx="1">
                  <c:v>12</c:v>
                </c:pt>
                <c:pt idx="2">
                  <c:v>20</c:v>
                </c:pt>
                <c:pt idx="3">
                  <c:v>15</c:v>
                </c:pt>
                <c:pt idx="4">
                  <c:v>16</c:v>
                </c:pt>
              </c:numCache>
            </c:numRef>
          </c:val>
          <c:extLst>
            <c:ext xmlns:c16="http://schemas.microsoft.com/office/drawing/2014/chart" uri="{C3380CC4-5D6E-409C-BE32-E72D297353CC}">
              <c16:uniqueId val="{00000003-7989-459B-8137-F5D1E90F627C}"/>
            </c:ext>
          </c:extLst>
        </c:ser>
        <c:dLbls>
          <c:showLegendKey val="0"/>
          <c:showVal val="0"/>
          <c:showCatName val="0"/>
          <c:showSerName val="0"/>
          <c:showPercent val="0"/>
          <c:showBubbleSize val="0"/>
        </c:dLbls>
        <c:gapWidth val="182"/>
        <c:axId val="196439552"/>
        <c:axId val="196151552"/>
      </c:barChart>
      <c:catAx>
        <c:axId val="196439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6151552"/>
        <c:crosses val="autoZero"/>
        <c:auto val="1"/>
        <c:lblAlgn val="ctr"/>
        <c:lblOffset val="100"/>
        <c:noMultiLvlLbl val="0"/>
      </c:catAx>
      <c:valAx>
        <c:axId val="196151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6439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840635305202234"/>
          <c:y val="5.1266909766267806E-2"/>
          <c:w val="0.4160034322632748"/>
          <c:h val="0.67988117790863367"/>
        </c:manualLayout>
      </c:layout>
      <c:radarChart>
        <c:radarStyle val="marker"/>
        <c:varyColors val="0"/>
        <c:ser>
          <c:idx val="0"/>
          <c:order val="0"/>
          <c:tx>
            <c:strRef>
              <c:f>Sheet2!$B$2</c:f>
              <c:strCache>
                <c:ptCount val="1"/>
                <c:pt idx="0">
                  <c:v>Вариант 0: „Без действие“</c:v>
                </c:pt>
              </c:strCache>
            </c:strRef>
          </c:tx>
          <c:spPr>
            <a:ln w="28575" cap="rnd">
              <a:solidFill>
                <a:srgbClr val="C00000"/>
              </a:solidFill>
              <a:round/>
            </a:ln>
            <a:effectLst/>
          </c:spPr>
          <c:marker>
            <c:symbol val="none"/>
          </c:marker>
          <c:cat>
            <c:strRef>
              <c:f>Sheet2!$A$3:$A$7</c:f>
              <c:strCache>
                <c:ptCount val="5"/>
                <c:pt idx="0">
                  <c:v>Ефективност (постигане на цели)</c:v>
                </c:pt>
                <c:pt idx="1">
                  <c:v>Икономическо въздействие</c:v>
                </c:pt>
                <c:pt idx="2">
                  <c:v>Административна тежест</c:v>
                </c:pt>
                <c:pt idx="3">
                  <c:v>Приложимост и осъществимост</c:v>
                </c:pt>
                <c:pt idx="4">
                  <c:v>Въздействие върху МСП</c:v>
                </c:pt>
              </c:strCache>
            </c:strRef>
          </c:cat>
          <c:val>
            <c:numRef>
              <c:f>Sheet2!$B$3:$B$7</c:f>
              <c:numCache>
                <c:formatCode>General</c:formatCode>
                <c:ptCount val="5"/>
                <c:pt idx="0">
                  <c:v>-2</c:v>
                </c:pt>
                <c:pt idx="1">
                  <c:v>-1</c:v>
                </c:pt>
                <c:pt idx="2">
                  <c:v>2</c:v>
                </c:pt>
                <c:pt idx="3">
                  <c:v>2</c:v>
                </c:pt>
                <c:pt idx="4">
                  <c:v>-2</c:v>
                </c:pt>
              </c:numCache>
            </c:numRef>
          </c:val>
          <c:extLst>
            <c:ext xmlns:c16="http://schemas.microsoft.com/office/drawing/2014/chart" uri="{C3380CC4-5D6E-409C-BE32-E72D297353CC}">
              <c16:uniqueId val="{00000000-162B-4572-9621-6024B0ECD642}"/>
            </c:ext>
          </c:extLst>
        </c:ser>
        <c:ser>
          <c:idx val="1"/>
          <c:order val="1"/>
          <c:tx>
            <c:strRef>
              <c:f>Sheet2!$C$2</c:f>
              <c:strCache>
                <c:ptCount val="1"/>
                <c:pt idx="0">
                  <c:v>Вариант 1: „Нерегулаторен“</c:v>
                </c:pt>
              </c:strCache>
            </c:strRef>
          </c:tx>
          <c:spPr>
            <a:ln w="28575" cap="rnd">
              <a:solidFill>
                <a:schemeClr val="bg1">
                  <a:lumMod val="50000"/>
                </a:schemeClr>
              </a:solidFill>
              <a:round/>
            </a:ln>
            <a:effectLst/>
          </c:spPr>
          <c:marker>
            <c:symbol val="none"/>
          </c:marker>
          <c:cat>
            <c:strRef>
              <c:f>Sheet2!$A$3:$A$7</c:f>
              <c:strCache>
                <c:ptCount val="5"/>
                <c:pt idx="0">
                  <c:v>Ефективност (постигане на цели)</c:v>
                </c:pt>
                <c:pt idx="1">
                  <c:v>Икономическо въздействие</c:v>
                </c:pt>
                <c:pt idx="2">
                  <c:v>Административна тежест</c:v>
                </c:pt>
                <c:pt idx="3">
                  <c:v>Приложимост и осъществимост</c:v>
                </c:pt>
                <c:pt idx="4">
                  <c:v>Въздействие върху МСП</c:v>
                </c:pt>
              </c:strCache>
            </c:strRef>
          </c:cat>
          <c:val>
            <c:numRef>
              <c:f>Sheet2!$C$3:$C$7</c:f>
              <c:numCache>
                <c:formatCode>General</c:formatCode>
                <c:ptCount val="5"/>
                <c:pt idx="0">
                  <c:v>-1</c:v>
                </c:pt>
                <c:pt idx="1">
                  <c:v>0</c:v>
                </c:pt>
                <c:pt idx="2">
                  <c:v>1</c:v>
                </c:pt>
                <c:pt idx="3">
                  <c:v>2</c:v>
                </c:pt>
                <c:pt idx="4">
                  <c:v>0</c:v>
                </c:pt>
              </c:numCache>
            </c:numRef>
          </c:val>
          <c:extLst>
            <c:ext xmlns:c16="http://schemas.microsoft.com/office/drawing/2014/chart" uri="{C3380CC4-5D6E-409C-BE32-E72D297353CC}">
              <c16:uniqueId val="{00000001-162B-4572-9621-6024B0ECD642}"/>
            </c:ext>
          </c:extLst>
        </c:ser>
        <c:ser>
          <c:idx val="2"/>
          <c:order val="2"/>
          <c:tx>
            <c:strRef>
              <c:f>Sheet2!$D$2</c:f>
              <c:strCache>
                <c:ptCount val="1"/>
                <c:pt idx="0">
                  <c:v>Вариант 2: „Регулаторен - промени в действащата правна уредба“</c:v>
                </c:pt>
              </c:strCache>
            </c:strRef>
          </c:tx>
          <c:spPr>
            <a:ln w="28575" cap="rnd">
              <a:solidFill>
                <a:srgbClr val="92D050"/>
              </a:solidFill>
              <a:round/>
            </a:ln>
            <a:effectLst/>
          </c:spPr>
          <c:marker>
            <c:symbol val="none"/>
          </c:marker>
          <c:cat>
            <c:strRef>
              <c:f>Sheet2!$A$3:$A$7</c:f>
              <c:strCache>
                <c:ptCount val="5"/>
                <c:pt idx="0">
                  <c:v>Ефективност (постигане на цели)</c:v>
                </c:pt>
                <c:pt idx="1">
                  <c:v>Икономическо въздействие</c:v>
                </c:pt>
                <c:pt idx="2">
                  <c:v>Административна тежест</c:v>
                </c:pt>
                <c:pt idx="3">
                  <c:v>Приложимост и осъществимост</c:v>
                </c:pt>
                <c:pt idx="4">
                  <c:v>Въздействие върху МСП</c:v>
                </c:pt>
              </c:strCache>
            </c:strRef>
          </c:cat>
          <c:val>
            <c:numRef>
              <c:f>Sheet2!$D$3:$D$7</c:f>
              <c:numCache>
                <c:formatCode>General</c:formatCode>
                <c:ptCount val="5"/>
                <c:pt idx="0">
                  <c:v>1</c:v>
                </c:pt>
                <c:pt idx="1">
                  <c:v>1</c:v>
                </c:pt>
                <c:pt idx="2">
                  <c:v>0</c:v>
                </c:pt>
                <c:pt idx="3">
                  <c:v>1</c:v>
                </c:pt>
                <c:pt idx="4">
                  <c:v>1</c:v>
                </c:pt>
              </c:numCache>
            </c:numRef>
          </c:val>
          <c:extLst>
            <c:ext xmlns:c16="http://schemas.microsoft.com/office/drawing/2014/chart" uri="{C3380CC4-5D6E-409C-BE32-E72D297353CC}">
              <c16:uniqueId val="{00000002-162B-4572-9621-6024B0ECD642}"/>
            </c:ext>
          </c:extLst>
        </c:ser>
        <c:ser>
          <c:idx val="3"/>
          <c:order val="3"/>
          <c:tx>
            <c:strRef>
              <c:f>Sheet2!$E$2</c:f>
              <c:strCache>
                <c:ptCount val="1"/>
                <c:pt idx="0">
                  <c:v>Вариант 3: „Регулаторен – изцяло нов специален закон“</c:v>
                </c:pt>
              </c:strCache>
            </c:strRef>
          </c:tx>
          <c:spPr>
            <a:ln w="28575" cap="rnd">
              <a:solidFill>
                <a:srgbClr val="00B050"/>
              </a:solidFill>
              <a:round/>
            </a:ln>
            <a:effectLst/>
          </c:spPr>
          <c:marker>
            <c:symbol val="none"/>
          </c:marker>
          <c:cat>
            <c:strRef>
              <c:f>Sheet2!$A$3:$A$7</c:f>
              <c:strCache>
                <c:ptCount val="5"/>
                <c:pt idx="0">
                  <c:v>Ефективност (постигане на цели)</c:v>
                </c:pt>
                <c:pt idx="1">
                  <c:v>Икономическо въздействие</c:v>
                </c:pt>
                <c:pt idx="2">
                  <c:v>Административна тежест</c:v>
                </c:pt>
                <c:pt idx="3">
                  <c:v>Приложимост и осъществимост</c:v>
                </c:pt>
                <c:pt idx="4">
                  <c:v>Въздействие върху МСП</c:v>
                </c:pt>
              </c:strCache>
            </c:strRef>
          </c:cat>
          <c:val>
            <c:numRef>
              <c:f>Sheet2!$E$3:$E$7</c:f>
              <c:numCache>
                <c:formatCode>General</c:formatCode>
                <c:ptCount val="5"/>
                <c:pt idx="0">
                  <c:v>2</c:v>
                </c:pt>
                <c:pt idx="1">
                  <c:v>2</c:v>
                </c:pt>
                <c:pt idx="2">
                  <c:v>-1</c:v>
                </c:pt>
                <c:pt idx="3">
                  <c:v>0</c:v>
                </c:pt>
                <c:pt idx="4">
                  <c:v>2</c:v>
                </c:pt>
              </c:numCache>
            </c:numRef>
          </c:val>
          <c:extLst>
            <c:ext xmlns:c16="http://schemas.microsoft.com/office/drawing/2014/chart" uri="{C3380CC4-5D6E-409C-BE32-E72D297353CC}">
              <c16:uniqueId val="{00000003-162B-4572-9621-6024B0ECD642}"/>
            </c:ext>
          </c:extLst>
        </c:ser>
        <c:dLbls>
          <c:showLegendKey val="0"/>
          <c:showVal val="0"/>
          <c:showCatName val="0"/>
          <c:showSerName val="0"/>
          <c:showPercent val="0"/>
          <c:showBubbleSize val="0"/>
        </c:dLbls>
        <c:axId val="280580608"/>
        <c:axId val="196152704"/>
      </c:radarChart>
      <c:catAx>
        <c:axId val="280580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6152704"/>
        <c:crosses val="autoZero"/>
        <c:auto val="1"/>
        <c:lblAlgn val="ctr"/>
        <c:lblOffset val="100"/>
        <c:noMultiLvlLbl val="0"/>
      </c:catAx>
      <c:valAx>
        <c:axId val="196152704"/>
        <c:scaling>
          <c:orientation val="minMax"/>
        </c:scaling>
        <c:delete val="0"/>
        <c:axPos val="l"/>
        <c:majorGridlines>
          <c:spPr>
            <a:ln w="9525" cap="flat" cmpd="sng" algn="ctr">
              <a:solidFill>
                <a:schemeClr val="bg1">
                  <a:lumMod val="75000"/>
                </a:schemeClr>
              </a:solidFill>
              <a:prstDash val="sys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0580608"/>
        <c:crosses val="autoZero"/>
        <c:crossBetween val="between"/>
      </c:valAx>
      <c:spPr>
        <a:noFill/>
        <a:ln>
          <a:noFill/>
        </a:ln>
        <a:effectLst/>
      </c:spPr>
    </c:plotArea>
    <c:legend>
      <c:legendPos val="t"/>
      <c:layout>
        <c:manualLayout>
          <c:xMode val="edge"/>
          <c:yMode val="edge"/>
          <c:x val="0"/>
          <c:y val="0.78786639697403849"/>
          <c:w val="0.99965845615451909"/>
          <c:h val="0.2091269722463399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bg-BG" b="1"/>
              <a:t>Резултат от</a:t>
            </a:r>
            <a:r>
              <a:rPr lang="bg-BG" b="1" baseline="0"/>
              <a:t> мултикритерийния анализ по варианти</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Обща претеглена оценка (S)</c:v>
                </c:pt>
              </c:strCache>
            </c:strRef>
          </c:tx>
          <c:spPr>
            <a:solidFill>
              <a:schemeClr val="accent1"/>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1-E6C2-418D-98C8-BE18D53391B2}"/>
              </c:ext>
            </c:extLst>
          </c:dPt>
          <c:dPt>
            <c:idx val="1"/>
            <c:invertIfNegative val="0"/>
            <c:bubble3D val="0"/>
            <c:spPr>
              <a:solidFill>
                <a:schemeClr val="bg1">
                  <a:lumMod val="50000"/>
                </a:schemeClr>
              </a:solidFill>
              <a:ln>
                <a:noFill/>
              </a:ln>
              <a:effectLst/>
            </c:spPr>
            <c:extLst>
              <c:ext xmlns:c16="http://schemas.microsoft.com/office/drawing/2014/chart" uri="{C3380CC4-5D6E-409C-BE32-E72D297353CC}">
                <c16:uniqueId val="{00000002-E6C2-418D-98C8-BE18D53391B2}"/>
              </c:ext>
            </c:extLst>
          </c:dPt>
          <c:dPt>
            <c:idx val="2"/>
            <c:invertIfNegative val="0"/>
            <c:bubble3D val="0"/>
            <c:spPr>
              <a:solidFill>
                <a:srgbClr val="92D050"/>
              </a:solidFill>
              <a:ln>
                <a:noFill/>
              </a:ln>
              <a:effectLst/>
            </c:spPr>
            <c:extLst>
              <c:ext xmlns:c16="http://schemas.microsoft.com/office/drawing/2014/chart" uri="{C3380CC4-5D6E-409C-BE32-E72D297353CC}">
                <c16:uniqueId val="{00000003-E6C2-418D-98C8-BE18D53391B2}"/>
              </c:ext>
            </c:extLst>
          </c:dPt>
          <c:dPt>
            <c:idx val="3"/>
            <c:invertIfNegative val="0"/>
            <c:bubble3D val="0"/>
            <c:spPr>
              <a:solidFill>
                <a:srgbClr val="00B050"/>
              </a:solidFill>
              <a:ln>
                <a:noFill/>
              </a:ln>
              <a:effectLst/>
            </c:spPr>
            <c:extLst>
              <c:ext xmlns:c16="http://schemas.microsoft.com/office/drawing/2014/chart" uri="{C3380CC4-5D6E-409C-BE32-E72D297353CC}">
                <c16:uniqueId val="{00000004-E6C2-418D-98C8-BE18D53391B2}"/>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Вариант 0: "Без действие"</c:v>
                </c:pt>
                <c:pt idx="1">
                  <c:v>Вариант 1: "Нерегулаторен"</c:v>
                </c:pt>
                <c:pt idx="2">
                  <c:v>Вариант 2: "Регулаторен - промени в действащата правна уредба"</c:v>
                </c:pt>
                <c:pt idx="3">
                  <c:v>Вариант 3: "Регулаторен - изцяло нов специален закон"</c:v>
                </c:pt>
              </c:strCache>
            </c:strRef>
          </c:cat>
          <c:val>
            <c:numRef>
              <c:f>Sheet1!$B$2:$B$5</c:f>
              <c:numCache>
                <c:formatCode>General</c:formatCode>
                <c:ptCount val="4"/>
                <c:pt idx="0">
                  <c:v>-0.6</c:v>
                </c:pt>
                <c:pt idx="1">
                  <c:v>0.15</c:v>
                </c:pt>
                <c:pt idx="2">
                  <c:v>0.85</c:v>
                </c:pt>
                <c:pt idx="3">
                  <c:v>1.25</c:v>
                </c:pt>
              </c:numCache>
            </c:numRef>
          </c:val>
          <c:extLst>
            <c:ext xmlns:c16="http://schemas.microsoft.com/office/drawing/2014/chart" uri="{C3380CC4-5D6E-409C-BE32-E72D297353CC}">
              <c16:uniqueId val="{00000000-E6C2-418D-98C8-BE18D53391B2}"/>
            </c:ext>
          </c:extLst>
        </c:ser>
        <c:dLbls>
          <c:showLegendKey val="0"/>
          <c:showVal val="0"/>
          <c:showCatName val="0"/>
          <c:showSerName val="0"/>
          <c:showPercent val="0"/>
          <c:showBubbleSize val="0"/>
        </c:dLbls>
        <c:gapWidth val="219"/>
        <c:overlap val="-27"/>
        <c:axId val="196439040"/>
        <c:axId val="196155008"/>
      </c:barChart>
      <c:catAx>
        <c:axId val="196439040"/>
        <c:scaling>
          <c:orientation val="minMax"/>
        </c:scaling>
        <c:delete val="0"/>
        <c:axPos val="b"/>
        <c:majorGridlines>
          <c:spPr>
            <a:ln w="9525" cap="flat" cmpd="sng" algn="ctr">
              <a:solidFill>
                <a:schemeClr val="bg1">
                  <a:lumMod val="50000"/>
                </a:schemeClr>
              </a:solidFill>
              <a:round/>
            </a:ln>
            <a:effectLst/>
          </c:spPr>
        </c:majorGridlines>
        <c:numFmt formatCode="General" sourceLinked="1"/>
        <c:majorTickMark val="none"/>
        <c:minorTickMark val="none"/>
        <c:tickLblPos val="low"/>
        <c:spPr>
          <a:noFill/>
          <a:ln w="28575" cap="flat" cmpd="sng" algn="ctr">
            <a:solidFill>
              <a:schemeClr val="tx1"/>
            </a:solidFill>
            <a:round/>
          </a:ln>
          <a:effectLst/>
        </c:spPr>
        <c:txPr>
          <a:bodyPr rot="0" spcFirstLastPara="1" vertOverflow="ellipsis"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6155008"/>
        <c:crosses val="autoZero"/>
        <c:auto val="1"/>
        <c:lblAlgn val="ctr"/>
        <c:lblOffset val="400"/>
        <c:noMultiLvlLbl val="0"/>
      </c:catAx>
      <c:valAx>
        <c:axId val="196155008"/>
        <c:scaling>
          <c:orientation val="minMax"/>
          <c:min val="-1.5"/>
        </c:scaling>
        <c:delete val="0"/>
        <c:axPos val="l"/>
        <c:majorGridlines>
          <c:spPr>
            <a:ln w="9525" cap="flat" cmpd="sng" algn="ctr">
              <a:solidFill>
                <a:schemeClr val="bg1">
                  <a:lumMod val="50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bg-BG" sz="1000" b="0" i="0" baseline="0">
                    <a:effectLst/>
                  </a:rPr>
                  <a:t>Обща претеглена оценка (</a:t>
                </a:r>
                <a:r>
                  <a:rPr lang="en-US" sz="1000" b="0" i="0" baseline="0">
                    <a:effectLst/>
                  </a:rPr>
                  <a:t>S)</a:t>
                </a:r>
                <a:endParaRPr lang="en-US" sz="1000">
                  <a:effectLst/>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6439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46891D-BE0B-4604-B5A3-CD6A95ADE299}"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bg-BG"/>
        </a:p>
      </dgm:t>
    </dgm:pt>
    <dgm:pt modelId="{C5B65B5F-CD3B-495E-ACD2-C02049A2DAD0}">
      <dgm:prSet phldrT="[Текст]" custT="1"/>
      <dgm:spPr>
        <a:solidFill>
          <a:srgbClr val="00B0F0"/>
        </a:solidFill>
      </dgm:spPr>
      <dgm:t>
        <a:bodyPr/>
        <a:lstStyle/>
        <a:p>
          <a:pPr algn="ctr"/>
          <a:r>
            <a:rPr lang="bg-BG" sz="950" b="1">
              <a:latin typeface="Times New Roman" panose="02020603050405020304" pitchFamily="18" charset="0"/>
              <a:cs typeface="Times New Roman" panose="02020603050405020304" pitchFamily="18" charset="0"/>
            </a:rPr>
            <a:t>ЦЯЛОСТНО ПОДОБРЯВАНЕ НА ФУНКЦИОНИРАНЕТО НА ВЕРИГАТА НА ДОСТАВКИ НА ЗЕМЕДЕЛСКИ ПРОДУКТИ И ХРАНИ, ВОДЕЩО ДО ПОВИШАВАНЕ НА НЕЙНАТА ЕФЕКТИВНОСТ И ЕФИКАСНОСТ И ДО НАМАЛЯВАНЕ НА ДИСБАЛАНСА В ОТНОШЕНИЯТА МЕЖДУ РАЗЛИЧНИТЕ УЧАСТНИЦИ В НЕЯ, В ПОЛЗА НА ПОТРЕБИТЕЛИТЕ И ОБЩЕСТВОТО КАТО ЦЯЛО</a:t>
          </a:r>
          <a:endParaRPr lang="bg-BG" sz="950" b="1">
            <a:ln>
              <a:noFill/>
            </a:ln>
            <a:solidFill>
              <a:schemeClr val="lt1"/>
            </a:solidFill>
            <a:latin typeface="Times New Roman" panose="02020603050405020304" pitchFamily="18" charset="0"/>
            <a:cs typeface="Times New Roman" panose="02020603050405020304" pitchFamily="18" charset="0"/>
          </a:endParaRPr>
        </a:p>
      </dgm:t>
    </dgm:pt>
    <dgm:pt modelId="{D4AC6DBF-D916-4FD6-B264-7BD827C3EEDA}" type="parTrans" cxnId="{84694FE8-560B-4325-A465-6484E1DEC6E4}">
      <dgm:prSet/>
      <dgm:spPr/>
      <dgm:t>
        <a:bodyPr/>
        <a:lstStyle/>
        <a:p>
          <a:endParaRPr lang="bg-BG"/>
        </a:p>
      </dgm:t>
    </dgm:pt>
    <dgm:pt modelId="{553E3A3C-6EE0-42C4-A443-A8A9F980A981}" type="sibTrans" cxnId="{84694FE8-560B-4325-A465-6484E1DEC6E4}">
      <dgm:prSet/>
      <dgm:spPr/>
      <dgm:t>
        <a:bodyPr/>
        <a:lstStyle/>
        <a:p>
          <a:endParaRPr lang="bg-BG"/>
        </a:p>
      </dgm:t>
    </dgm:pt>
    <dgm:pt modelId="{545E981C-D6F8-42FB-A497-FBFDF9456A75}">
      <dgm:prSet phldrT="[Текст]" custT="1"/>
      <dgm:spPr>
        <a:solidFill>
          <a:srgbClr val="BD92DE"/>
        </a:solidFill>
      </dgm:spPr>
      <dgm:t>
        <a:bodyPr/>
        <a:lstStyle/>
        <a:p>
          <a:r>
            <a:rPr lang="bg-BG" sz="800" b="1">
              <a:latin typeface="Times New Roman" panose="02020603050405020304" pitchFamily="18" charset="0"/>
              <a:cs typeface="Times New Roman" panose="02020603050405020304" pitchFamily="18" charset="0"/>
            </a:rPr>
            <a:t>УСТАНОВЯВАНЕ НА ЯСНИ, ЧЕСТНИ И ВИДИМИ ЗА ЦЯЛОТО ОБЩЕСТВО ПРАВИЛА, ПО КОИТО ВЪЗНИКВАТ И СЕ РАЗВИВАТ ОТНОШЕНИЯТА МЕЖДУ УЧАСТНИЦИТЕ ПО </a:t>
          </a:r>
          <a:r>
            <a:rPr lang="ru-RU" sz="800" b="1">
              <a:latin typeface="Times New Roman" panose="02020603050405020304" pitchFamily="18" charset="0"/>
              <a:cs typeface="Times New Roman" panose="02020603050405020304" pitchFamily="18" charset="0"/>
            </a:rPr>
            <a:t>ВЕРИГАТА НА ДОСТАВКИ НА ЗЕМЕДЕЛСКИ ПРОДУКТИ И ХРАНИ</a:t>
          </a:r>
          <a:endParaRPr lang="bg-BG" sz="800" b="1">
            <a:latin typeface="Times New Roman" panose="02020603050405020304" pitchFamily="18" charset="0"/>
            <a:cs typeface="Times New Roman" panose="02020603050405020304" pitchFamily="18" charset="0"/>
          </a:endParaRPr>
        </a:p>
      </dgm:t>
    </dgm:pt>
    <dgm:pt modelId="{E32A3BD6-175C-4507-91B1-4EE682A7EA3A}" type="parTrans" cxnId="{C7E38C92-DFCF-40D0-A816-324ABC404936}">
      <dgm:prSet/>
      <dgm:spPr/>
      <dgm:t>
        <a:bodyPr/>
        <a:lstStyle/>
        <a:p>
          <a:endParaRPr lang="bg-BG"/>
        </a:p>
      </dgm:t>
    </dgm:pt>
    <dgm:pt modelId="{810F4B7E-DA24-48F3-9ECE-40135FF28C5C}" type="sibTrans" cxnId="{C7E38C92-DFCF-40D0-A816-324ABC404936}">
      <dgm:prSet/>
      <dgm:spPr/>
      <dgm:t>
        <a:bodyPr/>
        <a:lstStyle/>
        <a:p>
          <a:endParaRPr lang="bg-BG"/>
        </a:p>
      </dgm:t>
    </dgm:pt>
    <dgm:pt modelId="{E5CEAB58-849A-4408-BAA4-A51D740DB8DA}">
      <dgm:prSet phldrT="[Текст]" custT="1"/>
      <dgm:spPr>
        <a:solidFill>
          <a:schemeClr val="accent6">
            <a:lumMod val="75000"/>
          </a:schemeClr>
        </a:solidFill>
      </dgm:spPr>
      <dgm:t>
        <a:bodyPr/>
        <a:lstStyle/>
        <a:p>
          <a:r>
            <a:rPr lang="bg-BG" sz="900" b="1">
              <a:latin typeface="Times New Roman" panose="02020603050405020304" pitchFamily="18" charset="0"/>
              <a:cs typeface="Times New Roman" panose="02020603050405020304" pitchFamily="18" charset="0"/>
            </a:rPr>
            <a:t>ИЗБОР НА ВАРИАНТ НА ДЕЙСТВИЕ, ВКЛЮЧВАЩ ВЪВЕЖДАНЕТО НА МЕРКИ НА НАЦИОНАЛНО НИВО, ВОДЕЩИ ДО ПЪЛНОЦЕННО РАЗРЕШАВАНЕ НА ДЕФИНИРАНИТЕ ПРОБЛЕМИ, ЧРЕЗ ОТСТРАНЯВАНЕ НА ДВИГАТЕЛИТЕ, СТОЯЩИ В ТЯХНАТА ОСНОВА </a:t>
          </a:r>
        </a:p>
      </dgm:t>
    </dgm:pt>
    <dgm:pt modelId="{13D53CC4-5967-4751-9EDF-298CE81B0956}" type="parTrans" cxnId="{04F92A29-4075-4709-A8CE-D45CB06C104E}">
      <dgm:prSet/>
      <dgm:spPr/>
      <dgm:t>
        <a:bodyPr/>
        <a:lstStyle/>
        <a:p>
          <a:endParaRPr lang="bg-BG"/>
        </a:p>
      </dgm:t>
    </dgm:pt>
    <dgm:pt modelId="{E882DD14-EBDD-4B3A-A469-00E43266D1FF}" type="sibTrans" cxnId="{04F92A29-4075-4709-A8CE-D45CB06C104E}">
      <dgm:prSet/>
      <dgm:spPr/>
      <dgm:t>
        <a:bodyPr/>
        <a:lstStyle/>
        <a:p>
          <a:endParaRPr lang="bg-BG"/>
        </a:p>
      </dgm:t>
    </dgm:pt>
    <dgm:pt modelId="{65975DA4-CAD8-431E-B2B1-B75BF41BF48E}">
      <dgm:prSet phldrT="[Текст]" custT="1"/>
      <dgm:spPr>
        <a:solidFill>
          <a:srgbClr val="BD92DE"/>
        </a:solidFill>
      </dgm:spPr>
      <dgm:t>
        <a:bodyPr/>
        <a:lstStyle/>
        <a:p>
          <a:pPr algn="ctr"/>
          <a:r>
            <a:rPr lang="ru-RU" sz="800" b="1">
              <a:latin typeface="Times New Roman" panose="02020603050405020304" pitchFamily="18" charset="0"/>
              <a:cs typeface="Times New Roman" panose="02020603050405020304" pitchFamily="18" charset="0"/>
            </a:rPr>
            <a:t>СЪЗДАВАНЕ НА </a:t>
          </a:r>
          <a:r>
            <a:rPr lang="bg-BG" sz="800" b="1">
              <a:latin typeface="Times New Roman" panose="02020603050405020304" pitchFamily="18" charset="0"/>
              <a:cs typeface="Times New Roman" panose="02020603050405020304" pitchFamily="18" charset="0"/>
            </a:rPr>
            <a:t>СРЕДА НА ПРОЗРАЧНОСТ В ДОГОВАРЯНЕТО, ПРОСЛЕДИМОСТ НА ФУНКЦИОНИРАНЕТО И РАВНОПОСТАВЕНОСТ В ОТНОШЕНИЯТА МЕЖДУ УЧАСТНИЦИТЕ ПО ВЕРИГАТА НА ДОСТАВКИ НА ЗЕМЕДЕЛСКИ ПРОДУКТИ И ХРАНИ, КОЕТО ВОДИ</a:t>
          </a:r>
          <a:r>
            <a:rPr lang="ru-RU" sz="800" b="1">
              <a:latin typeface="Times New Roman" panose="02020603050405020304" pitchFamily="18" charset="0"/>
              <a:cs typeface="Times New Roman" panose="02020603050405020304" pitchFamily="18" charset="0"/>
            </a:rPr>
            <a:t> И ДО БАЗИРАНО НА ЛОЯЛНА КОНКУРЕНЦИЯ ПРОПОРЦИОНАЛНО </a:t>
          </a:r>
          <a:r>
            <a:rPr lang="bg-BG" sz="800" b="1">
              <a:latin typeface="Times New Roman" panose="02020603050405020304" pitchFamily="18" charset="0"/>
              <a:cs typeface="Times New Roman" panose="02020603050405020304" pitchFamily="18" charset="0"/>
            </a:rPr>
            <a:t>РАЗПРЕДЕЛЕНИЕ НА ДОБАВЕНАТА СТОЙНОСТ ОТ НЕЯ</a:t>
          </a:r>
        </a:p>
      </dgm:t>
    </dgm:pt>
    <dgm:pt modelId="{F7EF5EE4-5A48-47F8-AD1F-AB6B884CA3D3}" type="parTrans" cxnId="{26B8EE88-D02B-4EB8-8060-C1CABB6FC69A}">
      <dgm:prSet/>
      <dgm:spPr/>
      <dgm:t>
        <a:bodyPr/>
        <a:lstStyle/>
        <a:p>
          <a:endParaRPr lang="bg-BG"/>
        </a:p>
      </dgm:t>
    </dgm:pt>
    <dgm:pt modelId="{468A1A8F-8A67-4EE2-B782-BB886E8779BB}" type="sibTrans" cxnId="{26B8EE88-D02B-4EB8-8060-C1CABB6FC69A}">
      <dgm:prSet/>
      <dgm:spPr/>
      <dgm:t>
        <a:bodyPr/>
        <a:lstStyle/>
        <a:p>
          <a:endParaRPr lang="bg-BG"/>
        </a:p>
      </dgm:t>
    </dgm:pt>
    <dgm:pt modelId="{29E114E8-B965-4CC0-9DA8-6DB6372D6494}">
      <dgm:prSet phldrT="[Текст]"/>
      <dgm:spPr>
        <a:solidFill>
          <a:srgbClr val="B9E7F9"/>
        </a:solidFill>
      </dgm:spPr>
      <dgm:t>
        <a:bodyPr/>
        <a:lstStyle/>
        <a:p>
          <a:r>
            <a:rPr lang="bg-BG">
              <a:latin typeface="Times New Roman" panose="02020603050405020304" pitchFamily="18" charset="0"/>
              <a:cs typeface="Times New Roman" panose="02020603050405020304" pitchFamily="18" charset="0"/>
            </a:rPr>
            <a:t>Обща цел</a:t>
          </a:r>
        </a:p>
      </dgm:t>
    </dgm:pt>
    <dgm:pt modelId="{248EF0B3-8DAC-4AF0-9F4E-2DD08DF0D2A4}" type="parTrans" cxnId="{A2ED086C-E745-4F86-B1B1-728A64AF7921}">
      <dgm:prSet/>
      <dgm:spPr/>
      <dgm:t>
        <a:bodyPr/>
        <a:lstStyle/>
        <a:p>
          <a:endParaRPr lang="bg-BG"/>
        </a:p>
      </dgm:t>
    </dgm:pt>
    <dgm:pt modelId="{FBB6FB14-B3AB-4D24-9640-A0D4E7597BF6}" type="sibTrans" cxnId="{A2ED086C-E745-4F86-B1B1-728A64AF7921}">
      <dgm:prSet/>
      <dgm:spPr/>
      <dgm:t>
        <a:bodyPr/>
        <a:lstStyle/>
        <a:p>
          <a:endParaRPr lang="bg-BG"/>
        </a:p>
      </dgm:t>
    </dgm:pt>
    <dgm:pt modelId="{4033F114-86A0-4959-8290-6E7583A25190}">
      <dgm:prSet phldrT="[Текст]"/>
      <dgm:spPr>
        <a:solidFill>
          <a:srgbClr val="DCC5ED"/>
        </a:solidFill>
      </dgm:spPr>
      <dgm:t>
        <a:bodyPr/>
        <a:lstStyle/>
        <a:p>
          <a:r>
            <a:rPr lang="bg-BG">
              <a:latin typeface="Times New Roman" panose="02020603050405020304" pitchFamily="18" charset="0"/>
              <a:cs typeface="Times New Roman" panose="02020603050405020304" pitchFamily="18" charset="0"/>
            </a:rPr>
            <a:t>Конкретни цели</a:t>
          </a:r>
        </a:p>
      </dgm:t>
    </dgm:pt>
    <dgm:pt modelId="{DA2E5E8F-B91A-4331-8B9F-7B6F71E9C4F4}" type="parTrans" cxnId="{E8C43B44-41E4-4BD5-82E8-0396801A8CE2}">
      <dgm:prSet/>
      <dgm:spPr/>
      <dgm:t>
        <a:bodyPr/>
        <a:lstStyle/>
        <a:p>
          <a:endParaRPr lang="bg-BG"/>
        </a:p>
      </dgm:t>
    </dgm:pt>
    <dgm:pt modelId="{AE29EC59-9B9A-4A51-85DB-36ACB6D13078}" type="sibTrans" cxnId="{E8C43B44-41E4-4BD5-82E8-0396801A8CE2}">
      <dgm:prSet/>
      <dgm:spPr/>
      <dgm:t>
        <a:bodyPr/>
        <a:lstStyle/>
        <a:p>
          <a:endParaRPr lang="bg-BG"/>
        </a:p>
      </dgm:t>
    </dgm:pt>
    <dgm:pt modelId="{E25D3490-811C-4DC2-B2F0-9C6B6B1EFB82}">
      <dgm:prSet phldrT="[Текст]"/>
      <dgm:spPr>
        <a:solidFill>
          <a:srgbClr val="D2E5B1"/>
        </a:solidFill>
      </dgm:spPr>
      <dgm:t>
        <a:bodyPr/>
        <a:lstStyle/>
        <a:p>
          <a:r>
            <a:rPr lang="bg-BG">
              <a:solidFill>
                <a:schemeClr val="dk1">
                  <a:hueOff val="0"/>
                  <a:satOff val="0"/>
                  <a:lumOff val="0"/>
                </a:schemeClr>
              </a:solidFill>
              <a:latin typeface="Times New Roman" panose="02020603050405020304" pitchFamily="18" charset="0"/>
              <a:cs typeface="Times New Roman" panose="02020603050405020304" pitchFamily="18" charset="0"/>
            </a:rPr>
            <a:t>Оперативни цели</a:t>
          </a:r>
        </a:p>
      </dgm:t>
    </dgm:pt>
    <dgm:pt modelId="{9D80B183-54C2-4874-9D8C-A3EF20F6D271}" type="parTrans" cxnId="{ECF280B1-1C6A-4AF4-A904-90C02691BE13}">
      <dgm:prSet/>
      <dgm:spPr/>
      <dgm:t>
        <a:bodyPr/>
        <a:lstStyle/>
        <a:p>
          <a:endParaRPr lang="bg-BG"/>
        </a:p>
      </dgm:t>
    </dgm:pt>
    <dgm:pt modelId="{5C4B1F61-44A7-4646-862A-6DD49243605C}" type="sibTrans" cxnId="{ECF280B1-1C6A-4AF4-A904-90C02691BE13}">
      <dgm:prSet/>
      <dgm:spPr/>
      <dgm:t>
        <a:bodyPr/>
        <a:lstStyle/>
        <a:p>
          <a:endParaRPr lang="bg-BG"/>
        </a:p>
      </dgm:t>
    </dgm:pt>
    <dgm:pt modelId="{E5DCF0AB-36DA-439A-BF5B-F0AB40405464}">
      <dgm:prSet phldrT="[Текст]" custT="1"/>
      <dgm:spPr>
        <a:solidFill>
          <a:schemeClr val="accent6">
            <a:lumMod val="75000"/>
          </a:schemeClr>
        </a:solidFill>
      </dgm:spPr>
      <dgm:t>
        <a:bodyPr/>
        <a:lstStyle/>
        <a:p>
          <a:pPr algn="ctr"/>
          <a:r>
            <a:rPr lang="bg-BG" sz="900" b="1">
              <a:latin typeface="Times New Roman" panose="02020603050405020304" pitchFamily="18" charset="0"/>
              <a:cs typeface="Times New Roman" panose="02020603050405020304" pitchFamily="18" charset="0"/>
            </a:rPr>
            <a:t>ИЗБОР НА ВАРИАНТ НА ДЕЙСТВИЕ, ВКЛЮЧВАЩ ВЪВЕЖДАНЕТО НА МЕРКИ НА НАЦИОНАЛНО НИВО, ВОДЕЩИ ДО ПРЕКЪСВАНЕ НА ПРИЧИННО-СЛЕДСТВЕНАТА ВРЪЗКА МЕЖДУ ДВИГАТЕЛИТЕ, ПРОБЛЕМИТЕ И ТЕХНИТЕ ПРОЯВЛЕНИЯ</a:t>
          </a:r>
        </a:p>
      </dgm:t>
    </dgm:pt>
    <dgm:pt modelId="{10D1B6C9-D1C1-4EC9-B330-26CBD0B8CE4D}" type="sibTrans" cxnId="{9D0F2E6C-B079-4AAD-A2EC-8D7BA013411C}">
      <dgm:prSet/>
      <dgm:spPr/>
      <dgm:t>
        <a:bodyPr/>
        <a:lstStyle/>
        <a:p>
          <a:endParaRPr lang="bg-BG"/>
        </a:p>
      </dgm:t>
    </dgm:pt>
    <dgm:pt modelId="{86008AF4-2A4D-4968-B814-B7D76AFD2522}" type="parTrans" cxnId="{9D0F2E6C-B079-4AAD-A2EC-8D7BA013411C}">
      <dgm:prSet/>
      <dgm:spPr/>
      <dgm:t>
        <a:bodyPr/>
        <a:lstStyle/>
        <a:p>
          <a:endParaRPr lang="bg-BG"/>
        </a:p>
      </dgm:t>
    </dgm:pt>
    <dgm:pt modelId="{05319AED-C436-49E8-A46B-E653A262EED0}" type="pres">
      <dgm:prSet presAssocID="{6546891D-BE0B-4604-B5A3-CD6A95ADE299}" presName="mainComposite" presStyleCnt="0">
        <dgm:presLayoutVars>
          <dgm:chPref val="1"/>
          <dgm:dir/>
          <dgm:animOne val="branch"/>
          <dgm:animLvl val="lvl"/>
          <dgm:resizeHandles val="exact"/>
        </dgm:presLayoutVars>
      </dgm:prSet>
      <dgm:spPr/>
      <dgm:t>
        <a:bodyPr/>
        <a:lstStyle/>
        <a:p>
          <a:endParaRPr lang="bg-BG"/>
        </a:p>
      </dgm:t>
    </dgm:pt>
    <dgm:pt modelId="{75F529F0-3CD5-41A6-904C-874AE5C04999}" type="pres">
      <dgm:prSet presAssocID="{6546891D-BE0B-4604-B5A3-CD6A95ADE299}" presName="hierFlow" presStyleCnt="0"/>
      <dgm:spPr/>
    </dgm:pt>
    <dgm:pt modelId="{A272E69E-A168-409E-9927-8095FC73FE25}" type="pres">
      <dgm:prSet presAssocID="{6546891D-BE0B-4604-B5A3-CD6A95ADE299}" presName="firstBuf" presStyleCnt="0"/>
      <dgm:spPr/>
    </dgm:pt>
    <dgm:pt modelId="{99D08F1B-879D-4196-8878-F48DDEFE774A}" type="pres">
      <dgm:prSet presAssocID="{6546891D-BE0B-4604-B5A3-CD6A95ADE299}" presName="hierChild1" presStyleCnt="0">
        <dgm:presLayoutVars>
          <dgm:chPref val="1"/>
          <dgm:animOne val="branch"/>
          <dgm:animLvl val="lvl"/>
        </dgm:presLayoutVars>
      </dgm:prSet>
      <dgm:spPr/>
    </dgm:pt>
    <dgm:pt modelId="{6E56EF84-4C10-498D-8193-A02BA98E8FC8}" type="pres">
      <dgm:prSet presAssocID="{C5B65B5F-CD3B-495E-ACD2-C02049A2DAD0}" presName="Name14" presStyleCnt="0"/>
      <dgm:spPr/>
    </dgm:pt>
    <dgm:pt modelId="{E32FDA54-2004-4660-9F9B-9EBD2BF9786A}" type="pres">
      <dgm:prSet presAssocID="{C5B65B5F-CD3B-495E-ACD2-C02049A2DAD0}" presName="level1Shape" presStyleLbl="node0" presStyleIdx="0" presStyleCnt="1" custScaleX="620380" custScaleY="356422" custLinFactNeighborX="-47632" custLinFactNeighborY="-20920">
        <dgm:presLayoutVars>
          <dgm:chPref val="3"/>
        </dgm:presLayoutVars>
      </dgm:prSet>
      <dgm:spPr/>
      <dgm:t>
        <a:bodyPr/>
        <a:lstStyle/>
        <a:p>
          <a:endParaRPr lang="bg-BG"/>
        </a:p>
      </dgm:t>
    </dgm:pt>
    <dgm:pt modelId="{29AF83CA-E975-452D-B184-76B33D67749B}" type="pres">
      <dgm:prSet presAssocID="{C5B65B5F-CD3B-495E-ACD2-C02049A2DAD0}" presName="hierChild2" presStyleCnt="0"/>
      <dgm:spPr/>
    </dgm:pt>
    <dgm:pt modelId="{8E25EA36-22C2-41BE-A7F7-472AA1B7542B}" type="pres">
      <dgm:prSet presAssocID="{E32A3BD6-175C-4507-91B1-4EE682A7EA3A}" presName="Name19" presStyleLbl="parChTrans1D2" presStyleIdx="0" presStyleCnt="2"/>
      <dgm:spPr/>
      <dgm:t>
        <a:bodyPr/>
        <a:lstStyle/>
        <a:p>
          <a:endParaRPr lang="bg-BG"/>
        </a:p>
      </dgm:t>
    </dgm:pt>
    <dgm:pt modelId="{DF3D7D32-328F-4AC3-91F8-7CF84C39BE3C}" type="pres">
      <dgm:prSet presAssocID="{545E981C-D6F8-42FB-A497-FBFDF9456A75}" presName="Name21" presStyleCnt="0"/>
      <dgm:spPr/>
    </dgm:pt>
    <dgm:pt modelId="{EC6D252E-74A1-428E-9553-DBF5BAF866DD}" type="pres">
      <dgm:prSet presAssocID="{545E981C-D6F8-42FB-A497-FBFDF9456A75}" presName="level2Shape" presStyleLbl="node2" presStyleIdx="0" presStyleCnt="2" custScaleX="356420" custScaleY="385021" custLinFactNeighborX="-26936" custLinFactNeighborY="1531"/>
      <dgm:spPr/>
      <dgm:t>
        <a:bodyPr/>
        <a:lstStyle/>
        <a:p>
          <a:endParaRPr lang="bg-BG"/>
        </a:p>
      </dgm:t>
    </dgm:pt>
    <dgm:pt modelId="{F84B432A-0C17-466B-B7F5-8E8B5A77F0D4}" type="pres">
      <dgm:prSet presAssocID="{545E981C-D6F8-42FB-A497-FBFDF9456A75}" presName="hierChild3" presStyleCnt="0"/>
      <dgm:spPr/>
    </dgm:pt>
    <dgm:pt modelId="{EE04F390-0B70-4736-A3E0-C57B4F0A1642}" type="pres">
      <dgm:prSet presAssocID="{13D53CC4-5967-4751-9EDF-298CE81B0956}" presName="Name19" presStyleLbl="parChTrans1D3" presStyleIdx="0" presStyleCnt="2"/>
      <dgm:spPr/>
      <dgm:t>
        <a:bodyPr/>
        <a:lstStyle/>
        <a:p>
          <a:endParaRPr lang="bg-BG"/>
        </a:p>
      </dgm:t>
    </dgm:pt>
    <dgm:pt modelId="{0867D310-6F11-4FA9-93C1-FFE42332291C}" type="pres">
      <dgm:prSet presAssocID="{E5CEAB58-849A-4408-BAA4-A51D740DB8DA}" presName="Name21" presStyleCnt="0"/>
      <dgm:spPr/>
    </dgm:pt>
    <dgm:pt modelId="{8FD383F9-939A-4395-86B2-9F834A39E525}" type="pres">
      <dgm:prSet presAssocID="{E5CEAB58-849A-4408-BAA4-A51D740DB8DA}" presName="level2Shape" presStyleLbl="node3" presStyleIdx="0" presStyleCnt="2" custScaleX="406245" custScaleY="366532" custLinFactNeighborX="9079" custLinFactNeighborY="16658"/>
      <dgm:spPr/>
      <dgm:t>
        <a:bodyPr/>
        <a:lstStyle/>
        <a:p>
          <a:endParaRPr lang="bg-BG"/>
        </a:p>
      </dgm:t>
    </dgm:pt>
    <dgm:pt modelId="{0D65E978-E157-4310-97DE-09C84AE379B9}" type="pres">
      <dgm:prSet presAssocID="{E5CEAB58-849A-4408-BAA4-A51D740DB8DA}" presName="hierChild3" presStyleCnt="0"/>
      <dgm:spPr/>
    </dgm:pt>
    <dgm:pt modelId="{C472AF61-3F9B-4E9F-AE37-2B8128E0C7FB}" type="pres">
      <dgm:prSet presAssocID="{F7EF5EE4-5A48-47F8-AD1F-AB6B884CA3D3}" presName="Name19" presStyleLbl="parChTrans1D2" presStyleIdx="1" presStyleCnt="2"/>
      <dgm:spPr/>
      <dgm:t>
        <a:bodyPr/>
        <a:lstStyle/>
        <a:p>
          <a:endParaRPr lang="bg-BG"/>
        </a:p>
      </dgm:t>
    </dgm:pt>
    <dgm:pt modelId="{7A41AB50-A6F1-4599-A882-CA22414FA8A0}" type="pres">
      <dgm:prSet presAssocID="{65975DA4-CAD8-431E-B2B1-B75BF41BF48E}" presName="Name21" presStyleCnt="0"/>
      <dgm:spPr/>
    </dgm:pt>
    <dgm:pt modelId="{5EAD37B4-B5ED-437A-96E7-7DD295595E01}" type="pres">
      <dgm:prSet presAssocID="{65975DA4-CAD8-431E-B2B1-B75BF41BF48E}" presName="level2Shape" presStyleLbl="node2" presStyleIdx="1" presStyleCnt="2" custScaleX="466554" custScaleY="361568" custLinFactNeighborX="-16682" custLinFactNeighborY="4914"/>
      <dgm:spPr/>
      <dgm:t>
        <a:bodyPr/>
        <a:lstStyle/>
        <a:p>
          <a:endParaRPr lang="bg-BG"/>
        </a:p>
      </dgm:t>
    </dgm:pt>
    <dgm:pt modelId="{49E6E9B1-F88A-49F1-82B0-2D244C3A518D}" type="pres">
      <dgm:prSet presAssocID="{65975DA4-CAD8-431E-B2B1-B75BF41BF48E}" presName="hierChild3" presStyleCnt="0"/>
      <dgm:spPr/>
    </dgm:pt>
    <dgm:pt modelId="{25D65B14-35F9-40A1-ADB1-C86452F555E5}" type="pres">
      <dgm:prSet presAssocID="{86008AF4-2A4D-4968-B814-B7D76AFD2522}" presName="Name19" presStyleLbl="parChTrans1D3" presStyleIdx="1" presStyleCnt="2"/>
      <dgm:spPr/>
      <dgm:t>
        <a:bodyPr/>
        <a:lstStyle/>
        <a:p>
          <a:endParaRPr lang="bg-BG"/>
        </a:p>
      </dgm:t>
    </dgm:pt>
    <dgm:pt modelId="{36D8C703-EA54-4A3B-974A-889472B52221}" type="pres">
      <dgm:prSet presAssocID="{E5DCF0AB-36DA-439A-BF5B-F0AB40405464}" presName="Name21" presStyleCnt="0"/>
      <dgm:spPr/>
    </dgm:pt>
    <dgm:pt modelId="{35F1AC73-B2A7-44EB-823F-19D63ECC940E}" type="pres">
      <dgm:prSet presAssocID="{E5DCF0AB-36DA-439A-BF5B-F0AB40405464}" presName="level2Shape" presStyleLbl="node3" presStyleIdx="1" presStyleCnt="2" custScaleX="425988" custScaleY="365520" custLinFactNeighborX="10182" custLinFactNeighborY="35208"/>
      <dgm:spPr/>
      <dgm:t>
        <a:bodyPr/>
        <a:lstStyle/>
        <a:p>
          <a:endParaRPr lang="bg-BG"/>
        </a:p>
      </dgm:t>
    </dgm:pt>
    <dgm:pt modelId="{B24E1C9B-A4A4-43FB-9D76-930214C138B3}" type="pres">
      <dgm:prSet presAssocID="{E5DCF0AB-36DA-439A-BF5B-F0AB40405464}" presName="hierChild3" presStyleCnt="0"/>
      <dgm:spPr/>
    </dgm:pt>
    <dgm:pt modelId="{8D9F82D7-23CF-4EA9-A9ED-83BA054E933E}" type="pres">
      <dgm:prSet presAssocID="{6546891D-BE0B-4604-B5A3-CD6A95ADE299}" presName="bgShapesFlow" presStyleCnt="0"/>
      <dgm:spPr/>
    </dgm:pt>
    <dgm:pt modelId="{0418D088-FF2B-4AA6-B297-DAEE2545D9A3}" type="pres">
      <dgm:prSet presAssocID="{29E114E8-B965-4CC0-9DA8-6DB6372D6494}" presName="rectComp" presStyleCnt="0"/>
      <dgm:spPr/>
    </dgm:pt>
    <dgm:pt modelId="{99EF1B2F-D8DF-4C8F-B4E8-5308399E5A2D}" type="pres">
      <dgm:prSet presAssocID="{29E114E8-B965-4CC0-9DA8-6DB6372D6494}" presName="bgRect" presStyleLbl="bgShp" presStyleIdx="0" presStyleCnt="3" custScaleY="279600"/>
      <dgm:spPr/>
      <dgm:t>
        <a:bodyPr/>
        <a:lstStyle/>
        <a:p>
          <a:endParaRPr lang="bg-BG"/>
        </a:p>
      </dgm:t>
    </dgm:pt>
    <dgm:pt modelId="{75FC4E50-149F-4404-A499-723AC05C38C7}" type="pres">
      <dgm:prSet presAssocID="{29E114E8-B965-4CC0-9DA8-6DB6372D6494}" presName="bgRectTx" presStyleLbl="bgShp" presStyleIdx="0" presStyleCnt="3">
        <dgm:presLayoutVars>
          <dgm:bulletEnabled val="1"/>
        </dgm:presLayoutVars>
      </dgm:prSet>
      <dgm:spPr/>
      <dgm:t>
        <a:bodyPr/>
        <a:lstStyle/>
        <a:p>
          <a:endParaRPr lang="bg-BG"/>
        </a:p>
      </dgm:t>
    </dgm:pt>
    <dgm:pt modelId="{5167DFDC-7539-499A-9B97-30C60BEA381F}" type="pres">
      <dgm:prSet presAssocID="{29E114E8-B965-4CC0-9DA8-6DB6372D6494}" presName="spComp" presStyleCnt="0"/>
      <dgm:spPr/>
    </dgm:pt>
    <dgm:pt modelId="{6D67609B-BBFC-4903-8F60-E7C1908F23CC}" type="pres">
      <dgm:prSet presAssocID="{29E114E8-B965-4CC0-9DA8-6DB6372D6494}" presName="vSp" presStyleCnt="0"/>
      <dgm:spPr/>
    </dgm:pt>
    <dgm:pt modelId="{E3598A17-343C-49CE-AE4F-B8F8D2136402}" type="pres">
      <dgm:prSet presAssocID="{4033F114-86A0-4959-8290-6E7583A25190}" presName="rectComp" presStyleCnt="0"/>
      <dgm:spPr/>
    </dgm:pt>
    <dgm:pt modelId="{D171C28A-514C-44CB-887F-C80BEC863522}" type="pres">
      <dgm:prSet presAssocID="{4033F114-86A0-4959-8290-6E7583A25190}" presName="bgRect" presStyleLbl="bgShp" presStyleIdx="1" presStyleCnt="3" custScaleY="317654" custLinFactNeighborY="34528"/>
      <dgm:spPr/>
      <dgm:t>
        <a:bodyPr/>
        <a:lstStyle/>
        <a:p>
          <a:endParaRPr lang="bg-BG"/>
        </a:p>
      </dgm:t>
    </dgm:pt>
    <dgm:pt modelId="{F99D89B8-DFE9-49CE-86F6-E3D9265FD433}" type="pres">
      <dgm:prSet presAssocID="{4033F114-86A0-4959-8290-6E7583A25190}" presName="bgRectTx" presStyleLbl="bgShp" presStyleIdx="1" presStyleCnt="3">
        <dgm:presLayoutVars>
          <dgm:bulletEnabled val="1"/>
        </dgm:presLayoutVars>
      </dgm:prSet>
      <dgm:spPr/>
      <dgm:t>
        <a:bodyPr/>
        <a:lstStyle/>
        <a:p>
          <a:endParaRPr lang="bg-BG"/>
        </a:p>
      </dgm:t>
    </dgm:pt>
    <dgm:pt modelId="{0BA91BDE-3835-4019-98F6-FCD2EE3A3A06}" type="pres">
      <dgm:prSet presAssocID="{4033F114-86A0-4959-8290-6E7583A25190}" presName="spComp" presStyleCnt="0"/>
      <dgm:spPr/>
    </dgm:pt>
    <dgm:pt modelId="{04059F48-2E42-498E-8EAC-E718F39D896B}" type="pres">
      <dgm:prSet presAssocID="{4033F114-86A0-4959-8290-6E7583A25190}" presName="vSp" presStyleCnt="0"/>
      <dgm:spPr/>
    </dgm:pt>
    <dgm:pt modelId="{2FB5ABF4-3C8C-4E59-8F85-454D928DF4C1}" type="pres">
      <dgm:prSet presAssocID="{E25D3490-811C-4DC2-B2F0-9C6B6B1EFB82}" presName="rectComp" presStyleCnt="0"/>
      <dgm:spPr/>
    </dgm:pt>
    <dgm:pt modelId="{2806921C-2DDB-4C61-89BF-C57F280FFC6F}" type="pres">
      <dgm:prSet presAssocID="{E25D3490-811C-4DC2-B2F0-9C6B6B1EFB82}" presName="bgRect" presStyleLbl="bgShp" presStyleIdx="2" presStyleCnt="3" custScaleY="323132" custLinFactNeighborX="674" custLinFactNeighborY="58802"/>
      <dgm:spPr/>
      <dgm:t>
        <a:bodyPr/>
        <a:lstStyle/>
        <a:p>
          <a:endParaRPr lang="bg-BG"/>
        </a:p>
      </dgm:t>
    </dgm:pt>
    <dgm:pt modelId="{028F221C-9E3C-4A2B-B9BE-431C4FB0B38E}" type="pres">
      <dgm:prSet presAssocID="{E25D3490-811C-4DC2-B2F0-9C6B6B1EFB82}" presName="bgRectTx" presStyleLbl="bgShp" presStyleIdx="2" presStyleCnt="3">
        <dgm:presLayoutVars>
          <dgm:bulletEnabled val="1"/>
        </dgm:presLayoutVars>
      </dgm:prSet>
      <dgm:spPr/>
      <dgm:t>
        <a:bodyPr/>
        <a:lstStyle/>
        <a:p>
          <a:endParaRPr lang="bg-BG"/>
        </a:p>
      </dgm:t>
    </dgm:pt>
  </dgm:ptLst>
  <dgm:cxnLst>
    <dgm:cxn modelId="{C7E38C92-DFCF-40D0-A816-324ABC404936}" srcId="{C5B65B5F-CD3B-495E-ACD2-C02049A2DAD0}" destId="{545E981C-D6F8-42FB-A497-FBFDF9456A75}" srcOrd="0" destOrd="0" parTransId="{E32A3BD6-175C-4507-91B1-4EE682A7EA3A}" sibTransId="{810F4B7E-DA24-48F3-9ECE-40135FF28C5C}"/>
    <dgm:cxn modelId="{ECF280B1-1C6A-4AF4-A904-90C02691BE13}" srcId="{6546891D-BE0B-4604-B5A3-CD6A95ADE299}" destId="{E25D3490-811C-4DC2-B2F0-9C6B6B1EFB82}" srcOrd="3" destOrd="0" parTransId="{9D80B183-54C2-4874-9D8C-A3EF20F6D271}" sibTransId="{5C4B1F61-44A7-4646-862A-6DD49243605C}"/>
    <dgm:cxn modelId="{E7131C70-837F-4041-BA75-8D7C16A8781D}" type="presOf" srcId="{E25D3490-811C-4DC2-B2F0-9C6B6B1EFB82}" destId="{028F221C-9E3C-4A2B-B9BE-431C4FB0B38E}" srcOrd="1" destOrd="0" presId="urn:microsoft.com/office/officeart/2005/8/layout/hierarchy6"/>
    <dgm:cxn modelId="{D9BEE8E9-748E-423B-BDA9-AC1FA09797C2}" type="presOf" srcId="{13D53CC4-5967-4751-9EDF-298CE81B0956}" destId="{EE04F390-0B70-4736-A3E0-C57B4F0A1642}" srcOrd="0" destOrd="0" presId="urn:microsoft.com/office/officeart/2005/8/layout/hierarchy6"/>
    <dgm:cxn modelId="{7A683D4F-67AB-42F1-89B1-E608DAD0AE4F}" type="presOf" srcId="{86008AF4-2A4D-4968-B814-B7D76AFD2522}" destId="{25D65B14-35F9-40A1-ADB1-C86452F555E5}" srcOrd="0" destOrd="0" presId="urn:microsoft.com/office/officeart/2005/8/layout/hierarchy6"/>
    <dgm:cxn modelId="{37E29D2F-4C0E-4D8F-8151-9B30513888F4}" type="presOf" srcId="{E5CEAB58-849A-4408-BAA4-A51D740DB8DA}" destId="{8FD383F9-939A-4395-86B2-9F834A39E525}" srcOrd="0" destOrd="0" presId="urn:microsoft.com/office/officeart/2005/8/layout/hierarchy6"/>
    <dgm:cxn modelId="{38CFC44B-186A-4873-9F94-BEC543294474}" type="presOf" srcId="{29E114E8-B965-4CC0-9DA8-6DB6372D6494}" destId="{75FC4E50-149F-4404-A499-723AC05C38C7}" srcOrd="1" destOrd="0" presId="urn:microsoft.com/office/officeart/2005/8/layout/hierarchy6"/>
    <dgm:cxn modelId="{9D0F2E6C-B079-4AAD-A2EC-8D7BA013411C}" srcId="{65975DA4-CAD8-431E-B2B1-B75BF41BF48E}" destId="{E5DCF0AB-36DA-439A-BF5B-F0AB40405464}" srcOrd="0" destOrd="0" parTransId="{86008AF4-2A4D-4968-B814-B7D76AFD2522}" sibTransId="{10D1B6C9-D1C1-4EC9-B330-26CBD0B8CE4D}"/>
    <dgm:cxn modelId="{84694FE8-560B-4325-A465-6484E1DEC6E4}" srcId="{6546891D-BE0B-4604-B5A3-CD6A95ADE299}" destId="{C5B65B5F-CD3B-495E-ACD2-C02049A2DAD0}" srcOrd="0" destOrd="0" parTransId="{D4AC6DBF-D916-4FD6-B264-7BD827C3EEDA}" sibTransId="{553E3A3C-6EE0-42C4-A443-A8A9F980A981}"/>
    <dgm:cxn modelId="{7AB66C75-E972-4D81-885F-E513379D7DDF}" type="presOf" srcId="{65975DA4-CAD8-431E-B2B1-B75BF41BF48E}" destId="{5EAD37B4-B5ED-437A-96E7-7DD295595E01}" srcOrd="0" destOrd="0" presId="urn:microsoft.com/office/officeart/2005/8/layout/hierarchy6"/>
    <dgm:cxn modelId="{D93D1895-F1E3-41FB-B709-A236BF83A0A2}" type="presOf" srcId="{545E981C-D6F8-42FB-A497-FBFDF9456A75}" destId="{EC6D252E-74A1-428E-9553-DBF5BAF866DD}" srcOrd="0" destOrd="0" presId="urn:microsoft.com/office/officeart/2005/8/layout/hierarchy6"/>
    <dgm:cxn modelId="{E8C43B44-41E4-4BD5-82E8-0396801A8CE2}" srcId="{6546891D-BE0B-4604-B5A3-CD6A95ADE299}" destId="{4033F114-86A0-4959-8290-6E7583A25190}" srcOrd="2" destOrd="0" parTransId="{DA2E5E8F-B91A-4331-8B9F-7B6F71E9C4F4}" sibTransId="{AE29EC59-9B9A-4A51-85DB-36ACB6D13078}"/>
    <dgm:cxn modelId="{9B62D698-324B-452C-A91E-363F9FD3ADE2}" type="presOf" srcId="{F7EF5EE4-5A48-47F8-AD1F-AB6B884CA3D3}" destId="{C472AF61-3F9B-4E9F-AE37-2B8128E0C7FB}" srcOrd="0" destOrd="0" presId="urn:microsoft.com/office/officeart/2005/8/layout/hierarchy6"/>
    <dgm:cxn modelId="{3BB078E4-3B46-41C9-A1C6-03930ECCA017}" type="presOf" srcId="{4033F114-86A0-4959-8290-6E7583A25190}" destId="{F99D89B8-DFE9-49CE-86F6-E3D9265FD433}" srcOrd="1" destOrd="0" presId="urn:microsoft.com/office/officeart/2005/8/layout/hierarchy6"/>
    <dgm:cxn modelId="{93385D40-2E54-4568-A54F-B999A61E054A}" type="presOf" srcId="{29E114E8-B965-4CC0-9DA8-6DB6372D6494}" destId="{99EF1B2F-D8DF-4C8F-B4E8-5308399E5A2D}" srcOrd="0" destOrd="0" presId="urn:microsoft.com/office/officeart/2005/8/layout/hierarchy6"/>
    <dgm:cxn modelId="{A2ED086C-E745-4F86-B1B1-728A64AF7921}" srcId="{6546891D-BE0B-4604-B5A3-CD6A95ADE299}" destId="{29E114E8-B965-4CC0-9DA8-6DB6372D6494}" srcOrd="1" destOrd="0" parTransId="{248EF0B3-8DAC-4AF0-9F4E-2DD08DF0D2A4}" sibTransId="{FBB6FB14-B3AB-4D24-9640-A0D4E7597BF6}"/>
    <dgm:cxn modelId="{568CB5D1-115C-4633-A62E-2DD5C0B1A717}" type="presOf" srcId="{4033F114-86A0-4959-8290-6E7583A25190}" destId="{D171C28A-514C-44CB-887F-C80BEC863522}" srcOrd="0" destOrd="0" presId="urn:microsoft.com/office/officeart/2005/8/layout/hierarchy6"/>
    <dgm:cxn modelId="{9FC791BD-1F3D-4E1D-AFB0-4EB32F8A00ED}" type="presOf" srcId="{E25D3490-811C-4DC2-B2F0-9C6B6B1EFB82}" destId="{2806921C-2DDB-4C61-89BF-C57F280FFC6F}" srcOrd="0" destOrd="0" presId="urn:microsoft.com/office/officeart/2005/8/layout/hierarchy6"/>
    <dgm:cxn modelId="{04F92A29-4075-4709-A8CE-D45CB06C104E}" srcId="{545E981C-D6F8-42FB-A497-FBFDF9456A75}" destId="{E5CEAB58-849A-4408-BAA4-A51D740DB8DA}" srcOrd="0" destOrd="0" parTransId="{13D53CC4-5967-4751-9EDF-298CE81B0956}" sibTransId="{E882DD14-EBDD-4B3A-A469-00E43266D1FF}"/>
    <dgm:cxn modelId="{26B8EE88-D02B-4EB8-8060-C1CABB6FC69A}" srcId="{C5B65B5F-CD3B-495E-ACD2-C02049A2DAD0}" destId="{65975DA4-CAD8-431E-B2B1-B75BF41BF48E}" srcOrd="1" destOrd="0" parTransId="{F7EF5EE4-5A48-47F8-AD1F-AB6B884CA3D3}" sibTransId="{468A1A8F-8A67-4EE2-B782-BB886E8779BB}"/>
    <dgm:cxn modelId="{50B5B5EB-25F8-4603-A173-CA73C8B3B17B}" type="presOf" srcId="{E5DCF0AB-36DA-439A-BF5B-F0AB40405464}" destId="{35F1AC73-B2A7-44EB-823F-19D63ECC940E}" srcOrd="0" destOrd="0" presId="urn:microsoft.com/office/officeart/2005/8/layout/hierarchy6"/>
    <dgm:cxn modelId="{BD3AE020-48F0-4F68-BE2E-15E01ADA551E}" type="presOf" srcId="{E32A3BD6-175C-4507-91B1-4EE682A7EA3A}" destId="{8E25EA36-22C2-41BE-A7F7-472AA1B7542B}" srcOrd="0" destOrd="0" presId="urn:microsoft.com/office/officeart/2005/8/layout/hierarchy6"/>
    <dgm:cxn modelId="{B42A1BC6-01A3-48F6-8D48-DBB18A2089F3}" type="presOf" srcId="{C5B65B5F-CD3B-495E-ACD2-C02049A2DAD0}" destId="{E32FDA54-2004-4660-9F9B-9EBD2BF9786A}" srcOrd="0" destOrd="0" presId="urn:microsoft.com/office/officeart/2005/8/layout/hierarchy6"/>
    <dgm:cxn modelId="{137CA55B-7F07-4C25-BDB1-BB119851ED17}" type="presOf" srcId="{6546891D-BE0B-4604-B5A3-CD6A95ADE299}" destId="{05319AED-C436-49E8-A46B-E653A262EED0}" srcOrd="0" destOrd="0" presId="urn:microsoft.com/office/officeart/2005/8/layout/hierarchy6"/>
    <dgm:cxn modelId="{717DD68C-9003-4254-8806-D639AEAE0ABE}" type="presParOf" srcId="{05319AED-C436-49E8-A46B-E653A262EED0}" destId="{75F529F0-3CD5-41A6-904C-874AE5C04999}" srcOrd="0" destOrd="0" presId="urn:microsoft.com/office/officeart/2005/8/layout/hierarchy6"/>
    <dgm:cxn modelId="{73438BBF-2244-4268-8CD1-63E6445AE3A3}" type="presParOf" srcId="{75F529F0-3CD5-41A6-904C-874AE5C04999}" destId="{A272E69E-A168-409E-9927-8095FC73FE25}" srcOrd="0" destOrd="0" presId="urn:microsoft.com/office/officeart/2005/8/layout/hierarchy6"/>
    <dgm:cxn modelId="{6B526C94-8145-4174-B4AC-99232746E48C}" type="presParOf" srcId="{75F529F0-3CD5-41A6-904C-874AE5C04999}" destId="{99D08F1B-879D-4196-8878-F48DDEFE774A}" srcOrd="1" destOrd="0" presId="urn:microsoft.com/office/officeart/2005/8/layout/hierarchy6"/>
    <dgm:cxn modelId="{7185DBE0-2996-4AFB-882B-E707C1124B93}" type="presParOf" srcId="{99D08F1B-879D-4196-8878-F48DDEFE774A}" destId="{6E56EF84-4C10-498D-8193-A02BA98E8FC8}" srcOrd="0" destOrd="0" presId="urn:microsoft.com/office/officeart/2005/8/layout/hierarchy6"/>
    <dgm:cxn modelId="{13AB814F-1978-4C34-A301-5752E45BA2ED}" type="presParOf" srcId="{6E56EF84-4C10-498D-8193-A02BA98E8FC8}" destId="{E32FDA54-2004-4660-9F9B-9EBD2BF9786A}" srcOrd="0" destOrd="0" presId="urn:microsoft.com/office/officeart/2005/8/layout/hierarchy6"/>
    <dgm:cxn modelId="{DF160CEA-8436-4EA1-A7D8-B349FFF787BD}" type="presParOf" srcId="{6E56EF84-4C10-498D-8193-A02BA98E8FC8}" destId="{29AF83CA-E975-452D-B184-76B33D67749B}" srcOrd="1" destOrd="0" presId="urn:microsoft.com/office/officeart/2005/8/layout/hierarchy6"/>
    <dgm:cxn modelId="{9637D227-DFDB-4CC9-92D7-7F07E1FC1DFD}" type="presParOf" srcId="{29AF83CA-E975-452D-B184-76B33D67749B}" destId="{8E25EA36-22C2-41BE-A7F7-472AA1B7542B}" srcOrd="0" destOrd="0" presId="urn:microsoft.com/office/officeart/2005/8/layout/hierarchy6"/>
    <dgm:cxn modelId="{7FB5AD93-F305-4861-82A2-F6493E96436D}" type="presParOf" srcId="{29AF83CA-E975-452D-B184-76B33D67749B}" destId="{DF3D7D32-328F-4AC3-91F8-7CF84C39BE3C}" srcOrd="1" destOrd="0" presId="urn:microsoft.com/office/officeart/2005/8/layout/hierarchy6"/>
    <dgm:cxn modelId="{CB04215E-AEAB-4AC6-AA17-3E4235E7DB83}" type="presParOf" srcId="{DF3D7D32-328F-4AC3-91F8-7CF84C39BE3C}" destId="{EC6D252E-74A1-428E-9553-DBF5BAF866DD}" srcOrd="0" destOrd="0" presId="urn:microsoft.com/office/officeart/2005/8/layout/hierarchy6"/>
    <dgm:cxn modelId="{FB4A4CD5-8223-4DB4-A81B-CBB1D89278F1}" type="presParOf" srcId="{DF3D7D32-328F-4AC3-91F8-7CF84C39BE3C}" destId="{F84B432A-0C17-466B-B7F5-8E8B5A77F0D4}" srcOrd="1" destOrd="0" presId="urn:microsoft.com/office/officeart/2005/8/layout/hierarchy6"/>
    <dgm:cxn modelId="{02001BC6-709D-4FA9-9C18-5565BC3BEC32}" type="presParOf" srcId="{F84B432A-0C17-466B-B7F5-8E8B5A77F0D4}" destId="{EE04F390-0B70-4736-A3E0-C57B4F0A1642}" srcOrd="0" destOrd="0" presId="urn:microsoft.com/office/officeart/2005/8/layout/hierarchy6"/>
    <dgm:cxn modelId="{2296972B-5DA0-4747-901A-7A5E082D956D}" type="presParOf" srcId="{F84B432A-0C17-466B-B7F5-8E8B5A77F0D4}" destId="{0867D310-6F11-4FA9-93C1-FFE42332291C}" srcOrd="1" destOrd="0" presId="urn:microsoft.com/office/officeart/2005/8/layout/hierarchy6"/>
    <dgm:cxn modelId="{C208E25E-5D07-4160-A439-F1F88F713E1C}" type="presParOf" srcId="{0867D310-6F11-4FA9-93C1-FFE42332291C}" destId="{8FD383F9-939A-4395-86B2-9F834A39E525}" srcOrd="0" destOrd="0" presId="urn:microsoft.com/office/officeart/2005/8/layout/hierarchy6"/>
    <dgm:cxn modelId="{A32A0D42-0EF3-4320-8B2B-7D31CF47BB3D}" type="presParOf" srcId="{0867D310-6F11-4FA9-93C1-FFE42332291C}" destId="{0D65E978-E157-4310-97DE-09C84AE379B9}" srcOrd="1" destOrd="0" presId="urn:microsoft.com/office/officeart/2005/8/layout/hierarchy6"/>
    <dgm:cxn modelId="{9BC5CB61-A12B-48BA-B0B7-C421CAABFCC8}" type="presParOf" srcId="{29AF83CA-E975-452D-B184-76B33D67749B}" destId="{C472AF61-3F9B-4E9F-AE37-2B8128E0C7FB}" srcOrd="2" destOrd="0" presId="urn:microsoft.com/office/officeart/2005/8/layout/hierarchy6"/>
    <dgm:cxn modelId="{16EEAE16-FDA6-4218-8B6A-88D440EE5592}" type="presParOf" srcId="{29AF83CA-E975-452D-B184-76B33D67749B}" destId="{7A41AB50-A6F1-4599-A882-CA22414FA8A0}" srcOrd="3" destOrd="0" presId="urn:microsoft.com/office/officeart/2005/8/layout/hierarchy6"/>
    <dgm:cxn modelId="{8DADE96A-64D0-446C-B2DC-BE4C9540F4B1}" type="presParOf" srcId="{7A41AB50-A6F1-4599-A882-CA22414FA8A0}" destId="{5EAD37B4-B5ED-437A-96E7-7DD295595E01}" srcOrd="0" destOrd="0" presId="urn:microsoft.com/office/officeart/2005/8/layout/hierarchy6"/>
    <dgm:cxn modelId="{252644AD-5CC3-4D2D-9744-6728D05C0852}" type="presParOf" srcId="{7A41AB50-A6F1-4599-A882-CA22414FA8A0}" destId="{49E6E9B1-F88A-49F1-82B0-2D244C3A518D}" srcOrd="1" destOrd="0" presId="urn:microsoft.com/office/officeart/2005/8/layout/hierarchy6"/>
    <dgm:cxn modelId="{BD1C7F27-9E14-40D9-97BA-28D26928DDB7}" type="presParOf" srcId="{49E6E9B1-F88A-49F1-82B0-2D244C3A518D}" destId="{25D65B14-35F9-40A1-ADB1-C86452F555E5}" srcOrd="0" destOrd="0" presId="urn:microsoft.com/office/officeart/2005/8/layout/hierarchy6"/>
    <dgm:cxn modelId="{D77679EB-0F29-48F1-906F-3695DE332897}" type="presParOf" srcId="{49E6E9B1-F88A-49F1-82B0-2D244C3A518D}" destId="{36D8C703-EA54-4A3B-974A-889472B52221}" srcOrd="1" destOrd="0" presId="urn:microsoft.com/office/officeart/2005/8/layout/hierarchy6"/>
    <dgm:cxn modelId="{E273A017-9D85-4218-8645-B48EFA9D5846}" type="presParOf" srcId="{36D8C703-EA54-4A3B-974A-889472B52221}" destId="{35F1AC73-B2A7-44EB-823F-19D63ECC940E}" srcOrd="0" destOrd="0" presId="urn:microsoft.com/office/officeart/2005/8/layout/hierarchy6"/>
    <dgm:cxn modelId="{1095B557-0266-411D-A816-71EC75D9CAAD}" type="presParOf" srcId="{36D8C703-EA54-4A3B-974A-889472B52221}" destId="{B24E1C9B-A4A4-43FB-9D76-930214C138B3}" srcOrd="1" destOrd="0" presId="urn:microsoft.com/office/officeart/2005/8/layout/hierarchy6"/>
    <dgm:cxn modelId="{266182DA-C184-45C8-8B10-EBBD08742A6C}" type="presParOf" srcId="{05319AED-C436-49E8-A46B-E653A262EED0}" destId="{8D9F82D7-23CF-4EA9-A9ED-83BA054E933E}" srcOrd="1" destOrd="0" presId="urn:microsoft.com/office/officeart/2005/8/layout/hierarchy6"/>
    <dgm:cxn modelId="{63F3333E-F635-4808-9C1A-FF4E8AF6F6E0}" type="presParOf" srcId="{8D9F82D7-23CF-4EA9-A9ED-83BA054E933E}" destId="{0418D088-FF2B-4AA6-B297-DAEE2545D9A3}" srcOrd="0" destOrd="0" presId="urn:microsoft.com/office/officeart/2005/8/layout/hierarchy6"/>
    <dgm:cxn modelId="{2FF05333-7299-4557-86DA-24CDC84A20F4}" type="presParOf" srcId="{0418D088-FF2B-4AA6-B297-DAEE2545D9A3}" destId="{99EF1B2F-D8DF-4C8F-B4E8-5308399E5A2D}" srcOrd="0" destOrd="0" presId="urn:microsoft.com/office/officeart/2005/8/layout/hierarchy6"/>
    <dgm:cxn modelId="{93F41CBE-F22A-4D70-B793-57CDFC3454AD}" type="presParOf" srcId="{0418D088-FF2B-4AA6-B297-DAEE2545D9A3}" destId="{75FC4E50-149F-4404-A499-723AC05C38C7}" srcOrd="1" destOrd="0" presId="urn:microsoft.com/office/officeart/2005/8/layout/hierarchy6"/>
    <dgm:cxn modelId="{5526AB62-C8E7-4C1B-AFFF-E9C992003E17}" type="presParOf" srcId="{8D9F82D7-23CF-4EA9-A9ED-83BA054E933E}" destId="{5167DFDC-7539-499A-9B97-30C60BEA381F}" srcOrd="1" destOrd="0" presId="urn:microsoft.com/office/officeart/2005/8/layout/hierarchy6"/>
    <dgm:cxn modelId="{730A36DC-7290-432B-A0B2-30846EF5B153}" type="presParOf" srcId="{5167DFDC-7539-499A-9B97-30C60BEA381F}" destId="{6D67609B-BBFC-4903-8F60-E7C1908F23CC}" srcOrd="0" destOrd="0" presId="urn:microsoft.com/office/officeart/2005/8/layout/hierarchy6"/>
    <dgm:cxn modelId="{BDCC1346-9867-4E28-B4ED-D4E4CB7F2773}" type="presParOf" srcId="{8D9F82D7-23CF-4EA9-A9ED-83BA054E933E}" destId="{E3598A17-343C-49CE-AE4F-B8F8D2136402}" srcOrd="2" destOrd="0" presId="urn:microsoft.com/office/officeart/2005/8/layout/hierarchy6"/>
    <dgm:cxn modelId="{86F7AC82-A3E8-41E5-96A1-E4E4B63A07C3}" type="presParOf" srcId="{E3598A17-343C-49CE-AE4F-B8F8D2136402}" destId="{D171C28A-514C-44CB-887F-C80BEC863522}" srcOrd="0" destOrd="0" presId="urn:microsoft.com/office/officeart/2005/8/layout/hierarchy6"/>
    <dgm:cxn modelId="{71C7CFB3-6DB1-43BF-9F73-303A1B497770}" type="presParOf" srcId="{E3598A17-343C-49CE-AE4F-B8F8D2136402}" destId="{F99D89B8-DFE9-49CE-86F6-E3D9265FD433}" srcOrd="1" destOrd="0" presId="urn:microsoft.com/office/officeart/2005/8/layout/hierarchy6"/>
    <dgm:cxn modelId="{B2A001AA-7323-4514-8AC8-99E7B1760F48}" type="presParOf" srcId="{8D9F82D7-23CF-4EA9-A9ED-83BA054E933E}" destId="{0BA91BDE-3835-4019-98F6-FCD2EE3A3A06}" srcOrd="3" destOrd="0" presId="urn:microsoft.com/office/officeart/2005/8/layout/hierarchy6"/>
    <dgm:cxn modelId="{1AA360E7-EFCF-483D-B087-6A91A6DC4CEE}" type="presParOf" srcId="{0BA91BDE-3835-4019-98F6-FCD2EE3A3A06}" destId="{04059F48-2E42-498E-8EAC-E718F39D896B}" srcOrd="0" destOrd="0" presId="urn:microsoft.com/office/officeart/2005/8/layout/hierarchy6"/>
    <dgm:cxn modelId="{95F4B45F-248A-42B8-AE6F-6746BC0710EB}" type="presParOf" srcId="{8D9F82D7-23CF-4EA9-A9ED-83BA054E933E}" destId="{2FB5ABF4-3C8C-4E59-8F85-454D928DF4C1}" srcOrd="4" destOrd="0" presId="urn:microsoft.com/office/officeart/2005/8/layout/hierarchy6"/>
    <dgm:cxn modelId="{BF9C1D83-F88E-4B04-8040-B25D968CDFC9}" type="presParOf" srcId="{2FB5ABF4-3C8C-4E59-8F85-454D928DF4C1}" destId="{2806921C-2DDB-4C61-89BF-C57F280FFC6F}" srcOrd="0" destOrd="0" presId="urn:microsoft.com/office/officeart/2005/8/layout/hierarchy6"/>
    <dgm:cxn modelId="{1B0E6E68-9CD8-4E0B-A6F6-492726062362}" type="presParOf" srcId="{2FB5ABF4-3C8C-4E59-8F85-454D928DF4C1}" destId="{028F221C-9E3C-4A2B-B9BE-431C4FB0B38E}"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06921C-2DDB-4C61-89BF-C57F280FFC6F}">
      <dsp:nvSpPr>
        <dsp:cNvPr id="0" name=""/>
        <dsp:cNvSpPr/>
      </dsp:nvSpPr>
      <dsp:spPr>
        <a:xfrm>
          <a:off x="0" y="2887206"/>
          <a:ext cx="6591300" cy="1312442"/>
        </a:xfrm>
        <a:prstGeom prst="roundRect">
          <a:avLst>
            <a:gd name="adj" fmla="val 10000"/>
          </a:avLst>
        </a:prstGeom>
        <a:solidFill>
          <a:srgbClr val="D2E5B1"/>
        </a:solidFill>
        <a:ln>
          <a:noFill/>
        </a:ln>
        <a:effectLst/>
      </dsp:spPr>
      <dsp:style>
        <a:lnRef idx="0">
          <a:scrgbClr r="0" g="0" b="0"/>
        </a:lnRef>
        <a:fillRef idx="1">
          <a:scrgbClr r="0" g="0" b="0"/>
        </a:fillRef>
        <a:effectRef idx="0">
          <a:scrgbClr r="0" g="0" b="0"/>
        </a:effectRef>
        <a:fontRef idx="minor"/>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bg-BG" sz="1800" kern="1200">
              <a:solidFill>
                <a:schemeClr val="dk1">
                  <a:hueOff val="0"/>
                  <a:satOff val="0"/>
                  <a:lumOff val="0"/>
                </a:schemeClr>
              </a:solidFill>
              <a:latin typeface="Times New Roman" panose="02020603050405020304" pitchFamily="18" charset="0"/>
              <a:cs typeface="Times New Roman" panose="02020603050405020304" pitchFamily="18" charset="0"/>
            </a:rPr>
            <a:t>Оперативни цели</a:t>
          </a:r>
        </a:p>
      </dsp:txBody>
      <dsp:txXfrm>
        <a:off x="0" y="2887206"/>
        <a:ext cx="1977390" cy="1312442"/>
      </dsp:txXfrm>
    </dsp:sp>
    <dsp:sp modelId="{D171C28A-514C-44CB-887F-C80BEC863522}">
      <dsp:nvSpPr>
        <dsp:cNvPr id="0" name=""/>
        <dsp:cNvSpPr/>
      </dsp:nvSpPr>
      <dsp:spPr>
        <a:xfrm>
          <a:off x="0" y="1430727"/>
          <a:ext cx="6591300" cy="1290193"/>
        </a:xfrm>
        <a:prstGeom prst="roundRect">
          <a:avLst>
            <a:gd name="adj" fmla="val 10000"/>
          </a:avLst>
        </a:prstGeom>
        <a:solidFill>
          <a:srgbClr val="DCC5ED"/>
        </a:solidFill>
        <a:ln>
          <a:noFill/>
        </a:ln>
        <a:effectLst/>
      </dsp:spPr>
      <dsp:style>
        <a:lnRef idx="0">
          <a:scrgbClr r="0" g="0" b="0"/>
        </a:lnRef>
        <a:fillRef idx="1">
          <a:scrgbClr r="0" g="0" b="0"/>
        </a:fillRef>
        <a:effectRef idx="0">
          <a:scrgbClr r="0" g="0" b="0"/>
        </a:effectRef>
        <a:fontRef idx="minor"/>
      </dsp:style>
      <dsp:txBody>
        <a:bodyPr spcFirstLastPara="0" vert="horz" wrap="square" lIns="135128" tIns="135128" rIns="135128" bIns="135128" numCol="1" spcCol="1270" anchor="ctr" anchorCtr="0">
          <a:noAutofit/>
        </a:bodyPr>
        <a:lstStyle/>
        <a:p>
          <a:pPr lvl="0" algn="ctr" defTabSz="844550">
            <a:lnSpc>
              <a:spcPct val="90000"/>
            </a:lnSpc>
            <a:spcBef>
              <a:spcPct val="0"/>
            </a:spcBef>
            <a:spcAft>
              <a:spcPct val="35000"/>
            </a:spcAft>
          </a:pPr>
          <a:r>
            <a:rPr lang="bg-BG" sz="1900" kern="1200">
              <a:latin typeface="Times New Roman" panose="02020603050405020304" pitchFamily="18" charset="0"/>
              <a:cs typeface="Times New Roman" panose="02020603050405020304" pitchFamily="18" charset="0"/>
            </a:rPr>
            <a:t>Конкретни цели</a:t>
          </a:r>
        </a:p>
      </dsp:txBody>
      <dsp:txXfrm>
        <a:off x="0" y="1430727"/>
        <a:ext cx="1977390" cy="1290193"/>
      </dsp:txXfrm>
    </dsp:sp>
    <dsp:sp modelId="{99EF1B2F-D8DF-4C8F-B4E8-5308399E5A2D}">
      <dsp:nvSpPr>
        <dsp:cNvPr id="0" name=""/>
        <dsp:cNvSpPr/>
      </dsp:nvSpPr>
      <dsp:spPr>
        <a:xfrm>
          <a:off x="0" y="87161"/>
          <a:ext cx="6591300" cy="1135632"/>
        </a:xfrm>
        <a:prstGeom prst="roundRect">
          <a:avLst>
            <a:gd name="adj" fmla="val 10000"/>
          </a:avLst>
        </a:prstGeom>
        <a:solidFill>
          <a:srgbClr val="B9E7F9"/>
        </a:solidFill>
        <a:ln>
          <a:noFill/>
        </a:ln>
        <a:effectLst/>
      </dsp:spPr>
      <dsp:style>
        <a:lnRef idx="0">
          <a:scrgbClr r="0" g="0" b="0"/>
        </a:lnRef>
        <a:fillRef idx="1">
          <a:scrgbClr r="0" g="0" b="0"/>
        </a:fillRef>
        <a:effectRef idx="0">
          <a:scrgbClr r="0" g="0" b="0"/>
        </a:effectRef>
        <a:fontRef idx="minor"/>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bg-BG" sz="2000" kern="1200">
              <a:latin typeface="Times New Roman" panose="02020603050405020304" pitchFamily="18" charset="0"/>
              <a:cs typeface="Times New Roman" panose="02020603050405020304" pitchFamily="18" charset="0"/>
            </a:rPr>
            <a:t>Обща цел</a:t>
          </a:r>
        </a:p>
      </dsp:txBody>
      <dsp:txXfrm>
        <a:off x="0" y="87161"/>
        <a:ext cx="1977390" cy="1135632"/>
      </dsp:txXfrm>
    </dsp:sp>
    <dsp:sp modelId="{E32FDA54-2004-4660-9F9B-9EBD2BF9786A}">
      <dsp:nvSpPr>
        <dsp:cNvPr id="0" name=""/>
        <dsp:cNvSpPr/>
      </dsp:nvSpPr>
      <dsp:spPr>
        <a:xfrm>
          <a:off x="2464996" y="50200"/>
          <a:ext cx="3149693" cy="1206378"/>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22275">
            <a:lnSpc>
              <a:spcPct val="90000"/>
            </a:lnSpc>
            <a:spcBef>
              <a:spcPct val="0"/>
            </a:spcBef>
            <a:spcAft>
              <a:spcPct val="35000"/>
            </a:spcAft>
          </a:pPr>
          <a:r>
            <a:rPr lang="bg-BG" sz="950" b="1" kern="1200">
              <a:latin typeface="Times New Roman" panose="02020603050405020304" pitchFamily="18" charset="0"/>
              <a:cs typeface="Times New Roman" panose="02020603050405020304" pitchFamily="18" charset="0"/>
            </a:rPr>
            <a:t>ЦЯЛОСТНО ПОДОБРЯВАНЕ НА ФУНКЦИОНИРАНЕТО НА ВЕРИГАТА НА ДОСТАВКИ НА ЗЕМЕДЕЛСКИ ПРОДУКТИ И ХРАНИ, ВОДЕЩО ДО ПОВИШАВАНЕ НА НЕЙНАТА ЕФЕКТИВНОСТ И ЕФИКАСНОСТ И ДО НАМАЛЯВАНЕ НА ДИСБАЛАНСА В ОТНОШЕНИЯТА МЕЖДУ РАЗЛИЧНИТЕ УЧАСТНИЦИ В НЕЯ, В ПОЛЗА НА ПОТРЕБИТЕЛИТЕ И ОБЩЕСТВОТО КАТО ЦЯЛО</a:t>
          </a:r>
          <a:endParaRPr lang="bg-BG" sz="950" b="1" kern="1200">
            <a:ln>
              <a:noFill/>
            </a:ln>
            <a:solidFill>
              <a:schemeClr val="lt1"/>
            </a:solidFill>
            <a:latin typeface="Times New Roman" panose="02020603050405020304" pitchFamily="18" charset="0"/>
            <a:cs typeface="Times New Roman" panose="02020603050405020304" pitchFamily="18" charset="0"/>
          </a:endParaRPr>
        </a:p>
      </dsp:txBody>
      <dsp:txXfrm>
        <a:off x="2500330" y="85534"/>
        <a:ext cx="3079025" cy="1135710"/>
      </dsp:txXfrm>
    </dsp:sp>
    <dsp:sp modelId="{8E25EA36-22C2-41BE-A7F7-472AA1B7542B}">
      <dsp:nvSpPr>
        <dsp:cNvPr id="0" name=""/>
        <dsp:cNvSpPr/>
      </dsp:nvSpPr>
      <dsp:spPr>
        <a:xfrm>
          <a:off x="2872653" y="1256579"/>
          <a:ext cx="1167189" cy="211377"/>
        </a:xfrm>
        <a:custGeom>
          <a:avLst/>
          <a:gdLst/>
          <a:ahLst/>
          <a:cxnLst/>
          <a:rect l="0" t="0" r="0" b="0"/>
          <a:pathLst>
            <a:path>
              <a:moveTo>
                <a:pt x="1167189" y="0"/>
              </a:moveTo>
              <a:lnTo>
                <a:pt x="1167189" y="105688"/>
              </a:lnTo>
              <a:lnTo>
                <a:pt x="0" y="105688"/>
              </a:lnTo>
              <a:lnTo>
                <a:pt x="0" y="21137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6D252E-74A1-428E-9553-DBF5BAF866DD}">
      <dsp:nvSpPr>
        <dsp:cNvPr id="0" name=""/>
        <dsp:cNvSpPr/>
      </dsp:nvSpPr>
      <dsp:spPr>
        <a:xfrm>
          <a:off x="1967874" y="1467956"/>
          <a:ext cx="1809558" cy="1303177"/>
        </a:xfrm>
        <a:prstGeom prst="roundRect">
          <a:avLst>
            <a:gd name="adj" fmla="val 10000"/>
          </a:avLst>
        </a:prstGeom>
        <a:solidFill>
          <a:srgbClr val="BD92D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bg-BG" sz="800" b="1" kern="1200">
              <a:latin typeface="Times New Roman" panose="02020603050405020304" pitchFamily="18" charset="0"/>
              <a:cs typeface="Times New Roman" panose="02020603050405020304" pitchFamily="18" charset="0"/>
            </a:rPr>
            <a:t>УСТАНОВЯВАНЕ НА ЯСНИ, ЧЕСТНИ И ВИДИМИ ЗА ЦЯЛОТО ОБЩЕСТВО ПРАВИЛА, ПО КОИТО ВЪЗНИКВАТ И СЕ РАЗВИВАТ ОТНОШЕНИЯТА МЕЖДУ УЧАСТНИЦИТЕ ПО </a:t>
          </a:r>
          <a:r>
            <a:rPr lang="ru-RU" sz="800" b="1" kern="1200">
              <a:latin typeface="Times New Roman" panose="02020603050405020304" pitchFamily="18" charset="0"/>
              <a:cs typeface="Times New Roman" panose="02020603050405020304" pitchFamily="18" charset="0"/>
            </a:rPr>
            <a:t>ВЕРИГАТА НА ДОСТАВКИ НА ЗЕМЕДЕЛСКИ ПРОДУКТИ И ХРАНИ</a:t>
          </a:r>
          <a:endParaRPr lang="bg-BG" sz="800" b="1" kern="1200">
            <a:latin typeface="Times New Roman" panose="02020603050405020304" pitchFamily="18" charset="0"/>
            <a:cs typeface="Times New Roman" panose="02020603050405020304" pitchFamily="18" charset="0"/>
          </a:endParaRPr>
        </a:p>
      </dsp:txBody>
      <dsp:txXfrm>
        <a:off x="2006043" y="1506125"/>
        <a:ext cx="1733220" cy="1226839"/>
      </dsp:txXfrm>
    </dsp:sp>
    <dsp:sp modelId="{EE04F390-0B70-4736-A3E0-C57B4F0A1642}">
      <dsp:nvSpPr>
        <dsp:cNvPr id="0" name=""/>
        <dsp:cNvSpPr/>
      </dsp:nvSpPr>
      <dsp:spPr>
        <a:xfrm>
          <a:off x="2872653" y="2771134"/>
          <a:ext cx="182849" cy="186587"/>
        </a:xfrm>
        <a:custGeom>
          <a:avLst/>
          <a:gdLst/>
          <a:ahLst/>
          <a:cxnLst/>
          <a:rect l="0" t="0" r="0" b="0"/>
          <a:pathLst>
            <a:path>
              <a:moveTo>
                <a:pt x="0" y="0"/>
              </a:moveTo>
              <a:lnTo>
                <a:pt x="0" y="93293"/>
              </a:lnTo>
              <a:lnTo>
                <a:pt x="182849" y="93293"/>
              </a:lnTo>
              <a:lnTo>
                <a:pt x="182849" y="1865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D383F9-939A-4395-86B2-9F834A39E525}">
      <dsp:nvSpPr>
        <dsp:cNvPr id="0" name=""/>
        <dsp:cNvSpPr/>
      </dsp:nvSpPr>
      <dsp:spPr>
        <a:xfrm>
          <a:off x="2024242" y="2957722"/>
          <a:ext cx="2062521" cy="1240598"/>
        </a:xfrm>
        <a:prstGeom prst="roundRect">
          <a:avLst>
            <a:gd name="adj" fmla="val 10000"/>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bg-BG" sz="900" b="1" kern="1200">
              <a:latin typeface="Times New Roman" panose="02020603050405020304" pitchFamily="18" charset="0"/>
              <a:cs typeface="Times New Roman" panose="02020603050405020304" pitchFamily="18" charset="0"/>
            </a:rPr>
            <a:t>ИЗБОР НА ВАРИАНТ НА ДЕЙСТВИЕ, ВКЛЮЧВАЩ ВЪВЕЖДАНЕТО НА МЕРКИ НА НАЦИОНАЛНО НИВО, ВОДЕЩИ ДО ПЪЛНОЦЕННО РАЗРЕШАВАНЕ НА ДЕФИНИРАНИТЕ ПРОБЛЕМИ, ЧРЕЗ ОТСТРАНЯВАНЕ НА ДВИГАТЕЛИТЕ, СТОЯЩИ В ТЯХНАТА ОСНОВА </a:t>
          </a:r>
        </a:p>
      </dsp:txBody>
      <dsp:txXfrm>
        <a:off x="2060578" y="2994058"/>
        <a:ext cx="1989849" cy="1167926"/>
      </dsp:txXfrm>
    </dsp:sp>
    <dsp:sp modelId="{C472AF61-3F9B-4E9F-AE37-2B8128E0C7FB}">
      <dsp:nvSpPr>
        <dsp:cNvPr id="0" name=""/>
        <dsp:cNvSpPr/>
      </dsp:nvSpPr>
      <dsp:spPr>
        <a:xfrm>
          <a:off x="4039843" y="1256579"/>
          <a:ext cx="1149821" cy="222827"/>
        </a:xfrm>
        <a:custGeom>
          <a:avLst/>
          <a:gdLst/>
          <a:ahLst/>
          <a:cxnLst/>
          <a:rect l="0" t="0" r="0" b="0"/>
          <a:pathLst>
            <a:path>
              <a:moveTo>
                <a:pt x="0" y="0"/>
              </a:moveTo>
              <a:lnTo>
                <a:pt x="0" y="111413"/>
              </a:lnTo>
              <a:lnTo>
                <a:pt x="1149821" y="111413"/>
              </a:lnTo>
              <a:lnTo>
                <a:pt x="1149821" y="2228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AD37B4-B5ED-437A-96E7-7DD295595E01}">
      <dsp:nvSpPr>
        <dsp:cNvPr id="0" name=""/>
        <dsp:cNvSpPr/>
      </dsp:nvSpPr>
      <dsp:spPr>
        <a:xfrm>
          <a:off x="4005308" y="1479407"/>
          <a:ext cx="2368712" cy="1223796"/>
        </a:xfrm>
        <a:prstGeom prst="roundRect">
          <a:avLst>
            <a:gd name="adj" fmla="val 10000"/>
          </a:avLst>
        </a:prstGeom>
        <a:solidFill>
          <a:srgbClr val="BD92D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1" kern="1200">
              <a:latin typeface="Times New Roman" panose="02020603050405020304" pitchFamily="18" charset="0"/>
              <a:cs typeface="Times New Roman" panose="02020603050405020304" pitchFamily="18" charset="0"/>
            </a:rPr>
            <a:t>СЪЗДАВАНЕ НА </a:t>
          </a:r>
          <a:r>
            <a:rPr lang="bg-BG" sz="800" b="1" kern="1200">
              <a:latin typeface="Times New Roman" panose="02020603050405020304" pitchFamily="18" charset="0"/>
              <a:cs typeface="Times New Roman" panose="02020603050405020304" pitchFamily="18" charset="0"/>
            </a:rPr>
            <a:t>СРЕДА НА ПРОЗРАЧНОСТ В ДОГОВАРЯНЕТО, ПРОСЛЕДИМОСТ НА ФУНКЦИОНИРАНЕТО И РАВНОПОСТАВЕНОСТ В ОТНОШЕНИЯТА МЕЖДУ УЧАСТНИЦИТЕ ПО ВЕРИГАТА НА ДОСТАВКИ НА ЗЕМЕДЕЛСКИ ПРОДУКТИ И ХРАНИ, КОЕТО ВОДИ</a:t>
          </a:r>
          <a:r>
            <a:rPr lang="ru-RU" sz="800" b="1" kern="1200">
              <a:latin typeface="Times New Roman" panose="02020603050405020304" pitchFamily="18" charset="0"/>
              <a:cs typeface="Times New Roman" panose="02020603050405020304" pitchFamily="18" charset="0"/>
            </a:rPr>
            <a:t> И ДО БАЗИРАНО НА ЛОЯЛНА КОНКУРЕНЦИЯ ПРОПОРЦИОНАЛНО </a:t>
          </a:r>
          <a:r>
            <a:rPr lang="bg-BG" sz="800" b="1" kern="1200">
              <a:latin typeface="Times New Roman" panose="02020603050405020304" pitchFamily="18" charset="0"/>
              <a:cs typeface="Times New Roman" panose="02020603050405020304" pitchFamily="18" charset="0"/>
            </a:rPr>
            <a:t>РАЗПРЕДЕЛЕНИЕ НА ДОБАВЕНАТА СТОЙНОСТ ОТ НЕЯ</a:t>
          </a:r>
        </a:p>
      </dsp:txBody>
      <dsp:txXfrm>
        <a:off x="4041152" y="1515251"/>
        <a:ext cx="2297024" cy="1152108"/>
      </dsp:txXfrm>
    </dsp:sp>
    <dsp:sp modelId="{25D65B14-35F9-40A1-ADB1-C86452F555E5}">
      <dsp:nvSpPr>
        <dsp:cNvPr id="0" name=""/>
        <dsp:cNvSpPr/>
      </dsp:nvSpPr>
      <dsp:spPr>
        <a:xfrm>
          <a:off x="5189664" y="2703203"/>
          <a:ext cx="136389" cy="237923"/>
        </a:xfrm>
        <a:custGeom>
          <a:avLst/>
          <a:gdLst/>
          <a:ahLst/>
          <a:cxnLst/>
          <a:rect l="0" t="0" r="0" b="0"/>
          <a:pathLst>
            <a:path>
              <a:moveTo>
                <a:pt x="0" y="0"/>
              </a:moveTo>
              <a:lnTo>
                <a:pt x="0" y="118961"/>
              </a:lnTo>
              <a:lnTo>
                <a:pt x="136389" y="118961"/>
              </a:lnTo>
              <a:lnTo>
                <a:pt x="136389" y="2379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F1AC73-B2A7-44EB-823F-19D63ECC940E}">
      <dsp:nvSpPr>
        <dsp:cNvPr id="0" name=""/>
        <dsp:cNvSpPr/>
      </dsp:nvSpPr>
      <dsp:spPr>
        <a:xfrm>
          <a:off x="4244675" y="2941127"/>
          <a:ext cx="2162757" cy="1237172"/>
        </a:xfrm>
        <a:prstGeom prst="roundRect">
          <a:avLst>
            <a:gd name="adj" fmla="val 10000"/>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bg-BG" sz="900" b="1" kern="1200">
              <a:latin typeface="Times New Roman" panose="02020603050405020304" pitchFamily="18" charset="0"/>
              <a:cs typeface="Times New Roman" panose="02020603050405020304" pitchFamily="18" charset="0"/>
            </a:rPr>
            <a:t>ИЗБОР НА ВАРИАНТ НА ДЕЙСТВИЕ, ВКЛЮЧВАЩ ВЪВЕЖДАНЕТО НА МЕРКИ НА НАЦИОНАЛНО НИВО, ВОДЕЩИ ДО ПРЕКЪСВАНЕ НА ПРИЧИННО-СЛЕДСТВЕНАТА ВРЪЗКА МЕЖДУ ДВИГАТЕЛИТЕ, ПРОБЛЕМИТЕ И ТЕХНИТЕ ПРОЯВЛЕНИЯ</a:t>
          </a:r>
        </a:p>
      </dsp:txBody>
      <dsp:txXfrm>
        <a:off x="4280911" y="2977363"/>
        <a:ext cx="2090285" cy="11647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Период на изготвяне: месец, година</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7A423F-9B8C-402F-A876-628599F3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153</Pages>
  <Words>57499</Words>
  <Characters>327748</Characters>
  <Application>Microsoft Office Word</Application>
  <DocSecurity>0</DocSecurity>
  <Lines>2731</Lines>
  <Paragraphs>768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Доклад с цялостна предварителна оценка на въздействието на проект на Закон за веригата на доставки на земеделски продукти и храни</vt:lpstr>
      <vt:lpstr>Доклад с цялостна предварителна оценка на въздействието на проект на Закон за веригата на доставки на земеделски продукти и храни</vt:lpstr>
    </vt:vector>
  </TitlesOfParts>
  <Company>Период на извършване:</Company>
  <LinksUpToDate>false</LinksUpToDate>
  <CharactersWithSpaces>384479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с цялостна предварителна оценка на въздействието на проект на Закон за веригата на доставки на земеделски продукти и храни</dc:title>
  <dc:subject>Наименование на проекта на акт</dc:subject>
  <dc:creator>Извършена от:</dc:creator>
  <cp:lastModifiedBy>Evstatiy Evstatiev</cp:lastModifiedBy>
  <cp:revision>4</cp:revision>
  <cp:lastPrinted>2025-05-09T11:11:00Z</cp:lastPrinted>
  <dcterms:created xsi:type="dcterms:W3CDTF">2025-05-21T14:17:00Z</dcterms:created>
  <dcterms:modified xsi:type="dcterms:W3CDTF">2025-05-22T05:40:00Z</dcterms:modified>
</cp:coreProperties>
</file>