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B0A01" w14:textId="77777777" w:rsidR="004F2FD9" w:rsidRPr="00263B62" w:rsidRDefault="0060798F" w:rsidP="00480973">
      <w:pPr>
        <w:pStyle w:val="Header"/>
        <w:jc w:val="center"/>
        <w:rPr>
          <w:rFonts w:ascii="Verdana" w:hAnsi="Verdana"/>
          <w:sz w:val="16"/>
          <w:szCs w:val="16"/>
          <w:lang w:val="bg-BG"/>
        </w:rPr>
      </w:pPr>
      <w:r w:rsidRPr="00263B62">
        <w:rPr>
          <w:noProof/>
          <w:lang w:val="en-US" w:eastAsia="en-US"/>
        </w:rPr>
        <w:drawing>
          <wp:anchor distT="0" distB="0" distL="114300" distR="114300" simplePos="0" relativeHeight="251663872" behindDoc="1" locked="0" layoutInCell="1" allowOverlap="1" wp14:anchorId="4D4D7500" wp14:editId="06F3D182">
            <wp:simplePos x="0" y="0"/>
            <wp:positionH relativeFrom="column">
              <wp:posOffset>2326640</wp:posOffset>
            </wp:positionH>
            <wp:positionV relativeFrom="paragraph">
              <wp:posOffset>-185090</wp:posOffset>
            </wp:positionV>
            <wp:extent cx="1188000" cy="118800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B7878" w14:textId="77777777" w:rsidR="004F2FD9" w:rsidRPr="000647D1" w:rsidRDefault="004F2FD9" w:rsidP="000647D1">
      <w:pPr>
        <w:pStyle w:val="Footer"/>
        <w:tabs>
          <w:tab w:val="left" w:pos="7230"/>
          <w:tab w:val="left" w:pos="7655"/>
        </w:tabs>
        <w:spacing w:line="360" w:lineRule="auto"/>
        <w:jc w:val="center"/>
        <w:rPr>
          <w:rFonts w:ascii="Platinum Bg" w:hAnsi="Platinum Bg" w:cs="Platinum Bg"/>
          <w:spacing w:val="30"/>
          <w:lang w:val="bg-BG"/>
        </w:rPr>
      </w:pPr>
    </w:p>
    <w:p w14:paraId="71A95E98" w14:textId="77777777" w:rsidR="004F2FD9" w:rsidRPr="000647D1" w:rsidRDefault="004F2FD9" w:rsidP="000647D1">
      <w:pPr>
        <w:spacing w:line="360" w:lineRule="auto"/>
        <w:jc w:val="center"/>
        <w:rPr>
          <w:rFonts w:ascii="Platinum Bg" w:hAnsi="Platinum Bg" w:cs="Platinum Bg"/>
          <w:spacing w:val="30"/>
          <w:sz w:val="20"/>
          <w:szCs w:val="20"/>
        </w:rPr>
      </w:pPr>
    </w:p>
    <w:p w14:paraId="099EE69B" w14:textId="5EA3BFE9" w:rsidR="004F2FD9" w:rsidRDefault="004F2FD9" w:rsidP="000647D1">
      <w:pPr>
        <w:spacing w:line="360" w:lineRule="auto"/>
        <w:jc w:val="center"/>
        <w:rPr>
          <w:rFonts w:ascii="Platinum Bg" w:hAnsi="Platinum Bg" w:cs="Platinum Bg"/>
          <w:spacing w:val="30"/>
          <w:sz w:val="20"/>
          <w:szCs w:val="20"/>
        </w:rPr>
      </w:pPr>
    </w:p>
    <w:p w14:paraId="4B063233" w14:textId="77777777" w:rsidR="000647D1" w:rsidRPr="000647D1" w:rsidRDefault="000647D1" w:rsidP="000647D1">
      <w:pPr>
        <w:spacing w:line="360" w:lineRule="auto"/>
        <w:jc w:val="center"/>
        <w:rPr>
          <w:rFonts w:ascii="Platinum Bg" w:hAnsi="Platinum Bg" w:cs="Platinum Bg"/>
          <w:spacing w:val="30"/>
          <w:sz w:val="20"/>
          <w:szCs w:val="20"/>
        </w:rPr>
      </w:pPr>
    </w:p>
    <w:p w14:paraId="45720E9F" w14:textId="77777777" w:rsidR="004F2FD9" w:rsidRPr="00263B62" w:rsidRDefault="0060798F" w:rsidP="000647D1">
      <w:pPr>
        <w:pStyle w:val="Heading1"/>
        <w:spacing w:before="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263B62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14:paraId="43A7BC42" w14:textId="4046C957" w:rsidR="004F2FD9" w:rsidRPr="00263B62" w:rsidRDefault="00FF7EBB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>
        <w:rPr>
          <w:rFonts w:ascii="Platinum Bg" w:hAnsi="Platinum Bg" w:cs="Platinum Bg"/>
          <w:spacing w:val="30"/>
          <w:sz w:val="32"/>
          <w:szCs w:val="32"/>
        </w:rPr>
        <w:t>М</w:t>
      </w:r>
      <w:r w:rsidR="0060798F" w:rsidRPr="00263B62">
        <w:rPr>
          <w:rFonts w:ascii="Platinum Bg" w:hAnsi="Platinum Bg" w:cs="Platinum Bg"/>
          <w:spacing w:val="30"/>
          <w:sz w:val="32"/>
          <w:szCs w:val="32"/>
        </w:rPr>
        <w:t>инистър на земеделието</w:t>
      </w:r>
      <w:r w:rsidR="00C91575" w:rsidRPr="00263B62">
        <w:rPr>
          <w:rFonts w:ascii="Platinum Bg" w:hAnsi="Platinum Bg" w:cs="Platinum Bg"/>
          <w:spacing w:val="30"/>
          <w:sz w:val="32"/>
          <w:szCs w:val="32"/>
        </w:rPr>
        <w:t xml:space="preserve"> и </w:t>
      </w:r>
      <w:r w:rsidR="0060798F" w:rsidRPr="00263B62">
        <w:rPr>
          <w:rFonts w:ascii="Platinum Bg" w:hAnsi="Platinum Bg" w:cs="Platinum Bg"/>
          <w:spacing w:val="30"/>
          <w:sz w:val="32"/>
          <w:szCs w:val="32"/>
        </w:rPr>
        <w:t>храните</w:t>
      </w:r>
    </w:p>
    <w:p w14:paraId="14EE094B" w14:textId="73437492" w:rsidR="004F2FD9" w:rsidRDefault="004F2FD9" w:rsidP="000647D1">
      <w:pPr>
        <w:pStyle w:val="Header"/>
        <w:spacing w:line="360" w:lineRule="auto"/>
        <w:rPr>
          <w:rFonts w:ascii="Verdana" w:hAnsi="Verdana" w:cs="Verdana"/>
          <w:color w:val="000000" w:themeColor="text1"/>
          <w:lang w:val="bg-BG"/>
        </w:rPr>
      </w:pPr>
    </w:p>
    <w:p w14:paraId="7DDBFFD8" w14:textId="77777777" w:rsidR="00072321" w:rsidRPr="000647D1" w:rsidRDefault="00072321" w:rsidP="000647D1">
      <w:pPr>
        <w:pStyle w:val="Header"/>
        <w:spacing w:line="360" w:lineRule="auto"/>
        <w:rPr>
          <w:rFonts w:ascii="Verdana" w:hAnsi="Verdana" w:cs="Verdana"/>
          <w:color w:val="000000" w:themeColor="text1"/>
          <w:lang w:val="bg-BG"/>
        </w:rPr>
      </w:pPr>
    </w:p>
    <w:p w14:paraId="1AFC2348" w14:textId="77777777" w:rsidR="00FF7EBB" w:rsidRPr="009E7C62" w:rsidRDefault="00FF7EBB" w:rsidP="00FF7EBB">
      <w:pPr>
        <w:autoSpaceDN/>
        <w:adjustRightInd/>
        <w:spacing w:line="360" w:lineRule="auto"/>
        <w:rPr>
          <w:rFonts w:eastAsia="Calibri" w:cs="Times New Roman"/>
          <w:b/>
          <w:bCs/>
          <w:sz w:val="20"/>
          <w:szCs w:val="20"/>
          <w:lang w:val="af-ZA"/>
        </w:rPr>
      </w:pPr>
      <w:r w:rsidRPr="009E7C62">
        <w:rPr>
          <w:rFonts w:eastAsia="Calibri" w:cs="Times New Roman"/>
          <w:b/>
          <w:bCs/>
          <w:sz w:val="20"/>
          <w:szCs w:val="20"/>
          <w:lang w:val="af-ZA"/>
        </w:rPr>
        <w:t>ДО</w:t>
      </w:r>
    </w:p>
    <w:p w14:paraId="55E23D53" w14:textId="77777777" w:rsidR="00FF7EBB" w:rsidRPr="009E7C62" w:rsidRDefault="00FF7EBB" w:rsidP="00FF7EBB">
      <w:pPr>
        <w:autoSpaceDN/>
        <w:adjustRightInd/>
        <w:spacing w:line="360" w:lineRule="auto"/>
        <w:rPr>
          <w:rFonts w:eastAsia="Calibri" w:cs="Times New Roman"/>
          <w:b/>
          <w:bCs/>
          <w:sz w:val="20"/>
          <w:szCs w:val="20"/>
          <w:lang w:val="af-ZA"/>
        </w:rPr>
      </w:pPr>
      <w:r w:rsidRPr="009E7C62">
        <w:rPr>
          <w:rFonts w:eastAsia="Calibri" w:cs="Times New Roman"/>
          <w:b/>
          <w:bCs/>
          <w:sz w:val="20"/>
          <w:szCs w:val="20"/>
          <w:lang w:val="af-ZA"/>
        </w:rPr>
        <w:t>МИНИСТЕРСКИЯ СЪВЕТ</w:t>
      </w:r>
    </w:p>
    <w:p w14:paraId="63576D85" w14:textId="77777777" w:rsidR="00FF7EBB" w:rsidRPr="009E7C62" w:rsidRDefault="00FF7EBB" w:rsidP="00FF7EBB">
      <w:pPr>
        <w:autoSpaceDN/>
        <w:adjustRightInd/>
        <w:spacing w:line="360" w:lineRule="auto"/>
        <w:rPr>
          <w:rFonts w:eastAsia="Calibri" w:cs="Times New Roman"/>
          <w:b/>
          <w:bCs/>
          <w:sz w:val="20"/>
          <w:szCs w:val="20"/>
        </w:rPr>
      </w:pPr>
      <w:r w:rsidRPr="009E7C62">
        <w:rPr>
          <w:rFonts w:eastAsia="Calibri" w:cs="Times New Roman"/>
          <w:b/>
          <w:bCs/>
          <w:sz w:val="20"/>
          <w:szCs w:val="20"/>
          <w:lang w:val="af-ZA"/>
        </w:rPr>
        <w:t>НА РЕПУБЛИКА БЪЛГАРИЯ</w:t>
      </w:r>
    </w:p>
    <w:p w14:paraId="2C117563" w14:textId="77777777" w:rsidR="00FF7EBB" w:rsidRPr="009E7C62" w:rsidRDefault="00FF7EBB" w:rsidP="00FF7EBB">
      <w:pPr>
        <w:autoSpaceDN/>
        <w:adjustRightInd/>
        <w:spacing w:line="360" w:lineRule="auto"/>
        <w:rPr>
          <w:rFonts w:eastAsia="Calibri" w:cs="Times New Roman"/>
          <w:sz w:val="20"/>
          <w:szCs w:val="20"/>
        </w:rPr>
      </w:pPr>
    </w:p>
    <w:p w14:paraId="34D12A49" w14:textId="77777777" w:rsidR="00FF7EBB" w:rsidRPr="009E7C62" w:rsidRDefault="00FF7EBB" w:rsidP="00FF7EBB">
      <w:pPr>
        <w:autoSpaceDN/>
        <w:adjustRightInd/>
        <w:spacing w:line="360" w:lineRule="auto"/>
        <w:rPr>
          <w:rFonts w:eastAsia="Calibri" w:cs="Times New Roman"/>
          <w:sz w:val="20"/>
          <w:szCs w:val="20"/>
        </w:rPr>
      </w:pPr>
    </w:p>
    <w:p w14:paraId="57500BC2" w14:textId="77777777" w:rsidR="00FF7EBB" w:rsidRPr="009E7C62" w:rsidRDefault="00FF7EBB" w:rsidP="00FF7EBB">
      <w:pPr>
        <w:keepNext/>
        <w:widowControl/>
        <w:autoSpaceDE/>
        <w:autoSpaceDN/>
        <w:adjustRightInd/>
        <w:spacing w:line="360" w:lineRule="auto"/>
        <w:jc w:val="center"/>
        <w:rPr>
          <w:rFonts w:eastAsia="Calibri" w:cs="Times New Roman"/>
          <w:b/>
          <w:bCs/>
          <w:spacing w:val="70"/>
          <w:kern w:val="3"/>
          <w:lang w:val="af-ZA"/>
        </w:rPr>
      </w:pPr>
      <w:r w:rsidRPr="009E7C62">
        <w:rPr>
          <w:rFonts w:eastAsia="Calibri" w:cs="Times New Roman"/>
          <w:b/>
          <w:bCs/>
          <w:spacing w:val="70"/>
          <w:kern w:val="3"/>
          <w:lang w:val="af-ZA"/>
        </w:rPr>
        <w:t>ДОКЛАД</w:t>
      </w:r>
    </w:p>
    <w:p w14:paraId="34DFF821" w14:textId="597E2D0A" w:rsidR="00FF7EBB" w:rsidRPr="00155DCC" w:rsidRDefault="00FF7EBB" w:rsidP="00FF7EBB">
      <w:pPr>
        <w:autoSpaceDN/>
        <w:adjustRightInd/>
        <w:spacing w:line="360" w:lineRule="auto"/>
        <w:jc w:val="center"/>
        <w:rPr>
          <w:rFonts w:eastAsia="Calibri" w:cs="Times New Roman"/>
          <w:b/>
          <w:smallCaps/>
          <w:sz w:val="20"/>
          <w:szCs w:val="20"/>
        </w:rPr>
      </w:pPr>
      <w:r w:rsidRPr="00155DCC">
        <w:rPr>
          <w:rFonts w:eastAsia="Calibri" w:cs="Times New Roman"/>
          <w:b/>
          <w:smallCaps/>
          <w:sz w:val="20"/>
          <w:szCs w:val="20"/>
          <w:lang w:val="af-ZA"/>
        </w:rPr>
        <w:t xml:space="preserve">от </w:t>
      </w:r>
      <w:r w:rsidR="004C6E73" w:rsidRPr="00155DCC">
        <w:rPr>
          <w:rFonts w:eastAsia="Calibri" w:cs="Times New Roman"/>
          <w:b/>
          <w:smallCaps/>
          <w:sz w:val="20"/>
          <w:szCs w:val="20"/>
        </w:rPr>
        <w:t xml:space="preserve">д-р Георги </w:t>
      </w:r>
      <w:proofErr w:type="spellStart"/>
      <w:r w:rsidR="004C6E73" w:rsidRPr="00155DCC">
        <w:rPr>
          <w:rFonts w:eastAsia="Calibri" w:cs="Times New Roman"/>
          <w:b/>
          <w:smallCaps/>
          <w:sz w:val="20"/>
          <w:szCs w:val="20"/>
        </w:rPr>
        <w:t>Тахов</w:t>
      </w:r>
      <w:proofErr w:type="spellEnd"/>
      <w:r w:rsidRPr="00155DCC">
        <w:rPr>
          <w:rFonts w:eastAsia="Calibri" w:cs="Times New Roman"/>
          <w:b/>
          <w:smallCaps/>
          <w:sz w:val="20"/>
          <w:szCs w:val="20"/>
          <w:lang w:val="af-ZA"/>
        </w:rPr>
        <w:t xml:space="preserve"> – министър на земеделието</w:t>
      </w:r>
      <w:r w:rsidRPr="00155DCC">
        <w:rPr>
          <w:rFonts w:eastAsia="Calibri" w:cs="Times New Roman"/>
          <w:b/>
          <w:smallCaps/>
          <w:sz w:val="20"/>
          <w:szCs w:val="20"/>
        </w:rPr>
        <w:t xml:space="preserve"> и храните</w:t>
      </w:r>
    </w:p>
    <w:p w14:paraId="1C5278C7" w14:textId="65FDB725" w:rsidR="004F2FD9" w:rsidRDefault="004F2FD9" w:rsidP="000647D1">
      <w:pPr>
        <w:spacing w:line="360" w:lineRule="auto"/>
        <w:rPr>
          <w:color w:val="000000" w:themeColor="text1"/>
          <w:sz w:val="20"/>
          <w:szCs w:val="20"/>
        </w:rPr>
      </w:pPr>
    </w:p>
    <w:p w14:paraId="5167F3E9" w14:textId="77777777" w:rsidR="00072321" w:rsidRPr="000647D1" w:rsidRDefault="00072321" w:rsidP="000647D1">
      <w:pPr>
        <w:spacing w:line="360" w:lineRule="auto"/>
        <w:rPr>
          <w:color w:val="000000" w:themeColor="text1"/>
          <w:sz w:val="20"/>
          <w:szCs w:val="20"/>
        </w:rPr>
      </w:pPr>
    </w:p>
    <w:p w14:paraId="69EDF464" w14:textId="22773E7A" w:rsidR="00FA5A51" w:rsidRPr="00844978" w:rsidRDefault="0060798F" w:rsidP="00072321">
      <w:pPr>
        <w:overflowPunct w:val="0"/>
        <w:spacing w:line="360" w:lineRule="auto"/>
        <w:ind w:left="1247" w:hanging="1247"/>
        <w:jc w:val="both"/>
        <w:textAlignment w:val="baseline"/>
        <w:rPr>
          <w:rFonts w:cs="Times New Roman"/>
          <w:iCs/>
          <w:color w:val="000000"/>
          <w:sz w:val="20"/>
          <w:szCs w:val="20"/>
        </w:rPr>
      </w:pPr>
      <w:r w:rsidRPr="000647D1">
        <w:rPr>
          <w:b/>
          <w:bCs/>
          <w:color w:val="000000" w:themeColor="text1"/>
          <w:sz w:val="20"/>
          <w:szCs w:val="20"/>
        </w:rPr>
        <w:t>Относно:</w:t>
      </w:r>
      <w:r w:rsidR="007F04C8">
        <w:rPr>
          <w:color w:val="000000" w:themeColor="text1"/>
          <w:sz w:val="20"/>
          <w:szCs w:val="20"/>
        </w:rPr>
        <w:t xml:space="preserve"> </w:t>
      </w:r>
      <w:r w:rsidR="000A4661" w:rsidRPr="006807D9">
        <w:rPr>
          <w:color w:val="000000" w:themeColor="text1"/>
          <w:sz w:val="20"/>
          <w:szCs w:val="20"/>
        </w:rPr>
        <w:t>Проект на Постановление на Министерския съвет за изменение и допълнение на Наредба</w:t>
      </w:r>
      <w:r w:rsidR="00396BD6">
        <w:rPr>
          <w:color w:val="000000" w:themeColor="text1"/>
          <w:sz w:val="20"/>
          <w:szCs w:val="20"/>
        </w:rPr>
        <w:t>та</w:t>
      </w:r>
      <w:r w:rsidR="00FA5A51">
        <w:rPr>
          <w:rFonts w:cs="Times New Roman"/>
          <w:sz w:val="20"/>
          <w:szCs w:val="20"/>
          <w:lang w:val="en-US"/>
        </w:rPr>
        <w:t xml:space="preserve"> </w:t>
      </w:r>
      <w:r w:rsidR="00FA5A51" w:rsidRPr="00844978">
        <w:rPr>
          <w:rFonts w:cs="Times New Roman"/>
          <w:sz w:val="20"/>
          <w:szCs w:val="20"/>
        </w:rPr>
        <w:t xml:space="preserve">за реда за определяне на цени на земеделските земи, </w:t>
      </w:r>
      <w:r w:rsidR="00FA5A51">
        <w:rPr>
          <w:rFonts w:cs="Times New Roman"/>
          <w:iCs/>
          <w:color w:val="000000"/>
          <w:sz w:val="20"/>
          <w:szCs w:val="20"/>
        </w:rPr>
        <w:t>приета с</w:t>
      </w:r>
      <w:r w:rsidR="00FA5A51" w:rsidRPr="0087020D">
        <w:rPr>
          <w:color w:val="FF0000"/>
          <w:spacing w:val="-4"/>
          <w:sz w:val="20"/>
          <w:szCs w:val="20"/>
        </w:rPr>
        <w:t xml:space="preserve"> </w:t>
      </w:r>
      <w:r w:rsidR="00FA5A51" w:rsidRPr="00FA5A51">
        <w:rPr>
          <w:spacing w:val="-4"/>
          <w:sz w:val="20"/>
          <w:szCs w:val="20"/>
        </w:rPr>
        <w:t xml:space="preserve">Постановление № </w:t>
      </w:r>
      <w:r w:rsidR="00FA5A51" w:rsidRPr="00FA5A51">
        <w:rPr>
          <w:spacing w:val="-4"/>
          <w:sz w:val="20"/>
          <w:szCs w:val="20"/>
          <w:lang w:val="en-US"/>
        </w:rPr>
        <w:t>118</w:t>
      </w:r>
      <w:r w:rsidR="00FA5A51" w:rsidRPr="00FA5A51">
        <w:rPr>
          <w:spacing w:val="-4"/>
          <w:sz w:val="20"/>
          <w:szCs w:val="20"/>
        </w:rPr>
        <w:t xml:space="preserve"> на Министерския</w:t>
      </w:r>
      <w:r w:rsidR="00FA5A51" w:rsidRPr="00FA5A51">
        <w:rPr>
          <w:sz w:val="20"/>
          <w:szCs w:val="20"/>
        </w:rPr>
        <w:t xml:space="preserve"> съвет от </w:t>
      </w:r>
      <w:r w:rsidR="00FA5A51" w:rsidRPr="00FA5A51">
        <w:rPr>
          <w:sz w:val="20"/>
          <w:szCs w:val="20"/>
          <w:lang w:val="en-US"/>
        </w:rPr>
        <w:t>1998</w:t>
      </w:r>
      <w:r w:rsidR="00FA5A51" w:rsidRPr="00FA5A51">
        <w:rPr>
          <w:sz w:val="20"/>
          <w:szCs w:val="20"/>
        </w:rPr>
        <w:t xml:space="preserve"> г.</w:t>
      </w:r>
    </w:p>
    <w:p w14:paraId="68C59404" w14:textId="208EB9B9" w:rsidR="00FA5A51" w:rsidRDefault="00FA5A51" w:rsidP="00FA5A51">
      <w:pPr>
        <w:spacing w:line="360" w:lineRule="auto"/>
        <w:jc w:val="both"/>
        <w:rPr>
          <w:strike/>
          <w:spacing w:val="-2"/>
          <w:sz w:val="20"/>
          <w:szCs w:val="20"/>
        </w:rPr>
      </w:pPr>
    </w:p>
    <w:p w14:paraId="1E77B671" w14:textId="77777777" w:rsidR="001E280A" w:rsidRDefault="001E280A" w:rsidP="00FA5A51">
      <w:pPr>
        <w:spacing w:line="360" w:lineRule="auto"/>
        <w:jc w:val="both"/>
        <w:rPr>
          <w:strike/>
          <w:spacing w:val="-2"/>
          <w:sz w:val="20"/>
          <w:szCs w:val="20"/>
        </w:rPr>
      </w:pPr>
    </w:p>
    <w:p w14:paraId="7CF2084D" w14:textId="7E803302" w:rsidR="007F04C8" w:rsidRPr="0029526B" w:rsidRDefault="007F04C8" w:rsidP="007F04C8">
      <w:pPr>
        <w:widowControl/>
        <w:overflowPunct w:val="0"/>
        <w:spacing w:line="360" w:lineRule="auto"/>
        <w:textAlignment w:val="baseline"/>
        <w:rPr>
          <w:rFonts w:cs="Times New Roman"/>
          <w:b/>
          <w:sz w:val="20"/>
          <w:szCs w:val="20"/>
          <w:lang w:eastAsia="en-US"/>
        </w:rPr>
      </w:pPr>
      <w:r w:rsidRPr="0029526B">
        <w:rPr>
          <w:rFonts w:cs="Times New Roman"/>
          <w:b/>
          <w:sz w:val="20"/>
          <w:szCs w:val="20"/>
          <w:lang w:eastAsia="en-US"/>
        </w:rPr>
        <w:t>УВАЖАЕМИ ГОСПОДИН МИНИСТЪР-ПРЕДСЕДАТЕЛ,</w:t>
      </w:r>
    </w:p>
    <w:p w14:paraId="6C357060" w14:textId="77777777" w:rsidR="007F04C8" w:rsidRDefault="007F04C8" w:rsidP="007F04C8">
      <w:pPr>
        <w:widowControl/>
        <w:overflowPunct w:val="0"/>
        <w:spacing w:after="120" w:line="360" w:lineRule="auto"/>
        <w:textAlignment w:val="baseline"/>
        <w:rPr>
          <w:rFonts w:cs="Times New Roman"/>
          <w:b/>
          <w:sz w:val="20"/>
          <w:szCs w:val="20"/>
          <w:lang w:eastAsia="en-US"/>
        </w:rPr>
      </w:pPr>
      <w:r w:rsidRPr="0029526B">
        <w:rPr>
          <w:rFonts w:cs="Times New Roman"/>
          <w:b/>
          <w:sz w:val="20"/>
          <w:szCs w:val="20"/>
          <w:lang w:eastAsia="en-US"/>
        </w:rPr>
        <w:t>УВАЖАЕМИ ГОСПОЖИ И ГОСПОДА МИНИСТРИ,</w:t>
      </w:r>
    </w:p>
    <w:p w14:paraId="24514D70" w14:textId="18B2ED69" w:rsidR="00FA5A51" w:rsidRPr="001F6330" w:rsidRDefault="0029526B" w:rsidP="000D2B1F">
      <w:pPr>
        <w:overflowPunct w:val="0"/>
        <w:spacing w:line="360" w:lineRule="auto"/>
        <w:ind w:firstLine="708"/>
        <w:jc w:val="both"/>
        <w:textAlignment w:val="baseline"/>
        <w:rPr>
          <w:rFonts w:cs="Times New Roman"/>
          <w:iCs/>
          <w:color w:val="000000"/>
          <w:sz w:val="20"/>
          <w:szCs w:val="20"/>
        </w:rPr>
      </w:pPr>
      <w:r w:rsidRPr="001F6330">
        <w:rPr>
          <w:rFonts w:cs="Times New Roman"/>
          <w:sz w:val="20"/>
          <w:szCs w:val="20"/>
          <w:lang w:eastAsia="en-US"/>
        </w:rPr>
        <w:t>На основание чл. 31, ал. 2 от Устройствения правилник на Министерския съвет и на неговата администрация, внасям за разглеждане от Министерския съвет проект на Постановление за изменение и допълнение на Наредбата</w:t>
      </w:r>
      <w:r w:rsidR="00FA5A51" w:rsidRPr="001F6330">
        <w:rPr>
          <w:rFonts w:cs="Times New Roman"/>
          <w:sz w:val="20"/>
          <w:szCs w:val="20"/>
        </w:rPr>
        <w:t xml:space="preserve"> за реда за определяне на цени на земеделските земи, </w:t>
      </w:r>
      <w:r w:rsidR="00FA5A51" w:rsidRPr="001F6330">
        <w:rPr>
          <w:rFonts w:cs="Times New Roman"/>
          <w:iCs/>
          <w:color w:val="000000"/>
          <w:sz w:val="20"/>
          <w:szCs w:val="20"/>
        </w:rPr>
        <w:t xml:space="preserve">приета </w:t>
      </w:r>
      <w:r w:rsidR="00FA5A51" w:rsidRPr="001F6330">
        <w:rPr>
          <w:rFonts w:cs="Times New Roman"/>
          <w:iCs/>
          <w:sz w:val="20"/>
          <w:szCs w:val="20"/>
        </w:rPr>
        <w:t xml:space="preserve">с </w:t>
      </w:r>
      <w:r w:rsidR="00FA5A51" w:rsidRPr="001F6330">
        <w:rPr>
          <w:rFonts w:cs="Times New Roman"/>
          <w:spacing w:val="-2"/>
          <w:sz w:val="20"/>
          <w:szCs w:val="20"/>
          <w:lang w:eastAsia="en-US"/>
        </w:rPr>
        <w:t xml:space="preserve">Постановление № </w:t>
      </w:r>
      <w:r w:rsidR="00FA5A51" w:rsidRPr="001F6330">
        <w:rPr>
          <w:rFonts w:cs="Times New Roman"/>
          <w:spacing w:val="-2"/>
          <w:sz w:val="20"/>
          <w:szCs w:val="20"/>
          <w:lang w:val="en-US" w:eastAsia="en-US"/>
        </w:rPr>
        <w:t>118</w:t>
      </w:r>
      <w:r w:rsidR="00FA5A51" w:rsidRPr="001F6330">
        <w:rPr>
          <w:rFonts w:cs="Times New Roman"/>
          <w:spacing w:val="-2"/>
          <w:sz w:val="20"/>
          <w:szCs w:val="20"/>
          <w:lang w:eastAsia="en-US"/>
        </w:rPr>
        <w:t xml:space="preserve"> на Министерския съвет от</w:t>
      </w:r>
      <w:r w:rsidR="00FA5A51" w:rsidRPr="001F6330">
        <w:rPr>
          <w:rFonts w:cs="Times New Roman"/>
          <w:sz w:val="20"/>
          <w:szCs w:val="20"/>
          <w:lang w:eastAsia="en-US"/>
        </w:rPr>
        <w:t xml:space="preserve"> </w:t>
      </w:r>
      <w:r w:rsidR="00FA5A51" w:rsidRPr="001F6330">
        <w:rPr>
          <w:rFonts w:cs="Times New Roman"/>
          <w:sz w:val="20"/>
          <w:szCs w:val="20"/>
          <w:lang w:val="en-US" w:eastAsia="en-US"/>
        </w:rPr>
        <w:t xml:space="preserve">1998 </w:t>
      </w:r>
      <w:r w:rsidR="00FA5A51" w:rsidRPr="001F6330">
        <w:rPr>
          <w:rFonts w:cs="Times New Roman"/>
          <w:iCs/>
          <w:sz w:val="20"/>
          <w:szCs w:val="20"/>
        </w:rPr>
        <w:t>г.</w:t>
      </w:r>
      <w:r w:rsidR="00FA5A51" w:rsidRPr="001F6330">
        <w:rPr>
          <w:rFonts w:cs="Times New Roman"/>
          <w:iCs/>
          <w:color w:val="000000"/>
          <w:sz w:val="20"/>
          <w:szCs w:val="20"/>
        </w:rPr>
        <w:t xml:space="preserve"> (</w:t>
      </w:r>
      <w:proofErr w:type="spellStart"/>
      <w:r w:rsidR="00FA5A51" w:rsidRPr="001F6330">
        <w:rPr>
          <w:rFonts w:cs="Times New Roman"/>
          <w:iCs/>
          <w:color w:val="000000"/>
          <w:sz w:val="20"/>
          <w:szCs w:val="20"/>
        </w:rPr>
        <w:t>обн</w:t>
      </w:r>
      <w:proofErr w:type="spellEnd"/>
      <w:r w:rsidR="00FA5A51" w:rsidRPr="001F6330">
        <w:rPr>
          <w:rFonts w:cs="Times New Roman"/>
          <w:iCs/>
          <w:color w:val="000000"/>
          <w:sz w:val="20"/>
          <w:szCs w:val="20"/>
        </w:rPr>
        <w:t>., ДВ, бр. 64 от 1998 г.)</w:t>
      </w:r>
    </w:p>
    <w:p w14:paraId="771996F6" w14:textId="77777777" w:rsidR="0029526B" w:rsidRPr="001F6330" w:rsidRDefault="0029526B" w:rsidP="007F04C8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</w:p>
    <w:p w14:paraId="2090FF13" w14:textId="53C58351" w:rsidR="00FA5A51" w:rsidRPr="001F6330" w:rsidRDefault="00151632" w:rsidP="0085646C">
      <w:pPr>
        <w:pStyle w:val="NormalWeb"/>
        <w:spacing w:line="360" w:lineRule="auto"/>
        <w:ind w:firstLine="709"/>
        <w:rPr>
          <w:rFonts w:ascii="Verdana" w:hAnsi="Verdana"/>
          <w:sz w:val="20"/>
          <w:szCs w:val="20"/>
          <w:lang w:eastAsia="en-US"/>
        </w:rPr>
      </w:pPr>
      <w:r w:rsidRPr="001F6330">
        <w:rPr>
          <w:rFonts w:ascii="Verdana" w:hAnsi="Verdana"/>
          <w:b/>
          <w:color w:val="auto"/>
          <w:sz w:val="20"/>
          <w:szCs w:val="20"/>
          <w:lang w:eastAsia="en-US"/>
        </w:rPr>
        <w:t>Причини, които налагат приемането на акта</w:t>
      </w:r>
    </w:p>
    <w:p w14:paraId="63100CAF" w14:textId="1169B3F9" w:rsidR="00EE7255" w:rsidRPr="001F6330" w:rsidRDefault="00EE7255" w:rsidP="00EE7255">
      <w:pPr>
        <w:spacing w:line="360" w:lineRule="auto"/>
        <w:ind w:firstLine="720"/>
        <w:jc w:val="both"/>
        <w:outlineLvl w:val="0"/>
        <w:rPr>
          <w:b/>
          <w:sz w:val="20"/>
          <w:szCs w:val="20"/>
          <w:lang w:eastAsia="en-US"/>
        </w:rPr>
      </w:pPr>
      <w:r w:rsidRPr="001F6330">
        <w:rPr>
          <w:rFonts w:cs="Times New Roman"/>
          <w:sz w:val="20"/>
          <w:szCs w:val="20"/>
          <w:lang w:eastAsia="en-US"/>
        </w:rPr>
        <w:t xml:space="preserve">Наредбата за условията и реда за установяване на текущи пазарни цени на земеделските земи </w:t>
      </w:r>
      <w:r w:rsidRPr="001F6330">
        <w:rPr>
          <w:rFonts w:cs="Times New Roman"/>
          <w:sz w:val="20"/>
          <w:szCs w:val="20"/>
          <w:lang w:val="en-US" w:eastAsia="en-US"/>
        </w:rPr>
        <w:t xml:space="preserve">e </w:t>
      </w:r>
      <w:r w:rsidRPr="001F6330">
        <w:rPr>
          <w:rFonts w:cs="Times New Roman"/>
          <w:sz w:val="20"/>
          <w:szCs w:val="20"/>
          <w:lang w:eastAsia="en-US"/>
        </w:rPr>
        <w:t>издадена на основание чл. 36, ал. 2 от Закона за собствеността и ползването</w:t>
      </w:r>
      <w:r w:rsidR="00066634">
        <w:rPr>
          <w:rFonts w:cs="Times New Roman"/>
          <w:sz w:val="20"/>
          <w:szCs w:val="20"/>
          <w:lang w:eastAsia="en-US"/>
        </w:rPr>
        <w:t xml:space="preserve"> на земеделските земи (ЗСПЗЗ).</w:t>
      </w:r>
      <w:bookmarkStart w:id="0" w:name="_GoBack"/>
      <w:bookmarkEnd w:id="0"/>
    </w:p>
    <w:p w14:paraId="5D36C7F8" w14:textId="4CBCCE91" w:rsidR="000773BA" w:rsidRPr="001F6330" w:rsidRDefault="00017BB1" w:rsidP="00721710">
      <w:pPr>
        <w:widowControl/>
        <w:overflowPunct w:val="0"/>
        <w:spacing w:line="360" w:lineRule="auto"/>
        <w:ind w:firstLine="708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>Наредбата</w:t>
      </w:r>
      <w:r w:rsidR="00FA5A51" w:rsidRPr="001F6330">
        <w:rPr>
          <w:rFonts w:cs="Times New Roman"/>
          <w:color w:val="000000"/>
          <w:sz w:val="20"/>
          <w:szCs w:val="20"/>
        </w:rPr>
        <w:t xml:space="preserve"> урежда условията и редът за установяване на цени на земеделските земи при определяне на паричния размер на обезщетенията в регламентираните в ЗСПЗЗ хипотези</w:t>
      </w:r>
      <w:r w:rsidR="00721710" w:rsidRPr="001F6330">
        <w:rPr>
          <w:rFonts w:cs="Times New Roman"/>
          <w:color w:val="000000"/>
          <w:sz w:val="20"/>
          <w:szCs w:val="20"/>
        </w:rPr>
        <w:t xml:space="preserve">, както и </w:t>
      </w:r>
      <w:r w:rsidR="00701946" w:rsidRPr="001F6330">
        <w:rPr>
          <w:rFonts w:cs="Times New Roman"/>
          <w:color w:val="000000"/>
          <w:sz w:val="20"/>
          <w:szCs w:val="20"/>
        </w:rPr>
        <w:t xml:space="preserve">на </w:t>
      </w:r>
      <w:r w:rsidR="00721710" w:rsidRPr="001F6330">
        <w:rPr>
          <w:rFonts w:cs="Times New Roman"/>
          <w:color w:val="000000"/>
          <w:sz w:val="20"/>
          <w:szCs w:val="20"/>
        </w:rPr>
        <w:t>паричния размер на обезщетението в случаите по чл. 32, ал. 3, т. 2 от Закона за държавната собственост</w:t>
      </w:r>
      <w:r w:rsidR="00115474" w:rsidRPr="001F6330">
        <w:rPr>
          <w:rFonts w:cs="Times New Roman"/>
          <w:color w:val="000000"/>
          <w:sz w:val="20"/>
          <w:szCs w:val="20"/>
        </w:rPr>
        <w:t xml:space="preserve"> (ЗДС)</w:t>
      </w:r>
      <w:r w:rsidR="00721710" w:rsidRPr="001F6330">
        <w:rPr>
          <w:rFonts w:cs="Times New Roman"/>
          <w:color w:val="000000"/>
          <w:sz w:val="20"/>
          <w:szCs w:val="20"/>
        </w:rPr>
        <w:t xml:space="preserve"> при отчуждаване на имоти и части от имоти - собственост на физически или юридически лица, за задоволяване на държавни нужди.</w:t>
      </w:r>
    </w:p>
    <w:p w14:paraId="6D5FAC88" w14:textId="2C0BB057" w:rsidR="00EE7255" w:rsidRPr="001F6330" w:rsidRDefault="00017BB1" w:rsidP="00584C85">
      <w:pPr>
        <w:spacing w:line="360" w:lineRule="auto"/>
        <w:ind w:firstLine="720"/>
        <w:jc w:val="both"/>
        <w:outlineLvl w:val="0"/>
        <w:rPr>
          <w:rFonts w:cs="Times New Roman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lastRenderedPageBreak/>
        <w:t>От влизане в сила на Наредбата до настоящия момент стойността на обезщетението на реституирани</w:t>
      </w:r>
      <w:r w:rsidR="003A0AF8" w:rsidRPr="001F6330">
        <w:rPr>
          <w:rFonts w:cs="Times New Roman"/>
          <w:color w:val="000000"/>
          <w:sz w:val="20"/>
          <w:szCs w:val="20"/>
        </w:rPr>
        <w:t>те</w:t>
      </w:r>
      <w:r w:rsidRPr="001F6330">
        <w:rPr>
          <w:rFonts w:cs="Times New Roman"/>
          <w:color w:val="000000"/>
          <w:sz w:val="20"/>
          <w:szCs w:val="20"/>
        </w:rPr>
        <w:t xml:space="preserve"> собственици на земеделски земи по реда на ЗСПЗЗ, са определени по регламентирания в Наредбата ред. В тази връзка, бившите собственици на земеделски земи или техните наследници са поставени в равностойно положение, получавайки дължимото обезщетение със земеделски земи или с поименни компенсационни бонове, определено по един и същи ред. </w:t>
      </w:r>
    </w:p>
    <w:p w14:paraId="2EE5A577" w14:textId="35327A0C" w:rsidR="00EE7255" w:rsidRPr="001F6330" w:rsidRDefault="00EE7255" w:rsidP="00584C85">
      <w:pPr>
        <w:spacing w:line="360" w:lineRule="auto"/>
        <w:ind w:firstLine="720"/>
        <w:jc w:val="both"/>
        <w:outlineLvl w:val="0"/>
        <w:rPr>
          <w:rFonts w:cs="Times New Roman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>С ПМС № 234 от 2006 г. (</w:t>
      </w:r>
      <w:proofErr w:type="spellStart"/>
      <w:r w:rsidRPr="001F6330">
        <w:rPr>
          <w:rFonts w:cs="Times New Roman"/>
          <w:color w:val="000000"/>
          <w:sz w:val="20"/>
          <w:szCs w:val="20"/>
        </w:rPr>
        <w:t>обн</w:t>
      </w:r>
      <w:proofErr w:type="spellEnd"/>
      <w:r w:rsidRPr="001F6330">
        <w:rPr>
          <w:rFonts w:cs="Times New Roman"/>
          <w:color w:val="000000"/>
          <w:sz w:val="20"/>
          <w:szCs w:val="20"/>
        </w:rPr>
        <w:t xml:space="preserve">., ДВ, бр. 75 от 2006 г.) за изменение и допълнение на Наредбата за условията и реда за установяване на текущи пазарни цени на земеделските земи </w:t>
      </w:r>
      <w:r w:rsidRPr="001F6330">
        <w:rPr>
          <w:rFonts w:cs="Times New Roman"/>
          <w:sz w:val="20"/>
          <w:szCs w:val="20"/>
        </w:rPr>
        <w:t xml:space="preserve">е изменено наименованието на акта – Наредба за реда за определяне на цени на земеделските земи, като навсякъде в наредбата думите „текущи пазарни“ са заличени, без да са променени началните цени на земеделските земи по категории. С цитираното постановление за изменение и допълнение на Наредбата, в чл. 1 е създадена </w:t>
      </w:r>
      <w:r w:rsidR="00595D75" w:rsidRPr="001F6330">
        <w:rPr>
          <w:rFonts w:cs="Times New Roman"/>
          <w:sz w:val="20"/>
          <w:szCs w:val="20"/>
        </w:rPr>
        <w:t xml:space="preserve">нова </w:t>
      </w:r>
      <w:r w:rsidRPr="001F6330">
        <w:rPr>
          <w:rFonts w:cs="Times New Roman"/>
          <w:sz w:val="20"/>
          <w:szCs w:val="20"/>
        </w:rPr>
        <w:t>т. 5, в която е предвидено равностойното парично обезщетение при принудителното отчуждаване на имоти – частна собственост, за държавни нужди в случаите по чл. 32, ал. 3, т. 2 от ЗДС, да се определя по регламентирания в тази Наредба ред.</w:t>
      </w:r>
    </w:p>
    <w:p w14:paraId="1600B98F" w14:textId="545C385D" w:rsidR="004B613F" w:rsidRPr="001F6330" w:rsidRDefault="003A0AF8" w:rsidP="007F04C8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</w:rPr>
      </w:pPr>
      <w:r w:rsidRPr="001F6330">
        <w:rPr>
          <w:rFonts w:cs="Times New Roman"/>
          <w:sz w:val="20"/>
          <w:szCs w:val="20"/>
        </w:rPr>
        <w:t xml:space="preserve">Съгласно чл. 32, ал. 1 от </w:t>
      </w:r>
      <w:r w:rsidR="009971F6" w:rsidRPr="001F6330">
        <w:rPr>
          <w:rFonts w:cs="Times New Roman"/>
          <w:sz w:val="20"/>
          <w:szCs w:val="20"/>
        </w:rPr>
        <w:t>ЗДС</w:t>
      </w:r>
      <w:r w:rsidRPr="001F6330">
        <w:rPr>
          <w:rFonts w:cs="Times New Roman"/>
          <w:sz w:val="20"/>
          <w:szCs w:val="20"/>
        </w:rPr>
        <w:t xml:space="preserve">, имоти и части от имоти - собственост на физически или юридически лица, могат да се отчуждават принудително за задоволяване на държавни нужди, които не могат да бъдат задоволени по друг начин, след предварително и равностойно обезщетение. В чл. 32, ал. 3, т. </w:t>
      </w:r>
      <w:r w:rsidR="00CB2D26" w:rsidRPr="001F6330">
        <w:rPr>
          <w:rFonts w:cs="Times New Roman"/>
          <w:sz w:val="20"/>
          <w:szCs w:val="20"/>
        </w:rPr>
        <w:t xml:space="preserve">2 </w:t>
      </w:r>
      <w:r w:rsidRPr="001F6330">
        <w:rPr>
          <w:rFonts w:cs="Times New Roman"/>
          <w:sz w:val="20"/>
          <w:szCs w:val="20"/>
        </w:rPr>
        <w:t>от ЗДС е установен алтернативен вариант на изчисляване, спрямо този по ал. 2</w:t>
      </w:r>
      <w:r w:rsidR="00551641" w:rsidRPr="001F6330">
        <w:rPr>
          <w:rFonts w:cs="Times New Roman"/>
          <w:sz w:val="20"/>
          <w:szCs w:val="20"/>
        </w:rPr>
        <w:t xml:space="preserve"> от ЗДС</w:t>
      </w:r>
      <w:r w:rsidRPr="001F6330">
        <w:rPr>
          <w:rFonts w:cs="Times New Roman"/>
          <w:sz w:val="20"/>
          <w:szCs w:val="20"/>
        </w:rPr>
        <w:t>, като в случай че не могат да се определят пазарните цени</w:t>
      </w:r>
      <w:r w:rsidR="004B613F" w:rsidRPr="001F6330">
        <w:rPr>
          <w:rFonts w:cs="Times New Roman"/>
          <w:sz w:val="20"/>
          <w:szCs w:val="20"/>
        </w:rPr>
        <w:t xml:space="preserve"> на имоти с подобни характеристики, поради липса на извършени по-малко от две сделки в съответната служба по вписванията, равностойно парично обезщетение за земеделски земи да се определя по реда на наред</w:t>
      </w:r>
      <w:r w:rsidR="00E80F45" w:rsidRPr="001F6330">
        <w:rPr>
          <w:rFonts w:cs="Times New Roman"/>
          <w:sz w:val="20"/>
          <w:szCs w:val="20"/>
        </w:rPr>
        <w:t>бата по чл. 32, ал. 2 от ЗСПЗЗ.</w:t>
      </w:r>
    </w:p>
    <w:p w14:paraId="2B2A3774" w14:textId="420F6279" w:rsidR="00016645" w:rsidRPr="001F6330" w:rsidRDefault="00016645" w:rsidP="007F04C8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sz w:val="20"/>
          <w:szCs w:val="20"/>
        </w:rPr>
        <w:t>С писма от</w:t>
      </w:r>
      <w:r w:rsidRPr="001F6330">
        <w:rPr>
          <w:bCs/>
          <w:sz w:val="20"/>
          <w:szCs w:val="20"/>
        </w:rPr>
        <w:t xml:space="preserve"> </w:t>
      </w:r>
      <w:r w:rsidRPr="001F6330">
        <w:rPr>
          <w:rFonts w:cs="Times New Roman"/>
          <w:sz w:val="20"/>
          <w:szCs w:val="20"/>
        </w:rPr>
        <w:t>Министерски съвет,</w:t>
      </w:r>
      <w:r w:rsidRPr="001F6330">
        <w:rPr>
          <w:bCs/>
          <w:sz w:val="20"/>
          <w:szCs w:val="20"/>
        </w:rPr>
        <w:t xml:space="preserve"> </w:t>
      </w:r>
      <w:r w:rsidRPr="001F6330">
        <w:rPr>
          <w:rFonts w:cs="Times New Roman"/>
          <w:sz w:val="20"/>
          <w:szCs w:val="20"/>
        </w:rPr>
        <w:t>постъпили в МЗХ с вх. № 03-375/28.05.2024 г.</w:t>
      </w:r>
      <w:r w:rsidR="007B0979" w:rsidRPr="001F6330">
        <w:rPr>
          <w:rFonts w:cs="Times New Roman"/>
          <w:sz w:val="20"/>
          <w:szCs w:val="20"/>
        </w:rPr>
        <w:t xml:space="preserve"> и</w:t>
      </w:r>
      <w:r w:rsidRPr="001F6330">
        <w:rPr>
          <w:rFonts w:cs="Times New Roman"/>
          <w:sz w:val="20"/>
          <w:szCs w:val="20"/>
          <w:lang w:val="en-US"/>
        </w:rPr>
        <w:t xml:space="preserve"> </w:t>
      </w:r>
      <w:r w:rsidRPr="001F6330">
        <w:rPr>
          <w:rFonts w:cs="Times New Roman"/>
          <w:sz w:val="20"/>
          <w:szCs w:val="20"/>
        </w:rPr>
        <w:t>№ 03-375/</w:t>
      </w:r>
      <w:r w:rsidRPr="001F6330">
        <w:rPr>
          <w:rFonts w:cs="Times New Roman"/>
          <w:sz w:val="20"/>
          <w:szCs w:val="20"/>
          <w:lang w:val="en-US"/>
        </w:rPr>
        <w:t>17</w:t>
      </w:r>
      <w:r w:rsidRPr="001F6330">
        <w:rPr>
          <w:rFonts w:cs="Times New Roman"/>
          <w:sz w:val="20"/>
          <w:szCs w:val="20"/>
        </w:rPr>
        <w:t>.0</w:t>
      </w:r>
      <w:r w:rsidRPr="001F6330">
        <w:rPr>
          <w:rFonts w:cs="Times New Roman"/>
          <w:sz w:val="20"/>
          <w:szCs w:val="20"/>
          <w:lang w:val="en-US"/>
        </w:rPr>
        <w:t>2</w:t>
      </w:r>
      <w:r w:rsidRPr="001F6330">
        <w:rPr>
          <w:rFonts w:cs="Times New Roman"/>
          <w:sz w:val="20"/>
          <w:szCs w:val="20"/>
        </w:rPr>
        <w:t>.202</w:t>
      </w:r>
      <w:r w:rsidRPr="001F6330">
        <w:rPr>
          <w:rFonts w:cs="Times New Roman"/>
          <w:sz w:val="20"/>
          <w:szCs w:val="20"/>
          <w:lang w:val="en-US"/>
        </w:rPr>
        <w:t>5</w:t>
      </w:r>
      <w:r w:rsidRPr="001F6330">
        <w:rPr>
          <w:rFonts w:cs="Times New Roman"/>
          <w:sz w:val="20"/>
          <w:szCs w:val="20"/>
        </w:rPr>
        <w:t xml:space="preserve"> г., е мотивирана необходимостта от изменение на Наредбата за реда за определян</w:t>
      </w:r>
      <w:r w:rsidR="0085646C" w:rsidRPr="001F6330">
        <w:rPr>
          <w:rFonts w:cs="Times New Roman"/>
          <w:sz w:val="20"/>
          <w:szCs w:val="20"/>
        </w:rPr>
        <w:t>е на цени на земеделските земи,</w:t>
      </w:r>
      <w:r w:rsidRPr="001F6330">
        <w:rPr>
          <w:rFonts w:cs="Times New Roman"/>
          <w:sz w:val="20"/>
          <w:szCs w:val="20"/>
        </w:rPr>
        <w:t xml:space="preserve"> с цел определяне на равностойното и адекватно парично обезщетение в случаите по </w:t>
      </w:r>
      <w:r w:rsidRPr="001F6330">
        <w:rPr>
          <w:rFonts w:cs="Times New Roman"/>
          <w:color w:val="000000"/>
          <w:sz w:val="20"/>
          <w:szCs w:val="20"/>
        </w:rPr>
        <w:t>чл. 32, ал. 3, т. 2 от З</w:t>
      </w:r>
      <w:r w:rsidR="009971F6" w:rsidRPr="001F6330">
        <w:rPr>
          <w:rFonts w:cs="Times New Roman"/>
          <w:color w:val="000000"/>
          <w:sz w:val="20"/>
          <w:szCs w:val="20"/>
        </w:rPr>
        <w:t xml:space="preserve">ДС </w:t>
      </w:r>
      <w:r w:rsidRPr="001F6330">
        <w:rPr>
          <w:rFonts w:cs="Times New Roman"/>
          <w:color w:val="000000"/>
          <w:sz w:val="20"/>
          <w:szCs w:val="20"/>
        </w:rPr>
        <w:t>при принудителното отчуждаване на имоти – частна собственост, за държавни нужди.</w:t>
      </w:r>
    </w:p>
    <w:p w14:paraId="146CB512" w14:textId="1FFD6390" w:rsidR="00DD7A56" w:rsidRPr="001F6330" w:rsidRDefault="004B613F" w:rsidP="007F04C8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 xml:space="preserve">Към настоящия момент, при определяне на </w:t>
      </w:r>
      <w:r w:rsidR="00854276" w:rsidRPr="001F6330">
        <w:rPr>
          <w:rFonts w:cs="Times New Roman"/>
          <w:color w:val="000000"/>
          <w:sz w:val="20"/>
          <w:szCs w:val="20"/>
        </w:rPr>
        <w:t>равностойно обезщетение на имот</w:t>
      </w:r>
      <w:r w:rsidRPr="001F6330">
        <w:rPr>
          <w:rFonts w:cs="Times New Roman"/>
          <w:color w:val="000000"/>
          <w:sz w:val="20"/>
          <w:szCs w:val="20"/>
        </w:rPr>
        <w:t xml:space="preserve">, подлежащ на отчуждаване по реда на </w:t>
      </w:r>
      <w:r w:rsidR="00551641" w:rsidRPr="001F6330">
        <w:rPr>
          <w:rFonts w:cs="Times New Roman"/>
          <w:color w:val="000000"/>
          <w:sz w:val="20"/>
          <w:szCs w:val="20"/>
        </w:rPr>
        <w:t xml:space="preserve">чл. 32, ал. 3, т. 2 от </w:t>
      </w:r>
      <w:r w:rsidRPr="001F6330">
        <w:rPr>
          <w:rFonts w:cs="Times New Roman"/>
          <w:color w:val="000000"/>
          <w:sz w:val="20"/>
          <w:szCs w:val="20"/>
        </w:rPr>
        <w:t>ЗДС, когато е необходимо да се използва</w:t>
      </w:r>
      <w:r w:rsidR="00854276" w:rsidRPr="001F6330">
        <w:rPr>
          <w:rFonts w:cs="Times New Roman"/>
          <w:color w:val="000000"/>
          <w:sz w:val="20"/>
          <w:szCs w:val="20"/>
        </w:rPr>
        <w:t xml:space="preserve"> </w:t>
      </w:r>
      <w:r w:rsidRPr="001F6330">
        <w:rPr>
          <w:rFonts w:cs="Times New Roman"/>
          <w:color w:val="000000"/>
          <w:sz w:val="20"/>
          <w:szCs w:val="20"/>
        </w:rPr>
        <w:t>метода по Наредбата</w:t>
      </w:r>
      <w:r w:rsidR="00854276" w:rsidRPr="001F6330">
        <w:rPr>
          <w:rFonts w:cs="Times New Roman"/>
          <w:color w:val="000000"/>
          <w:sz w:val="20"/>
          <w:szCs w:val="20"/>
        </w:rPr>
        <w:t>, се получава нереално ниска стойност за обезщетение на отчуждения имот. Като основна причина в тази насока е началната цена, отразяваща размера според категориите на земеделските земи и пазарните условия в страната, определена в таблицата към чл. 3, ал. 1 от Наредбата.</w:t>
      </w:r>
    </w:p>
    <w:p w14:paraId="198C5D19" w14:textId="5EE5AACE" w:rsidR="00485FC7" w:rsidRPr="001F6330" w:rsidRDefault="007163A6" w:rsidP="00A249D9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>О</w:t>
      </w:r>
      <w:r w:rsidR="00A249D9" w:rsidRPr="001F6330">
        <w:rPr>
          <w:rFonts w:cs="Times New Roman"/>
          <w:color w:val="000000"/>
          <w:sz w:val="20"/>
          <w:szCs w:val="20"/>
        </w:rPr>
        <w:t>свен това,</w:t>
      </w:r>
      <w:r w:rsidR="007308A1" w:rsidRPr="001F6330">
        <w:rPr>
          <w:rFonts w:cs="Times New Roman"/>
          <w:color w:val="000000"/>
          <w:sz w:val="20"/>
          <w:szCs w:val="20"/>
        </w:rPr>
        <w:t xml:space="preserve"> </w:t>
      </w:r>
      <w:r w:rsidR="00A249D9" w:rsidRPr="001F6330">
        <w:rPr>
          <w:rFonts w:cs="Times New Roman"/>
          <w:color w:val="000000"/>
          <w:sz w:val="20"/>
          <w:szCs w:val="20"/>
        </w:rPr>
        <w:t>ниската стойност на определените обезщетения при отчуждаване по реда на 32, ал. 3, т. 2 от ЗДС</w:t>
      </w:r>
      <w:r w:rsidR="00DD7A56" w:rsidRPr="001F6330">
        <w:rPr>
          <w:rFonts w:cs="Times New Roman"/>
          <w:color w:val="000000"/>
          <w:sz w:val="20"/>
          <w:szCs w:val="20"/>
        </w:rPr>
        <w:t xml:space="preserve"> </w:t>
      </w:r>
      <w:r w:rsidR="00A249D9" w:rsidRPr="001F6330">
        <w:rPr>
          <w:rFonts w:cs="Times New Roman"/>
          <w:color w:val="000000"/>
          <w:sz w:val="20"/>
          <w:szCs w:val="20"/>
        </w:rPr>
        <w:t>е</w:t>
      </w:r>
      <w:r w:rsidR="007308A1" w:rsidRPr="001F6330">
        <w:rPr>
          <w:rFonts w:cs="Times New Roman"/>
          <w:color w:val="000000"/>
          <w:sz w:val="20"/>
          <w:szCs w:val="20"/>
        </w:rPr>
        <w:t xml:space="preserve"> оспорена пред</w:t>
      </w:r>
      <w:r w:rsidR="00A249D9" w:rsidRPr="001F6330">
        <w:rPr>
          <w:rFonts w:cs="Times New Roman"/>
          <w:color w:val="000000"/>
          <w:sz w:val="20"/>
          <w:szCs w:val="20"/>
        </w:rPr>
        <w:t xml:space="preserve"> </w:t>
      </w:r>
      <w:r w:rsidR="007308A1" w:rsidRPr="001F6330">
        <w:rPr>
          <w:rFonts w:cs="Times New Roman"/>
          <w:color w:val="000000"/>
          <w:sz w:val="20"/>
          <w:szCs w:val="20"/>
        </w:rPr>
        <w:t>Европейския съд по правата на човека, като</w:t>
      </w:r>
      <w:r w:rsidR="00551641" w:rsidRPr="001F6330">
        <w:rPr>
          <w:rFonts w:cs="Times New Roman"/>
          <w:color w:val="000000"/>
          <w:sz w:val="20"/>
          <w:szCs w:val="20"/>
        </w:rPr>
        <w:t xml:space="preserve"> според</w:t>
      </w:r>
      <w:r w:rsidR="007308A1" w:rsidRPr="001F6330">
        <w:rPr>
          <w:rFonts w:cs="Times New Roman"/>
          <w:color w:val="000000"/>
          <w:sz w:val="20"/>
          <w:szCs w:val="20"/>
        </w:rPr>
        <w:t xml:space="preserve"> </w:t>
      </w:r>
      <w:r w:rsidR="00A249D9" w:rsidRPr="001F6330">
        <w:rPr>
          <w:rFonts w:cs="Times New Roman"/>
          <w:color w:val="000000"/>
          <w:sz w:val="20"/>
          <w:szCs w:val="20"/>
        </w:rPr>
        <w:t>установена</w:t>
      </w:r>
      <w:r w:rsidR="00551641" w:rsidRPr="001F6330">
        <w:rPr>
          <w:rFonts w:cs="Times New Roman"/>
          <w:color w:val="000000"/>
          <w:sz w:val="20"/>
          <w:szCs w:val="20"/>
        </w:rPr>
        <w:t>та</w:t>
      </w:r>
      <w:r w:rsidR="00A249D9" w:rsidRPr="001F6330">
        <w:rPr>
          <w:rFonts w:cs="Times New Roman"/>
          <w:color w:val="000000"/>
          <w:sz w:val="20"/>
          <w:szCs w:val="20"/>
        </w:rPr>
        <w:t xml:space="preserve"> практика на Европейския съд по правата на човека </w:t>
      </w:r>
      <w:r w:rsidR="00A249D9" w:rsidRPr="001F6330">
        <w:rPr>
          <w:rFonts w:cs="Times New Roman"/>
          <w:color w:val="000000"/>
          <w:sz w:val="20"/>
          <w:szCs w:val="20"/>
        </w:rPr>
        <w:lastRenderedPageBreak/>
        <w:t>(делата „Костов и други срещу България“ „Божилов и други срещу България“, „Христова и други срещу България“ и други)</w:t>
      </w:r>
      <w:r w:rsidR="00551641" w:rsidRPr="001F6330">
        <w:rPr>
          <w:rFonts w:cs="Times New Roman"/>
          <w:color w:val="000000"/>
          <w:sz w:val="20"/>
          <w:szCs w:val="20"/>
        </w:rPr>
        <w:t xml:space="preserve"> </w:t>
      </w:r>
      <w:r w:rsidR="00485FC7" w:rsidRPr="001F6330">
        <w:rPr>
          <w:rFonts w:cs="Times New Roman"/>
          <w:color w:val="000000"/>
          <w:sz w:val="20"/>
          <w:szCs w:val="20"/>
        </w:rPr>
        <w:t>прилагането на Наредбата не води до предоставяне на равностойни и адекватни обезщетения</w:t>
      </w:r>
      <w:r w:rsidR="007308A1" w:rsidRPr="001F6330">
        <w:rPr>
          <w:rFonts w:cs="Times New Roman"/>
          <w:color w:val="000000"/>
          <w:sz w:val="20"/>
          <w:szCs w:val="20"/>
        </w:rPr>
        <w:t xml:space="preserve"> за засегнатите собственици</w:t>
      </w:r>
      <w:r w:rsidR="00485FC7" w:rsidRPr="001F6330">
        <w:rPr>
          <w:rFonts w:cs="Times New Roman"/>
          <w:color w:val="000000"/>
          <w:sz w:val="20"/>
          <w:szCs w:val="20"/>
        </w:rPr>
        <w:t>, което е нарушение на чл. 1 от Протокол 1 към Конвенцията за защита на правата на човека и основните свободи. В тази връзка, Министерски съвет, като ответна страна</w:t>
      </w:r>
      <w:r w:rsidR="007308A1" w:rsidRPr="001F6330">
        <w:rPr>
          <w:rFonts w:cs="Times New Roman"/>
          <w:color w:val="000000"/>
          <w:sz w:val="20"/>
          <w:szCs w:val="20"/>
        </w:rPr>
        <w:t xml:space="preserve"> по съдебните дела, се осъжда да заплати съдебните разноски по делата</w:t>
      </w:r>
      <w:r w:rsidR="00016645" w:rsidRPr="001F6330">
        <w:rPr>
          <w:rFonts w:cs="Times New Roman"/>
          <w:color w:val="000000"/>
          <w:sz w:val="20"/>
          <w:szCs w:val="20"/>
        </w:rPr>
        <w:t xml:space="preserve"> (около 150-200 дела на година)</w:t>
      </w:r>
      <w:r w:rsidR="00551641" w:rsidRPr="001F6330">
        <w:rPr>
          <w:rFonts w:cs="Times New Roman"/>
          <w:color w:val="000000"/>
          <w:sz w:val="20"/>
          <w:szCs w:val="20"/>
        </w:rPr>
        <w:t>,</w:t>
      </w:r>
      <w:r w:rsidR="007308A1" w:rsidRPr="001F6330">
        <w:rPr>
          <w:rFonts w:cs="Times New Roman"/>
          <w:color w:val="000000"/>
          <w:sz w:val="20"/>
          <w:szCs w:val="20"/>
        </w:rPr>
        <w:t xml:space="preserve"> адвокатските хонорари</w:t>
      </w:r>
      <w:r w:rsidR="00260183" w:rsidRPr="001F6330">
        <w:rPr>
          <w:rFonts w:cs="Times New Roman"/>
          <w:color w:val="000000"/>
          <w:sz w:val="20"/>
          <w:szCs w:val="20"/>
        </w:rPr>
        <w:t xml:space="preserve"> и експертиз</w:t>
      </w:r>
      <w:r w:rsidR="00551641" w:rsidRPr="001F6330">
        <w:rPr>
          <w:rFonts w:cs="Times New Roman"/>
          <w:color w:val="000000"/>
          <w:sz w:val="20"/>
          <w:szCs w:val="20"/>
        </w:rPr>
        <w:t>и</w:t>
      </w:r>
      <w:r w:rsidR="007308A1" w:rsidRPr="001F6330">
        <w:rPr>
          <w:rFonts w:cs="Times New Roman"/>
          <w:color w:val="000000"/>
          <w:sz w:val="20"/>
          <w:szCs w:val="20"/>
        </w:rPr>
        <w:t>, които в някой случаи са в пъти по-високи от определеното обезщетение за отчуждавания имот.</w:t>
      </w:r>
    </w:p>
    <w:p w14:paraId="610C3567" w14:textId="236AD679" w:rsidR="00016645" w:rsidRPr="001F6330" w:rsidRDefault="000F19CD" w:rsidP="00A249D9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>Същевременно</w:t>
      </w:r>
      <w:r w:rsidR="00B86F19" w:rsidRPr="001F6330">
        <w:rPr>
          <w:rFonts w:cs="Times New Roman"/>
          <w:color w:val="000000"/>
          <w:sz w:val="20"/>
          <w:szCs w:val="20"/>
        </w:rPr>
        <w:t>, през февруари 2025 г.</w:t>
      </w:r>
      <w:r w:rsidRPr="001F6330">
        <w:rPr>
          <w:rFonts w:cs="Times New Roman"/>
          <w:color w:val="000000"/>
          <w:sz w:val="20"/>
          <w:szCs w:val="20"/>
        </w:rPr>
        <w:t xml:space="preserve"> срещу Наредбата са подадени две жалби </w:t>
      </w:r>
      <w:r w:rsidR="00B86F19" w:rsidRPr="001F6330">
        <w:rPr>
          <w:rFonts w:cs="Times New Roman"/>
          <w:color w:val="000000"/>
          <w:sz w:val="20"/>
          <w:szCs w:val="20"/>
        </w:rPr>
        <w:t xml:space="preserve">от физически лица </w:t>
      </w:r>
      <w:r w:rsidRPr="001F6330">
        <w:rPr>
          <w:rFonts w:cs="Times New Roman"/>
          <w:color w:val="000000"/>
          <w:sz w:val="20"/>
          <w:szCs w:val="20"/>
        </w:rPr>
        <w:t>във Върховния административен съд</w:t>
      </w:r>
      <w:r w:rsidR="00B86F19" w:rsidRPr="001F6330">
        <w:rPr>
          <w:rFonts w:cs="Times New Roman"/>
          <w:color w:val="000000"/>
          <w:sz w:val="20"/>
          <w:szCs w:val="20"/>
        </w:rPr>
        <w:t xml:space="preserve">, </w:t>
      </w:r>
      <w:r w:rsidR="004F17AA" w:rsidRPr="001F6330">
        <w:rPr>
          <w:rFonts w:cs="Times New Roman"/>
          <w:color w:val="000000"/>
          <w:sz w:val="20"/>
          <w:szCs w:val="20"/>
        </w:rPr>
        <w:t>за които М</w:t>
      </w:r>
      <w:r w:rsidR="008B43E9" w:rsidRPr="001F6330">
        <w:rPr>
          <w:rFonts w:cs="Times New Roman"/>
          <w:color w:val="000000"/>
          <w:sz w:val="20"/>
          <w:szCs w:val="20"/>
        </w:rPr>
        <w:t xml:space="preserve">инистерски съвет </w:t>
      </w:r>
      <w:r w:rsidR="00F44164" w:rsidRPr="001F6330">
        <w:rPr>
          <w:rFonts w:cs="Times New Roman"/>
          <w:color w:val="000000"/>
          <w:sz w:val="20"/>
          <w:szCs w:val="20"/>
        </w:rPr>
        <w:t>е изискал становищ</w:t>
      </w:r>
      <w:r w:rsidR="008B43E9" w:rsidRPr="001F6330">
        <w:rPr>
          <w:rFonts w:cs="Times New Roman"/>
          <w:color w:val="000000"/>
          <w:sz w:val="20"/>
          <w:szCs w:val="20"/>
        </w:rPr>
        <w:t>а</w:t>
      </w:r>
      <w:r w:rsidR="00F44164" w:rsidRPr="001F6330">
        <w:rPr>
          <w:rFonts w:cs="Times New Roman"/>
          <w:color w:val="000000"/>
          <w:sz w:val="20"/>
          <w:szCs w:val="20"/>
        </w:rPr>
        <w:t xml:space="preserve"> </w:t>
      </w:r>
      <w:r w:rsidR="007B0979" w:rsidRPr="001F6330">
        <w:rPr>
          <w:rFonts w:cs="Times New Roman"/>
          <w:color w:val="000000"/>
          <w:sz w:val="20"/>
          <w:szCs w:val="20"/>
        </w:rPr>
        <w:t xml:space="preserve">от </w:t>
      </w:r>
      <w:r w:rsidR="001F6330" w:rsidRPr="001F6330">
        <w:rPr>
          <w:rFonts w:cs="Times New Roman"/>
          <w:color w:val="000000"/>
          <w:sz w:val="20"/>
          <w:szCs w:val="20"/>
        </w:rPr>
        <w:t>министерството</w:t>
      </w:r>
      <w:r w:rsidR="007B0979" w:rsidRPr="001F6330">
        <w:rPr>
          <w:rFonts w:cs="Times New Roman"/>
          <w:color w:val="000000"/>
          <w:sz w:val="20"/>
          <w:szCs w:val="20"/>
        </w:rPr>
        <w:t xml:space="preserve"> </w:t>
      </w:r>
      <w:r w:rsidR="00F44164" w:rsidRPr="001F6330">
        <w:rPr>
          <w:rFonts w:cs="Times New Roman"/>
          <w:color w:val="000000"/>
          <w:sz w:val="20"/>
          <w:szCs w:val="20"/>
        </w:rPr>
        <w:t>с</w:t>
      </w:r>
      <w:r w:rsidR="004F17AA" w:rsidRPr="001F6330">
        <w:rPr>
          <w:rFonts w:cs="Times New Roman"/>
          <w:color w:val="000000"/>
          <w:sz w:val="20"/>
          <w:szCs w:val="20"/>
        </w:rPr>
        <w:t xml:space="preserve"> писма вх.</w:t>
      </w:r>
      <w:r w:rsidR="0089599A" w:rsidRPr="001F6330">
        <w:rPr>
          <w:rFonts w:cs="Times New Roman"/>
          <w:color w:val="000000"/>
          <w:sz w:val="20"/>
          <w:szCs w:val="20"/>
        </w:rPr>
        <w:t xml:space="preserve"> </w:t>
      </w:r>
      <w:r w:rsidR="004F17AA" w:rsidRPr="001F6330">
        <w:rPr>
          <w:rFonts w:cs="Times New Roman"/>
          <w:color w:val="000000"/>
          <w:sz w:val="20"/>
          <w:szCs w:val="20"/>
        </w:rPr>
        <w:t>№ 03-82/13.02.2025 г. и 03-116/20.02.2025 г.</w:t>
      </w:r>
      <w:r w:rsidR="00F44164" w:rsidRPr="001F6330">
        <w:rPr>
          <w:rFonts w:cs="Times New Roman"/>
          <w:color w:val="000000"/>
          <w:sz w:val="20"/>
          <w:szCs w:val="20"/>
        </w:rPr>
        <w:t xml:space="preserve"> </w:t>
      </w:r>
      <w:r w:rsidR="00B86F19" w:rsidRPr="001F6330">
        <w:rPr>
          <w:rFonts w:cs="Times New Roman"/>
          <w:color w:val="000000"/>
          <w:sz w:val="20"/>
          <w:szCs w:val="20"/>
        </w:rPr>
        <w:t>С подадените жалби се иска прогласяване на нищожност на оспорения</w:t>
      </w:r>
      <w:r w:rsidR="007B0979" w:rsidRPr="001F6330">
        <w:rPr>
          <w:rFonts w:cs="Times New Roman"/>
          <w:color w:val="000000"/>
          <w:sz w:val="20"/>
          <w:szCs w:val="20"/>
        </w:rPr>
        <w:t xml:space="preserve"> </w:t>
      </w:r>
      <w:r w:rsidR="00B86F19" w:rsidRPr="001F6330">
        <w:rPr>
          <w:rFonts w:cs="Times New Roman"/>
          <w:color w:val="000000"/>
          <w:sz w:val="20"/>
          <w:szCs w:val="20"/>
        </w:rPr>
        <w:t>акт, поради несъответствие с чл. 17, ал. 5 от Конституцията на Република България, предвиждащ равностойно парично обезщетение при отчуждаване на земеделски имоти.</w:t>
      </w:r>
      <w:r w:rsidR="00F44164" w:rsidRPr="001F6330">
        <w:rPr>
          <w:rFonts w:cs="Times New Roman"/>
          <w:color w:val="000000"/>
          <w:sz w:val="20"/>
          <w:szCs w:val="20"/>
        </w:rPr>
        <w:t xml:space="preserve"> Следва да се има предвид, че </w:t>
      </w:r>
      <w:r w:rsidR="00DB628D" w:rsidRPr="001F6330">
        <w:rPr>
          <w:rFonts w:cs="Times New Roman"/>
          <w:color w:val="000000"/>
          <w:sz w:val="20"/>
          <w:szCs w:val="20"/>
        </w:rPr>
        <w:t xml:space="preserve">с </w:t>
      </w:r>
      <w:r w:rsidR="00F44164" w:rsidRPr="001F6330">
        <w:rPr>
          <w:rFonts w:cs="Times New Roman"/>
          <w:color w:val="000000"/>
          <w:sz w:val="20"/>
          <w:szCs w:val="20"/>
        </w:rPr>
        <w:t>жалбите се оспорва паричния размер на обезщетенията</w:t>
      </w:r>
      <w:r w:rsidR="00DB628D" w:rsidRPr="001F6330">
        <w:rPr>
          <w:rFonts w:cs="Times New Roman"/>
          <w:color w:val="000000"/>
          <w:sz w:val="20"/>
          <w:szCs w:val="20"/>
        </w:rPr>
        <w:t xml:space="preserve">, определени в решения на общинската служба по земеделие за признато, но </w:t>
      </w:r>
      <w:proofErr w:type="spellStart"/>
      <w:r w:rsidR="00DB628D" w:rsidRPr="001F6330">
        <w:rPr>
          <w:rFonts w:cs="Times New Roman"/>
          <w:color w:val="000000"/>
          <w:sz w:val="20"/>
          <w:szCs w:val="20"/>
        </w:rPr>
        <w:t>невъзстановено</w:t>
      </w:r>
      <w:proofErr w:type="spellEnd"/>
      <w:r w:rsidR="00DB628D" w:rsidRPr="001F6330">
        <w:rPr>
          <w:rFonts w:cs="Times New Roman"/>
          <w:color w:val="000000"/>
          <w:sz w:val="20"/>
          <w:szCs w:val="20"/>
        </w:rPr>
        <w:t xml:space="preserve"> право на собственост по реда на чл. 10б, ал. 1 ЗСПЗЗ, а не стойността на обезщетенията при отчуждаване </w:t>
      </w:r>
      <w:r w:rsidR="008B43E9" w:rsidRPr="001F6330">
        <w:rPr>
          <w:rFonts w:cs="Times New Roman"/>
          <w:color w:val="000000"/>
          <w:sz w:val="20"/>
          <w:szCs w:val="20"/>
        </w:rPr>
        <w:t xml:space="preserve">на имоти </w:t>
      </w:r>
      <w:r w:rsidR="00DB628D" w:rsidRPr="001F6330">
        <w:rPr>
          <w:rFonts w:cs="Times New Roman"/>
          <w:color w:val="000000"/>
          <w:sz w:val="20"/>
          <w:szCs w:val="20"/>
        </w:rPr>
        <w:t>по реда на чл. 32, ал. 3, т. 2 от ЗДС</w:t>
      </w:r>
      <w:r w:rsidR="005B21CA" w:rsidRPr="001F6330">
        <w:rPr>
          <w:rFonts w:cs="Times New Roman"/>
          <w:color w:val="000000"/>
          <w:sz w:val="20"/>
          <w:szCs w:val="20"/>
        </w:rPr>
        <w:t>, определи в решенията на Министерски съвет.</w:t>
      </w:r>
    </w:p>
    <w:p w14:paraId="5790B0D7" w14:textId="7007AB1B" w:rsidR="001F6330" w:rsidRPr="001F6330" w:rsidRDefault="00DB628D" w:rsidP="001F6330">
      <w:pPr>
        <w:spacing w:line="360" w:lineRule="auto"/>
        <w:ind w:firstLine="720"/>
        <w:jc w:val="both"/>
        <w:outlineLvl w:val="0"/>
        <w:rPr>
          <w:rFonts w:cs="Times New Roman"/>
          <w:strike/>
          <w:color w:val="000000"/>
          <w:sz w:val="20"/>
          <w:szCs w:val="20"/>
          <w:highlight w:val="yellow"/>
        </w:rPr>
      </w:pPr>
      <w:r w:rsidRPr="001F6330">
        <w:rPr>
          <w:rFonts w:cs="Times New Roman"/>
          <w:color w:val="000000"/>
          <w:sz w:val="20"/>
          <w:szCs w:val="20"/>
        </w:rPr>
        <w:t>С</w:t>
      </w:r>
      <w:r w:rsidR="00FC147F" w:rsidRPr="001F6330">
        <w:rPr>
          <w:rFonts w:cs="Times New Roman"/>
          <w:color w:val="000000"/>
          <w:sz w:val="20"/>
          <w:szCs w:val="20"/>
        </w:rPr>
        <w:t xml:space="preserve">ъгласно </w:t>
      </w:r>
      <w:r w:rsidRPr="001F6330">
        <w:rPr>
          <w:rFonts w:cs="Times New Roman"/>
          <w:color w:val="000000"/>
          <w:sz w:val="20"/>
          <w:szCs w:val="20"/>
        </w:rPr>
        <w:t xml:space="preserve">чл. 10б, ал. 1 от ЗСПЗЗ, в редакцията, действаща към момента на цитираните в </w:t>
      </w:r>
      <w:r w:rsidR="005B21CA" w:rsidRPr="001F6330">
        <w:rPr>
          <w:rFonts w:cs="Times New Roman"/>
          <w:color w:val="000000"/>
          <w:sz w:val="20"/>
          <w:szCs w:val="20"/>
        </w:rPr>
        <w:t xml:space="preserve">двете </w:t>
      </w:r>
      <w:r w:rsidRPr="001F6330">
        <w:rPr>
          <w:rFonts w:cs="Times New Roman"/>
          <w:color w:val="000000"/>
          <w:sz w:val="20"/>
          <w:szCs w:val="20"/>
        </w:rPr>
        <w:t>жалб</w:t>
      </w:r>
      <w:r w:rsidR="005B21CA" w:rsidRPr="001F6330">
        <w:rPr>
          <w:rFonts w:cs="Times New Roman"/>
          <w:color w:val="000000"/>
          <w:sz w:val="20"/>
          <w:szCs w:val="20"/>
        </w:rPr>
        <w:t>и</w:t>
      </w:r>
      <w:r w:rsidRPr="001F6330">
        <w:rPr>
          <w:rFonts w:cs="Times New Roman"/>
          <w:color w:val="000000"/>
          <w:sz w:val="20"/>
          <w:szCs w:val="20"/>
        </w:rPr>
        <w:t xml:space="preserve"> решения за обезщетение на Общинска служба по земеделие</w:t>
      </w:r>
      <w:r w:rsidR="005B21CA" w:rsidRPr="001F6330">
        <w:rPr>
          <w:rFonts w:cs="Times New Roman"/>
          <w:color w:val="000000"/>
          <w:sz w:val="20"/>
          <w:szCs w:val="20"/>
        </w:rPr>
        <w:t xml:space="preserve"> –</w:t>
      </w:r>
      <w:r w:rsidRPr="001F6330">
        <w:rPr>
          <w:rFonts w:cs="Times New Roman"/>
          <w:color w:val="000000"/>
          <w:sz w:val="20"/>
          <w:szCs w:val="20"/>
        </w:rPr>
        <w:t xml:space="preserve"> Източна</w:t>
      </w:r>
      <w:r w:rsidR="005B21CA" w:rsidRPr="001F6330">
        <w:rPr>
          <w:rFonts w:cs="Times New Roman"/>
          <w:color w:val="000000"/>
          <w:sz w:val="20"/>
          <w:szCs w:val="20"/>
        </w:rPr>
        <w:t xml:space="preserve">, </w:t>
      </w:r>
      <w:r w:rsidRPr="001F6330">
        <w:rPr>
          <w:rFonts w:cs="Times New Roman"/>
          <w:color w:val="000000"/>
          <w:sz w:val="20"/>
          <w:szCs w:val="20"/>
        </w:rPr>
        <w:t>гр. София</w:t>
      </w:r>
      <w:r w:rsidR="005B21CA" w:rsidRPr="001F6330">
        <w:rPr>
          <w:rFonts w:cs="Times New Roman"/>
          <w:color w:val="000000"/>
          <w:sz w:val="20"/>
          <w:szCs w:val="20"/>
        </w:rPr>
        <w:t xml:space="preserve"> (№ 3451/09.02.2024 г. и № 3836/09.02.2025 г., издадени на основание чл. 10б, ал. 1</w:t>
      </w:r>
      <w:r w:rsidR="00FC147F" w:rsidRPr="001F6330">
        <w:rPr>
          <w:rFonts w:cs="Times New Roman"/>
          <w:color w:val="000000"/>
          <w:sz w:val="20"/>
          <w:szCs w:val="20"/>
        </w:rPr>
        <w:t xml:space="preserve"> и</w:t>
      </w:r>
      <w:r w:rsidR="005B21CA" w:rsidRPr="001F6330">
        <w:rPr>
          <w:rFonts w:cs="Times New Roman"/>
          <w:color w:val="000000"/>
          <w:sz w:val="20"/>
          <w:szCs w:val="20"/>
        </w:rPr>
        <w:t xml:space="preserve"> чл. 35 от ЗСПЗЗ и чл. 19, ал. 8 от ППЗСПЗЗ</w:t>
      </w:r>
      <w:r w:rsidR="00FC147F" w:rsidRPr="001F6330">
        <w:rPr>
          <w:rFonts w:cs="Times New Roman"/>
          <w:color w:val="000000"/>
          <w:sz w:val="20"/>
          <w:szCs w:val="20"/>
        </w:rPr>
        <w:t>)</w:t>
      </w:r>
      <w:r w:rsidRPr="001F6330">
        <w:rPr>
          <w:rFonts w:cs="Times New Roman"/>
          <w:color w:val="000000"/>
          <w:sz w:val="20"/>
          <w:szCs w:val="20"/>
        </w:rPr>
        <w:t>, собствениците или техните наследници, притежавали земеделски земи преди образуването на трудовокооперативни земеделски стопанства или държавни земеделски стопанства, независимо от това, дали са били включени в тях или в други, образувани въз основа на тях, селскостопански организации, намиращи се в границите на урбанизираните територии (населени места) или извън тях и са застроени или върху тях са проведени мероприятия, които не позволяват възстановяване на собствеността, имат право на обезщетение по тяхно искане с равностойни земи от държавния или от общинския поземлен фонд и/или с поименни компенсационни бонове.</w:t>
      </w:r>
    </w:p>
    <w:p w14:paraId="56A73985" w14:textId="77A6DD9C" w:rsidR="00EC70D0" w:rsidRPr="001F6330" w:rsidRDefault="00634FB4" w:rsidP="00213500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sz w:val="20"/>
          <w:szCs w:val="20"/>
        </w:rPr>
        <w:t>В писмата на Министерски съвет – с вх. № 03-375/28.05.2024 г. и</w:t>
      </w:r>
      <w:r w:rsidRPr="001F6330">
        <w:rPr>
          <w:rFonts w:cs="Times New Roman"/>
          <w:sz w:val="20"/>
          <w:szCs w:val="20"/>
          <w:lang w:val="en-US"/>
        </w:rPr>
        <w:t xml:space="preserve"> </w:t>
      </w:r>
      <w:r w:rsidRPr="001F6330">
        <w:rPr>
          <w:rFonts w:cs="Times New Roman"/>
          <w:sz w:val="20"/>
          <w:szCs w:val="20"/>
        </w:rPr>
        <w:t>№ 03-375/</w:t>
      </w:r>
      <w:r w:rsidRPr="001F6330">
        <w:rPr>
          <w:rFonts w:cs="Times New Roman"/>
          <w:sz w:val="20"/>
          <w:szCs w:val="20"/>
          <w:lang w:val="en-US"/>
        </w:rPr>
        <w:t>17</w:t>
      </w:r>
      <w:r w:rsidRPr="001F6330">
        <w:rPr>
          <w:rFonts w:cs="Times New Roman"/>
          <w:sz w:val="20"/>
          <w:szCs w:val="20"/>
        </w:rPr>
        <w:t>.0</w:t>
      </w:r>
      <w:r w:rsidRPr="001F6330">
        <w:rPr>
          <w:rFonts w:cs="Times New Roman"/>
          <w:sz w:val="20"/>
          <w:szCs w:val="20"/>
          <w:lang w:val="en-US"/>
        </w:rPr>
        <w:t>2</w:t>
      </w:r>
      <w:r w:rsidRPr="001F6330">
        <w:rPr>
          <w:rFonts w:cs="Times New Roman"/>
          <w:sz w:val="20"/>
          <w:szCs w:val="20"/>
        </w:rPr>
        <w:t>.202</w:t>
      </w:r>
      <w:r w:rsidRPr="001F6330">
        <w:rPr>
          <w:rFonts w:cs="Times New Roman"/>
          <w:sz w:val="20"/>
          <w:szCs w:val="20"/>
          <w:lang w:val="en-US"/>
        </w:rPr>
        <w:t>5</w:t>
      </w:r>
      <w:r w:rsidRPr="001F6330">
        <w:rPr>
          <w:rFonts w:cs="Times New Roman"/>
          <w:sz w:val="20"/>
          <w:szCs w:val="20"/>
        </w:rPr>
        <w:t xml:space="preserve"> г., е изразено становище, че „Определените през 1998 г. в таблицата начални цени на декар за всяка категория не съответстват по никакъв начин на стойността към днешна дата, с оглед установения в разпоредбата начин за определяне на тази стойност“.</w:t>
      </w:r>
      <w:r w:rsidRPr="001F6330">
        <w:rPr>
          <w:rFonts w:cs="Times New Roman"/>
          <w:i/>
          <w:sz w:val="20"/>
          <w:szCs w:val="20"/>
        </w:rPr>
        <w:t xml:space="preserve"> </w:t>
      </w:r>
      <w:r w:rsidR="00CB2D26" w:rsidRPr="001F6330">
        <w:rPr>
          <w:rFonts w:cs="Times New Roman"/>
          <w:color w:val="000000"/>
          <w:sz w:val="20"/>
          <w:szCs w:val="20"/>
        </w:rPr>
        <w:t>В тази връзка</w:t>
      </w:r>
      <w:r w:rsidR="00154679" w:rsidRPr="001F6330">
        <w:rPr>
          <w:rFonts w:cs="Times New Roman"/>
          <w:color w:val="000000"/>
          <w:sz w:val="20"/>
          <w:szCs w:val="20"/>
        </w:rPr>
        <w:t>,</w:t>
      </w:r>
      <w:r w:rsidR="00CB2D26" w:rsidRPr="001F6330">
        <w:rPr>
          <w:rFonts w:cs="Times New Roman"/>
          <w:color w:val="000000"/>
          <w:sz w:val="20"/>
          <w:szCs w:val="20"/>
        </w:rPr>
        <w:t xml:space="preserve"> с предложения проект на </w:t>
      </w:r>
      <w:r w:rsidR="00DD7A56" w:rsidRPr="001F6330">
        <w:rPr>
          <w:rFonts w:cs="Times New Roman"/>
          <w:color w:val="000000"/>
          <w:sz w:val="20"/>
          <w:szCs w:val="20"/>
        </w:rPr>
        <w:t>постановление за изменение и допълнение на Наредбата,</w:t>
      </w:r>
      <w:r w:rsidR="00CB2D26" w:rsidRPr="001F6330">
        <w:rPr>
          <w:rFonts w:cs="Times New Roman"/>
          <w:color w:val="000000"/>
          <w:sz w:val="20"/>
          <w:szCs w:val="20"/>
        </w:rPr>
        <w:t xml:space="preserve"> началните цени на съответните категории земеделски земи </w:t>
      </w:r>
      <w:r w:rsidR="007163A6" w:rsidRPr="001F6330">
        <w:rPr>
          <w:rFonts w:cs="Times New Roman"/>
          <w:color w:val="000000"/>
          <w:sz w:val="20"/>
          <w:szCs w:val="20"/>
        </w:rPr>
        <w:t>са</w:t>
      </w:r>
      <w:r w:rsidR="00CB2D26" w:rsidRPr="001F6330">
        <w:rPr>
          <w:rFonts w:cs="Times New Roman"/>
          <w:color w:val="000000"/>
          <w:sz w:val="20"/>
          <w:szCs w:val="20"/>
        </w:rPr>
        <w:t xml:space="preserve"> увеличен</w:t>
      </w:r>
      <w:r w:rsidR="007163A6" w:rsidRPr="001F6330">
        <w:rPr>
          <w:rFonts w:cs="Times New Roman"/>
          <w:color w:val="000000"/>
          <w:sz w:val="20"/>
          <w:szCs w:val="20"/>
        </w:rPr>
        <w:t>и</w:t>
      </w:r>
      <w:r w:rsidR="00CB2D26" w:rsidRPr="001F6330">
        <w:rPr>
          <w:rFonts w:cs="Times New Roman"/>
          <w:color w:val="000000"/>
          <w:sz w:val="20"/>
          <w:szCs w:val="20"/>
        </w:rPr>
        <w:t xml:space="preserve"> приблизително три пъти</w:t>
      </w:r>
      <w:r w:rsidR="00FC147F" w:rsidRPr="001F6330">
        <w:rPr>
          <w:rFonts w:cs="Times New Roman"/>
          <w:color w:val="000000"/>
          <w:sz w:val="20"/>
          <w:szCs w:val="20"/>
        </w:rPr>
        <w:t>, въз основа на процента на инфлация от момента на приемане на наредбата през 1998 г. до момента на изготвяне на настоящото изменение.</w:t>
      </w:r>
      <w:r w:rsidR="007163A6" w:rsidRPr="001F6330">
        <w:rPr>
          <w:rFonts w:cs="Times New Roman"/>
          <w:color w:val="000000"/>
          <w:sz w:val="20"/>
          <w:szCs w:val="20"/>
        </w:rPr>
        <w:t xml:space="preserve"> </w:t>
      </w:r>
      <w:r w:rsidR="00FC147F" w:rsidRPr="001F6330">
        <w:rPr>
          <w:rFonts w:cs="Times New Roman"/>
          <w:color w:val="000000"/>
          <w:sz w:val="20"/>
          <w:szCs w:val="20"/>
        </w:rPr>
        <w:t>Предложените цени</w:t>
      </w:r>
      <w:r w:rsidR="00DD7A56" w:rsidRPr="001F6330">
        <w:rPr>
          <w:rFonts w:cs="Times New Roman"/>
          <w:color w:val="000000"/>
          <w:sz w:val="20"/>
          <w:szCs w:val="20"/>
        </w:rPr>
        <w:t xml:space="preserve"> са определени по данни на </w:t>
      </w:r>
      <w:r w:rsidR="00DD7A56" w:rsidRPr="001F6330">
        <w:rPr>
          <w:rFonts w:cs="Times New Roman"/>
          <w:color w:val="000000"/>
          <w:sz w:val="20"/>
          <w:szCs w:val="20"/>
        </w:rPr>
        <w:lastRenderedPageBreak/>
        <w:t xml:space="preserve">Националния статистически институт за индекса на </w:t>
      </w:r>
      <w:r w:rsidR="007163A6" w:rsidRPr="001F6330">
        <w:rPr>
          <w:rFonts w:cs="Times New Roman"/>
          <w:color w:val="000000"/>
          <w:sz w:val="20"/>
          <w:szCs w:val="20"/>
        </w:rPr>
        <w:t xml:space="preserve">потребителските цени за декември 2024 г. спрямо май 1998 г., който е 314.5%, </w:t>
      </w:r>
      <w:r w:rsidR="000D2B1F" w:rsidRPr="001F6330">
        <w:rPr>
          <w:rFonts w:cs="Times New Roman"/>
          <w:color w:val="000000"/>
          <w:sz w:val="20"/>
          <w:szCs w:val="20"/>
        </w:rPr>
        <w:t>т.е.</w:t>
      </w:r>
      <w:r w:rsidR="007163A6" w:rsidRPr="001F6330">
        <w:rPr>
          <w:rFonts w:cs="Times New Roman"/>
          <w:color w:val="000000"/>
          <w:sz w:val="20"/>
          <w:szCs w:val="20"/>
        </w:rPr>
        <w:t xml:space="preserve"> инфлацията е 214.5%</w:t>
      </w:r>
      <w:r w:rsidR="00FC147F" w:rsidRPr="001F6330">
        <w:rPr>
          <w:rFonts w:cs="Times New Roman"/>
          <w:color w:val="000000"/>
          <w:sz w:val="20"/>
          <w:szCs w:val="20"/>
        </w:rPr>
        <w:t xml:space="preserve"> (писмо с вх. № 03-375/06.02.2025 г. от председателя на Националния статистически институт)</w:t>
      </w:r>
      <w:r w:rsidR="007163A6" w:rsidRPr="001F6330">
        <w:rPr>
          <w:rFonts w:cs="Times New Roman"/>
          <w:color w:val="000000"/>
          <w:sz w:val="20"/>
          <w:szCs w:val="20"/>
        </w:rPr>
        <w:t>.</w:t>
      </w:r>
    </w:p>
    <w:p w14:paraId="61915E65" w14:textId="42CF76F0" w:rsidR="00595D75" w:rsidRPr="001F6330" w:rsidRDefault="00595D75" w:rsidP="007B0979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 xml:space="preserve">Други промени в проекта на Постановление на Министерския съвет за изменение и допълнение на Наредбата са </w:t>
      </w:r>
      <w:r w:rsidR="00634FB4" w:rsidRPr="001F6330">
        <w:rPr>
          <w:rFonts w:cs="Times New Roman"/>
          <w:color w:val="000000"/>
          <w:sz w:val="20"/>
          <w:szCs w:val="20"/>
        </w:rPr>
        <w:t>предложени във връзка</w:t>
      </w:r>
      <w:r w:rsidRPr="001F6330">
        <w:rPr>
          <w:rFonts w:cs="Times New Roman"/>
          <w:color w:val="000000"/>
          <w:sz w:val="20"/>
          <w:szCs w:val="20"/>
        </w:rPr>
        <w:t xml:space="preserve"> с </w:t>
      </w:r>
      <w:r w:rsidRPr="001F6330">
        <w:rPr>
          <w:color w:val="000000"/>
          <w:sz w:val="20"/>
          <w:szCs w:val="20"/>
        </w:rPr>
        <w:t>приемането на Закона за въвеждане на еврото в Република България</w:t>
      </w:r>
      <w:r w:rsidR="00154679" w:rsidRPr="001F6330">
        <w:rPr>
          <w:color w:val="000000"/>
          <w:sz w:val="20"/>
          <w:szCs w:val="20"/>
        </w:rPr>
        <w:t>, в изпълнение на който</w:t>
      </w:r>
      <w:r w:rsidRPr="001F6330">
        <w:rPr>
          <w:color w:val="000000"/>
          <w:sz w:val="20"/>
          <w:szCs w:val="20"/>
        </w:rPr>
        <w:t xml:space="preserve"> се налага действащите подзаконови нормативни актове да се приведат в съответствие с него, при спазване на принципа на защита на потребителите, принципа на информираност, принципа на ефективност и икономичност, принципа на прозрачност и принципа на приемственост и автоматично </w:t>
      </w:r>
      <w:proofErr w:type="spellStart"/>
      <w:r w:rsidRPr="001F6330">
        <w:rPr>
          <w:color w:val="000000"/>
          <w:sz w:val="20"/>
          <w:szCs w:val="20"/>
        </w:rPr>
        <w:t>превалутиране</w:t>
      </w:r>
      <w:proofErr w:type="spellEnd"/>
      <w:r w:rsidRPr="001F6330">
        <w:rPr>
          <w:color w:val="000000"/>
          <w:sz w:val="20"/>
          <w:szCs w:val="20"/>
        </w:rPr>
        <w:t xml:space="preserve"> на суми от левове в евро.</w:t>
      </w:r>
    </w:p>
    <w:p w14:paraId="5DE30024" w14:textId="38F61B1F" w:rsidR="0089599A" w:rsidRPr="001F6330" w:rsidRDefault="0089599A" w:rsidP="00213500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 xml:space="preserve">При </w:t>
      </w:r>
      <w:proofErr w:type="spellStart"/>
      <w:r w:rsidRPr="001F6330">
        <w:rPr>
          <w:rFonts w:cs="Times New Roman"/>
          <w:color w:val="000000"/>
          <w:sz w:val="20"/>
          <w:szCs w:val="20"/>
        </w:rPr>
        <w:t>превалутирането</w:t>
      </w:r>
      <w:proofErr w:type="spellEnd"/>
      <w:r w:rsidRPr="001F6330">
        <w:rPr>
          <w:rFonts w:cs="Times New Roman"/>
          <w:color w:val="000000"/>
          <w:sz w:val="20"/>
          <w:szCs w:val="20"/>
        </w:rPr>
        <w:t xml:space="preserve"> за определяне на размера на </w:t>
      </w:r>
      <w:r w:rsidR="00213500" w:rsidRPr="001F6330">
        <w:rPr>
          <w:rFonts w:cs="Times New Roman"/>
          <w:color w:val="000000"/>
          <w:sz w:val="20"/>
          <w:szCs w:val="20"/>
        </w:rPr>
        <w:t xml:space="preserve">цените </w:t>
      </w:r>
      <w:r w:rsidRPr="001F6330">
        <w:rPr>
          <w:rFonts w:cs="Times New Roman"/>
          <w:color w:val="000000"/>
          <w:sz w:val="20"/>
          <w:szCs w:val="20"/>
        </w:rPr>
        <w:t xml:space="preserve">в евро е спазен подходът и правилата за </w:t>
      </w:r>
      <w:proofErr w:type="spellStart"/>
      <w:r w:rsidRPr="001F6330">
        <w:rPr>
          <w:rFonts w:cs="Times New Roman"/>
          <w:color w:val="000000"/>
          <w:sz w:val="20"/>
          <w:szCs w:val="20"/>
        </w:rPr>
        <w:t>превалутиране</w:t>
      </w:r>
      <w:proofErr w:type="spellEnd"/>
      <w:r w:rsidRPr="001F6330">
        <w:rPr>
          <w:rFonts w:cs="Times New Roman"/>
          <w:color w:val="000000"/>
          <w:sz w:val="20"/>
          <w:szCs w:val="20"/>
        </w:rPr>
        <w:t>, заложени съответно в чл. 12 и чл. 13 от Закона за въвеждане на еврото в Република България, а именно:</w:t>
      </w:r>
    </w:p>
    <w:p w14:paraId="68895312" w14:textId="5575C871" w:rsidR="0089599A" w:rsidRPr="001F6330" w:rsidRDefault="0089599A" w:rsidP="0089599A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 xml:space="preserve">Числовата стойност на </w:t>
      </w:r>
      <w:r w:rsidR="00AB113B" w:rsidRPr="001F6330">
        <w:rPr>
          <w:rFonts w:cs="Times New Roman"/>
          <w:color w:val="000000"/>
          <w:sz w:val="20"/>
          <w:szCs w:val="20"/>
        </w:rPr>
        <w:t>цени</w:t>
      </w:r>
      <w:r w:rsidRPr="001F6330">
        <w:rPr>
          <w:rFonts w:cs="Times New Roman"/>
          <w:color w:val="000000"/>
          <w:sz w:val="20"/>
          <w:szCs w:val="20"/>
        </w:rPr>
        <w:t xml:space="preserve">те от действащата </w:t>
      </w:r>
      <w:r w:rsidR="00AB113B" w:rsidRPr="001F6330">
        <w:rPr>
          <w:rFonts w:cs="Times New Roman"/>
          <w:color w:val="000000"/>
          <w:sz w:val="20"/>
          <w:szCs w:val="20"/>
        </w:rPr>
        <w:t>Наредба</w:t>
      </w:r>
      <w:r w:rsidRPr="001F6330">
        <w:rPr>
          <w:rFonts w:cs="Times New Roman"/>
          <w:color w:val="000000"/>
          <w:sz w:val="20"/>
          <w:szCs w:val="20"/>
        </w:rPr>
        <w:t xml:space="preserve"> в левове е разделена на пълната числова стойност на официалния валутен курс, изразен с шест цифри с всичките пет знака след десетичната запетая (1,95583) и полученият резултат е закръглен до втория знак след десетичната запетая на базата на третия знак след десетичната запетая в съответствие с математическото правило:</w:t>
      </w:r>
    </w:p>
    <w:p w14:paraId="7744CC40" w14:textId="77777777" w:rsidR="0089599A" w:rsidRPr="001F6330" w:rsidRDefault="0089599A" w:rsidP="0089599A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>1. когато третият знак след десетичната запетая е по-малък от пет, вторият знак след десетичната запетая остава непроменен;</w:t>
      </w:r>
    </w:p>
    <w:p w14:paraId="255CB6FA" w14:textId="77777777" w:rsidR="0089599A" w:rsidRPr="001F6330" w:rsidRDefault="0089599A" w:rsidP="0089599A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>2. когато третият знак след десетичната запетая е равен на или по-голям от пет, вторият знак след десетичната запетая се увеличава с една единица.</w:t>
      </w:r>
    </w:p>
    <w:p w14:paraId="70E454E2" w14:textId="77777777" w:rsidR="0089599A" w:rsidRPr="001F6330" w:rsidRDefault="0089599A" w:rsidP="0089599A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>Във връзка с гореизложеното е необходимо действащата към момента Наредба за реда за определяне на цени на земеделските земи да бъде изменена и допълнена.</w:t>
      </w:r>
    </w:p>
    <w:p w14:paraId="7D77BCFA" w14:textId="5D5AA7E0" w:rsidR="001D160A" w:rsidRPr="001F6330" w:rsidRDefault="0089599A" w:rsidP="00213500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>Проектът на Постановление на Министерския съвет за изменение и допълнение на Наредбата за реда за определяне</w:t>
      </w:r>
      <w:r w:rsidR="001F6330" w:rsidRPr="001F6330">
        <w:rPr>
          <w:rFonts w:cs="Times New Roman"/>
          <w:color w:val="000000"/>
          <w:sz w:val="20"/>
          <w:szCs w:val="20"/>
        </w:rPr>
        <w:t xml:space="preserve"> на цени на земеделските земи е</w:t>
      </w:r>
      <w:r w:rsidRPr="001F6330">
        <w:rPr>
          <w:rFonts w:cs="Times New Roman"/>
          <w:color w:val="000000"/>
          <w:sz w:val="20"/>
          <w:szCs w:val="20"/>
        </w:rPr>
        <w:t xml:space="preserve"> </w:t>
      </w:r>
      <w:r w:rsidR="007B0979" w:rsidRPr="001F6330">
        <w:rPr>
          <w:rFonts w:cs="Times New Roman"/>
          <w:color w:val="000000"/>
          <w:sz w:val="20"/>
          <w:szCs w:val="20"/>
        </w:rPr>
        <w:t xml:space="preserve">включен </w:t>
      </w:r>
      <w:r w:rsidRPr="001F6330">
        <w:rPr>
          <w:rFonts w:cs="Times New Roman"/>
          <w:color w:val="000000"/>
          <w:sz w:val="20"/>
          <w:szCs w:val="20"/>
        </w:rPr>
        <w:t>в Оперативната програма на Минис</w:t>
      </w:r>
      <w:r w:rsidR="00213500" w:rsidRPr="001F6330">
        <w:rPr>
          <w:rFonts w:cs="Times New Roman"/>
          <w:color w:val="000000"/>
          <w:sz w:val="20"/>
          <w:szCs w:val="20"/>
        </w:rPr>
        <w:t xml:space="preserve">терския съвет за периода </w:t>
      </w:r>
      <w:r w:rsidR="007B0979" w:rsidRPr="001F6330">
        <w:rPr>
          <w:rFonts w:cs="Times New Roman"/>
          <w:color w:val="000000"/>
          <w:sz w:val="20"/>
          <w:szCs w:val="20"/>
        </w:rPr>
        <w:t xml:space="preserve">април </w:t>
      </w:r>
      <w:r w:rsidRPr="001F6330">
        <w:rPr>
          <w:rFonts w:cs="Times New Roman"/>
          <w:color w:val="000000"/>
          <w:sz w:val="20"/>
          <w:szCs w:val="20"/>
        </w:rPr>
        <w:t>– юни 2025 г.</w:t>
      </w:r>
      <w:r w:rsidR="00123277" w:rsidRPr="001F6330">
        <w:rPr>
          <w:rFonts w:cs="Times New Roman"/>
          <w:color w:val="000000"/>
          <w:sz w:val="20"/>
          <w:szCs w:val="20"/>
        </w:rPr>
        <w:t xml:space="preserve"> </w:t>
      </w:r>
    </w:p>
    <w:p w14:paraId="5569CAD8" w14:textId="77777777" w:rsidR="00E80F45" w:rsidRPr="001F6330" w:rsidRDefault="00E80F45" w:rsidP="00EA52B6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</w:p>
    <w:p w14:paraId="7AAD33DB" w14:textId="46B97FD4" w:rsidR="00FF5357" w:rsidRPr="001F6330" w:rsidRDefault="00FF5357" w:rsidP="00EA52B6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1F6330">
        <w:rPr>
          <w:rFonts w:ascii="Verdana" w:hAnsi="Verdana"/>
          <w:b/>
          <w:color w:val="auto"/>
          <w:sz w:val="20"/>
          <w:szCs w:val="20"/>
        </w:rPr>
        <w:t>Цели</w:t>
      </w:r>
    </w:p>
    <w:p w14:paraId="68E1D14F" w14:textId="562E59CE" w:rsidR="003F221E" w:rsidRPr="001F6330" w:rsidRDefault="008005D1" w:rsidP="003F221E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>Увеличаване на началните цени на декар за всяка категория</w:t>
      </w:r>
      <w:r w:rsidR="008B43E9" w:rsidRPr="001F6330">
        <w:rPr>
          <w:rFonts w:cs="Times New Roman"/>
          <w:color w:val="000000"/>
          <w:sz w:val="20"/>
          <w:szCs w:val="20"/>
        </w:rPr>
        <w:t xml:space="preserve"> земеделски земи</w:t>
      </w:r>
      <w:r w:rsidRPr="001F6330">
        <w:rPr>
          <w:rFonts w:cs="Times New Roman"/>
          <w:color w:val="000000"/>
          <w:sz w:val="20"/>
          <w:szCs w:val="20"/>
        </w:rPr>
        <w:t xml:space="preserve">, определени в таблицата по чл. 3 от Наредбата, с цел </w:t>
      </w:r>
      <w:r w:rsidR="00C42E1A" w:rsidRPr="001F6330">
        <w:rPr>
          <w:rFonts w:cs="Times New Roman"/>
          <w:color w:val="000000"/>
          <w:sz w:val="20"/>
          <w:szCs w:val="20"/>
        </w:rPr>
        <w:t>о</w:t>
      </w:r>
      <w:r w:rsidR="003F221E" w:rsidRPr="001F6330">
        <w:rPr>
          <w:rFonts w:cs="Times New Roman"/>
          <w:color w:val="000000"/>
          <w:sz w:val="20"/>
          <w:szCs w:val="20"/>
        </w:rPr>
        <w:t xml:space="preserve">пределяне </w:t>
      </w:r>
      <w:r w:rsidR="006039C8" w:rsidRPr="001F6330">
        <w:rPr>
          <w:rFonts w:cs="Times New Roman"/>
          <w:color w:val="000000"/>
          <w:sz w:val="20"/>
          <w:szCs w:val="20"/>
        </w:rPr>
        <w:t xml:space="preserve">на </w:t>
      </w:r>
      <w:r w:rsidR="003F221E" w:rsidRPr="001F6330">
        <w:rPr>
          <w:rFonts w:cs="Times New Roman"/>
          <w:color w:val="000000"/>
          <w:sz w:val="20"/>
          <w:szCs w:val="20"/>
        </w:rPr>
        <w:t xml:space="preserve">равностойно обезщетение </w:t>
      </w:r>
      <w:r w:rsidR="00551641" w:rsidRPr="001F6330">
        <w:rPr>
          <w:rFonts w:cs="Times New Roman"/>
          <w:color w:val="000000"/>
          <w:sz w:val="20"/>
          <w:szCs w:val="20"/>
        </w:rPr>
        <w:t xml:space="preserve">в случаите по чл. 32, ал. 3, т. 2 от ЗДС </w:t>
      </w:r>
      <w:r w:rsidR="00C42E1A" w:rsidRPr="001F6330">
        <w:rPr>
          <w:rFonts w:cs="Times New Roman"/>
          <w:color w:val="000000"/>
          <w:sz w:val="20"/>
          <w:szCs w:val="20"/>
        </w:rPr>
        <w:t xml:space="preserve">при отчуждаване на имоти и части от имоти </w:t>
      </w:r>
      <w:r w:rsidR="00237DF1" w:rsidRPr="001F6330">
        <w:rPr>
          <w:rFonts w:cs="Times New Roman"/>
          <w:color w:val="000000"/>
          <w:sz w:val="20"/>
          <w:szCs w:val="20"/>
        </w:rPr>
        <w:t>–</w:t>
      </w:r>
      <w:r w:rsidR="00C42E1A" w:rsidRPr="001F6330">
        <w:rPr>
          <w:rFonts w:cs="Times New Roman"/>
          <w:color w:val="000000"/>
          <w:sz w:val="20"/>
          <w:szCs w:val="20"/>
        </w:rPr>
        <w:t xml:space="preserve"> собственост на физически или юридически лица за задоволяване на държавни нужди</w:t>
      </w:r>
      <w:r w:rsidR="005C6CD0" w:rsidRPr="001F6330">
        <w:rPr>
          <w:rFonts w:cs="Times New Roman"/>
          <w:color w:val="000000"/>
          <w:sz w:val="20"/>
          <w:szCs w:val="20"/>
        </w:rPr>
        <w:t xml:space="preserve">, респ. </w:t>
      </w:r>
      <w:r w:rsidR="008B43E9" w:rsidRPr="001F6330">
        <w:rPr>
          <w:rFonts w:cs="Times New Roman"/>
          <w:color w:val="000000"/>
          <w:sz w:val="20"/>
          <w:szCs w:val="20"/>
        </w:rPr>
        <w:t>н</w:t>
      </w:r>
      <w:r w:rsidR="005C6CD0" w:rsidRPr="001F6330">
        <w:rPr>
          <w:rFonts w:cs="Times New Roman"/>
          <w:color w:val="000000"/>
          <w:sz w:val="20"/>
          <w:szCs w:val="20"/>
        </w:rPr>
        <w:t xml:space="preserve">а чл. 1, т. 5 от Наредбата, както и увеличаване стойността на </w:t>
      </w:r>
      <w:r w:rsidR="005C6CD0" w:rsidRPr="001F6330">
        <w:rPr>
          <w:rFonts w:cs="Times New Roman"/>
          <w:color w:val="000000"/>
          <w:spacing w:val="4"/>
          <w:sz w:val="20"/>
          <w:szCs w:val="20"/>
        </w:rPr>
        <w:t>обезщетенията, предвидени в чл. 10б, ал. 1 и чл. 10в от ЗСПЗЗ, съответно в чл. 1,</w:t>
      </w:r>
      <w:r w:rsidR="005C6CD0" w:rsidRPr="001F6330">
        <w:rPr>
          <w:rFonts w:cs="Times New Roman"/>
          <w:color w:val="000000"/>
          <w:sz w:val="20"/>
          <w:szCs w:val="20"/>
        </w:rPr>
        <w:t xml:space="preserve"> т. 1 от Наредбата.</w:t>
      </w:r>
    </w:p>
    <w:p w14:paraId="69D5F97D" w14:textId="77777777" w:rsidR="00EB0D2A" w:rsidRPr="001F6330" w:rsidRDefault="00EB0D2A" w:rsidP="00EA52B6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</w:p>
    <w:p w14:paraId="75879F14" w14:textId="77777777" w:rsidR="00FF5357" w:rsidRPr="001F6330" w:rsidRDefault="00FF5357" w:rsidP="00EA52B6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1F6330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 на акта</w:t>
      </w:r>
    </w:p>
    <w:p w14:paraId="01A5F6F5" w14:textId="43323B35" w:rsidR="008005D1" w:rsidRPr="001F6330" w:rsidRDefault="008005D1" w:rsidP="008005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 xml:space="preserve">При отчуждаване на имоти и части от имоти </w:t>
      </w:r>
      <w:r w:rsidR="00237DF1" w:rsidRPr="001F6330">
        <w:rPr>
          <w:rFonts w:cs="Times New Roman"/>
          <w:color w:val="000000"/>
          <w:sz w:val="20"/>
          <w:szCs w:val="20"/>
        </w:rPr>
        <w:t>–</w:t>
      </w:r>
      <w:r w:rsidRPr="001F6330">
        <w:rPr>
          <w:rFonts w:cs="Times New Roman"/>
          <w:color w:val="000000"/>
          <w:sz w:val="20"/>
          <w:szCs w:val="20"/>
        </w:rPr>
        <w:t xml:space="preserve"> собственост на физически или юридически лица за задоволяване на държавни нужди, в случаите по чл. 32, ал. 3, т. </w:t>
      </w:r>
      <w:r w:rsidRPr="001F6330">
        <w:rPr>
          <w:rFonts w:cs="Times New Roman"/>
          <w:color w:val="000000"/>
          <w:sz w:val="20"/>
          <w:szCs w:val="20"/>
        </w:rPr>
        <w:lastRenderedPageBreak/>
        <w:t>2 от ЗДС, ще се определя равностойно обезщетение в съответствие с чл. 17, ал. 5 от Конституцията.</w:t>
      </w:r>
    </w:p>
    <w:p w14:paraId="099C6265" w14:textId="7DCF2BB7" w:rsidR="008005D1" w:rsidRPr="001F6330" w:rsidRDefault="008005D1" w:rsidP="008005D1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>Собствениците на отчуждените имоти ще получават адекватно обезщетение и няма да водят дела пред Е</w:t>
      </w:r>
      <w:r w:rsidR="008B43E9" w:rsidRPr="001F6330">
        <w:rPr>
          <w:rFonts w:cs="Times New Roman"/>
          <w:color w:val="000000"/>
          <w:sz w:val="20"/>
          <w:szCs w:val="20"/>
        </w:rPr>
        <w:t>вропейския съд по правата на човека</w:t>
      </w:r>
      <w:r w:rsidRPr="001F6330">
        <w:rPr>
          <w:rFonts w:cs="Times New Roman"/>
          <w:color w:val="000000"/>
          <w:sz w:val="20"/>
          <w:szCs w:val="20"/>
        </w:rPr>
        <w:t xml:space="preserve"> за нарушение на чл. 1 от Протокол 1 към Конвенцията за защита на правата на човека и основните свободи.</w:t>
      </w:r>
    </w:p>
    <w:p w14:paraId="7F173332" w14:textId="77023981" w:rsidR="008005D1" w:rsidRPr="001F6330" w:rsidRDefault="00C42E1A" w:rsidP="00EA52B6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 xml:space="preserve">Българската държава няма да бъде осъждана за нарушение на чл. 1 от Протокол 1 към Конвенцията за защита на правата на човека и основните свободи, респ. </w:t>
      </w:r>
      <w:r w:rsidR="008005D1" w:rsidRPr="001F6330">
        <w:rPr>
          <w:rFonts w:cs="Times New Roman"/>
          <w:color w:val="000000"/>
          <w:sz w:val="20"/>
          <w:szCs w:val="20"/>
        </w:rPr>
        <w:t xml:space="preserve">няма да </w:t>
      </w:r>
      <w:r w:rsidRPr="001F6330">
        <w:rPr>
          <w:rFonts w:cs="Times New Roman"/>
          <w:color w:val="000000"/>
          <w:sz w:val="20"/>
          <w:szCs w:val="20"/>
        </w:rPr>
        <w:t>се разходват</w:t>
      </w:r>
      <w:r w:rsidR="008005D1" w:rsidRPr="001F6330">
        <w:rPr>
          <w:rFonts w:cs="Times New Roman"/>
          <w:color w:val="000000"/>
          <w:sz w:val="20"/>
          <w:szCs w:val="20"/>
        </w:rPr>
        <w:t xml:space="preserve"> </w:t>
      </w:r>
      <w:r w:rsidRPr="001F6330">
        <w:rPr>
          <w:rFonts w:cs="Times New Roman"/>
          <w:color w:val="000000"/>
          <w:sz w:val="20"/>
          <w:szCs w:val="20"/>
        </w:rPr>
        <w:t>средства за заплащане от държавния бюджет на съдебни разноски по делата пред</w:t>
      </w:r>
      <w:r w:rsidR="00BF7D7C" w:rsidRPr="001F6330">
        <w:rPr>
          <w:rFonts w:cs="Times New Roman"/>
          <w:color w:val="000000"/>
          <w:sz w:val="20"/>
          <w:szCs w:val="20"/>
        </w:rPr>
        <w:t xml:space="preserve"> ЕСПЧ, адвокатските хонорари и </w:t>
      </w:r>
      <w:r w:rsidRPr="001F6330">
        <w:rPr>
          <w:rFonts w:cs="Times New Roman"/>
          <w:color w:val="000000"/>
          <w:sz w:val="20"/>
          <w:szCs w:val="20"/>
        </w:rPr>
        <w:t>експертизи.</w:t>
      </w:r>
    </w:p>
    <w:p w14:paraId="3AD12AAD" w14:textId="7AC83CC7" w:rsidR="005C6CD0" w:rsidRPr="001F6330" w:rsidRDefault="00697111" w:rsidP="00EA52B6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 xml:space="preserve">Ще се увеличи стойността на земеделските земи от държавния или от общинския поземлен фонд и/или броя поименни компенсационни бонове, предоставени за обезщетение в </w:t>
      </w:r>
      <w:r w:rsidR="005C6CD0" w:rsidRPr="001F6330">
        <w:rPr>
          <w:rFonts w:cs="Times New Roman"/>
          <w:color w:val="000000"/>
          <w:sz w:val="20"/>
          <w:szCs w:val="20"/>
        </w:rPr>
        <w:t xml:space="preserve">предвидените в реституционния ЗСПЗЗ </w:t>
      </w:r>
      <w:r w:rsidRPr="001F6330">
        <w:rPr>
          <w:rFonts w:cs="Times New Roman"/>
          <w:color w:val="000000"/>
          <w:sz w:val="20"/>
          <w:szCs w:val="20"/>
        </w:rPr>
        <w:t>хипотези.</w:t>
      </w:r>
    </w:p>
    <w:p w14:paraId="51D43830" w14:textId="77777777" w:rsidR="00D10ECD" w:rsidRPr="001F6330" w:rsidRDefault="00D10ECD" w:rsidP="00D10ECD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>С приемането на акта Наредбата ще се приведе в съответствие със Закона за въвеждане на еврото в Република България.</w:t>
      </w:r>
    </w:p>
    <w:p w14:paraId="557C6214" w14:textId="77777777" w:rsidR="00D10ECD" w:rsidRPr="001F6330" w:rsidRDefault="00D10ECD" w:rsidP="00D10ECD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1F6330">
        <w:rPr>
          <w:rFonts w:cs="Times New Roman"/>
          <w:color w:val="000000"/>
          <w:sz w:val="20"/>
          <w:szCs w:val="20"/>
        </w:rPr>
        <w:t>Чрез преизчислението в евро се постига яснота за потребителите при въвеждането на еврото като официална парична единица в Република България.</w:t>
      </w:r>
    </w:p>
    <w:p w14:paraId="6ED0A157" w14:textId="77777777" w:rsidR="00272AC9" w:rsidRPr="001F6330" w:rsidRDefault="00272AC9" w:rsidP="00EA52B6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</w:rPr>
      </w:pPr>
    </w:p>
    <w:p w14:paraId="2EBD5DE1" w14:textId="77777777" w:rsidR="00555E16" w:rsidRPr="001F6330" w:rsidRDefault="00C56C89" w:rsidP="00EA52B6">
      <w:pPr>
        <w:widowControl/>
        <w:shd w:val="clear" w:color="auto" w:fill="FEFEFE"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</w:rPr>
      </w:pPr>
      <w:r w:rsidRPr="001F6330">
        <w:rPr>
          <w:b/>
          <w:sz w:val="20"/>
          <w:szCs w:val="20"/>
        </w:rPr>
        <w:t>А</w:t>
      </w:r>
      <w:r w:rsidR="00555E16" w:rsidRPr="001F6330">
        <w:rPr>
          <w:b/>
          <w:sz w:val="20"/>
          <w:szCs w:val="20"/>
        </w:rPr>
        <w:t>нализ за съответствие с правото на Европейския съюз</w:t>
      </w:r>
    </w:p>
    <w:p w14:paraId="69A19BB6" w14:textId="77777777" w:rsidR="00C42E1A" w:rsidRPr="001F6330" w:rsidRDefault="00C42E1A" w:rsidP="00C42E1A">
      <w:pPr>
        <w:overflowPunct w:val="0"/>
        <w:spacing w:line="336" w:lineRule="auto"/>
        <w:ind w:firstLine="708"/>
        <w:jc w:val="both"/>
        <w:textAlignment w:val="baseline"/>
        <w:rPr>
          <w:rFonts w:cs="Times New Roman"/>
          <w:sz w:val="20"/>
          <w:szCs w:val="20"/>
        </w:rPr>
      </w:pPr>
      <w:r w:rsidRPr="001F6330">
        <w:rPr>
          <w:rFonts w:cs="Times New Roman"/>
          <w:sz w:val="20"/>
          <w:szCs w:val="20"/>
        </w:rPr>
        <w:t xml:space="preserve">С предложения проект на Постановление не се транспонират актове на институции на Европейския съюз, поради което не е изготвена и представена таблица на съответствието с правото на Европейския съюз. </w:t>
      </w:r>
    </w:p>
    <w:p w14:paraId="4E444C8B" w14:textId="77777777" w:rsidR="004034EF" w:rsidRPr="001F6330" w:rsidRDefault="004034EF" w:rsidP="00EA52B6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</w:p>
    <w:p w14:paraId="433C075E" w14:textId="77777777" w:rsidR="0021285B" w:rsidRPr="001F6330" w:rsidRDefault="0021285B" w:rsidP="00EA52B6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1F6330">
        <w:rPr>
          <w:b/>
          <w:sz w:val="20"/>
          <w:szCs w:val="20"/>
        </w:rPr>
        <w:t>Финансови и други средства, необходими за прилагането на новата уредба</w:t>
      </w:r>
    </w:p>
    <w:p w14:paraId="54E5F71F" w14:textId="77777777" w:rsidR="008660A2" w:rsidRPr="001F6330" w:rsidRDefault="008660A2" w:rsidP="008660A2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1F6330">
        <w:rPr>
          <w:rFonts w:cs="LiberationSerif"/>
          <w:sz w:val="20"/>
          <w:szCs w:val="20"/>
        </w:rPr>
        <w:t>Предложеният проект на акт не води до въздействие върху държавния бюджет, поради което е приложена финансова обосновка съгласно чл. 35, ал. 1, т. 4, буква „б“ от Устройствения правилник на Министерския съвет и на неговата администрация.</w:t>
      </w:r>
    </w:p>
    <w:p w14:paraId="1D4C4364" w14:textId="2A6BB885" w:rsidR="008660A2" w:rsidRPr="001F6330" w:rsidRDefault="008660A2" w:rsidP="00EA52B6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 w:rsidRPr="001F6330">
        <w:rPr>
          <w:rFonts w:cs="LiberationSerif"/>
          <w:sz w:val="20"/>
          <w:szCs w:val="20"/>
        </w:rPr>
        <w:t>Не са необходими допълнителни разходи/трансфери и други плащания по бюджета на Министерството на земеделието и храните.</w:t>
      </w:r>
    </w:p>
    <w:p w14:paraId="4B6C0A99" w14:textId="6D77BD79" w:rsidR="00EA52B6" w:rsidRPr="001F6330" w:rsidRDefault="00EA52B6" w:rsidP="00EA52B6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1F6330">
        <w:rPr>
          <w:rFonts w:cs="LiberationSerif"/>
          <w:sz w:val="20"/>
          <w:szCs w:val="20"/>
        </w:rPr>
        <w:t>Проектът на акт не води до изменения в целевите стойности на показателите за изпълнение, в това число ключовите индикатори.</w:t>
      </w:r>
    </w:p>
    <w:p w14:paraId="6B0B9E34" w14:textId="15084E34" w:rsidR="00EA52B6" w:rsidRPr="001F6330" w:rsidRDefault="00EA52B6" w:rsidP="00EA52B6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</w:p>
    <w:p w14:paraId="4682FBF0" w14:textId="77777777" w:rsidR="00151632" w:rsidRPr="001F6330" w:rsidRDefault="00151632" w:rsidP="00EA52B6">
      <w:pPr>
        <w:pStyle w:val="NormalWeb"/>
        <w:widowControl w:val="0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1F6330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14:paraId="386CE38C" w14:textId="5EF7B88D" w:rsidR="000A2C06" w:rsidRPr="001F6330" w:rsidRDefault="00C37FBA" w:rsidP="00E80F45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 w:rsidRPr="001F6330">
        <w:rPr>
          <w:rFonts w:cs="Times New Roman"/>
          <w:sz w:val="20"/>
          <w:szCs w:val="20"/>
          <w:lang w:eastAsia="en-US"/>
        </w:rPr>
        <w:t>Съгласно чл. 26, ал. 3 и 4 от Закона за нормативните актове проектът на постановление, проектът на доклад</w:t>
      </w:r>
      <w:r w:rsidR="008660A2" w:rsidRPr="001F6330">
        <w:rPr>
          <w:rFonts w:cs="Times New Roman"/>
          <w:sz w:val="20"/>
          <w:szCs w:val="20"/>
          <w:lang w:val="en-US" w:eastAsia="en-US"/>
        </w:rPr>
        <w:t xml:space="preserve"> (</w:t>
      </w:r>
      <w:r w:rsidR="008660A2" w:rsidRPr="001F6330">
        <w:rPr>
          <w:rFonts w:cs="Times New Roman"/>
          <w:sz w:val="20"/>
          <w:szCs w:val="20"/>
          <w:lang w:eastAsia="en-US"/>
        </w:rPr>
        <w:t>мотиви)</w:t>
      </w:r>
      <w:r w:rsidRPr="001F6330">
        <w:rPr>
          <w:rFonts w:cs="Times New Roman"/>
          <w:sz w:val="20"/>
          <w:szCs w:val="20"/>
          <w:lang w:eastAsia="en-US"/>
        </w:rPr>
        <w:t xml:space="preserve">, частичната предварителната оценка на въздействието и становището на дирекция </w:t>
      </w:r>
      <w:r w:rsidR="00426524" w:rsidRPr="001F6330">
        <w:rPr>
          <w:rFonts w:cs="Times New Roman"/>
          <w:sz w:val="20"/>
          <w:szCs w:val="20"/>
          <w:lang w:eastAsia="en-US"/>
        </w:rPr>
        <w:t>„</w:t>
      </w:r>
      <w:r w:rsidR="00BF7D7C" w:rsidRPr="001F6330">
        <w:rPr>
          <w:rFonts w:cs="Times New Roman"/>
          <w:sz w:val="20"/>
          <w:szCs w:val="20"/>
          <w:lang w:eastAsia="en-US"/>
        </w:rPr>
        <w:t>Координация и модернизация на администрацията</w:t>
      </w:r>
      <w:r w:rsidR="00426524" w:rsidRPr="001F6330">
        <w:rPr>
          <w:rFonts w:cs="Times New Roman"/>
          <w:sz w:val="20"/>
          <w:szCs w:val="20"/>
          <w:lang w:eastAsia="en-US"/>
        </w:rPr>
        <w:t>“</w:t>
      </w:r>
      <w:r w:rsidRPr="001F6330">
        <w:rPr>
          <w:rFonts w:cs="Times New Roman"/>
          <w:sz w:val="20"/>
          <w:szCs w:val="20"/>
          <w:lang w:eastAsia="en-US"/>
        </w:rPr>
        <w:t xml:space="preserve"> в Министерския съвет</w:t>
      </w:r>
      <w:r w:rsidR="00165B36" w:rsidRPr="001F6330">
        <w:rPr>
          <w:rFonts w:cs="Times New Roman"/>
          <w:sz w:val="20"/>
          <w:szCs w:val="20"/>
          <w:lang w:eastAsia="en-US"/>
        </w:rPr>
        <w:t>,</w:t>
      </w:r>
      <w:r w:rsidRPr="001F6330">
        <w:rPr>
          <w:rFonts w:cs="Times New Roman"/>
          <w:sz w:val="20"/>
          <w:szCs w:val="20"/>
          <w:lang w:eastAsia="en-US"/>
        </w:rPr>
        <w:t xml:space="preserve"> са публикувани на интернет страницата на Министерството на земеделието</w:t>
      </w:r>
      <w:r w:rsidR="004549C4" w:rsidRPr="001F6330">
        <w:rPr>
          <w:rFonts w:cs="Times New Roman"/>
          <w:sz w:val="20"/>
          <w:szCs w:val="20"/>
          <w:lang w:eastAsia="en-US"/>
        </w:rPr>
        <w:t xml:space="preserve"> и </w:t>
      </w:r>
      <w:r w:rsidRPr="001F6330">
        <w:rPr>
          <w:rFonts w:cs="Times New Roman"/>
          <w:sz w:val="20"/>
          <w:szCs w:val="20"/>
          <w:lang w:eastAsia="en-US"/>
        </w:rPr>
        <w:t xml:space="preserve">храните и на Портала за обществени консултации със срок за </w:t>
      </w:r>
      <w:r w:rsidR="008660A2" w:rsidRPr="001F6330">
        <w:rPr>
          <w:rFonts w:cs="Times New Roman"/>
          <w:sz w:val="20"/>
          <w:szCs w:val="20"/>
          <w:lang w:eastAsia="en-US"/>
        </w:rPr>
        <w:t>предложения и становища 30 дни.</w:t>
      </w:r>
    </w:p>
    <w:p w14:paraId="25C89A65" w14:textId="5C536BC0" w:rsidR="00C37FBA" w:rsidRPr="001F6330" w:rsidRDefault="00C37FBA" w:rsidP="00EA52B6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 w:rsidRPr="001F6330">
        <w:rPr>
          <w:rFonts w:cs="Times New Roman"/>
          <w:sz w:val="20"/>
          <w:szCs w:val="20"/>
          <w:lang w:eastAsia="en-US"/>
        </w:rPr>
        <w:t xml:space="preserve">В </w:t>
      </w:r>
      <w:r w:rsidR="00243D55" w:rsidRPr="001F6330">
        <w:rPr>
          <w:rFonts w:cs="Times New Roman"/>
          <w:sz w:val="20"/>
          <w:szCs w:val="20"/>
          <w:lang w:eastAsia="en-US"/>
        </w:rPr>
        <w:t>изпълнение на</w:t>
      </w:r>
      <w:r w:rsidRPr="001F6330">
        <w:rPr>
          <w:rFonts w:cs="Times New Roman"/>
          <w:sz w:val="20"/>
          <w:szCs w:val="20"/>
          <w:lang w:eastAsia="en-US"/>
        </w:rPr>
        <w:t xml:space="preserve"> чл. 26, ал. 5 от Закона за нормативните актове, справката за отразяване на предложения и становища, постъпили при проведената обществена </w:t>
      </w:r>
      <w:r w:rsidRPr="001F6330">
        <w:rPr>
          <w:rFonts w:cs="Times New Roman"/>
          <w:sz w:val="20"/>
          <w:szCs w:val="20"/>
          <w:lang w:eastAsia="en-US"/>
        </w:rPr>
        <w:lastRenderedPageBreak/>
        <w:t>консултация е публикувана на интернет страницата на Министерството на земеделието</w:t>
      </w:r>
      <w:r w:rsidR="004549C4" w:rsidRPr="001F6330">
        <w:rPr>
          <w:rFonts w:cs="Times New Roman"/>
          <w:sz w:val="20"/>
          <w:szCs w:val="20"/>
          <w:lang w:eastAsia="en-US"/>
        </w:rPr>
        <w:t xml:space="preserve"> и храните и </w:t>
      </w:r>
      <w:r w:rsidRPr="001F6330">
        <w:rPr>
          <w:rFonts w:cs="Times New Roman"/>
          <w:sz w:val="20"/>
          <w:szCs w:val="20"/>
          <w:lang w:eastAsia="en-US"/>
        </w:rPr>
        <w:t>на Портала за обществени консултации.</w:t>
      </w:r>
    </w:p>
    <w:p w14:paraId="0B8E58AC" w14:textId="77777777" w:rsidR="007A122B" w:rsidRPr="001F6330" w:rsidRDefault="007A122B" w:rsidP="00EA52B6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</w:p>
    <w:p w14:paraId="1BD7DB20" w14:textId="16E87868" w:rsidR="00C37FBA" w:rsidRPr="001F6330" w:rsidRDefault="004549C4" w:rsidP="00EA52B6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 w:rsidRPr="001F6330">
        <w:rPr>
          <w:rFonts w:cs="Times New Roman"/>
          <w:sz w:val="20"/>
          <w:szCs w:val="20"/>
          <w:lang w:eastAsia="en-US"/>
        </w:rPr>
        <w:t>Проект</w:t>
      </w:r>
      <w:r w:rsidR="009C07BB" w:rsidRPr="001F6330">
        <w:rPr>
          <w:rFonts w:cs="Times New Roman"/>
          <w:sz w:val="20"/>
          <w:szCs w:val="20"/>
          <w:lang w:eastAsia="en-US"/>
        </w:rPr>
        <w:t>ът</w:t>
      </w:r>
      <w:r w:rsidRPr="001F6330">
        <w:rPr>
          <w:rFonts w:cs="Times New Roman"/>
          <w:sz w:val="20"/>
          <w:szCs w:val="20"/>
          <w:lang w:eastAsia="en-US"/>
        </w:rPr>
        <w:t xml:space="preserve"> на Постановление на Министерския съвет за изменение и допълнение на Наредба</w:t>
      </w:r>
      <w:r w:rsidR="009C07BB" w:rsidRPr="001F6330">
        <w:rPr>
          <w:rFonts w:cs="Times New Roman"/>
          <w:sz w:val="20"/>
          <w:szCs w:val="20"/>
          <w:lang w:eastAsia="en-US"/>
        </w:rPr>
        <w:t>та</w:t>
      </w:r>
      <w:r w:rsidRPr="001F6330">
        <w:rPr>
          <w:rFonts w:cs="Times New Roman"/>
          <w:sz w:val="20"/>
          <w:szCs w:val="20"/>
          <w:lang w:eastAsia="en-US"/>
        </w:rPr>
        <w:t xml:space="preserve"> за</w:t>
      </w:r>
      <w:r w:rsidR="00551641" w:rsidRPr="001F6330">
        <w:rPr>
          <w:rFonts w:cs="Times New Roman"/>
          <w:sz w:val="20"/>
          <w:szCs w:val="20"/>
        </w:rPr>
        <w:t xml:space="preserve"> </w:t>
      </w:r>
      <w:r w:rsidR="00551641" w:rsidRPr="001F6330">
        <w:rPr>
          <w:rFonts w:cs="Times New Roman"/>
          <w:color w:val="000000"/>
          <w:sz w:val="20"/>
          <w:szCs w:val="20"/>
        </w:rPr>
        <w:t>реда за определяне на цени на земеделските земи</w:t>
      </w:r>
      <w:r w:rsidRPr="001F6330">
        <w:rPr>
          <w:rFonts w:cs="Times New Roman"/>
          <w:color w:val="FF0000"/>
          <w:sz w:val="20"/>
          <w:szCs w:val="20"/>
          <w:lang w:eastAsia="en-US"/>
        </w:rPr>
        <w:t xml:space="preserve"> </w:t>
      </w:r>
      <w:r w:rsidR="00C37FBA" w:rsidRPr="001F6330">
        <w:rPr>
          <w:rFonts w:cs="Times New Roman"/>
          <w:sz w:val="20"/>
          <w:szCs w:val="20"/>
          <w:lang w:eastAsia="en-US"/>
        </w:rPr>
        <w:t>е съгласуван в съответствие с разпоредбите на чл. 32 от Устройствения правилник на Министерския съвет и на неговата администрация. Направените целесъобразни бележки и предложения са отразени.</w:t>
      </w:r>
    </w:p>
    <w:p w14:paraId="6D2E3057" w14:textId="77777777" w:rsidR="0018452E" w:rsidRPr="001F6330" w:rsidRDefault="0018452E" w:rsidP="00BF7D7C">
      <w:pPr>
        <w:widowControl/>
        <w:overflowPunct w:val="0"/>
        <w:spacing w:line="360" w:lineRule="auto"/>
        <w:ind w:firstLine="709"/>
        <w:jc w:val="both"/>
        <w:textAlignment w:val="baseline"/>
        <w:rPr>
          <w:sz w:val="20"/>
          <w:szCs w:val="20"/>
        </w:rPr>
      </w:pPr>
    </w:p>
    <w:p w14:paraId="73102A2D" w14:textId="77777777" w:rsidR="00133045" w:rsidRPr="001F6330" w:rsidRDefault="00133045" w:rsidP="00133045">
      <w:pPr>
        <w:widowControl/>
        <w:overflowPunct w:val="0"/>
        <w:spacing w:line="336" w:lineRule="auto"/>
        <w:textAlignment w:val="baseline"/>
        <w:rPr>
          <w:rFonts w:cs="Times New Roman"/>
          <w:b/>
          <w:sz w:val="20"/>
          <w:szCs w:val="20"/>
          <w:lang w:eastAsia="en-US"/>
        </w:rPr>
      </w:pPr>
      <w:r w:rsidRPr="001F6330">
        <w:rPr>
          <w:rFonts w:cs="Times New Roman"/>
          <w:b/>
          <w:sz w:val="20"/>
          <w:szCs w:val="20"/>
          <w:lang w:eastAsia="en-US"/>
        </w:rPr>
        <w:t>УВАЖАЕМИ ГОСПОДИН МИНИСТЪР-ПРЕДСЕДАТЕЛ,</w:t>
      </w:r>
    </w:p>
    <w:p w14:paraId="5A7A1805" w14:textId="4E2EFA1B" w:rsidR="00133045" w:rsidRPr="001F6330" w:rsidRDefault="00133045" w:rsidP="00133045">
      <w:pPr>
        <w:widowControl/>
        <w:overflowPunct w:val="0"/>
        <w:spacing w:line="360" w:lineRule="auto"/>
        <w:jc w:val="both"/>
        <w:textAlignment w:val="baseline"/>
        <w:rPr>
          <w:rFonts w:cs="Times New Roman"/>
          <w:sz w:val="20"/>
          <w:szCs w:val="20"/>
          <w:lang w:eastAsia="en-US"/>
        </w:rPr>
      </w:pPr>
      <w:r w:rsidRPr="001F6330">
        <w:rPr>
          <w:rFonts w:cs="Times New Roman"/>
          <w:b/>
          <w:sz w:val="20"/>
          <w:szCs w:val="20"/>
          <w:lang w:eastAsia="en-US"/>
        </w:rPr>
        <w:t>УВАЖАЕМИ ГОСПОЖИ И ГОСПОДА МИНИСТРИ,</w:t>
      </w:r>
    </w:p>
    <w:p w14:paraId="5F8BCD3A" w14:textId="66F60FA9" w:rsidR="00C37FBA" w:rsidRPr="001F6330" w:rsidRDefault="00C37FBA" w:rsidP="00133045">
      <w:pPr>
        <w:widowControl/>
        <w:overflowPunct w:val="0"/>
        <w:spacing w:before="120"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 w:rsidRPr="001F6330">
        <w:rPr>
          <w:rFonts w:cs="Times New Roman"/>
          <w:sz w:val="20"/>
          <w:szCs w:val="20"/>
          <w:lang w:eastAsia="en-US"/>
        </w:rPr>
        <w:t xml:space="preserve">Във връзка с гореизложеното и на основание чл. </w:t>
      </w:r>
      <w:r w:rsidR="005A080C" w:rsidRPr="001F6330">
        <w:rPr>
          <w:rFonts w:cs="Times New Roman"/>
          <w:sz w:val="20"/>
          <w:szCs w:val="20"/>
          <w:lang w:eastAsia="en-US"/>
        </w:rPr>
        <w:t>36, ал. 2 от</w:t>
      </w:r>
      <w:r w:rsidRPr="001F6330">
        <w:rPr>
          <w:rFonts w:cs="Times New Roman"/>
          <w:sz w:val="20"/>
          <w:szCs w:val="20"/>
          <w:lang w:eastAsia="en-US"/>
        </w:rPr>
        <w:t xml:space="preserve"> Закона за </w:t>
      </w:r>
      <w:r w:rsidR="005A080C" w:rsidRPr="001F6330">
        <w:rPr>
          <w:rFonts w:cs="Times New Roman"/>
          <w:sz w:val="20"/>
          <w:szCs w:val="20"/>
          <w:lang w:eastAsia="en-US"/>
        </w:rPr>
        <w:t>собствеността и ползването на земеделските земи</w:t>
      </w:r>
      <w:r w:rsidRPr="001F6330">
        <w:rPr>
          <w:rFonts w:cs="Times New Roman"/>
          <w:sz w:val="20"/>
          <w:szCs w:val="20"/>
          <w:lang w:eastAsia="en-US"/>
        </w:rPr>
        <w:t xml:space="preserve"> и чл. 8, ал. 2 от Устройствения правилник на Министерският съвет и на неговата администрация предлагам Министерският съвет да приеме приложения проект на Постановление.</w:t>
      </w:r>
    </w:p>
    <w:p w14:paraId="451C0F11" w14:textId="53FD6DDA" w:rsidR="00C37FBA" w:rsidRPr="001F6330" w:rsidRDefault="00C37FBA" w:rsidP="00C37FBA">
      <w:pPr>
        <w:spacing w:line="336" w:lineRule="auto"/>
        <w:ind w:firstLine="709"/>
        <w:jc w:val="both"/>
        <w:rPr>
          <w:spacing w:val="2"/>
          <w:sz w:val="20"/>
          <w:szCs w:val="20"/>
          <w:lang w:val="en-US" w:eastAsia="zh-CN"/>
        </w:rPr>
      </w:pPr>
    </w:p>
    <w:tbl>
      <w:tblPr>
        <w:tblW w:w="8539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1843"/>
        <w:gridCol w:w="6696"/>
      </w:tblGrid>
      <w:tr w:rsidR="00063C37" w:rsidRPr="00063C37" w14:paraId="3C73F000" w14:textId="77777777" w:rsidTr="00BF7D7C">
        <w:tc>
          <w:tcPr>
            <w:tcW w:w="1843" w:type="dxa"/>
            <w:shd w:val="clear" w:color="auto" w:fill="auto"/>
          </w:tcPr>
          <w:p w14:paraId="15926D40" w14:textId="33637873" w:rsidR="00512B2B" w:rsidRPr="00512B2B" w:rsidRDefault="00512B2B" w:rsidP="00BF7D7C">
            <w:pPr>
              <w:widowControl/>
              <w:overflowPunct w:val="0"/>
              <w:spacing w:line="360" w:lineRule="auto"/>
              <w:ind w:left="-57"/>
              <w:jc w:val="both"/>
              <w:textAlignment w:val="baseline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512B2B">
              <w:rPr>
                <w:rFonts w:cs="Times New Roman"/>
                <w:b/>
                <w:sz w:val="20"/>
                <w:szCs w:val="20"/>
                <w:lang w:eastAsia="en-US"/>
              </w:rPr>
              <w:t>Приложение:</w:t>
            </w:r>
          </w:p>
        </w:tc>
        <w:tc>
          <w:tcPr>
            <w:tcW w:w="6696" w:type="dxa"/>
            <w:shd w:val="clear" w:color="auto" w:fill="auto"/>
          </w:tcPr>
          <w:p w14:paraId="22B05A13" w14:textId="5D823072" w:rsidR="00512B2B" w:rsidRPr="00551641" w:rsidRDefault="00512B2B" w:rsidP="00F90621">
            <w:pPr>
              <w:widowControl/>
              <w:numPr>
                <w:ilvl w:val="0"/>
                <w:numId w:val="62"/>
              </w:numPr>
              <w:overflowPunct w:val="0"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063C37">
              <w:rPr>
                <w:rFonts w:cs="Times New Roman"/>
                <w:sz w:val="20"/>
                <w:szCs w:val="20"/>
                <w:lang w:eastAsia="en-US"/>
              </w:rPr>
              <w:t>Проект</w:t>
            </w:r>
            <w:r w:rsidR="008E2C32" w:rsidRPr="00063C37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="00F90621" w:rsidRPr="00F90621">
              <w:rPr>
                <w:rFonts w:cs="Times New Roman"/>
                <w:sz w:val="20"/>
                <w:szCs w:val="20"/>
                <w:lang w:eastAsia="en-US"/>
              </w:rPr>
              <w:t>на Постановление на Министерския съвет</w:t>
            </w:r>
            <w:r w:rsidR="005A080C">
              <w:rPr>
                <w:rFonts w:cs="Times New Roman"/>
                <w:sz w:val="20"/>
                <w:szCs w:val="20"/>
                <w:lang w:eastAsia="en-US"/>
              </w:rPr>
              <w:t>;</w:t>
            </w:r>
          </w:p>
          <w:p w14:paraId="21618A97" w14:textId="20F731F2" w:rsidR="008E2C32" w:rsidRPr="00063C37" w:rsidRDefault="008E2C32" w:rsidP="00E32B1F">
            <w:pPr>
              <w:widowControl/>
              <w:numPr>
                <w:ilvl w:val="0"/>
                <w:numId w:val="62"/>
              </w:numPr>
              <w:overflowPunct w:val="0"/>
              <w:spacing w:line="360" w:lineRule="auto"/>
              <w:ind w:left="283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063C37">
              <w:rPr>
                <w:rFonts w:cs="Times New Roman"/>
                <w:sz w:val="20"/>
                <w:szCs w:val="20"/>
                <w:lang w:eastAsia="en-US"/>
              </w:rPr>
              <w:t>Частична предварителна оценка на въздействието;</w:t>
            </w:r>
          </w:p>
          <w:p w14:paraId="360E773B" w14:textId="2FD090F5" w:rsidR="008E2C32" w:rsidRPr="00501498" w:rsidRDefault="008E2C32" w:rsidP="00BF7D7C">
            <w:pPr>
              <w:widowControl/>
              <w:numPr>
                <w:ilvl w:val="0"/>
                <w:numId w:val="62"/>
              </w:numPr>
              <w:overflowPunct w:val="0"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063C37">
              <w:rPr>
                <w:rFonts w:cs="Times New Roman"/>
                <w:sz w:val="20"/>
                <w:szCs w:val="20"/>
                <w:lang w:eastAsia="en-US"/>
              </w:rPr>
              <w:t xml:space="preserve">Становище </w:t>
            </w:r>
            <w:r w:rsidRPr="007C6D4F">
              <w:rPr>
                <w:rFonts w:cs="Times New Roman"/>
                <w:sz w:val="20"/>
                <w:szCs w:val="20"/>
                <w:lang w:eastAsia="en-US"/>
              </w:rPr>
              <w:t>на дирекция „</w:t>
            </w:r>
            <w:r w:rsidR="00BF7D7C" w:rsidRPr="007C6D4F">
              <w:rPr>
                <w:rFonts w:cs="Times New Roman"/>
                <w:sz w:val="20"/>
                <w:szCs w:val="20"/>
                <w:lang w:eastAsia="en-US"/>
              </w:rPr>
              <w:t>Координация и модернизация на администрацията</w:t>
            </w:r>
            <w:r w:rsidRPr="007C6D4F">
              <w:rPr>
                <w:rFonts w:cs="Times New Roman"/>
                <w:sz w:val="20"/>
                <w:szCs w:val="20"/>
                <w:lang w:eastAsia="en-US"/>
              </w:rPr>
              <w:t xml:space="preserve">” в </w:t>
            </w:r>
            <w:r w:rsidRPr="00501498">
              <w:rPr>
                <w:rFonts w:cs="Times New Roman"/>
                <w:sz w:val="20"/>
                <w:szCs w:val="20"/>
                <w:lang w:eastAsia="en-US"/>
              </w:rPr>
              <w:t>Министерския съвет;</w:t>
            </w:r>
          </w:p>
          <w:p w14:paraId="38D4529D" w14:textId="506413AB" w:rsidR="00E32B1F" w:rsidRPr="00501498" w:rsidRDefault="008E2C32" w:rsidP="009D1D96">
            <w:pPr>
              <w:widowControl/>
              <w:numPr>
                <w:ilvl w:val="0"/>
                <w:numId w:val="62"/>
              </w:numPr>
              <w:overflowPunct w:val="0"/>
              <w:spacing w:line="360" w:lineRule="auto"/>
              <w:ind w:left="283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501498">
              <w:rPr>
                <w:rFonts w:cs="Times New Roman"/>
                <w:sz w:val="20"/>
                <w:szCs w:val="20"/>
                <w:lang w:eastAsia="en-US"/>
              </w:rPr>
              <w:t>Финансова обосновка;</w:t>
            </w:r>
          </w:p>
          <w:p w14:paraId="12442D4E" w14:textId="40296033" w:rsidR="008E2C32" w:rsidRPr="00063C37" w:rsidRDefault="008E2C32" w:rsidP="00E32B1F">
            <w:pPr>
              <w:widowControl/>
              <w:numPr>
                <w:ilvl w:val="0"/>
                <w:numId w:val="62"/>
              </w:numPr>
              <w:overflowPunct w:val="0"/>
              <w:spacing w:line="360" w:lineRule="auto"/>
              <w:ind w:left="283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063C37">
              <w:rPr>
                <w:rFonts w:cs="Times New Roman"/>
                <w:sz w:val="20"/>
                <w:szCs w:val="20"/>
                <w:lang w:eastAsia="en-US"/>
              </w:rPr>
              <w:t>Справка за отразяване на становищата, постъпили по реда на чл. 32 – 34 от УПМСНА;</w:t>
            </w:r>
          </w:p>
          <w:p w14:paraId="50693585" w14:textId="351D8700" w:rsidR="008E2C32" w:rsidRDefault="008E2C32" w:rsidP="00A77ED2">
            <w:pPr>
              <w:widowControl/>
              <w:numPr>
                <w:ilvl w:val="0"/>
                <w:numId w:val="62"/>
              </w:numPr>
              <w:overflowPunct w:val="0"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072321">
              <w:rPr>
                <w:rFonts w:cs="Times New Roman"/>
                <w:sz w:val="20"/>
                <w:szCs w:val="20"/>
                <w:lang w:eastAsia="en-US"/>
              </w:rPr>
              <w:t>Постъпили становища по реда на чл. 32 – 34 от УПМСНА;</w:t>
            </w:r>
          </w:p>
          <w:p w14:paraId="48D0EC2F" w14:textId="795FC7E9" w:rsidR="00072321" w:rsidRPr="005A080C" w:rsidRDefault="00987A6F" w:rsidP="00987A6F">
            <w:pPr>
              <w:widowControl/>
              <w:numPr>
                <w:ilvl w:val="0"/>
                <w:numId w:val="62"/>
              </w:numPr>
              <w:overflowPunct w:val="0"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5A080C">
              <w:rPr>
                <w:rFonts w:cs="Times New Roman"/>
                <w:sz w:val="20"/>
                <w:szCs w:val="20"/>
                <w:lang w:eastAsia="en-US"/>
              </w:rPr>
              <w:t>Справка за отразяване на постъпилите предложения и становища от проведената обществена консултация;</w:t>
            </w:r>
          </w:p>
          <w:p w14:paraId="6A852D4E" w14:textId="06B8ED0A" w:rsidR="00987A6F" w:rsidRPr="005A080C" w:rsidRDefault="00987A6F" w:rsidP="00987A6F">
            <w:pPr>
              <w:widowControl/>
              <w:numPr>
                <w:ilvl w:val="0"/>
                <w:numId w:val="62"/>
              </w:numPr>
              <w:overflowPunct w:val="0"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5A080C">
              <w:rPr>
                <w:rFonts w:cs="Times New Roman"/>
                <w:sz w:val="20"/>
                <w:szCs w:val="20"/>
                <w:lang w:eastAsia="en-US"/>
              </w:rPr>
              <w:t>Постъпили становища;</w:t>
            </w:r>
          </w:p>
          <w:p w14:paraId="289021F8" w14:textId="2BFE60E2" w:rsidR="00512B2B" w:rsidRPr="00063C37" w:rsidRDefault="008E2C32" w:rsidP="00E32B1F">
            <w:pPr>
              <w:widowControl/>
              <w:numPr>
                <w:ilvl w:val="0"/>
                <w:numId w:val="62"/>
              </w:numPr>
              <w:overflowPunct w:val="0"/>
              <w:spacing w:line="360" w:lineRule="auto"/>
              <w:ind w:left="283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063C37">
              <w:rPr>
                <w:rFonts w:cs="Times New Roman"/>
                <w:sz w:val="20"/>
                <w:szCs w:val="20"/>
                <w:lang w:eastAsia="en-US"/>
              </w:rPr>
              <w:t>Проект</w:t>
            </w:r>
            <w:r w:rsidRPr="00063C37">
              <w:rPr>
                <w:rFonts w:cs="Times New Roman"/>
                <w:spacing w:val="-4"/>
                <w:sz w:val="20"/>
                <w:szCs w:val="20"/>
                <w:lang w:eastAsia="en-US"/>
              </w:rPr>
              <w:t xml:space="preserve"> на съобщение за средствата за масово осведомяване.</w:t>
            </w:r>
          </w:p>
        </w:tc>
      </w:tr>
    </w:tbl>
    <w:p w14:paraId="376C0A98" w14:textId="372C6276" w:rsidR="00987A6F" w:rsidRDefault="00987A6F" w:rsidP="000647D1">
      <w:pPr>
        <w:widowControl/>
        <w:overflowPunct w:val="0"/>
        <w:spacing w:line="360" w:lineRule="auto"/>
        <w:jc w:val="both"/>
        <w:textAlignment w:val="baseline"/>
        <w:rPr>
          <w:rFonts w:cs="Times New Roman"/>
          <w:sz w:val="20"/>
          <w:szCs w:val="20"/>
          <w:lang w:eastAsia="en-US"/>
        </w:rPr>
      </w:pPr>
    </w:p>
    <w:p w14:paraId="4C6C4986" w14:textId="77777777" w:rsidR="001B16DA" w:rsidRDefault="008E32E3" w:rsidP="001B16DA">
      <w:pPr>
        <w:spacing w:line="360" w:lineRule="auto"/>
        <w:jc w:val="both"/>
        <w:rPr>
          <w:bCs/>
          <w:caps/>
        </w:rPr>
      </w:pPr>
      <w:r>
        <w:rPr>
          <w:bCs/>
          <w:caps/>
        </w:rPr>
        <w:pict w14:anchorId="1B74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CA4B0D93-7955-4138-B14F-D9226715F39E}" provid="{00000000-0000-0000-0000-000000000000}" o:suggestedsigner="Д-Р ГЕОРГИ ТАХОВ" o:suggestedsigner2="Министър" issignatureline="t"/>
          </v:shape>
        </w:pict>
      </w:r>
    </w:p>
    <w:sectPr w:rsidR="001B16DA" w:rsidSect="00BF7D7C">
      <w:footerReference w:type="default" r:id="rId10"/>
      <w:headerReference w:type="first" r:id="rId11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AE6D2" w16cex:dateUtc="2020-07-16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2642AF" w16cid:durableId="22BAE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2B903" w14:textId="77777777" w:rsidR="008E32E3" w:rsidRDefault="008E32E3">
      <w:r>
        <w:separator/>
      </w:r>
    </w:p>
  </w:endnote>
  <w:endnote w:type="continuationSeparator" w:id="0">
    <w:p w14:paraId="3023D7C5" w14:textId="77777777" w:rsidR="008E32E3" w:rsidRDefault="008E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Arial"/>
    <w:charset w:val="00"/>
    <w:family w:val="auto"/>
    <w:pitch w:val="variable"/>
    <w:sig w:usb0="00000003" w:usb1="00000000" w:usb2="00000000" w:usb3="00000000" w:csb0="00000001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93A0F" w14:textId="58210CE4" w:rsidR="004F2FD9" w:rsidRDefault="0060798F">
    <w:pPr>
      <w:pStyle w:val="Footer"/>
      <w:jc w:val="right"/>
    </w:pP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 \* MERGEFORMAT </w:instrText>
    </w:r>
    <w:r>
      <w:rPr>
        <w:rFonts w:ascii="Verdana" w:hAnsi="Verdana"/>
        <w:sz w:val="16"/>
        <w:szCs w:val="16"/>
      </w:rPr>
      <w:fldChar w:fldCharType="separate"/>
    </w:r>
    <w:r w:rsidR="00066634">
      <w:rPr>
        <w:rFonts w:ascii="Verdana" w:hAnsi="Verdana"/>
        <w:noProof/>
        <w:sz w:val="16"/>
        <w:szCs w:val="16"/>
      </w:rPr>
      <w:t>6</w:t>
    </w:r>
    <w:r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3A363" w14:textId="77777777" w:rsidR="008E32E3" w:rsidRDefault="008E32E3">
      <w:r>
        <w:separator/>
      </w:r>
    </w:p>
  </w:footnote>
  <w:footnote w:type="continuationSeparator" w:id="0">
    <w:p w14:paraId="058D62D6" w14:textId="77777777" w:rsidR="008E32E3" w:rsidRDefault="008E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3D1B" w14:textId="77777777" w:rsidR="00F218BA" w:rsidRDefault="00F218BA" w:rsidP="00F218BA">
    <w:pPr>
      <w:tabs>
        <w:tab w:val="center" w:pos="4320"/>
        <w:tab w:val="right" w:pos="8640"/>
      </w:tabs>
      <w:autoSpaceDE/>
      <w:adjustRightInd/>
      <w:jc w:val="right"/>
      <w:rPr>
        <w:rFonts w:cs="Times New Roman"/>
        <w:sz w:val="16"/>
        <w:szCs w:val="16"/>
      </w:rPr>
    </w:pPr>
    <w:r>
      <w:rPr>
        <w:sz w:val="16"/>
        <w:szCs w:val="16"/>
      </w:rPr>
      <w:t>Класификация на информацията:</w:t>
    </w:r>
  </w:p>
  <w:p w14:paraId="6B0EE00B" w14:textId="77777777" w:rsidR="00F218BA" w:rsidRDefault="00F218BA" w:rsidP="00F218BA">
    <w:pPr>
      <w:tabs>
        <w:tab w:val="center" w:pos="4320"/>
        <w:tab w:val="right" w:pos="8640"/>
      </w:tabs>
      <w:autoSpaceDE/>
      <w:adjustRightInd/>
      <w:spacing w:after="120"/>
      <w:jc w:val="right"/>
      <w:rPr>
        <w:sz w:val="16"/>
        <w:szCs w:val="16"/>
      </w:rPr>
    </w:pPr>
    <w:r>
      <w:rPr>
        <w:sz w:val="16"/>
        <w:szCs w:val="16"/>
      </w:rPr>
      <w:t>Ниво 1, TLP-GREEN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A54E5C"/>
    <w:multiLevelType w:val="hybridMultilevel"/>
    <w:tmpl w:val="D3C845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94A18BE"/>
    <w:multiLevelType w:val="hybridMultilevel"/>
    <w:tmpl w:val="E83CE14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2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4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7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8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21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0C0145B"/>
    <w:multiLevelType w:val="multilevel"/>
    <w:tmpl w:val="D7602AC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4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5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9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6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1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7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5C980A77"/>
    <w:multiLevelType w:val="multilevel"/>
    <w:tmpl w:val="A786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251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9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3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57" w:hanging="180"/>
      </w:pPr>
      <w:rPr>
        <w:rFonts w:hint="default"/>
      </w:rPr>
    </w:lvl>
  </w:abstractNum>
  <w:abstractNum w:abstractNumId="50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6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8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9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60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1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62" w15:restartNumberingAfterBreak="0">
    <w:nsid w:val="78DF550F"/>
    <w:multiLevelType w:val="multilevel"/>
    <w:tmpl w:val="D7602AC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5"/>
  </w:num>
  <w:num w:numId="2">
    <w:abstractNumId w:val="10"/>
  </w:num>
  <w:num w:numId="3">
    <w:abstractNumId w:val="39"/>
  </w:num>
  <w:num w:numId="4">
    <w:abstractNumId w:val="27"/>
  </w:num>
  <w:num w:numId="5">
    <w:abstractNumId w:val="58"/>
  </w:num>
  <w:num w:numId="6">
    <w:abstractNumId w:val="46"/>
  </w:num>
  <w:num w:numId="7">
    <w:abstractNumId w:val="48"/>
  </w:num>
  <w:num w:numId="8">
    <w:abstractNumId w:val="13"/>
  </w:num>
  <w:num w:numId="9">
    <w:abstractNumId w:val="52"/>
  </w:num>
  <w:num w:numId="10">
    <w:abstractNumId w:val="57"/>
  </w:num>
  <w:num w:numId="11">
    <w:abstractNumId w:val="38"/>
  </w:num>
  <w:num w:numId="12">
    <w:abstractNumId w:val="25"/>
  </w:num>
  <w:num w:numId="13">
    <w:abstractNumId w:val="30"/>
  </w:num>
  <w:num w:numId="14">
    <w:abstractNumId w:val="12"/>
  </w:num>
  <w:num w:numId="15">
    <w:abstractNumId w:val="50"/>
  </w:num>
  <w:num w:numId="16">
    <w:abstractNumId w:val="9"/>
  </w:num>
  <w:num w:numId="17">
    <w:abstractNumId w:val="51"/>
  </w:num>
  <w:num w:numId="18">
    <w:abstractNumId w:val="31"/>
  </w:num>
  <w:num w:numId="19">
    <w:abstractNumId w:val="36"/>
  </w:num>
  <w:num w:numId="20">
    <w:abstractNumId w:val="53"/>
  </w:num>
  <w:num w:numId="21">
    <w:abstractNumId w:val="32"/>
  </w:num>
  <w:num w:numId="22">
    <w:abstractNumId w:val="18"/>
  </w:num>
  <w:num w:numId="23">
    <w:abstractNumId w:val="61"/>
  </w:num>
  <w:num w:numId="24">
    <w:abstractNumId w:val="44"/>
  </w:num>
  <w:num w:numId="25">
    <w:abstractNumId w:val="14"/>
  </w:num>
  <w:num w:numId="26">
    <w:abstractNumId w:val="56"/>
  </w:num>
  <w:num w:numId="27">
    <w:abstractNumId w:val="42"/>
  </w:num>
  <w:num w:numId="28">
    <w:abstractNumId w:val="33"/>
  </w:num>
  <w:num w:numId="29">
    <w:abstractNumId w:val="26"/>
  </w:num>
  <w:num w:numId="30">
    <w:abstractNumId w:val="20"/>
  </w:num>
  <w:num w:numId="31">
    <w:abstractNumId w:val="41"/>
  </w:num>
  <w:num w:numId="32">
    <w:abstractNumId w:val="60"/>
  </w:num>
  <w:num w:numId="33">
    <w:abstractNumId w:val="28"/>
  </w:num>
  <w:num w:numId="34">
    <w:abstractNumId w:val="17"/>
  </w:num>
  <w:num w:numId="35">
    <w:abstractNumId w:val="45"/>
  </w:num>
  <w:num w:numId="36">
    <w:abstractNumId w:val="15"/>
  </w:num>
  <w:num w:numId="37">
    <w:abstractNumId w:val="5"/>
  </w:num>
  <w:num w:numId="38">
    <w:abstractNumId w:val="0"/>
  </w:num>
  <w:num w:numId="39">
    <w:abstractNumId w:val="2"/>
  </w:num>
  <w:num w:numId="40">
    <w:abstractNumId w:val="47"/>
  </w:num>
  <w:num w:numId="41">
    <w:abstractNumId w:val="11"/>
  </w:num>
  <w:num w:numId="42">
    <w:abstractNumId w:val="16"/>
  </w:num>
  <w:num w:numId="43">
    <w:abstractNumId w:val="34"/>
  </w:num>
  <w:num w:numId="44">
    <w:abstractNumId w:val="19"/>
  </w:num>
  <w:num w:numId="45">
    <w:abstractNumId w:val="3"/>
  </w:num>
  <w:num w:numId="46">
    <w:abstractNumId w:val="29"/>
  </w:num>
  <w:num w:numId="47">
    <w:abstractNumId w:val="37"/>
  </w:num>
  <w:num w:numId="48">
    <w:abstractNumId w:val="4"/>
  </w:num>
  <w:num w:numId="49">
    <w:abstractNumId w:val="1"/>
  </w:num>
  <w:num w:numId="50">
    <w:abstractNumId w:val="24"/>
  </w:num>
  <w:num w:numId="51">
    <w:abstractNumId w:val="54"/>
  </w:num>
  <w:num w:numId="52">
    <w:abstractNumId w:val="7"/>
  </w:num>
  <w:num w:numId="53">
    <w:abstractNumId w:val="23"/>
  </w:num>
  <w:num w:numId="54">
    <w:abstractNumId w:val="59"/>
  </w:num>
  <w:num w:numId="55">
    <w:abstractNumId w:val="35"/>
  </w:num>
  <w:num w:numId="56">
    <w:abstractNumId w:val="40"/>
  </w:num>
  <w:num w:numId="57">
    <w:abstractNumId w:val="21"/>
  </w:num>
  <w:num w:numId="58">
    <w:abstractNumId w:val="43"/>
  </w:num>
  <w:num w:numId="59">
    <w:abstractNumId w:val="8"/>
  </w:num>
  <w:num w:numId="60">
    <w:abstractNumId w:val="6"/>
  </w:num>
  <w:num w:numId="61">
    <w:abstractNumId w:val="49"/>
  </w:num>
  <w:num w:numId="62">
    <w:abstractNumId w:val="62"/>
  </w:num>
  <w:num w:numId="63">
    <w:abstractNumId w:val="2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D9"/>
    <w:rsid w:val="00004586"/>
    <w:rsid w:val="00005717"/>
    <w:rsid w:val="00016645"/>
    <w:rsid w:val="00017BB1"/>
    <w:rsid w:val="000310C5"/>
    <w:rsid w:val="00033C20"/>
    <w:rsid w:val="000433A1"/>
    <w:rsid w:val="00060A8D"/>
    <w:rsid w:val="00063C37"/>
    <w:rsid w:val="000647D1"/>
    <w:rsid w:val="00066634"/>
    <w:rsid w:val="000702FB"/>
    <w:rsid w:val="00072321"/>
    <w:rsid w:val="00073D73"/>
    <w:rsid w:val="000746D8"/>
    <w:rsid w:val="000773BA"/>
    <w:rsid w:val="00081239"/>
    <w:rsid w:val="00081672"/>
    <w:rsid w:val="00084D82"/>
    <w:rsid w:val="00094EB3"/>
    <w:rsid w:val="000A2C06"/>
    <w:rsid w:val="000A4661"/>
    <w:rsid w:val="000A77F5"/>
    <w:rsid w:val="000B2045"/>
    <w:rsid w:val="000D2168"/>
    <w:rsid w:val="000D2B1F"/>
    <w:rsid w:val="000D482C"/>
    <w:rsid w:val="000F19CD"/>
    <w:rsid w:val="001056BA"/>
    <w:rsid w:val="00115474"/>
    <w:rsid w:val="00123277"/>
    <w:rsid w:val="001254A2"/>
    <w:rsid w:val="001269AB"/>
    <w:rsid w:val="00132650"/>
    <w:rsid w:val="00133045"/>
    <w:rsid w:val="001413E7"/>
    <w:rsid w:val="00151632"/>
    <w:rsid w:val="00154679"/>
    <w:rsid w:val="00155DCC"/>
    <w:rsid w:val="00164DC9"/>
    <w:rsid w:val="00165B36"/>
    <w:rsid w:val="001701DF"/>
    <w:rsid w:val="001702F1"/>
    <w:rsid w:val="00173519"/>
    <w:rsid w:val="0018452E"/>
    <w:rsid w:val="001850F6"/>
    <w:rsid w:val="00191969"/>
    <w:rsid w:val="001A7E7D"/>
    <w:rsid w:val="001B16DA"/>
    <w:rsid w:val="001B2990"/>
    <w:rsid w:val="001B6018"/>
    <w:rsid w:val="001D160A"/>
    <w:rsid w:val="001E15C9"/>
    <w:rsid w:val="001E280A"/>
    <w:rsid w:val="001F5376"/>
    <w:rsid w:val="001F6330"/>
    <w:rsid w:val="0020764A"/>
    <w:rsid w:val="00210F95"/>
    <w:rsid w:val="0021285B"/>
    <w:rsid w:val="00213500"/>
    <w:rsid w:val="0022205C"/>
    <w:rsid w:val="002222A3"/>
    <w:rsid w:val="00237DF1"/>
    <w:rsid w:val="002423E4"/>
    <w:rsid w:val="00243D55"/>
    <w:rsid w:val="002451F0"/>
    <w:rsid w:val="00246A8A"/>
    <w:rsid w:val="00260183"/>
    <w:rsid w:val="00263B62"/>
    <w:rsid w:val="00265180"/>
    <w:rsid w:val="002673A9"/>
    <w:rsid w:val="00272AC9"/>
    <w:rsid w:val="00273FFB"/>
    <w:rsid w:val="002770CC"/>
    <w:rsid w:val="00286C65"/>
    <w:rsid w:val="0029204B"/>
    <w:rsid w:val="0029526B"/>
    <w:rsid w:val="002A2649"/>
    <w:rsid w:val="002B09E7"/>
    <w:rsid w:val="002B60F0"/>
    <w:rsid w:val="002B6D47"/>
    <w:rsid w:val="002E5924"/>
    <w:rsid w:val="002E6473"/>
    <w:rsid w:val="002F6DBF"/>
    <w:rsid w:val="002F6EA0"/>
    <w:rsid w:val="002F771B"/>
    <w:rsid w:val="003009E1"/>
    <w:rsid w:val="003111E1"/>
    <w:rsid w:val="00321ABF"/>
    <w:rsid w:val="003241D1"/>
    <w:rsid w:val="00335725"/>
    <w:rsid w:val="00344B41"/>
    <w:rsid w:val="0037061E"/>
    <w:rsid w:val="0037292D"/>
    <w:rsid w:val="00373B51"/>
    <w:rsid w:val="00375866"/>
    <w:rsid w:val="0038566F"/>
    <w:rsid w:val="00391A24"/>
    <w:rsid w:val="00396BD6"/>
    <w:rsid w:val="00397911"/>
    <w:rsid w:val="003A0AF8"/>
    <w:rsid w:val="003A1271"/>
    <w:rsid w:val="003A5BEF"/>
    <w:rsid w:val="003C1730"/>
    <w:rsid w:val="003C2CE8"/>
    <w:rsid w:val="003C590C"/>
    <w:rsid w:val="003C6314"/>
    <w:rsid w:val="003D3D78"/>
    <w:rsid w:val="003E190C"/>
    <w:rsid w:val="003E28F5"/>
    <w:rsid w:val="003E69B0"/>
    <w:rsid w:val="003F221E"/>
    <w:rsid w:val="003F3214"/>
    <w:rsid w:val="003F4D23"/>
    <w:rsid w:val="003F5E36"/>
    <w:rsid w:val="003F791C"/>
    <w:rsid w:val="00401A7A"/>
    <w:rsid w:val="004034EF"/>
    <w:rsid w:val="0040483F"/>
    <w:rsid w:val="00412711"/>
    <w:rsid w:val="004134C8"/>
    <w:rsid w:val="00417277"/>
    <w:rsid w:val="0042072B"/>
    <w:rsid w:val="00421A2F"/>
    <w:rsid w:val="00426524"/>
    <w:rsid w:val="00436012"/>
    <w:rsid w:val="0043761F"/>
    <w:rsid w:val="00451557"/>
    <w:rsid w:val="004549C4"/>
    <w:rsid w:val="00460DE3"/>
    <w:rsid w:val="00466777"/>
    <w:rsid w:val="004722A6"/>
    <w:rsid w:val="00480973"/>
    <w:rsid w:val="00480C4B"/>
    <w:rsid w:val="00485FC7"/>
    <w:rsid w:val="00487E62"/>
    <w:rsid w:val="0049635D"/>
    <w:rsid w:val="004A6EF2"/>
    <w:rsid w:val="004B2A56"/>
    <w:rsid w:val="004B613F"/>
    <w:rsid w:val="004C2BA0"/>
    <w:rsid w:val="004C6E73"/>
    <w:rsid w:val="004D1ACE"/>
    <w:rsid w:val="004D2FE7"/>
    <w:rsid w:val="004E1D6E"/>
    <w:rsid w:val="004F17AA"/>
    <w:rsid w:val="004F2FD9"/>
    <w:rsid w:val="00501498"/>
    <w:rsid w:val="00512B2B"/>
    <w:rsid w:val="00526B1E"/>
    <w:rsid w:val="00540E96"/>
    <w:rsid w:val="00546D6C"/>
    <w:rsid w:val="00547546"/>
    <w:rsid w:val="00551641"/>
    <w:rsid w:val="00553831"/>
    <w:rsid w:val="00555E16"/>
    <w:rsid w:val="00556798"/>
    <w:rsid w:val="00557A97"/>
    <w:rsid w:val="00562954"/>
    <w:rsid w:val="00563E2F"/>
    <w:rsid w:val="005668F6"/>
    <w:rsid w:val="00567CA9"/>
    <w:rsid w:val="00570C7E"/>
    <w:rsid w:val="00582991"/>
    <w:rsid w:val="00582B80"/>
    <w:rsid w:val="00584C85"/>
    <w:rsid w:val="00595D75"/>
    <w:rsid w:val="005A080C"/>
    <w:rsid w:val="005A5216"/>
    <w:rsid w:val="005B063B"/>
    <w:rsid w:val="005B21CA"/>
    <w:rsid w:val="005C6CD0"/>
    <w:rsid w:val="005E25A5"/>
    <w:rsid w:val="006039C8"/>
    <w:rsid w:val="006066FB"/>
    <w:rsid w:val="0060798F"/>
    <w:rsid w:val="0061150C"/>
    <w:rsid w:val="00622C21"/>
    <w:rsid w:val="00633A20"/>
    <w:rsid w:val="00633E83"/>
    <w:rsid w:val="00634FB4"/>
    <w:rsid w:val="00636CC8"/>
    <w:rsid w:val="00643A7F"/>
    <w:rsid w:val="00644B3F"/>
    <w:rsid w:val="006514DC"/>
    <w:rsid w:val="006521B9"/>
    <w:rsid w:val="006722DA"/>
    <w:rsid w:val="00672927"/>
    <w:rsid w:val="006763EA"/>
    <w:rsid w:val="006807D9"/>
    <w:rsid w:val="0068161E"/>
    <w:rsid w:val="00681E52"/>
    <w:rsid w:val="0069701E"/>
    <w:rsid w:val="00697111"/>
    <w:rsid w:val="0069767D"/>
    <w:rsid w:val="006A15D3"/>
    <w:rsid w:val="006A625D"/>
    <w:rsid w:val="006D045E"/>
    <w:rsid w:val="006E279F"/>
    <w:rsid w:val="006F4BDB"/>
    <w:rsid w:val="00701946"/>
    <w:rsid w:val="0071036F"/>
    <w:rsid w:val="007163A6"/>
    <w:rsid w:val="00721710"/>
    <w:rsid w:val="007308A1"/>
    <w:rsid w:val="0073373F"/>
    <w:rsid w:val="00735982"/>
    <w:rsid w:val="00741A13"/>
    <w:rsid w:val="007461ED"/>
    <w:rsid w:val="007469EA"/>
    <w:rsid w:val="00776233"/>
    <w:rsid w:val="007801EF"/>
    <w:rsid w:val="007A110B"/>
    <w:rsid w:val="007A122B"/>
    <w:rsid w:val="007B0979"/>
    <w:rsid w:val="007C2736"/>
    <w:rsid w:val="007C6D4F"/>
    <w:rsid w:val="007D047E"/>
    <w:rsid w:val="007F04C8"/>
    <w:rsid w:val="007F3555"/>
    <w:rsid w:val="008005D1"/>
    <w:rsid w:val="00801F6B"/>
    <w:rsid w:val="00806055"/>
    <w:rsid w:val="008123B8"/>
    <w:rsid w:val="00814D29"/>
    <w:rsid w:val="008271BD"/>
    <w:rsid w:val="0083620C"/>
    <w:rsid w:val="0084487F"/>
    <w:rsid w:val="00854276"/>
    <w:rsid w:val="0085646C"/>
    <w:rsid w:val="0086265A"/>
    <w:rsid w:val="008660A2"/>
    <w:rsid w:val="0087020D"/>
    <w:rsid w:val="00880942"/>
    <w:rsid w:val="0089599A"/>
    <w:rsid w:val="008A0C90"/>
    <w:rsid w:val="008B43E9"/>
    <w:rsid w:val="008C07B8"/>
    <w:rsid w:val="008D10AC"/>
    <w:rsid w:val="008D3538"/>
    <w:rsid w:val="008D7567"/>
    <w:rsid w:val="008E2C32"/>
    <w:rsid w:val="008E32E3"/>
    <w:rsid w:val="008E4A8D"/>
    <w:rsid w:val="008E586D"/>
    <w:rsid w:val="008E5BFF"/>
    <w:rsid w:val="008F0043"/>
    <w:rsid w:val="00901443"/>
    <w:rsid w:val="009106F2"/>
    <w:rsid w:val="00914428"/>
    <w:rsid w:val="00933408"/>
    <w:rsid w:val="0093736A"/>
    <w:rsid w:val="0094399B"/>
    <w:rsid w:val="009455A4"/>
    <w:rsid w:val="0095200D"/>
    <w:rsid w:val="00955D03"/>
    <w:rsid w:val="00956CC5"/>
    <w:rsid w:val="00963839"/>
    <w:rsid w:val="0097315A"/>
    <w:rsid w:val="00973AE0"/>
    <w:rsid w:val="00981DCA"/>
    <w:rsid w:val="009851BE"/>
    <w:rsid w:val="00987A6F"/>
    <w:rsid w:val="00991DCF"/>
    <w:rsid w:val="009971F6"/>
    <w:rsid w:val="00997247"/>
    <w:rsid w:val="009B19F3"/>
    <w:rsid w:val="009C07BB"/>
    <w:rsid w:val="009D2DB7"/>
    <w:rsid w:val="009D7BDA"/>
    <w:rsid w:val="009E2C90"/>
    <w:rsid w:val="009E7C62"/>
    <w:rsid w:val="00A140BC"/>
    <w:rsid w:val="00A249C3"/>
    <w:rsid w:val="00A249D9"/>
    <w:rsid w:val="00A267B2"/>
    <w:rsid w:val="00A4501D"/>
    <w:rsid w:val="00A55535"/>
    <w:rsid w:val="00A866E3"/>
    <w:rsid w:val="00A91D26"/>
    <w:rsid w:val="00A931C6"/>
    <w:rsid w:val="00A9486D"/>
    <w:rsid w:val="00A9637B"/>
    <w:rsid w:val="00A97D8E"/>
    <w:rsid w:val="00AA19FC"/>
    <w:rsid w:val="00AB113B"/>
    <w:rsid w:val="00AB7E0E"/>
    <w:rsid w:val="00AC0631"/>
    <w:rsid w:val="00AC27E7"/>
    <w:rsid w:val="00AC5AD8"/>
    <w:rsid w:val="00AD3B0E"/>
    <w:rsid w:val="00AE2627"/>
    <w:rsid w:val="00B05E93"/>
    <w:rsid w:val="00B141E4"/>
    <w:rsid w:val="00B26315"/>
    <w:rsid w:val="00B3169F"/>
    <w:rsid w:val="00B36EC7"/>
    <w:rsid w:val="00B40CF9"/>
    <w:rsid w:val="00B41D36"/>
    <w:rsid w:val="00B43B19"/>
    <w:rsid w:val="00B71A66"/>
    <w:rsid w:val="00B836D6"/>
    <w:rsid w:val="00B8679A"/>
    <w:rsid w:val="00B867E9"/>
    <w:rsid w:val="00B86F19"/>
    <w:rsid w:val="00B87478"/>
    <w:rsid w:val="00BB0FC3"/>
    <w:rsid w:val="00BB55C2"/>
    <w:rsid w:val="00BC04B2"/>
    <w:rsid w:val="00BC05A9"/>
    <w:rsid w:val="00BD0008"/>
    <w:rsid w:val="00BD4742"/>
    <w:rsid w:val="00BD4F2C"/>
    <w:rsid w:val="00BF6662"/>
    <w:rsid w:val="00BF7D7C"/>
    <w:rsid w:val="00C032FE"/>
    <w:rsid w:val="00C04719"/>
    <w:rsid w:val="00C0690A"/>
    <w:rsid w:val="00C078F8"/>
    <w:rsid w:val="00C25964"/>
    <w:rsid w:val="00C32D35"/>
    <w:rsid w:val="00C36340"/>
    <w:rsid w:val="00C37041"/>
    <w:rsid w:val="00C37FBA"/>
    <w:rsid w:val="00C42E1A"/>
    <w:rsid w:val="00C56C89"/>
    <w:rsid w:val="00C56DAB"/>
    <w:rsid w:val="00C73D07"/>
    <w:rsid w:val="00C77FC1"/>
    <w:rsid w:val="00C830C5"/>
    <w:rsid w:val="00C86A34"/>
    <w:rsid w:val="00C91575"/>
    <w:rsid w:val="00C971B7"/>
    <w:rsid w:val="00CA1B48"/>
    <w:rsid w:val="00CB2D26"/>
    <w:rsid w:val="00CB56DD"/>
    <w:rsid w:val="00CC60CC"/>
    <w:rsid w:val="00CC7F6F"/>
    <w:rsid w:val="00CE2F1F"/>
    <w:rsid w:val="00CF47A3"/>
    <w:rsid w:val="00D10ECD"/>
    <w:rsid w:val="00D30EC0"/>
    <w:rsid w:val="00D320A7"/>
    <w:rsid w:val="00D530A6"/>
    <w:rsid w:val="00D627CC"/>
    <w:rsid w:val="00D6741E"/>
    <w:rsid w:val="00D676A8"/>
    <w:rsid w:val="00D7267B"/>
    <w:rsid w:val="00D72F09"/>
    <w:rsid w:val="00D9202A"/>
    <w:rsid w:val="00D96A6D"/>
    <w:rsid w:val="00DA3F2C"/>
    <w:rsid w:val="00DA503F"/>
    <w:rsid w:val="00DB1B69"/>
    <w:rsid w:val="00DB628D"/>
    <w:rsid w:val="00DD25CC"/>
    <w:rsid w:val="00DD7A56"/>
    <w:rsid w:val="00DE17F4"/>
    <w:rsid w:val="00DE323B"/>
    <w:rsid w:val="00DF1D61"/>
    <w:rsid w:val="00E05D6E"/>
    <w:rsid w:val="00E103B9"/>
    <w:rsid w:val="00E23B6C"/>
    <w:rsid w:val="00E25434"/>
    <w:rsid w:val="00E32B1F"/>
    <w:rsid w:val="00E35A6A"/>
    <w:rsid w:val="00E5687D"/>
    <w:rsid w:val="00E659C0"/>
    <w:rsid w:val="00E7558B"/>
    <w:rsid w:val="00E80F45"/>
    <w:rsid w:val="00E83337"/>
    <w:rsid w:val="00E83AAC"/>
    <w:rsid w:val="00E84D3F"/>
    <w:rsid w:val="00E85B69"/>
    <w:rsid w:val="00EA245D"/>
    <w:rsid w:val="00EA52B6"/>
    <w:rsid w:val="00EB0D2A"/>
    <w:rsid w:val="00EC25DB"/>
    <w:rsid w:val="00EC4478"/>
    <w:rsid w:val="00EC6366"/>
    <w:rsid w:val="00EC70D0"/>
    <w:rsid w:val="00EE47D7"/>
    <w:rsid w:val="00EE7255"/>
    <w:rsid w:val="00F07B41"/>
    <w:rsid w:val="00F15088"/>
    <w:rsid w:val="00F218BA"/>
    <w:rsid w:val="00F30355"/>
    <w:rsid w:val="00F40C55"/>
    <w:rsid w:val="00F44164"/>
    <w:rsid w:val="00F648A5"/>
    <w:rsid w:val="00F65071"/>
    <w:rsid w:val="00F65A15"/>
    <w:rsid w:val="00F714C4"/>
    <w:rsid w:val="00F729E8"/>
    <w:rsid w:val="00F7413D"/>
    <w:rsid w:val="00F759F7"/>
    <w:rsid w:val="00F7728D"/>
    <w:rsid w:val="00F772A1"/>
    <w:rsid w:val="00F90621"/>
    <w:rsid w:val="00F92FAA"/>
    <w:rsid w:val="00FA007F"/>
    <w:rsid w:val="00FA2CA3"/>
    <w:rsid w:val="00FA3B26"/>
    <w:rsid w:val="00FA5A51"/>
    <w:rsid w:val="00FA6BF9"/>
    <w:rsid w:val="00FA785B"/>
    <w:rsid w:val="00FC147F"/>
    <w:rsid w:val="00FD69D8"/>
    <w:rsid w:val="00FF3515"/>
    <w:rsid w:val="00FF413B"/>
    <w:rsid w:val="00FF5357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A4DC2"/>
  <w15:docId w15:val="{5B854147-E0CB-4731-88C0-B9FADADC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jc w:val="center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pPr>
      <w:spacing w:line="247" w:lineRule="exact"/>
    </w:pPr>
  </w:style>
  <w:style w:type="paragraph" w:customStyle="1" w:styleId="Style17">
    <w:name w:val="Style17"/>
    <w:basedOn w:val="Normal"/>
    <w:uiPriority w:val="99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pPr>
      <w:jc w:val="center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pPr>
      <w:spacing w:line="242" w:lineRule="exact"/>
    </w:pPr>
  </w:style>
  <w:style w:type="paragraph" w:customStyle="1" w:styleId="Style24">
    <w:name w:val="Style24"/>
    <w:basedOn w:val="Normal"/>
    <w:uiPriority w:val="99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pPr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</w:style>
  <w:style w:type="paragraph" w:customStyle="1" w:styleId="Style39">
    <w:name w:val="Style39"/>
    <w:basedOn w:val="Normal"/>
    <w:uiPriority w:val="99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  <w:pPr>
      <w:jc w:val="both"/>
    </w:pPr>
  </w:style>
  <w:style w:type="paragraph" w:customStyle="1" w:styleId="Style44">
    <w:name w:val="Style44"/>
    <w:basedOn w:val="Normal"/>
    <w:uiPriority w:val="99"/>
    <w:pPr>
      <w:jc w:val="both"/>
    </w:pPr>
  </w:style>
  <w:style w:type="paragraph" w:customStyle="1" w:styleId="Style45">
    <w:name w:val="Style45"/>
    <w:basedOn w:val="Normal"/>
    <w:uiPriority w:val="99"/>
  </w:style>
  <w:style w:type="paragraph" w:customStyle="1" w:styleId="Style46">
    <w:name w:val="Style46"/>
    <w:basedOn w:val="Normal"/>
    <w:uiPriority w:val="99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</w:style>
  <w:style w:type="paragraph" w:customStyle="1" w:styleId="Style48">
    <w:name w:val="Style48"/>
    <w:basedOn w:val="Normal"/>
    <w:uiPriority w:val="99"/>
    <w:pPr>
      <w:spacing w:line="365" w:lineRule="exact"/>
      <w:ind w:firstLine="715"/>
    </w:pPr>
  </w:style>
  <w:style w:type="character" w:customStyle="1" w:styleId="FontStyle50">
    <w:name w:val="Font Style50"/>
    <w:uiPriority w:val="99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Pr>
      <w:rFonts w:ascii="Verdana" w:hAnsi="Verdana"/>
      <w:sz w:val="18"/>
    </w:rPr>
  </w:style>
  <w:style w:type="character" w:customStyle="1" w:styleId="FontStyle53">
    <w:name w:val="Font Style53"/>
    <w:uiPriority w:val="99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Pr>
      <w:rFonts w:ascii="Verdana" w:hAnsi="Verdana"/>
      <w:sz w:val="10"/>
    </w:rPr>
  </w:style>
  <w:style w:type="character" w:customStyle="1" w:styleId="FontStyle55">
    <w:name w:val="Font Style55"/>
    <w:uiPriority w:val="99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Pr>
      <w:rFonts w:ascii="Verdana" w:hAnsi="Verdana"/>
      <w:sz w:val="18"/>
    </w:rPr>
  </w:style>
  <w:style w:type="character" w:customStyle="1" w:styleId="FontStyle66">
    <w:name w:val="Font Style66"/>
    <w:uiPriority w:val="99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Pr>
      <w:rFonts w:ascii="Verdana" w:hAnsi="Verdana"/>
      <w:sz w:val="16"/>
    </w:rPr>
  </w:style>
  <w:style w:type="character" w:styleId="Hyperlink">
    <w:name w:val="Hyperlink"/>
    <w:uiPriority w:val="99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Pr>
      <w:rFonts w:cs="Times New Roman"/>
      <w:i/>
    </w:rPr>
  </w:style>
  <w:style w:type="paragraph" w:customStyle="1" w:styleId="title1">
    <w:name w:val="title1"/>
    <w:basedOn w:val="Normal"/>
    <w:uiPriority w:val="9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Pr>
      <w:color w:val="000000"/>
      <w:sz w:val="18"/>
    </w:rPr>
  </w:style>
  <w:style w:type="paragraph" w:customStyle="1" w:styleId="w1">
    <w:name w:val="w1"/>
    <w:basedOn w:val="Normal"/>
    <w:uiPriority w:val="99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Char">
    <w:name w:val="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portlet-title">
    <w:name w:val="portlet-title"/>
    <w:uiPriority w:val="99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pPr>
      <w:numPr>
        <w:numId w:val="30"/>
      </w:numPr>
    </w:pPr>
  </w:style>
  <w:style w:type="numbering" w:customStyle="1" w:styleId="Style49">
    <w:name w:val="Style49"/>
    <w:pPr>
      <w:numPr>
        <w:numId w:val="29"/>
      </w:numPr>
    </w:pPr>
  </w:style>
  <w:style w:type="numbering" w:customStyle="1" w:styleId="CurrentList1">
    <w:name w:val="Current List1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DCA"/>
    <w:rPr>
      <w:rFonts w:ascii="Verdana" w:eastAsia="Times New Roman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DCA"/>
    <w:rPr>
      <w:rFonts w:ascii="Verdana" w:eastAsia="Times New Roman" w:hAnsi="Verdana" w:cs="Verdana"/>
      <w:b/>
      <w:bCs/>
    </w:rPr>
  </w:style>
  <w:style w:type="character" w:customStyle="1" w:styleId="historyitem">
    <w:name w:val="historyitem"/>
    <w:basedOn w:val="DefaultParagraphFont"/>
    <w:rsid w:val="00E83337"/>
  </w:style>
  <w:style w:type="character" w:customStyle="1" w:styleId="historyitemselected1">
    <w:name w:val="historyitemselected1"/>
    <w:basedOn w:val="DefaultParagraphFont"/>
    <w:rsid w:val="00E83337"/>
    <w:rPr>
      <w:b/>
      <w:bCs/>
      <w:color w:val="0086C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3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6315"/>
    <w:rPr>
      <w:rFonts w:ascii="Verdana" w:eastAsia="Times New Roman" w:hAnsi="Verdana" w:cs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B26315"/>
    <w:rPr>
      <w:vertAlign w:val="superscript"/>
    </w:rPr>
  </w:style>
  <w:style w:type="paragraph" w:customStyle="1" w:styleId="Default">
    <w:name w:val="Default"/>
    <w:rsid w:val="002F6DB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title19">
    <w:name w:val="title19"/>
    <w:basedOn w:val="Normal"/>
    <w:rsid w:val="0089599A"/>
    <w:pPr>
      <w:widowControl/>
      <w:autoSpaceDE/>
      <w:autoSpaceDN/>
      <w:adjustRightInd/>
      <w:spacing w:before="100" w:beforeAutospacing="1" w:after="100" w:afterAutospacing="1"/>
      <w:ind w:firstLine="1155"/>
      <w:jc w:val="both"/>
    </w:pPr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25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3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295743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D922-ECE4-4ED0-B4BA-03C55B07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6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rrankova</dc:creator>
  <cp:lastModifiedBy>Aleksandar Angelov</cp:lastModifiedBy>
  <cp:revision>41</cp:revision>
  <cp:lastPrinted>2025-02-27T11:22:00Z</cp:lastPrinted>
  <dcterms:created xsi:type="dcterms:W3CDTF">2025-02-27T11:30:00Z</dcterms:created>
  <dcterms:modified xsi:type="dcterms:W3CDTF">2025-05-16T09:03:00Z</dcterms:modified>
</cp:coreProperties>
</file>