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8A77" w14:textId="77777777" w:rsidR="000345F7" w:rsidRPr="004B7D32" w:rsidRDefault="000345F7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bg-BG"/>
        </w:rPr>
      </w:pPr>
    </w:p>
    <w:p w14:paraId="5DA1C3A8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ДО</w:t>
      </w:r>
    </w:p>
    <w:p w14:paraId="21DBF3D4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МИНИСТЕРСКИЯ СЪВЕТ</w:t>
      </w:r>
    </w:p>
    <w:p w14:paraId="0E25BFCB" w14:textId="77777777" w:rsidR="009A6EFB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НА РЕПУБЛИКА БЪЛГАРИЯ</w:t>
      </w:r>
    </w:p>
    <w:p w14:paraId="593B95ED" w14:textId="77777777" w:rsidR="00D21E46" w:rsidRPr="0067673F" w:rsidRDefault="00D21E46" w:rsidP="00270999">
      <w:pPr>
        <w:spacing w:after="0" w:line="360" w:lineRule="auto"/>
        <w:rPr>
          <w:rFonts w:ascii="Verdana" w:hAnsi="Verdana"/>
          <w:sz w:val="20"/>
          <w:szCs w:val="20"/>
          <w:lang w:val="bg-BG" w:eastAsia="bg-BG"/>
        </w:rPr>
      </w:pPr>
    </w:p>
    <w:p w14:paraId="5DF3945D" w14:textId="77777777" w:rsidR="00713B56" w:rsidRPr="0067673F" w:rsidRDefault="00713B56" w:rsidP="00270999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  <w:t>ДОКЛАД</w:t>
      </w:r>
    </w:p>
    <w:p w14:paraId="648FA9DF" w14:textId="7E9CAB2F" w:rsidR="00713B56" w:rsidRPr="0067673F" w:rsidRDefault="00E809D8" w:rsidP="002709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 xml:space="preserve">от </w:t>
      </w:r>
      <w:r w:rsidR="0067673F" w:rsidRPr="001D06C1">
        <w:rPr>
          <w:rFonts w:ascii="Verdana" w:eastAsia="Times New Roman" w:hAnsi="Verdana" w:cs="Times New Roman"/>
          <w:smallCaps/>
          <w:color w:val="000000" w:themeColor="text1"/>
          <w:spacing w:val="6"/>
          <w:sz w:val="20"/>
          <w:szCs w:val="20"/>
          <w:lang w:val="bg-BG" w:eastAsia="bg-BG"/>
        </w:rPr>
        <w:t xml:space="preserve">д-р </w:t>
      </w:r>
      <w:r w:rsidR="00807A3A" w:rsidRPr="0067673F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>Георги Тахов</w:t>
      </w:r>
      <w:r w:rsidR="005A6EEF" w:rsidRPr="0067673F">
        <w:rPr>
          <w:rFonts w:ascii="Verdana" w:eastAsia="Times New Roman" w:hAnsi="Verdana" w:cs="Times New Roman"/>
          <w:iCs/>
          <w:smallCaps/>
          <w:spacing w:val="6"/>
          <w:sz w:val="20"/>
          <w:szCs w:val="20"/>
          <w:lang w:val="bg-BG" w:eastAsia="bg-BG"/>
        </w:rPr>
        <w:t xml:space="preserve"> – </w:t>
      </w:r>
      <w:r w:rsidR="00B067B6" w:rsidRPr="0067673F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>министър на земеделието</w:t>
      </w:r>
      <w:r w:rsidR="00807A3A" w:rsidRPr="0067673F">
        <w:rPr>
          <w:rFonts w:ascii="Verdana" w:eastAsia="Times New Roman" w:hAnsi="Verdana" w:cs="Times New Roman"/>
          <w:smallCaps/>
          <w:spacing w:val="6"/>
          <w:sz w:val="20"/>
          <w:szCs w:val="20"/>
          <w:lang w:val="bg-BG" w:eastAsia="bg-BG"/>
        </w:rPr>
        <w:t xml:space="preserve"> и храните</w:t>
      </w:r>
    </w:p>
    <w:p w14:paraId="1E22B355" w14:textId="77777777" w:rsidR="00C75B0A" w:rsidRPr="0067673F" w:rsidRDefault="00C75B0A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62BD047" w14:textId="77777777" w:rsidR="00B94C8A" w:rsidRPr="0067673F" w:rsidRDefault="00B94C8A" w:rsidP="00270999">
      <w:pPr>
        <w:widowControl w:val="0"/>
        <w:autoSpaceDE w:val="0"/>
        <w:autoSpaceDN w:val="0"/>
        <w:adjustRightInd w:val="0"/>
        <w:spacing w:after="0" w:line="360" w:lineRule="auto"/>
        <w:ind w:left="1191" w:hanging="1191"/>
        <w:jc w:val="both"/>
        <w:rPr>
          <w:rFonts w:ascii="Verdana" w:hAnsi="Verdana"/>
          <w:sz w:val="20"/>
          <w:szCs w:val="20"/>
          <w:lang w:val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Относно</w:t>
      </w: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:</w:t>
      </w:r>
      <w:r w:rsidR="00EE4700" w:rsidRPr="0067673F">
        <w:rPr>
          <w:rFonts w:ascii="Verdana" w:eastAsia="Times New Roman" w:hAnsi="Verdana" w:cs="Times New Roman"/>
          <w:b/>
          <w:sz w:val="20"/>
          <w:szCs w:val="20"/>
          <w:lang w:val="en-GB" w:eastAsia="bg-BG"/>
        </w:rPr>
        <w:t xml:space="preserve"> </w:t>
      </w:r>
      <w:r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Проект </w:t>
      </w:r>
      <w:r w:rsidR="00ED3056" w:rsidRPr="0067673F">
        <w:rPr>
          <w:rFonts w:ascii="Verdana" w:hAnsi="Verdana" w:cs="Times New Roman"/>
          <w:sz w:val="20"/>
          <w:szCs w:val="20"/>
          <w:lang w:val="bg-BG"/>
        </w:rPr>
        <w:t xml:space="preserve">на Постановление за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назначаване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допълнителен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персонал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нуждите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в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срока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прилагане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A1CB4" w:rsidRPr="0067673F">
        <w:rPr>
          <w:rFonts w:ascii="Verdana" w:hAnsi="Verdana" w:cs="Times New Roman"/>
          <w:sz w:val="20"/>
          <w:szCs w:val="20"/>
          <w:lang w:val="bg-BG"/>
        </w:rPr>
        <w:t>С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тратегическия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план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развитието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земеделието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селските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райони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Република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България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периода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2023 </w:t>
      </w:r>
      <w:r w:rsidR="00807A3A" w:rsidRPr="0067673F">
        <w:rPr>
          <w:rFonts w:ascii="Verdana" w:hAnsi="Verdana" w:cs="Viner Hand ITC"/>
          <w:sz w:val="20"/>
          <w:szCs w:val="20"/>
          <w:lang w:val="bg-BG"/>
        </w:rPr>
        <w:t>–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2027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г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.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със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средства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от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50380A" w:rsidRPr="0067673F">
        <w:rPr>
          <w:rFonts w:ascii="Verdana" w:hAnsi="Verdana" w:cs="Times New Roman"/>
          <w:sz w:val="20"/>
          <w:szCs w:val="20"/>
          <w:lang w:val="bg-BG"/>
        </w:rPr>
        <w:t>т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ехническа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помощ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персонал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местните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инициативни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групи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,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изпълняващи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стратегии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водено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от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общностите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местно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развитие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,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финансирани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със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средства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от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интервенция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II.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Ж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.5 </w:t>
      </w:r>
      <w:r w:rsidR="00807A3A" w:rsidRPr="0067673F">
        <w:rPr>
          <w:rFonts w:ascii="Verdana" w:hAnsi="Verdana" w:cs="Viner Hand ITC"/>
          <w:sz w:val="20"/>
          <w:szCs w:val="20"/>
          <w:lang w:val="bg-BG"/>
        </w:rPr>
        <w:t>„</w:t>
      </w:r>
      <w:r w:rsidR="0050380A" w:rsidRPr="0067673F">
        <w:rPr>
          <w:rFonts w:ascii="Verdana" w:hAnsi="Verdana" w:cs="Times New Roman"/>
          <w:sz w:val="20"/>
          <w:szCs w:val="20"/>
          <w:lang w:val="bg-BG"/>
        </w:rPr>
        <w:t>И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зпълнение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операции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,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включително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дейности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сътрудничество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тяхната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подготовка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,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избрани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в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рамките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на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стратегията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за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местно</w:t>
      </w:r>
      <w:r w:rsidR="00807A3A" w:rsidRPr="0067673F">
        <w:rPr>
          <w:rFonts w:ascii="Verdana" w:hAnsi="Verdana"/>
          <w:sz w:val="20"/>
          <w:szCs w:val="20"/>
          <w:lang w:val="bg-BG"/>
        </w:rPr>
        <w:t xml:space="preserve"> </w:t>
      </w:r>
      <w:r w:rsidR="00807A3A" w:rsidRPr="0067673F">
        <w:rPr>
          <w:rFonts w:ascii="Verdana" w:hAnsi="Verdana" w:cs="Times New Roman"/>
          <w:sz w:val="20"/>
          <w:szCs w:val="20"/>
          <w:lang w:val="bg-BG"/>
        </w:rPr>
        <w:t>развитие</w:t>
      </w:r>
      <w:r w:rsidR="00807A3A" w:rsidRPr="0067673F">
        <w:rPr>
          <w:rFonts w:ascii="Verdana" w:hAnsi="Verdana" w:cs="Viner Hand ITC"/>
          <w:sz w:val="20"/>
          <w:szCs w:val="20"/>
          <w:lang w:val="bg-BG"/>
        </w:rPr>
        <w:t>“</w:t>
      </w:r>
    </w:p>
    <w:p w14:paraId="09E21C52" w14:textId="26C1ED53" w:rsidR="00ED3056" w:rsidRDefault="00ED3056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8BA5E1E" w14:textId="77777777" w:rsidR="00C75B0A" w:rsidRPr="0067673F" w:rsidRDefault="00C75B0A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2653840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14:paraId="402BCD83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14:paraId="6B77E165" w14:textId="0FE2B5D0" w:rsidR="005C2C28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от Министерския съвет </w:t>
      </w:r>
      <w:r w:rsidR="00ED3056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п</w:t>
      </w:r>
      <w:r w:rsidR="005C2C28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роект </w:t>
      </w:r>
      <w:r w:rsidR="00ED3056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на Постановление за </w:t>
      </w:r>
      <w:r w:rsidR="00807A3A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назначаване на допълнителен персонал за нуж</w:t>
      </w:r>
      <w:r w:rsidR="00AE0EDF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дите и в срока на прилагане на С</w:t>
      </w:r>
      <w:r w:rsidR="00807A3A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 xml:space="preserve">тратегическия план за развитието на земеделието и селските райони на Република България за периода </w:t>
      </w:r>
      <w:r w:rsidR="0050380A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2023 – 2027 г. със средства от т</w:t>
      </w:r>
      <w:r w:rsidR="00807A3A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ехническа помощ и на персонал на местните инициативни групи, изпълняващи стратегии за водено от общностите местно развитие, финансирани със с</w:t>
      </w:r>
      <w:r w:rsidR="003400A7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редства от интервенция II.Ж.5 „И</w:t>
      </w:r>
      <w:r w:rsidR="00807A3A" w:rsidRPr="0067673F"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  <w:t>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14:paraId="0765AAFB" w14:textId="77777777" w:rsidR="0067673F" w:rsidRPr="0067673F" w:rsidRDefault="0067673F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pacing w:val="4"/>
          <w:sz w:val="20"/>
          <w:szCs w:val="20"/>
          <w:lang w:val="bg-BG" w:eastAsia="bg-BG"/>
        </w:rPr>
      </w:pPr>
    </w:p>
    <w:p w14:paraId="710ED27B" w14:textId="77777777" w:rsidR="00B21B83" w:rsidRPr="0067673F" w:rsidRDefault="00B21B83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Причини, които налагат приемането на акта</w:t>
      </w:r>
    </w:p>
    <w:p w14:paraId="60AD9D03" w14:textId="77777777" w:rsidR="00AE0EDF" w:rsidRPr="0067673F" w:rsidRDefault="00AE0EDF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Стратегическия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т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план за развитие на земеделието и селските райони на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Република Бъ</w:t>
      </w:r>
      <w:r w:rsidR="00D312D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лгария за периода 2023 – 2027 г</w:t>
      </w:r>
      <w:r w:rsidR="00D312D7" w:rsidRPr="0067673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(СПРЗСР 2023 </w:t>
      </w:r>
      <w:r w:rsidR="00D312D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–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2027</w:t>
      </w:r>
      <w:r w:rsidR="00D312D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г.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) е одобрен </w:t>
      </w:r>
      <w:r w:rsidR="00D312D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Решение за изпълнение на Европей</w:t>
      </w:r>
      <w:r w:rsidR="003400A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ката комисия </w:t>
      </w:r>
      <w:r w:rsidR="00CC4B11" w:rsidRPr="0067673F">
        <w:rPr>
          <w:rFonts w:ascii="Verdana" w:hAnsi="Verdana"/>
          <w:sz w:val="20"/>
          <w:szCs w:val="20"/>
          <w:lang w:val="bg-BG" w:eastAsia="bg-BG"/>
        </w:rPr>
        <w:t>С(2022)</w:t>
      </w:r>
      <w:r w:rsidRPr="0067673F">
        <w:rPr>
          <w:rFonts w:ascii="Verdana" w:hAnsi="Verdana"/>
          <w:sz w:val="20"/>
          <w:szCs w:val="20"/>
          <w:lang w:val="bg-BG" w:eastAsia="bg-BG"/>
        </w:rPr>
        <w:t>8749 от 7 декември 2022 г. ССI: 2023BG06AFSP001</w:t>
      </w:r>
      <w:r w:rsidR="001E4048" w:rsidRPr="0067673F">
        <w:rPr>
          <w:rFonts w:ascii="Verdana" w:hAnsi="Verdana"/>
          <w:sz w:val="20"/>
          <w:szCs w:val="20"/>
          <w:lang w:val="bg-BG" w:eastAsia="bg-BG"/>
        </w:rPr>
        <w:t xml:space="preserve">, първо изменение, одобрено с решение на Комисията </w:t>
      </w:r>
      <w:r w:rsidR="001E4048" w:rsidRPr="0067673F">
        <w:rPr>
          <w:rFonts w:ascii="Verdana" w:hAnsi="Verdana"/>
          <w:sz w:val="20"/>
          <w:szCs w:val="20"/>
        </w:rPr>
        <w:t>C(2024)353</w:t>
      </w:r>
      <w:r w:rsidR="001E4048" w:rsidRPr="0067673F">
        <w:rPr>
          <w:rFonts w:ascii="Verdana" w:hAnsi="Verdana"/>
          <w:sz w:val="20"/>
          <w:szCs w:val="20"/>
          <w:lang w:val="bg-BG"/>
        </w:rPr>
        <w:t xml:space="preserve"> от 31</w:t>
      </w:r>
      <w:r w:rsidR="00CC4B11" w:rsidRPr="0067673F">
        <w:rPr>
          <w:rFonts w:ascii="Verdana" w:hAnsi="Verdana"/>
          <w:sz w:val="20"/>
          <w:szCs w:val="20"/>
          <w:lang w:val="bg-BG"/>
        </w:rPr>
        <w:t xml:space="preserve"> май </w:t>
      </w:r>
      <w:r w:rsidR="001E4048" w:rsidRPr="0067673F">
        <w:rPr>
          <w:rFonts w:ascii="Verdana" w:hAnsi="Verdana"/>
          <w:sz w:val="20"/>
          <w:szCs w:val="20"/>
          <w:lang w:val="bg-BG"/>
        </w:rPr>
        <w:t>2024 г.</w:t>
      </w:r>
      <w:r w:rsidR="001E4048" w:rsidRPr="0067673F">
        <w:rPr>
          <w:rFonts w:ascii="Verdana" w:hAnsi="Verdana"/>
          <w:sz w:val="20"/>
          <w:szCs w:val="20"/>
          <w:lang w:val="bg-BG" w:eastAsia="bg-BG"/>
        </w:rPr>
        <w:t xml:space="preserve">, второ изменение, одобрено с решение </w:t>
      </w:r>
      <w:r w:rsidR="001E4048" w:rsidRPr="0067673F">
        <w:rPr>
          <w:rFonts w:ascii="Verdana" w:hAnsi="Verdana"/>
          <w:sz w:val="20"/>
          <w:szCs w:val="20"/>
        </w:rPr>
        <w:t>C(2024)8660</w:t>
      </w:r>
      <w:r w:rsidR="001E4048" w:rsidRPr="0067673F">
        <w:rPr>
          <w:rFonts w:ascii="Verdana" w:hAnsi="Verdana"/>
          <w:sz w:val="20"/>
          <w:szCs w:val="20"/>
          <w:lang w:val="bg-BG"/>
        </w:rPr>
        <w:t xml:space="preserve"> от 11</w:t>
      </w:r>
      <w:r w:rsidR="00CC4B11" w:rsidRPr="0067673F">
        <w:rPr>
          <w:rFonts w:ascii="Verdana" w:hAnsi="Verdana"/>
          <w:sz w:val="20"/>
          <w:szCs w:val="20"/>
          <w:lang w:val="bg-BG"/>
        </w:rPr>
        <w:t xml:space="preserve"> декември </w:t>
      </w:r>
      <w:r w:rsidR="001E4048" w:rsidRPr="0067673F">
        <w:rPr>
          <w:rFonts w:ascii="Verdana" w:hAnsi="Verdana"/>
          <w:sz w:val="20"/>
          <w:szCs w:val="20"/>
          <w:lang w:val="bg-BG"/>
        </w:rPr>
        <w:t>2024 г.</w:t>
      </w:r>
    </w:p>
    <w:p w14:paraId="7F6D5E51" w14:textId="259FCBE7" w:rsidR="000811CD" w:rsidRPr="0067673F" w:rsidRDefault="00FB5E71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7673F">
        <w:rPr>
          <w:rFonts w:ascii="Verdana" w:hAnsi="Verdana"/>
          <w:sz w:val="20"/>
          <w:szCs w:val="20"/>
          <w:lang w:val="bg-BG" w:eastAsia="bg-BG"/>
        </w:rPr>
        <w:t>Разпоредбата на чл. 125 от Регламент (ЕС) 2021/2115</w:t>
      </w:r>
      <w:r w:rsidRPr="0067673F">
        <w:rPr>
          <w:rFonts w:ascii="Verdana" w:hAnsi="Verdana" w:cs="Segoe UI"/>
          <w:b/>
          <w:bCs/>
          <w:color w:val="333333"/>
          <w:sz w:val="20"/>
          <w:szCs w:val="20"/>
          <w:shd w:val="clear" w:color="auto" w:fill="FFFFFF"/>
          <w:lang w:val="bg-BG"/>
        </w:rPr>
        <w:t xml:space="preserve"> </w:t>
      </w:r>
      <w:r w:rsidRPr="0067673F">
        <w:rPr>
          <w:rFonts w:ascii="Verdana" w:hAnsi="Verdana"/>
          <w:bCs/>
          <w:sz w:val="20"/>
          <w:szCs w:val="20"/>
          <w:lang w:val="bg-BG" w:eastAsia="bg-BG"/>
        </w:rPr>
        <w:t>на Европей</w:t>
      </w:r>
      <w:r w:rsidR="00C75B0A">
        <w:rPr>
          <w:rFonts w:ascii="Verdana" w:hAnsi="Verdana"/>
          <w:bCs/>
          <w:sz w:val="20"/>
          <w:szCs w:val="20"/>
          <w:lang w:val="bg-BG" w:eastAsia="bg-BG"/>
        </w:rPr>
        <w:t xml:space="preserve">ския парламент и на Съвета от 2 </w:t>
      </w:r>
      <w:r w:rsidRPr="0067673F">
        <w:rPr>
          <w:rFonts w:ascii="Verdana" w:hAnsi="Verdana"/>
          <w:bCs/>
          <w:sz w:val="20"/>
          <w:szCs w:val="20"/>
          <w:lang w:val="bg-BG" w:eastAsia="bg-BG"/>
        </w:rPr>
        <w:t xml:space="preserve">декември </w:t>
      </w:r>
      <w:r w:rsidR="00C75B0A">
        <w:rPr>
          <w:rFonts w:ascii="Verdana" w:hAnsi="Verdana"/>
          <w:bCs/>
          <w:sz w:val="20"/>
          <w:szCs w:val="20"/>
          <w:lang w:val="bg-BG" w:eastAsia="bg-BG"/>
        </w:rPr>
        <w:t xml:space="preserve">2021 </w:t>
      </w:r>
      <w:r w:rsidRPr="0067673F">
        <w:rPr>
          <w:rFonts w:ascii="Verdana" w:hAnsi="Verdana"/>
          <w:bCs/>
          <w:sz w:val="20"/>
          <w:szCs w:val="20"/>
          <w:lang w:val="bg-BG" w:eastAsia="bg-BG"/>
        </w:rPr>
        <w:t>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</w:t>
      </w:r>
      <w:r w:rsidRPr="0067673F">
        <w:rPr>
          <w:rFonts w:ascii="Verdana" w:hAnsi="Verdana"/>
          <w:bCs/>
          <w:sz w:val="20"/>
          <w:szCs w:val="20"/>
          <w:lang w:eastAsia="bg-BG"/>
        </w:rPr>
        <w:t xml:space="preserve"> (ЕС) № 1305/2013 и (ЕС) № 1307/2013</w:t>
      </w:r>
      <w:r w:rsidR="00124085" w:rsidRPr="0067673F">
        <w:rPr>
          <w:rFonts w:ascii="Verdana" w:hAnsi="Verdana"/>
          <w:bCs/>
          <w:sz w:val="20"/>
          <w:szCs w:val="20"/>
          <w:lang w:val="bg-BG" w:eastAsia="bg-BG"/>
        </w:rPr>
        <w:t xml:space="preserve"> (OB L 435, 06/12/2021г.)</w:t>
      </w:r>
      <w:r w:rsidRPr="0067673F">
        <w:rPr>
          <w:rFonts w:ascii="Verdana" w:hAnsi="Verdana"/>
          <w:sz w:val="20"/>
          <w:szCs w:val="20"/>
          <w:lang w:val="bg-BG" w:eastAsia="bg-BG"/>
        </w:rPr>
        <w:t>, предвижда, че държавите членки могат да подпомагат действия, които са необходими за ефективното администриране и изпълнение на подпомагането във връзка със стратегическия план по ОСП. В съответствие с горното е разработен обхват</w:t>
      </w:r>
      <w:r w:rsidR="00CC4B11" w:rsidRPr="0067673F">
        <w:rPr>
          <w:rFonts w:ascii="Verdana" w:hAnsi="Verdana"/>
          <w:sz w:val="20"/>
          <w:szCs w:val="20"/>
          <w:lang w:val="bg-BG" w:eastAsia="bg-BG"/>
        </w:rPr>
        <w:t>ът</w:t>
      </w:r>
      <w:r w:rsidRPr="0067673F">
        <w:rPr>
          <w:rFonts w:ascii="Verdana" w:hAnsi="Verdana"/>
          <w:sz w:val="20"/>
          <w:szCs w:val="20"/>
          <w:lang w:val="bg-BG" w:eastAsia="bg-BG"/>
        </w:rPr>
        <w:t xml:space="preserve"> на техническата помощ в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СПРЗСР 2023 – 2027г.</w:t>
      </w:r>
      <w:r w:rsidR="008E1C4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Като </w:t>
      </w:r>
      <w:r w:rsidR="0050380A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допустима дейност по линия на т</w:t>
      </w:r>
      <w:r w:rsidR="008E1C4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ехническа помощ е заложено наемане на допълнителен персонал, необходим с оглед засилване капацитета на администрацията, ангажирана в управлението, изпълнението и оценката на Стратегическия план и Програма за развитие на селските райони 2014 – 2020 г. и разходи за възнаграждени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ята</w:t>
      </w:r>
      <w:r w:rsidR="008E1C4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този персонал. Допълнителния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т</w:t>
      </w:r>
      <w:r w:rsidR="008E1C4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персонал няма да има статут на щатен персонал. Срокът на трудовите договори на тези служители няма да надхвърля крайната дата на допустимост на разходите по СПРЗСР 2023 – 2027</w:t>
      </w:r>
      <w:r w:rsidR="00C75B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8E1C4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г. </w:t>
      </w:r>
    </w:p>
    <w:p w14:paraId="21C84EA7" w14:textId="77777777" w:rsidR="00AE0EDF" w:rsidRPr="0067673F" w:rsidRDefault="008E1C4C" w:rsidP="003400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В обхвата на до</w:t>
      </w:r>
      <w:r w:rsidR="0050380A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пустимите дейности по линия на т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ехническа помощ е и дейността на местните инициативни групи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(МИГ) за изпълнение на стратегии за 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одено от общностите местно развитие, получили финансиране за изпълнение на стратегии по интервенция </w:t>
      </w:r>
      <w:r w:rsidR="000811CD" w:rsidRPr="0067673F">
        <w:rPr>
          <w:rFonts w:ascii="Verdana" w:eastAsia="Times New Roman" w:hAnsi="Verdana" w:cs="Times New Roman"/>
          <w:sz w:val="20"/>
          <w:szCs w:val="20"/>
          <w:lang w:eastAsia="bg-BG"/>
        </w:rPr>
        <w:t>II.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en-GB" w:eastAsia="bg-BG"/>
        </w:rPr>
        <w:t>Ж.5</w:t>
      </w:r>
      <w:r w:rsidR="000811CD" w:rsidRPr="0067673F">
        <w:rPr>
          <w:rFonts w:ascii="Verdana" w:eastAsia="Times New Roman" w:hAnsi="Verdana" w:cs="Times New Roman"/>
          <w:b/>
          <w:sz w:val="20"/>
          <w:szCs w:val="20"/>
          <w:lang w:val="en-GB" w:eastAsia="bg-BG"/>
        </w:rPr>
        <w:t xml:space="preserve"> 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„Изпълнение на операции, включително дейности за сътрудничество и тяхната подготовка, избрани в рамките на стратегията за местно развитие“. Трудовите договори на персонал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а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нает от МИГ, 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ще са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3400A7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със 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срок, който </w:t>
      </w:r>
      <w:r w:rsidR="00CC4B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да </w:t>
      </w:r>
      <w:r w:rsidR="000811CD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не надхвърля срока за изпълнение на стратегиите. </w:t>
      </w:r>
    </w:p>
    <w:p w14:paraId="1C7E0EA6" w14:textId="0216A0C3" w:rsidR="008329A9" w:rsidRPr="0067673F" w:rsidRDefault="008329A9" w:rsidP="00316BF4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Предвижда се проектът на постановление да влезе в сила от деня на обнародването му. </w:t>
      </w:r>
      <w:r w:rsidR="00045E1C"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</w:t>
      </w:r>
      <w:r w:rsidR="008A1CB4"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о-бързото му влизане в сила</w:t>
      </w:r>
      <w:r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ще осигури възможност за </w:t>
      </w:r>
      <w:r w:rsidR="008A1CB4"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своевременно осигуряване на допълнителен административен капацитет за нуждите на прилагане на </w:t>
      </w:r>
      <w:r w:rsidR="00C75B0A"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Стратегическия</w:t>
      </w:r>
      <w:r w:rsidR="008A1CB4" w:rsidRPr="0067673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план. </w:t>
      </w:r>
    </w:p>
    <w:p w14:paraId="2B04AFB4" w14:textId="77777777" w:rsidR="008329A9" w:rsidRPr="0067673F" w:rsidRDefault="008329A9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6DD5451C" w14:textId="77777777" w:rsidR="002915EF" w:rsidRPr="00AE1C90" w:rsidRDefault="002915EF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E1C9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Цели</w:t>
      </w:r>
    </w:p>
    <w:p w14:paraId="1DC10D54" w14:textId="69D9DF41" w:rsidR="005E68F2" w:rsidRPr="00AE1C90" w:rsidRDefault="00BD2BED" w:rsidP="00E045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AE1C90">
        <w:rPr>
          <w:rFonts w:ascii="Verdana" w:hAnsi="Verdana"/>
          <w:sz w:val="20"/>
          <w:szCs w:val="20"/>
          <w:lang w:val="bg-BG" w:eastAsia="bg-BG"/>
        </w:rPr>
        <w:t xml:space="preserve">Предложението за </w:t>
      </w:r>
      <w:r w:rsidR="00C75B0A" w:rsidRPr="00AE1C90">
        <w:rPr>
          <w:rFonts w:ascii="Verdana" w:hAnsi="Verdana"/>
          <w:sz w:val="20"/>
          <w:szCs w:val="20"/>
          <w:lang w:val="bg-BG" w:eastAsia="bg-BG"/>
        </w:rPr>
        <w:t>п</w:t>
      </w:r>
      <w:r w:rsidR="000811CD" w:rsidRPr="00AE1C90">
        <w:rPr>
          <w:rFonts w:ascii="Verdana" w:hAnsi="Verdana"/>
          <w:sz w:val="20"/>
          <w:szCs w:val="20"/>
          <w:lang w:val="bg-BG" w:eastAsia="bg-BG"/>
        </w:rPr>
        <w:t>роект</w:t>
      </w:r>
      <w:r w:rsidR="00C75B0A" w:rsidRPr="00AE1C90">
        <w:rPr>
          <w:rFonts w:ascii="Verdana" w:hAnsi="Verdana"/>
          <w:sz w:val="20"/>
          <w:szCs w:val="20"/>
          <w:lang w:val="bg-BG" w:eastAsia="bg-BG"/>
        </w:rPr>
        <w:t>а</w:t>
      </w:r>
      <w:r w:rsidR="000811CD" w:rsidRPr="00AE1C90">
        <w:rPr>
          <w:rFonts w:ascii="Verdana" w:hAnsi="Verdana"/>
          <w:sz w:val="20"/>
          <w:szCs w:val="20"/>
          <w:lang w:val="bg-BG" w:eastAsia="bg-BG"/>
        </w:rPr>
        <w:t xml:space="preserve"> на Постановление за назначаване на допълнителен персонал за нуж</w:t>
      </w:r>
      <w:r w:rsidR="008A1CB4" w:rsidRPr="00AE1C90">
        <w:rPr>
          <w:rFonts w:ascii="Verdana" w:hAnsi="Verdana"/>
          <w:sz w:val="20"/>
          <w:szCs w:val="20"/>
          <w:lang w:val="bg-BG" w:eastAsia="bg-BG"/>
        </w:rPr>
        <w:t xml:space="preserve">дите и в срока на прилагане на </w:t>
      </w:r>
      <w:r w:rsidR="00491FA9" w:rsidRPr="00AE1C90">
        <w:rPr>
          <w:rFonts w:ascii="Verdana" w:hAnsi="Verdana"/>
          <w:sz w:val="20"/>
          <w:szCs w:val="20"/>
          <w:lang w:val="bg-BG" w:eastAsia="bg-BG"/>
        </w:rPr>
        <w:t>СПРЗСР 2023 – 2027</w:t>
      </w:r>
      <w:r w:rsidR="004B7D32" w:rsidRPr="00AE1C90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491FA9" w:rsidRPr="00AE1C90">
        <w:rPr>
          <w:rFonts w:ascii="Verdana" w:hAnsi="Verdana"/>
          <w:sz w:val="20"/>
          <w:szCs w:val="20"/>
          <w:lang w:val="bg-BG" w:eastAsia="bg-BG"/>
        </w:rPr>
        <w:t>г.</w:t>
      </w:r>
      <w:r w:rsidR="005E68F2" w:rsidRPr="00AE1C90">
        <w:rPr>
          <w:rFonts w:ascii="Verdana" w:hAnsi="Verdana"/>
          <w:sz w:val="20"/>
          <w:szCs w:val="20"/>
          <w:lang w:val="bg-BG" w:eastAsia="bg-BG"/>
        </w:rPr>
        <w:t xml:space="preserve"> По такъв начин ще се постигне повишаване на административния капацитет на Управляващия </w:t>
      </w:r>
      <w:r w:rsidR="005E68F2" w:rsidRPr="00AE1C90">
        <w:rPr>
          <w:rFonts w:ascii="Verdana" w:hAnsi="Verdana"/>
          <w:sz w:val="20"/>
          <w:szCs w:val="20"/>
          <w:lang w:val="bg-BG" w:eastAsia="bg-BG"/>
        </w:rPr>
        <w:lastRenderedPageBreak/>
        <w:t>орган на Стратегическия план за развитието на земеделието и селските райони на Република България за периода 2023 – 2027 г. и Държавен фонд „Земеделие“.</w:t>
      </w:r>
    </w:p>
    <w:p w14:paraId="33E4A391" w14:textId="4FE7E045" w:rsidR="005E68F2" w:rsidRPr="00AE1C90" w:rsidRDefault="005E68F2" w:rsidP="005E68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AE1C90">
        <w:rPr>
          <w:rFonts w:ascii="Verdana" w:hAnsi="Verdana"/>
          <w:sz w:val="20"/>
          <w:szCs w:val="20"/>
          <w:lang w:val="bg-BG" w:eastAsia="bg-BG"/>
        </w:rPr>
        <w:t>В допълнение ще се осигурят работни места за до 40 служители в Управляващия орган и до 180 служители в Държавен фонд „Земеделие“ и областните дирекции на фонда до 15 октомври 2029 г.</w:t>
      </w:r>
    </w:p>
    <w:p w14:paraId="264D8C87" w14:textId="77777777" w:rsidR="000811CD" w:rsidRPr="00AE1C90" w:rsidRDefault="000811CD" w:rsidP="00081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814D922" w14:textId="77777777" w:rsidR="000B4D86" w:rsidRPr="0067673F" w:rsidRDefault="00676D75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E1C9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Финансови и други средства, необходими за прилагането на новата</w:t>
      </w: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уредба</w:t>
      </w:r>
    </w:p>
    <w:p w14:paraId="4B781DD7" w14:textId="7BDD4263" w:rsidR="008E3585" w:rsidRPr="008E3585" w:rsidRDefault="008E3585" w:rsidP="008E35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8E3585">
        <w:rPr>
          <w:rFonts w:ascii="Verdana" w:hAnsi="Verdana"/>
          <w:sz w:val="20"/>
          <w:szCs w:val="20"/>
          <w:lang w:val="bg-BG" w:eastAsia="bg-BG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14:paraId="5A1DAC1A" w14:textId="77777777" w:rsidR="008E3585" w:rsidRPr="008E3585" w:rsidRDefault="008E3585" w:rsidP="008E35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8E3585">
        <w:rPr>
          <w:rFonts w:ascii="Verdana" w:hAnsi="Verdana"/>
          <w:sz w:val="20"/>
          <w:szCs w:val="20"/>
          <w:lang w:val="bg-BG" w:eastAsia="bg-BG"/>
        </w:rPr>
        <w:t>За приемането на проекта на акт не са необходими допълнителни разходи/трансфери и други плащания по бюджета в рамките на одобрените параметри със средносрочната бюджета прогноза за съответния период на Министерство на земеделието и храните, Държавен фонд „Земеделие“, както и Сметката за средства от Европейския съюз на Държавен фонд „Земеделие“.</w:t>
      </w:r>
    </w:p>
    <w:p w14:paraId="3F6049F8" w14:textId="77777777" w:rsidR="008E3585" w:rsidRPr="008E3585" w:rsidRDefault="008E3585" w:rsidP="008E35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8E3585">
        <w:rPr>
          <w:rFonts w:ascii="Verdana" w:hAnsi="Verdana"/>
          <w:sz w:val="20"/>
          <w:szCs w:val="20"/>
          <w:lang w:val="bg-BG" w:eastAsia="bg-BG"/>
        </w:rPr>
        <w:t>Възнаграждението на допълнително наетия персонал ще се финансира изцяло от Европейски земеделски фонд за развитие на селските райони.</w:t>
      </w:r>
    </w:p>
    <w:p w14:paraId="2E6D353C" w14:textId="657DE4A9" w:rsidR="001165CF" w:rsidRDefault="008E3585" w:rsidP="008E35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en-GB" w:eastAsia="bg-BG"/>
        </w:rPr>
      </w:pPr>
      <w:r w:rsidRPr="008E3585">
        <w:rPr>
          <w:rFonts w:ascii="Verdana" w:hAnsi="Verdana"/>
          <w:sz w:val="20"/>
          <w:szCs w:val="20"/>
          <w:lang w:val="bg-BG" w:eastAsia="bg-BG"/>
        </w:rPr>
        <w:t>Проектът на Постановление не води до изменения в целевите стойности на показателите за изпълнение по програми, в това число и ключовите индикатори, заложени в програмните формати на бюджет на Министерство на земеделието и храните и Държавен фонд „Земеделие“, тъй като чрез проекта ще се подпомогне постигането на целевите стойности на показателите за изпълнение, което ще допринесе за постигане на стратегическите цели заложени в политиките на Министерството на земеделието и храните в областта на земеделието и селските райони, изпълнявани както от Министерство на земеделието и храните, така и прилагани от Д</w:t>
      </w:r>
      <w:r w:rsidR="00597FDB">
        <w:rPr>
          <w:rFonts w:ascii="Verdana" w:hAnsi="Verdana"/>
          <w:sz w:val="20"/>
          <w:szCs w:val="20"/>
          <w:lang w:val="bg-BG" w:eastAsia="bg-BG"/>
        </w:rPr>
        <w:t>ържавен фонд</w:t>
      </w:r>
      <w:r w:rsidRPr="008E3585">
        <w:rPr>
          <w:rFonts w:ascii="Verdana" w:hAnsi="Verdana"/>
          <w:sz w:val="20"/>
          <w:szCs w:val="20"/>
          <w:lang w:val="bg-BG" w:eastAsia="bg-BG"/>
        </w:rPr>
        <w:t xml:space="preserve"> „Земеделие“</w:t>
      </w:r>
      <w:r>
        <w:rPr>
          <w:rFonts w:ascii="Verdana" w:hAnsi="Verdana"/>
          <w:sz w:val="20"/>
          <w:szCs w:val="20"/>
          <w:lang w:val="en-GB" w:eastAsia="bg-BG"/>
        </w:rPr>
        <w:t>.</w:t>
      </w:r>
    </w:p>
    <w:p w14:paraId="29BA02A9" w14:textId="77777777" w:rsidR="00AC061B" w:rsidRPr="00E04514" w:rsidRDefault="00AC061B" w:rsidP="008E35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en-GB" w:eastAsia="bg-BG"/>
        </w:rPr>
      </w:pPr>
    </w:p>
    <w:p w14:paraId="2EA014E4" w14:textId="77777777" w:rsidR="00EC4FAB" w:rsidRPr="0067673F" w:rsidRDefault="00EC4FAB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Очаквани резултати от прилагането на акта</w:t>
      </w:r>
    </w:p>
    <w:p w14:paraId="4E4E3D5A" w14:textId="14B6179C" w:rsidR="0047104F" w:rsidRPr="0067673F" w:rsidRDefault="00CC4B11" w:rsidP="00081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</w:t>
      </w:r>
      <w:r w:rsidR="002B7AE5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риемането на</w:t>
      </w:r>
      <w:r w:rsidR="00494A3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проекта</w:t>
      </w:r>
      <w:r w:rsidR="00D33214" w:rsidRPr="0067673F">
        <w:rPr>
          <w:rFonts w:ascii="Verdana" w:eastAsia="Times New Roman" w:hAnsi="Verdana" w:cs="Times New Roman"/>
          <w:color w:val="FFC000"/>
          <w:sz w:val="20"/>
          <w:szCs w:val="20"/>
          <w:lang w:val="bg-BG" w:eastAsia="bg-BG"/>
        </w:rPr>
        <w:t xml:space="preserve"> 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на Постановление за назначаване на допълнителен персонал за нуждите и в срока на прилагане на </w:t>
      </w:r>
      <w:r w:rsidR="00DB2660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СПРЗСР 2023 – 2027</w:t>
      </w:r>
      <w:r w:rsidR="00C75B0A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DB2660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г.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</w:t>
      </w:r>
      <w:r w:rsidR="003400A7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редства от интервенция II.Ж.5 „И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зпълнение на операции, включително дейности за сътрудничество и тяхната подготовка, избрани в рамките на стратегията за местно развитие“</w:t>
      </w:r>
      <w:r w:rsidR="002B7AE5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,</w:t>
      </w:r>
      <w:r w:rsidR="00CB6152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2B7AE5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ще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допринесе за</w:t>
      </w:r>
      <w:r w:rsidR="00A953C2" w:rsidRPr="0067673F"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  <w:t xml:space="preserve"> 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оптимизира</w:t>
      </w:r>
      <w:r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не на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дейността и укреп</w:t>
      </w:r>
      <w:r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ване на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административния капацитет на 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Управляващия орган на СПРЗСР 2023 – 2027 г. и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на 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Държавен фонд „Земеделие“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.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467B9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Р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азумното разпределение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на човешкия ресурс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ще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467B9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намери позитивно отражение на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качеството на </w:t>
      </w:r>
      <w:r w:rsidR="0047104F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работните процеси</w:t>
      </w:r>
      <w:r w:rsidR="008846C3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, </w:t>
      </w:r>
      <w:r w:rsidR="00467B9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свързани с </w:t>
      </w:r>
      <w:r w:rsidR="00467B9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lastRenderedPageBreak/>
        <w:t>управлението и изпълнението на Стратегическия план. П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о отношение на дейността на </w:t>
      </w:r>
      <w:r w:rsidR="00B70FA8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МИГ</w:t>
      </w:r>
      <w:r w:rsidR="00C75B0A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ще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се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подобри</w:t>
      </w:r>
      <w:r w:rsidR="000811C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ефикасността и ефективността </w:t>
      </w:r>
      <w:r w:rsidR="00467B9D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на</w:t>
      </w:r>
      <w:r w:rsidR="00C90859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изпълнение</w:t>
      </w:r>
      <w:r w:rsidR="00F63A0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то</w:t>
      </w:r>
      <w:r w:rsidR="00C90859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на стратегии за водено от общностите местно развитие</w:t>
      </w:r>
      <w:r w:rsidR="008846C3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. Това ще създаде правна сигурност на административния капацитет, зает с </w:t>
      </w:r>
      <w:r w:rsidR="00C90859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прилагането</w:t>
      </w:r>
      <w:r w:rsidR="008846C3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на интервенциите от </w:t>
      </w:r>
      <w:r w:rsidR="00F14E5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СПРЗСР 2023 – 2027</w:t>
      </w:r>
      <w:r w:rsidR="00C75B0A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F14E56" w:rsidRPr="0067673F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г.</w:t>
      </w:r>
    </w:p>
    <w:p w14:paraId="2A948D53" w14:textId="77777777" w:rsidR="00C90859" w:rsidRPr="0067673F" w:rsidRDefault="00C90859" w:rsidP="00081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</w:p>
    <w:p w14:paraId="1FFE64A6" w14:textId="77777777" w:rsidR="00EC4FAB" w:rsidRPr="0067673F" w:rsidRDefault="003A0069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Анализ за съответствие с правото на Европейския съюз</w:t>
      </w:r>
    </w:p>
    <w:p w14:paraId="7D67F052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="00402F0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</w:t>
      </w:r>
      <w:r w:rsidR="00151C6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я</w:t>
      </w:r>
      <w:r w:rsidR="00402F0C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741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проект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</w:t>
      </w:r>
      <w:r w:rsidR="001741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Постановлени</w:t>
      </w:r>
      <w:r w:rsidR="00151C6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17411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не се транспонират актове на институции на Европейския съюз, поради което не е и</w:t>
      </w:r>
      <w:r w:rsidR="009A6EFB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зготвена и представена таблица н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 съответствието с правото на Европейския съюз. </w:t>
      </w:r>
    </w:p>
    <w:p w14:paraId="177B6696" w14:textId="77777777" w:rsidR="00425EA4" w:rsidRPr="0067673F" w:rsidRDefault="00425EA4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41B5870" w14:textId="77777777" w:rsidR="003A0069" w:rsidRPr="0067673F" w:rsidRDefault="003A0069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Информация за проведените обществени консултации</w:t>
      </w:r>
    </w:p>
    <w:p w14:paraId="581CB99F" w14:textId="2BDBC125" w:rsidR="00713B56" w:rsidRPr="001D06C1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Съгласно чл. 26, ал. 3 и 4 от Закон</w:t>
      </w:r>
      <w:r w:rsidR="007F763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а за нормативните актове проект</w:t>
      </w:r>
      <w:r w:rsidR="007B72A0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151C6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т</w:t>
      </w:r>
      <w:r w:rsidR="007B72A0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="007F763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постановление</w:t>
      </w:r>
      <w:r w:rsidR="00270999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7F763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доклад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</w:t>
      </w:r>
      <w:r w:rsidR="007F763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мотиви)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7F763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E15B1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частична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предварителна оценка на въздействието и становището на дирекция 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„</w:t>
      </w:r>
      <w:r w:rsidR="00C75B0A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Координация и модернизация на администрацията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“ </w:t>
      </w:r>
      <w:r w:rsidR="007F7631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в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Министерския съвет</w:t>
      </w:r>
      <w:r w:rsidR="007F7631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по частичната предварителна оценка на въздействието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са публикувани на интернет страницата на</w:t>
      </w:r>
      <w:r w:rsidR="00BF389A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Министерството на земеделието </w:t>
      </w:r>
      <w:r w:rsidR="00467B57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и храните 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и на Портала за обществени консултации със срок за предложения и становища 30 дни. </w:t>
      </w:r>
    </w:p>
    <w:p w14:paraId="6109E931" w14:textId="34EE3890" w:rsidR="00713B56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В съответствие с чл. 26, ал. 5 от Закона за нормативните актове справката за</w:t>
      </w:r>
      <w:r w:rsidR="007F7631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отразяване на постъпилите 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>предложения</w:t>
      </w:r>
      <w:r w:rsidR="007F7631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и становища от проведената обществена консултация,</w:t>
      </w:r>
      <w:r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заедно с обосновка за неприетите предложения е публикувана на интернет страницата на Министерството на земеделието</w:t>
      </w:r>
      <w:r w:rsidR="00BF389A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C75B0A" w:rsidRPr="001D06C1">
        <w:rPr>
          <w:rFonts w:ascii="Verdana" w:eastAsia="Times New Roman" w:hAnsi="Verdana" w:cs="Times New Roman"/>
          <w:color w:val="000000" w:themeColor="text1"/>
          <w:sz w:val="20"/>
          <w:szCs w:val="20"/>
          <w:lang w:val="bg-BG" w:eastAsia="bg-BG"/>
        </w:rPr>
        <w:t xml:space="preserve">и храните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и на Пор</w:t>
      </w:r>
      <w:r w:rsidR="00425EA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тала за обществени консултации.</w:t>
      </w:r>
    </w:p>
    <w:p w14:paraId="31FCCA6C" w14:textId="77777777" w:rsidR="00467B57" w:rsidRPr="00027510" w:rsidRDefault="00467B57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5443F43C" w14:textId="77777777" w:rsidR="00270999" w:rsidRPr="0067673F" w:rsidRDefault="00713B56" w:rsidP="00A96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Документите по </w:t>
      </w:r>
      <w:r w:rsidR="00163602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проект</w:t>
      </w:r>
      <w:r w:rsidR="00151C6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а</w:t>
      </w:r>
      <w:r w:rsidR="00163602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на постановлени</w:t>
      </w:r>
      <w:r w:rsidR="00151C64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</w:t>
      </w: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</w:t>
      </w:r>
      <w:r w:rsidR="00A96C7E"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>ежки и предложения са отразени.</w:t>
      </w:r>
    </w:p>
    <w:p w14:paraId="4DFD902A" w14:textId="502AC6AE" w:rsidR="00CD7A1D" w:rsidRDefault="00CD7A1D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414ECF6" w14:textId="77777777" w:rsidR="00027510" w:rsidRPr="0067673F" w:rsidRDefault="00027510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p w14:paraId="13908A74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УВАЖАЕМИ ГОСПОДИН МИНИСТЪР-ПРЕДСЕДАТЕЛ,</w:t>
      </w:r>
    </w:p>
    <w:p w14:paraId="2B1C4CE6" w14:textId="77777777" w:rsidR="00713B56" w:rsidRPr="0067673F" w:rsidRDefault="00713B56" w:rsidP="002709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УВАЖАЕМИ ГОСПОЖИ И ГОСПОДА МИНИСТРИ,</w:t>
      </w:r>
    </w:p>
    <w:p w14:paraId="77BED557" w14:textId="7B0BBC65" w:rsidR="00C852F7" w:rsidRPr="0067673F" w:rsidRDefault="00713B5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</w:pPr>
      <w:r w:rsidRPr="0067673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Във връзка с гореизложеното, и на основание чл. 8, ал. 2 от Устройствения </w:t>
      </w:r>
      <w:r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правилник на Министерския съвет и на неговата администрация, предлагам Министерския</w:t>
      </w:r>
      <w:r w:rsidR="00A953C2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т</w:t>
      </w:r>
      <w:r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съвет да приеме </w:t>
      </w:r>
      <w:r w:rsidR="00C75B0A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п</w:t>
      </w:r>
      <w:r w:rsidR="008A603B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роект</w:t>
      </w:r>
      <w:r w:rsidR="00C75B0A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а</w:t>
      </w:r>
      <w:r w:rsidR="008A603B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 </w:t>
      </w:r>
      <w:r w:rsidR="008A603B" w:rsidRPr="0067673F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="008A603B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 xml:space="preserve">Постановление за назначаване на допълнителен персонал за нуждите и в срока на прилагане на стратегическия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</w:t>
      </w:r>
      <w:r w:rsidR="008A603B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lastRenderedPageBreak/>
        <w:t>финансирани със средства от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</w:t>
      </w:r>
      <w:r w:rsidR="00606CC9" w:rsidRPr="0067673F">
        <w:rPr>
          <w:rFonts w:ascii="Verdana" w:eastAsia="Times New Roman" w:hAnsi="Verdana" w:cs="Times New Roman"/>
          <w:spacing w:val="-2"/>
          <w:sz w:val="20"/>
          <w:szCs w:val="20"/>
          <w:lang w:val="bg-BG" w:eastAsia="bg-BG"/>
        </w:rPr>
        <w:t>.</w:t>
      </w:r>
    </w:p>
    <w:p w14:paraId="6F0B56E0" w14:textId="77777777" w:rsidR="002E6936" w:rsidRPr="0067673F" w:rsidRDefault="002E6936" w:rsidP="00270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793869" w:rsidRPr="00C75B0A" w14:paraId="3925D75C" w14:textId="77777777" w:rsidTr="00C75B0A">
        <w:tc>
          <w:tcPr>
            <w:tcW w:w="1781" w:type="dxa"/>
          </w:tcPr>
          <w:p w14:paraId="2110BB59" w14:textId="77777777" w:rsidR="00793869" w:rsidRPr="00C75B0A" w:rsidRDefault="00793869" w:rsidP="00270999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Приложение: </w:t>
            </w:r>
          </w:p>
        </w:tc>
        <w:tc>
          <w:tcPr>
            <w:tcW w:w="6873" w:type="dxa"/>
          </w:tcPr>
          <w:p w14:paraId="19F0156F" w14:textId="1EE94F6B" w:rsidR="00793869" w:rsidRPr="00C75B0A" w:rsidRDefault="008A603B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Verdana" w:hAnsi="Verdana" w:cs="Times New Roman"/>
                <w:spacing w:val="2"/>
                <w:sz w:val="20"/>
                <w:szCs w:val="20"/>
                <w:lang w:val="bg-BG"/>
              </w:rPr>
            </w:pPr>
            <w:r w:rsidRPr="00C75B0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 w:eastAsia="bg-BG"/>
              </w:rPr>
              <w:t xml:space="preserve">Проект </w:t>
            </w: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на Постановление </w:t>
            </w:r>
            <w:r w:rsidR="00027510">
              <w:rPr>
                <w:rFonts w:ascii="Verdana" w:hAnsi="Verdana" w:cs="Times New Roman"/>
                <w:sz w:val="20"/>
                <w:szCs w:val="20"/>
                <w:lang w:val="bg-BG"/>
              </w:rPr>
              <w:t>на Министерския съвет</w:t>
            </w:r>
            <w:r w:rsidR="00606CC9" w:rsidRPr="00C75B0A">
              <w:rPr>
                <w:rFonts w:ascii="Verdana" w:hAnsi="Verdana" w:cs="Times New Roman"/>
                <w:spacing w:val="2"/>
                <w:sz w:val="20"/>
                <w:szCs w:val="20"/>
                <w:lang w:val="bg-BG"/>
              </w:rPr>
              <w:t xml:space="preserve">; </w:t>
            </w:r>
          </w:p>
          <w:p w14:paraId="2A72FD78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Частична предварителна оценка на въздействието; </w:t>
            </w:r>
          </w:p>
          <w:p w14:paraId="1872BCA3" w14:textId="386830EE" w:rsidR="00793869" w:rsidRPr="00C75B0A" w:rsidRDefault="00793869" w:rsidP="00C75B0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Становище на дирекция </w:t>
            </w:r>
            <w:r w:rsidRPr="001D06C1">
              <w:rPr>
                <w:rFonts w:ascii="Verdana" w:hAnsi="Verdana" w:cs="Times New Roman"/>
                <w:color w:val="000000" w:themeColor="text1"/>
                <w:sz w:val="20"/>
                <w:szCs w:val="20"/>
                <w:lang w:val="bg-BG"/>
              </w:rPr>
              <w:t>„</w:t>
            </w:r>
            <w:r w:rsidR="00C75B0A" w:rsidRPr="001D06C1">
              <w:rPr>
                <w:rFonts w:ascii="Verdana" w:hAnsi="Verdana" w:cs="Times New Roman"/>
                <w:color w:val="000000" w:themeColor="text1"/>
                <w:sz w:val="20"/>
                <w:szCs w:val="20"/>
                <w:lang w:val="bg-BG"/>
              </w:rPr>
              <w:t>Координация и модернизация на администрацията</w:t>
            </w:r>
            <w:r w:rsidRPr="001D06C1">
              <w:rPr>
                <w:rFonts w:ascii="Verdana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” </w:t>
            </w: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в Министерския съвет по частичната предварителна оценка на въздействието;</w:t>
            </w:r>
          </w:p>
          <w:p w14:paraId="04BB7D1B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Финансова обосновка;</w:t>
            </w:r>
          </w:p>
          <w:p w14:paraId="27BB17A7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администрация;</w:t>
            </w:r>
          </w:p>
          <w:p w14:paraId="4F8726E7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Постъпили становища по реда на чл. 32 – 34 от Устройствения правилник на Министерския съвет и на неговата администрация;</w:t>
            </w:r>
          </w:p>
          <w:p w14:paraId="0EEC3F77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Справка за отразяване на предложенията и становищата, постъпили от проведената обществена консултация</w:t>
            </w:r>
            <w:r w:rsidR="00A91F3E"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;</w:t>
            </w:r>
          </w:p>
          <w:p w14:paraId="184B8004" w14:textId="77777777" w:rsidR="00793869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z w:val="20"/>
                <w:szCs w:val="20"/>
                <w:lang w:val="bg-BG"/>
              </w:rPr>
              <w:t>Постъпили становища и предложения от проведената обществена консултация;</w:t>
            </w:r>
          </w:p>
          <w:p w14:paraId="237ACD61" w14:textId="77777777" w:rsidR="00A953C2" w:rsidRPr="00C75B0A" w:rsidRDefault="00793869" w:rsidP="0027099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 w:val="0"/>
              <w:jc w:val="both"/>
              <w:rPr>
                <w:rFonts w:ascii="Verdana" w:hAnsi="Verdana"/>
                <w:spacing w:val="-4"/>
                <w:sz w:val="20"/>
                <w:szCs w:val="20"/>
                <w:lang w:val="bg-BG"/>
              </w:rPr>
            </w:pPr>
            <w:r w:rsidRPr="00C75B0A">
              <w:rPr>
                <w:rFonts w:ascii="Verdana" w:hAnsi="Verdana" w:cs="Times New Roman"/>
                <w:spacing w:val="-4"/>
                <w:sz w:val="20"/>
                <w:szCs w:val="20"/>
                <w:lang w:val="bg-BG"/>
              </w:rPr>
              <w:t>Проект на съобщение за средствата за масово осведомяване</w:t>
            </w:r>
            <w:r w:rsidRPr="00C75B0A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>.</w:t>
            </w:r>
          </w:p>
        </w:tc>
      </w:tr>
    </w:tbl>
    <w:p w14:paraId="7BC3A515" w14:textId="21819075" w:rsidR="0099320F" w:rsidRDefault="0099320F" w:rsidP="00270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28F914E" w14:textId="77777777" w:rsidR="00027510" w:rsidRPr="0067673F" w:rsidRDefault="00027510" w:rsidP="00270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C8E6B5F" w14:textId="6CF9D8C0" w:rsidR="00A953C2" w:rsidRDefault="00A56C6D" w:rsidP="00270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mallCap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mallCaps/>
          <w:sz w:val="20"/>
          <w:szCs w:val="20"/>
          <w:lang w:val="bg-BG" w:eastAsia="bg-BG"/>
        </w:rPr>
        <w:pict w14:anchorId="7A68F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51D7185-21AC-4552-A3FC-76984282E761}" provid="{00000000-0000-0000-0000-000000000000}" o:suggestedsigner="Д-Р ГЕОРГИ ТАХОВ" o:suggestedsigner2="Министър" issignatureline="t"/>
          </v:shape>
        </w:pict>
      </w:r>
    </w:p>
    <w:sectPr w:rsidR="00A953C2" w:rsidSect="00AE1C90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2346" w14:textId="77777777" w:rsidR="00A56C6D" w:rsidRDefault="00A56C6D">
      <w:pPr>
        <w:spacing w:after="0" w:line="240" w:lineRule="auto"/>
      </w:pPr>
      <w:r>
        <w:separator/>
      </w:r>
    </w:p>
  </w:endnote>
  <w:endnote w:type="continuationSeparator" w:id="0">
    <w:p w14:paraId="1D40334E" w14:textId="77777777" w:rsidR="00A56C6D" w:rsidRDefault="00A5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5065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7E398A5" w14:textId="7BCA900D" w:rsidR="00BD2BED" w:rsidRPr="00C75B0A" w:rsidRDefault="00C75B0A" w:rsidP="00C75B0A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75B0A">
          <w:rPr>
            <w:rFonts w:ascii="Verdana" w:hAnsi="Verdana"/>
            <w:sz w:val="16"/>
            <w:szCs w:val="16"/>
          </w:rPr>
          <w:fldChar w:fldCharType="begin"/>
        </w:r>
        <w:r w:rsidRPr="00C75B0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75B0A">
          <w:rPr>
            <w:rFonts w:ascii="Verdana" w:hAnsi="Verdana"/>
            <w:sz w:val="16"/>
            <w:szCs w:val="16"/>
          </w:rPr>
          <w:fldChar w:fldCharType="separate"/>
        </w:r>
        <w:r w:rsidR="00027510">
          <w:rPr>
            <w:rFonts w:ascii="Verdana" w:hAnsi="Verdana"/>
            <w:noProof/>
            <w:sz w:val="16"/>
            <w:szCs w:val="16"/>
          </w:rPr>
          <w:t>5</w:t>
        </w:r>
        <w:r w:rsidRPr="00C75B0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3D60" w14:textId="77777777" w:rsidR="00A56C6D" w:rsidRDefault="00A56C6D">
      <w:pPr>
        <w:spacing w:after="0" w:line="240" w:lineRule="auto"/>
      </w:pPr>
      <w:r>
        <w:separator/>
      </w:r>
    </w:p>
  </w:footnote>
  <w:footnote w:type="continuationSeparator" w:id="0">
    <w:p w14:paraId="6F8EF76D" w14:textId="77777777" w:rsidR="00A56C6D" w:rsidRDefault="00A5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7290" w14:textId="77777777" w:rsidR="00635A2E" w:rsidRPr="00635A2E" w:rsidRDefault="00635A2E" w:rsidP="00635A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6"/>
        <w:szCs w:val="18"/>
        <w:lang w:val="bg-BG" w:eastAsia="bg-BG"/>
      </w:rPr>
    </w:pPr>
    <w:r w:rsidRPr="00635A2E">
      <w:rPr>
        <w:rFonts w:ascii="Verdana" w:eastAsia="Times New Roman" w:hAnsi="Verdana" w:cs="Times New Roman"/>
        <w:sz w:val="16"/>
        <w:szCs w:val="18"/>
        <w:lang w:val="bg-BG" w:eastAsia="bg-BG"/>
      </w:rPr>
      <w:t>Класификация на информацията:</w:t>
    </w:r>
  </w:p>
  <w:p w14:paraId="2D4301AA" w14:textId="77777777" w:rsidR="00635A2E" w:rsidRDefault="00635A2E" w:rsidP="00635A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Cs/>
        <w:sz w:val="16"/>
        <w:szCs w:val="18"/>
        <w:lang w:eastAsia="bg-BG"/>
      </w:rPr>
    </w:pPr>
    <w:r w:rsidRPr="00635A2E">
      <w:rPr>
        <w:rFonts w:ascii="Verdana" w:eastAsia="Times New Roman" w:hAnsi="Verdana" w:cs="Times New Roman"/>
        <w:bCs/>
        <w:sz w:val="16"/>
        <w:szCs w:val="18"/>
        <w:lang w:val="bg-BG" w:eastAsia="bg-BG"/>
      </w:rPr>
      <w:t>Ниво 0, TLP-</w:t>
    </w:r>
    <w:r w:rsidRPr="00635A2E">
      <w:rPr>
        <w:rFonts w:ascii="Verdana" w:eastAsia="Times New Roman" w:hAnsi="Verdana" w:cs="Times New Roman"/>
        <w:bCs/>
        <w:sz w:val="16"/>
        <w:szCs w:val="18"/>
        <w:lang w:eastAsia="bg-BG"/>
      </w:rPr>
      <w:t>WHITE</w:t>
    </w:r>
  </w:p>
  <w:p w14:paraId="7EA39A44" w14:textId="77777777" w:rsidR="00635A2E" w:rsidRPr="00635A2E" w:rsidRDefault="00635A2E" w:rsidP="00635A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6"/>
        <w:szCs w:val="18"/>
        <w:lang w:val="ru-RU" w:eastAsia="bg-BG"/>
      </w:rPr>
    </w:pPr>
  </w:p>
  <w:p w14:paraId="71F67CC1" w14:textId="77777777" w:rsidR="0067673F" w:rsidRPr="0067673F" w:rsidRDefault="0067673F" w:rsidP="0067673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67673F">
      <w:rPr>
        <w:rFonts w:ascii="Timok" w:eastAsia="Times New Roman" w:hAnsi="Timok" w:cs="Times New Roman"/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1" locked="0" layoutInCell="1" allowOverlap="1" wp14:anchorId="3ADD3FF8" wp14:editId="54EBD2A0">
          <wp:simplePos x="0" y="0"/>
          <wp:positionH relativeFrom="column">
            <wp:posOffset>2368550</wp:posOffset>
          </wp:positionH>
          <wp:positionV relativeFrom="paragraph">
            <wp:posOffset>-108585</wp:posOffset>
          </wp:positionV>
          <wp:extent cx="1095375" cy="1087755"/>
          <wp:effectExtent l="0" t="0" r="9525" b="0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CE7C2" w14:textId="77777777" w:rsidR="0067673F" w:rsidRPr="0067673F" w:rsidRDefault="0067673F" w:rsidP="0067673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27F3C9D5" w14:textId="77777777" w:rsidR="0067673F" w:rsidRPr="0067673F" w:rsidRDefault="0067673F" w:rsidP="0067673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4E92A760" w14:textId="77777777" w:rsidR="0067673F" w:rsidRPr="0067673F" w:rsidRDefault="0067673F" w:rsidP="0067673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6B2BF426" w14:textId="77777777" w:rsidR="0067673F" w:rsidRPr="0067673F" w:rsidRDefault="0067673F" w:rsidP="0067673F">
    <w:pPr>
      <w:keepNext/>
      <w:spacing w:after="0" w:line="240" w:lineRule="auto"/>
      <w:jc w:val="center"/>
      <w:outlineLvl w:val="0"/>
      <w:rPr>
        <w:rFonts w:ascii="Calibri" w:eastAsia="Times New Roman" w:hAnsi="Calibri" w:cs="Times New Roman"/>
        <w:b/>
        <w:sz w:val="28"/>
        <w:szCs w:val="20"/>
        <w:lang w:val="bg-BG" w:eastAsia="bg-BG"/>
      </w:rPr>
    </w:pPr>
  </w:p>
  <w:p w14:paraId="104253B0" w14:textId="77777777" w:rsidR="0067673F" w:rsidRPr="0067673F" w:rsidRDefault="0067673F" w:rsidP="0067673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5B914068" w14:textId="77777777" w:rsidR="0067673F" w:rsidRPr="0067673F" w:rsidRDefault="0067673F" w:rsidP="0067673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</w:p>
  <w:p w14:paraId="6E60BBD5" w14:textId="77777777" w:rsidR="0067673F" w:rsidRPr="0067673F" w:rsidRDefault="0067673F" w:rsidP="0067673F">
    <w:pPr>
      <w:keepNext/>
      <w:spacing w:after="0" w:line="240" w:lineRule="auto"/>
      <w:jc w:val="center"/>
      <w:outlineLvl w:val="0"/>
      <w:rPr>
        <w:rFonts w:ascii="Verdana" w:eastAsia="Times New Roman" w:hAnsi="Verdana" w:cs="Times New Roman"/>
        <w:spacing w:val="40"/>
        <w:sz w:val="28"/>
        <w:szCs w:val="28"/>
        <w:lang w:val="bg-BG" w:eastAsia="bg-BG"/>
      </w:rPr>
    </w:pPr>
    <w:r w:rsidRPr="0067673F">
      <w:rPr>
        <w:rFonts w:ascii="Verdana" w:eastAsia="Times New Roman" w:hAnsi="Verdana" w:cs="Times New Roman"/>
        <w:spacing w:val="40"/>
        <w:sz w:val="28"/>
        <w:szCs w:val="28"/>
        <w:lang w:val="bg-BG" w:eastAsia="bg-BG"/>
      </w:rPr>
      <w:t>РЕПУБЛИКА БЪЛГАРИЯ</w:t>
    </w:r>
  </w:p>
  <w:p w14:paraId="656215CB" w14:textId="475B81A5" w:rsidR="00635A2E" w:rsidRPr="0067673F" w:rsidRDefault="0067673F" w:rsidP="0067673F">
    <w:pPr>
      <w:pBdr>
        <w:bottom w:val="single" w:sz="4" w:space="1" w:color="auto"/>
      </w:pBdr>
      <w:spacing w:after="0" w:line="240" w:lineRule="auto"/>
      <w:jc w:val="center"/>
      <w:rPr>
        <w:rFonts w:ascii="Verdana" w:eastAsia="Times New Roman" w:hAnsi="Verdana" w:cs="Times New Roman"/>
        <w:spacing w:val="40"/>
        <w:sz w:val="26"/>
        <w:szCs w:val="26"/>
        <w:lang w:val="ru-RU" w:eastAsia="bg-BG"/>
      </w:rPr>
    </w:pPr>
    <w:r w:rsidRPr="0067673F">
      <w:rPr>
        <w:rFonts w:ascii="Verdana" w:eastAsia="Times New Roman" w:hAnsi="Verdana" w:cs="Times New Roman"/>
        <w:spacing w:val="40"/>
        <w:sz w:val="26"/>
        <w:szCs w:val="26"/>
        <w:lang w:val="bg-BG" w:eastAsia="bg-BG"/>
      </w:rPr>
      <w:t xml:space="preserve">Министър на земеделието и храните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7FBC"/>
    <w:multiLevelType w:val="hybridMultilevel"/>
    <w:tmpl w:val="8B0CD282"/>
    <w:lvl w:ilvl="0" w:tplc="740A3D3A">
      <w:start w:val="1"/>
      <w:numFmt w:val="decimal"/>
      <w:lvlText w:val="%1."/>
      <w:lvlJc w:val="left"/>
      <w:pPr>
        <w:ind w:left="1068" w:hanging="360"/>
      </w:pPr>
      <w:rPr>
        <w:rFonts w:cs="Verdana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980A77"/>
    <w:multiLevelType w:val="multilevel"/>
    <w:tmpl w:val="CC8CBCA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2" w15:restartNumberingAfterBreak="0">
    <w:nsid w:val="74C33626"/>
    <w:multiLevelType w:val="multilevel"/>
    <w:tmpl w:val="D1E2535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13"/>
    <w:rsid w:val="0001056C"/>
    <w:rsid w:val="00010EA5"/>
    <w:rsid w:val="00014D3F"/>
    <w:rsid w:val="000160E6"/>
    <w:rsid w:val="00020BFE"/>
    <w:rsid w:val="00025230"/>
    <w:rsid w:val="000260E0"/>
    <w:rsid w:val="00027510"/>
    <w:rsid w:val="0002764A"/>
    <w:rsid w:val="00031E43"/>
    <w:rsid w:val="00032D9A"/>
    <w:rsid w:val="00033EFC"/>
    <w:rsid w:val="000345F7"/>
    <w:rsid w:val="00036D14"/>
    <w:rsid w:val="00041A0D"/>
    <w:rsid w:val="0004407E"/>
    <w:rsid w:val="00045E1C"/>
    <w:rsid w:val="00046C0D"/>
    <w:rsid w:val="0006430F"/>
    <w:rsid w:val="0007776B"/>
    <w:rsid w:val="000811CD"/>
    <w:rsid w:val="000A0273"/>
    <w:rsid w:val="000A79CF"/>
    <w:rsid w:val="000B2603"/>
    <w:rsid w:val="000B4D86"/>
    <w:rsid w:val="000B68FB"/>
    <w:rsid w:val="000B7903"/>
    <w:rsid w:val="000C240D"/>
    <w:rsid w:val="000C45F0"/>
    <w:rsid w:val="000C6198"/>
    <w:rsid w:val="000D7756"/>
    <w:rsid w:val="000E09F2"/>
    <w:rsid w:val="000E396E"/>
    <w:rsid w:val="000E3F24"/>
    <w:rsid w:val="000E6463"/>
    <w:rsid w:val="000E67DD"/>
    <w:rsid w:val="000F07CE"/>
    <w:rsid w:val="000F574E"/>
    <w:rsid w:val="0010084D"/>
    <w:rsid w:val="00104BD2"/>
    <w:rsid w:val="001125D8"/>
    <w:rsid w:val="00114019"/>
    <w:rsid w:val="001149EC"/>
    <w:rsid w:val="001165CF"/>
    <w:rsid w:val="00123268"/>
    <w:rsid w:val="00123585"/>
    <w:rsid w:val="00124085"/>
    <w:rsid w:val="00124871"/>
    <w:rsid w:val="00130473"/>
    <w:rsid w:val="00131A7D"/>
    <w:rsid w:val="00131E0F"/>
    <w:rsid w:val="00132B04"/>
    <w:rsid w:val="001348F9"/>
    <w:rsid w:val="0013632E"/>
    <w:rsid w:val="00141D96"/>
    <w:rsid w:val="001438E6"/>
    <w:rsid w:val="00144871"/>
    <w:rsid w:val="001463D7"/>
    <w:rsid w:val="0014774A"/>
    <w:rsid w:val="00147A61"/>
    <w:rsid w:val="00151C64"/>
    <w:rsid w:val="00152086"/>
    <w:rsid w:val="00154B43"/>
    <w:rsid w:val="001613CD"/>
    <w:rsid w:val="00163602"/>
    <w:rsid w:val="00163DC6"/>
    <w:rsid w:val="00165B70"/>
    <w:rsid w:val="001729B9"/>
    <w:rsid w:val="00172E03"/>
    <w:rsid w:val="00173CE4"/>
    <w:rsid w:val="00174111"/>
    <w:rsid w:val="001741A0"/>
    <w:rsid w:val="001760EC"/>
    <w:rsid w:val="00176FD7"/>
    <w:rsid w:val="0017745A"/>
    <w:rsid w:val="0018050B"/>
    <w:rsid w:val="00181D40"/>
    <w:rsid w:val="001824DC"/>
    <w:rsid w:val="00182BB8"/>
    <w:rsid w:val="00187995"/>
    <w:rsid w:val="001A0E4D"/>
    <w:rsid w:val="001A1EED"/>
    <w:rsid w:val="001A4D65"/>
    <w:rsid w:val="001B06C8"/>
    <w:rsid w:val="001B34C1"/>
    <w:rsid w:val="001B4D85"/>
    <w:rsid w:val="001C0346"/>
    <w:rsid w:val="001C53F1"/>
    <w:rsid w:val="001D06C1"/>
    <w:rsid w:val="001E4048"/>
    <w:rsid w:val="001E7817"/>
    <w:rsid w:val="001F7F0A"/>
    <w:rsid w:val="0020124D"/>
    <w:rsid w:val="0020147E"/>
    <w:rsid w:val="0020335B"/>
    <w:rsid w:val="00203441"/>
    <w:rsid w:val="00204CD1"/>
    <w:rsid w:val="00220FE1"/>
    <w:rsid w:val="00231209"/>
    <w:rsid w:val="00231C17"/>
    <w:rsid w:val="00233202"/>
    <w:rsid w:val="00235E85"/>
    <w:rsid w:val="00240202"/>
    <w:rsid w:val="002428CA"/>
    <w:rsid w:val="00242A0F"/>
    <w:rsid w:val="0024641C"/>
    <w:rsid w:val="002514F7"/>
    <w:rsid w:val="00254BF4"/>
    <w:rsid w:val="002552D9"/>
    <w:rsid w:val="00255585"/>
    <w:rsid w:val="00257408"/>
    <w:rsid w:val="002630F2"/>
    <w:rsid w:val="00264A6B"/>
    <w:rsid w:val="00270999"/>
    <w:rsid w:val="00271861"/>
    <w:rsid w:val="00273349"/>
    <w:rsid w:val="0027347C"/>
    <w:rsid w:val="002750C1"/>
    <w:rsid w:val="0027624D"/>
    <w:rsid w:val="0027627E"/>
    <w:rsid w:val="00276331"/>
    <w:rsid w:val="0027727F"/>
    <w:rsid w:val="00282A18"/>
    <w:rsid w:val="00285175"/>
    <w:rsid w:val="00287F1E"/>
    <w:rsid w:val="002915EF"/>
    <w:rsid w:val="002A256E"/>
    <w:rsid w:val="002A3E26"/>
    <w:rsid w:val="002A7034"/>
    <w:rsid w:val="002B2CD9"/>
    <w:rsid w:val="002B5E49"/>
    <w:rsid w:val="002B7AE5"/>
    <w:rsid w:val="002C217D"/>
    <w:rsid w:val="002C3B8C"/>
    <w:rsid w:val="002C4800"/>
    <w:rsid w:val="002C66DA"/>
    <w:rsid w:val="002C6ABF"/>
    <w:rsid w:val="002C7AA5"/>
    <w:rsid w:val="002D0D43"/>
    <w:rsid w:val="002D2004"/>
    <w:rsid w:val="002D6144"/>
    <w:rsid w:val="002D6869"/>
    <w:rsid w:val="002D7763"/>
    <w:rsid w:val="002D7B63"/>
    <w:rsid w:val="002E3078"/>
    <w:rsid w:val="002E42C9"/>
    <w:rsid w:val="002E6936"/>
    <w:rsid w:val="002F3D26"/>
    <w:rsid w:val="002F425D"/>
    <w:rsid w:val="00300284"/>
    <w:rsid w:val="00300494"/>
    <w:rsid w:val="00305E3D"/>
    <w:rsid w:val="003120EB"/>
    <w:rsid w:val="00316BF4"/>
    <w:rsid w:val="003238A7"/>
    <w:rsid w:val="003358AF"/>
    <w:rsid w:val="00337AB7"/>
    <w:rsid w:val="003400A7"/>
    <w:rsid w:val="00341907"/>
    <w:rsid w:val="003431B8"/>
    <w:rsid w:val="00343696"/>
    <w:rsid w:val="003448C9"/>
    <w:rsid w:val="00346171"/>
    <w:rsid w:val="00347EAE"/>
    <w:rsid w:val="003527DA"/>
    <w:rsid w:val="003551F9"/>
    <w:rsid w:val="00355665"/>
    <w:rsid w:val="003561B8"/>
    <w:rsid w:val="00367700"/>
    <w:rsid w:val="003705C7"/>
    <w:rsid w:val="0037715E"/>
    <w:rsid w:val="003809CC"/>
    <w:rsid w:val="003847A5"/>
    <w:rsid w:val="00392498"/>
    <w:rsid w:val="003A0069"/>
    <w:rsid w:val="003A0B50"/>
    <w:rsid w:val="003A1A7C"/>
    <w:rsid w:val="003A5CE3"/>
    <w:rsid w:val="003B26E2"/>
    <w:rsid w:val="003B3B2D"/>
    <w:rsid w:val="003C174E"/>
    <w:rsid w:val="003D022D"/>
    <w:rsid w:val="003D0332"/>
    <w:rsid w:val="003D2885"/>
    <w:rsid w:val="003D55FC"/>
    <w:rsid w:val="003E3A92"/>
    <w:rsid w:val="003F01AD"/>
    <w:rsid w:val="003F04C5"/>
    <w:rsid w:val="003F0DB1"/>
    <w:rsid w:val="003F1DE0"/>
    <w:rsid w:val="003F7408"/>
    <w:rsid w:val="00401F43"/>
    <w:rsid w:val="00402467"/>
    <w:rsid w:val="00402F0C"/>
    <w:rsid w:val="00404A1F"/>
    <w:rsid w:val="00416E11"/>
    <w:rsid w:val="004232D7"/>
    <w:rsid w:val="00425EA4"/>
    <w:rsid w:val="00437062"/>
    <w:rsid w:val="00441528"/>
    <w:rsid w:val="004426CC"/>
    <w:rsid w:val="004450B8"/>
    <w:rsid w:val="00446A40"/>
    <w:rsid w:val="00456FB9"/>
    <w:rsid w:val="0046028F"/>
    <w:rsid w:val="004613DB"/>
    <w:rsid w:val="00461DD4"/>
    <w:rsid w:val="00461F38"/>
    <w:rsid w:val="004622C2"/>
    <w:rsid w:val="004659CA"/>
    <w:rsid w:val="004675D0"/>
    <w:rsid w:val="00467B57"/>
    <w:rsid w:val="00467B9D"/>
    <w:rsid w:val="0047104F"/>
    <w:rsid w:val="00471925"/>
    <w:rsid w:val="00471FAD"/>
    <w:rsid w:val="004736D0"/>
    <w:rsid w:val="00475467"/>
    <w:rsid w:val="00475948"/>
    <w:rsid w:val="00483F6C"/>
    <w:rsid w:val="00491BA0"/>
    <w:rsid w:val="00491FA9"/>
    <w:rsid w:val="00494A36"/>
    <w:rsid w:val="004962D4"/>
    <w:rsid w:val="00497751"/>
    <w:rsid w:val="004A1022"/>
    <w:rsid w:val="004A37D3"/>
    <w:rsid w:val="004A4806"/>
    <w:rsid w:val="004A5DD3"/>
    <w:rsid w:val="004B203D"/>
    <w:rsid w:val="004B42EC"/>
    <w:rsid w:val="004B563A"/>
    <w:rsid w:val="004B7D32"/>
    <w:rsid w:val="004C0D28"/>
    <w:rsid w:val="004C69DA"/>
    <w:rsid w:val="004E1599"/>
    <w:rsid w:val="004E3FAF"/>
    <w:rsid w:val="004E7AD2"/>
    <w:rsid w:val="004F4D10"/>
    <w:rsid w:val="00500279"/>
    <w:rsid w:val="00501CF9"/>
    <w:rsid w:val="00502478"/>
    <w:rsid w:val="0050380A"/>
    <w:rsid w:val="005115F5"/>
    <w:rsid w:val="005119C9"/>
    <w:rsid w:val="0051274A"/>
    <w:rsid w:val="00520F12"/>
    <w:rsid w:val="00523C92"/>
    <w:rsid w:val="00532555"/>
    <w:rsid w:val="00532630"/>
    <w:rsid w:val="0054003B"/>
    <w:rsid w:val="005400E0"/>
    <w:rsid w:val="00541F90"/>
    <w:rsid w:val="00543C33"/>
    <w:rsid w:val="00544584"/>
    <w:rsid w:val="00547055"/>
    <w:rsid w:val="005474EC"/>
    <w:rsid w:val="005476F1"/>
    <w:rsid w:val="00563FD6"/>
    <w:rsid w:val="00565463"/>
    <w:rsid w:val="005677A7"/>
    <w:rsid w:val="005736C9"/>
    <w:rsid w:val="00575929"/>
    <w:rsid w:val="00577CCF"/>
    <w:rsid w:val="00581EC0"/>
    <w:rsid w:val="0058212A"/>
    <w:rsid w:val="005827FE"/>
    <w:rsid w:val="005859BD"/>
    <w:rsid w:val="005863D2"/>
    <w:rsid w:val="005907F6"/>
    <w:rsid w:val="005935DB"/>
    <w:rsid w:val="00597FDB"/>
    <w:rsid w:val="005A0B79"/>
    <w:rsid w:val="005A6EEF"/>
    <w:rsid w:val="005B0DEB"/>
    <w:rsid w:val="005B2731"/>
    <w:rsid w:val="005B27BA"/>
    <w:rsid w:val="005B4ED5"/>
    <w:rsid w:val="005B7ED9"/>
    <w:rsid w:val="005C0E16"/>
    <w:rsid w:val="005C1030"/>
    <w:rsid w:val="005C2C28"/>
    <w:rsid w:val="005C45E7"/>
    <w:rsid w:val="005D244E"/>
    <w:rsid w:val="005D2E3A"/>
    <w:rsid w:val="005D5AD6"/>
    <w:rsid w:val="005E3A3D"/>
    <w:rsid w:val="005E68F2"/>
    <w:rsid w:val="005F101B"/>
    <w:rsid w:val="006004DA"/>
    <w:rsid w:val="00601227"/>
    <w:rsid w:val="00601358"/>
    <w:rsid w:val="00601E6C"/>
    <w:rsid w:val="00603885"/>
    <w:rsid w:val="00604779"/>
    <w:rsid w:val="006048EA"/>
    <w:rsid w:val="00606CC9"/>
    <w:rsid w:val="0061275E"/>
    <w:rsid w:val="00612BA1"/>
    <w:rsid w:val="00614F75"/>
    <w:rsid w:val="00616060"/>
    <w:rsid w:val="00617D01"/>
    <w:rsid w:val="00620078"/>
    <w:rsid w:val="006232E9"/>
    <w:rsid w:val="0062396C"/>
    <w:rsid w:val="006257B8"/>
    <w:rsid w:val="00626EEE"/>
    <w:rsid w:val="0063193D"/>
    <w:rsid w:val="00635A2E"/>
    <w:rsid w:val="00640CC5"/>
    <w:rsid w:val="00643D06"/>
    <w:rsid w:val="00653DD9"/>
    <w:rsid w:val="0065731C"/>
    <w:rsid w:val="00657F7B"/>
    <w:rsid w:val="00665A56"/>
    <w:rsid w:val="00665AD4"/>
    <w:rsid w:val="006728A1"/>
    <w:rsid w:val="006756F4"/>
    <w:rsid w:val="0067619D"/>
    <w:rsid w:val="0067673F"/>
    <w:rsid w:val="00676D75"/>
    <w:rsid w:val="006812B1"/>
    <w:rsid w:val="00681332"/>
    <w:rsid w:val="00682A35"/>
    <w:rsid w:val="00683F50"/>
    <w:rsid w:val="00691DEC"/>
    <w:rsid w:val="00694304"/>
    <w:rsid w:val="006A4402"/>
    <w:rsid w:val="006A6DD4"/>
    <w:rsid w:val="006A7B03"/>
    <w:rsid w:val="006B1E37"/>
    <w:rsid w:val="006C0937"/>
    <w:rsid w:val="006C1232"/>
    <w:rsid w:val="006D0E9C"/>
    <w:rsid w:val="006D1D21"/>
    <w:rsid w:val="006D1E59"/>
    <w:rsid w:val="006D2EFD"/>
    <w:rsid w:val="006D2F9E"/>
    <w:rsid w:val="006E3ADC"/>
    <w:rsid w:val="006E5696"/>
    <w:rsid w:val="006F60E7"/>
    <w:rsid w:val="006F73E0"/>
    <w:rsid w:val="007051F9"/>
    <w:rsid w:val="007065E7"/>
    <w:rsid w:val="00706744"/>
    <w:rsid w:val="00710A20"/>
    <w:rsid w:val="00713B56"/>
    <w:rsid w:val="00715E48"/>
    <w:rsid w:val="00717606"/>
    <w:rsid w:val="00717646"/>
    <w:rsid w:val="00724759"/>
    <w:rsid w:val="007314DF"/>
    <w:rsid w:val="00737633"/>
    <w:rsid w:val="0074206B"/>
    <w:rsid w:val="00753112"/>
    <w:rsid w:val="00756D7A"/>
    <w:rsid w:val="00761FC1"/>
    <w:rsid w:val="00762E99"/>
    <w:rsid w:val="00766CA9"/>
    <w:rsid w:val="007712F0"/>
    <w:rsid w:val="0077338F"/>
    <w:rsid w:val="00780100"/>
    <w:rsid w:val="00783976"/>
    <w:rsid w:val="0078548A"/>
    <w:rsid w:val="007906DE"/>
    <w:rsid w:val="00793869"/>
    <w:rsid w:val="00796C82"/>
    <w:rsid w:val="00796F0E"/>
    <w:rsid w:val="00797BA7"/>
    <w:rsid w:val="007B1EEE"/>
    <w:rsid w:val="007B372F"/>
    <w:rsid w:val="007B72A0"/>
    <w:rsid w:val="007B72C6"/>
    <w:rsid w:val="007B746F"/>
    <w:rsid w:val="007C0002"/>
    <w:rsid w:val="007C2758"/>
    <w:rsid w:val="007D4C11"/>
    <w:rsid w:val="007D61B2"/>
    <w:rsid w:val="007E13B8"/>
    <w:rsid w:val="007E2BFB"/>
    <w:rsid w:val="007E4600"/>
    <w:rsid w:val="007E4DB2"/>
    <w:rsid w:val="007E76A6"/>
    <w:rsid w:val="007F2110"/>
    <w:rsid w:val="007F6246"/>
    <w:rsid w:val="007F7631"/>
    <w:rsid w:val="00800C45"/>
    <w:rsid w:val="00807A3A"/>
    <w:rsid w:val="00807F07"/>
    <w:rsid w:val="008120CF"/>
    <w:rsid w:val="00814E98"/>
    <w:rsid w:val="008202CB"/>
    <w:rsid w:val="00820D8F"/>
    <w:rsid w:val="00821D71"/>
    <w:rsid w:val="00823304"/>
    <w:rsid w:val="00824643"/>
    <w:rsid w:val="00824EB4"/>
    <w:rsid w:val="0083059A"/>
    <w:rsid w:val="008329A9"/>
    <w:rsid w:val="00832CFE"/>
    <w:rsid w:val="00834686"/>
    <w:rsid w:val="00836EAF"/>
    <w:rsid w:val="00837829"/>
    <w:rsid w:val="00840A75"/>
    <w:rsid w:val="008429D7"/>
    <w:rsid w:val="00842EC4"/>
    <w:rsid w:val="00852046"/>
    <w:rsid w:val="00857DEC"/>
    <w:rsid w:val="00861AB3"/>
    <w:rsid w:val="00862AA5"/>
    <w:rsid w:val="00866A7E"/>
    <w:rsid w:val="00872264"/>
    <w:rsid w:val="008846C3"/>
    <w:rsid w:val="008862AC"/>
    <w:rsid w:val="008872DC"/>
    <w:rsid w:val="00891A6E"/>
    <w:rsid w:val="008933D9"/>
    <w:rsid w:val="008957C2"/>
    <w:rsid w:val="008A123C"/>
    <w:rsid w:val="008A1CB4"/>
    <w:rsid w:val="008A4907"/>
    <w:rsid w:val="008A603B"/>
    <w:rsid w:val="008B6992"/>
    <w:rsid w:val="008B7A0E"/>
    <w:rsid w:val="008C40CD"/>
    <w:rsid w:val="008C6B14"/>
    <w:rsid w:val="008D0596"/>
    <w:rsid w:val="008D2002"/>
    <w:rsid w:val="008D2718"/>
    <w:rsid w:val="008D6279"/>
    <w:rsid w:val="008E18E7"/>
    <w:rsid w:val="008E1C4C"/>
    <w:rsid w:val="008E1ECD"/>
    <w:rsid w:val="008E3585"/>
    <w:rsid w:val="008F0157"/>
    <w:rsid w:val="008F0C67"/>
    <w:rsid w:val="008F2F69"/>
    <w:rsid w:val="008F4469"/>
    <w:rsid w:val="008F6E8C"/>
    <w:rsid w:val="008F7D0A"/>
    <w:rsid w:val="00903FBE"/>
    <w:rsid w:val="009132CB"/>
    <w:rsid w:val="00921745"/>
    <w:rsid w:val="00922462"/>
    <w:rsid w:val="0093088D"/>
    <w:rsid w:val="00932DD2"/>
    <w:rsid w:val="00933E9A"/>
    <w:rsid w:val="00936858"/>
    <w:rsid w:val="00940700"/>
    <w:rsid w:val="00960C90"/>
    <w:rsid w:val="00962FB8"/>
    <w:rsid w:val="009667B1"/>
    <w:rsid w:val="009673CE"/>
    <w:rsid w:val="009734D1"/>
    <w:rsid w:val="0098612A"/>
    <w:rsid w:val="00987D23"/>
    <w:rsid w:val="0099320F"/>
    <w:rsid w:val="009944EA"/>
    <w:rsid w:val="009A2F24"/>
    <w:rsid w:val="009A4C02"/>
    <w:rsid w:val="009A59EB"/>
    <w:rsid w:val="009A6635"/>
    <w:rsid w:val="009A6EFB"/>
    <w:rsid w:val="009B0FA7"/>
    <w:rsid w:val="009B2FA3"/>
    <w:rsid w:val="009B40BF"/>
    <w:rsid w:val="009B5AFC"/>
    <w:rsid w:val="009C20C3"/>
    <w:rsid w:val="009C6CAE"/>
    <w:rsid w:val="009D69DD"/>
    <w:rsid w:val="009D6A8A"/>
    <w:rsid w:val="009E16C6"/>
    <w:rsid w:val="009E37CA"/>
    <w:rsid w:val="009E6620"/>
    <w:rsid w:val="009E70D0"/>
    <w:rsid w:val="009F03FA"/>
    <w:rsid w:val="009F1F20"/>
    <w:rsid w:val="009F3A8F"/>
    <w:rsid w:val="00A026D7"/>
    <w:rsid w:val="00A13E19"/>
    <w:rsid w:val="00A1502A"/>
    <w:rsid w:val="00A25507"/>
    <w:rsid w:val="00A347B4"/>
    <w:rsid w:val="00A42EFC"/>
    <w:rsid w:val="00A52098"/>
    <w:rsid w:val="00A56C6D"/>
    <w:rsid w:val="00A64A70"/>
    <w:rsid w:val="00A7249C"/>
    <w:rsid w:val="00A81B93"/>
    <w:rsid w:val="00A82817"/>
    <w:rsid w:val="00A838E7"/>
    <w:rsid w:val="00A85B3C"/>
    <w:rsid w:val="00A91216"/>
    <w:rsid w:val="00A91DE3"/>
    <w:rsid w:val="00A91F3E"/>
    <w:rsid w:val="00A932D5"/>
    <w:rsid w:val="00A953C2"/>
    <w:rsid w:val="00A96C7E"/>
    <w:rsid w:val="00AA0158"/>
    <w:rsid w:val="00AA0E91"/>
    <w:rsid w:val="00AA2C23"/>
    <w:rsid w:val="00AA2E3B"/>
    <w:rsid w:val="00AB0453"/>
    <w:rsid w:val="00AB1614"/>
    <w:rsid w:val="00AC061B"/>
    <w:rsid w:val="00AC136A"/>
    <w:rsid w:val="00AC7ACD"/>
    <w:rsid w:val="00AE019A"/>
    <w:rsid w:val="00AE0EDF"/>
    <w:rsid w:val="00AE15B1"/>
    <w:rsid w:val="00AE18B7"/>
    <w:rsid w:val="00AE1C90"/>
    <w:rsid w:val="00AE3478"/>
    <w:rsid w:val="00AF0730"/>
    <w:rsid w:val="00AF3926"/>
    <w:rsid w:val="00B067B6"/>
    <w:rsid w:val="00B07978"/>
    <w:rsid w:val="00B155BA"/>
    <w:rsid w:val="00B15814"/>
    <w:rsid w:val="00B15F17"/>
    <w:rsid w:val="00B21B83"/>
    <w:rsid w:val="00B26DA4"/>
    <w:rsid w:val="00B3342B"/>
    <w:rsid w:val="00B339A2"/>
    <w:rsid w:val="00B366BE"/>
    <w:rsid w:val="00B37683"/>
    <w:rsid w:val="00B445BE"/>
    <w:rsid w:val="00B4653D"/>
    <w:rsid w:val="00B46FDD"/>
    <w:rsid w:val="00B475CF"/>
    <w:rsid w:val="00B52EE9"/>
    <w:rsid w:val="00B53A25"/>
    <w:rsid w:val="00B54992"/>
    <w:rsid w:val="00B54EAB"/>
    <w:rsid w:val="00B61870"/>
    <w:rsid w:val="00B64AC4"/>
    <w:rsid w:val="00B65325"/>
    <w:rsid w:val="00B70FA8"/>
    <w:rsid w:val="00B81463"/>
    <w:rsid w:val="00B8361A"/>
    <w:rsid w:val="00B87F1C"/>
    <w:rsid w:val="00B934BB"/>
    <w:rsid w:val="00B94C8A"/>
    <w:rsid w:val="00B97626"/>
    <w:rsid w:val="00BA2FCE"/>
    <w:rsid w:val="00BA5CDF"/>
    <w:rsid w:val="00BA61F5"/>
    <w:rsid w:val="00BA6A07"/>
    <w:rsid w:val="00BB21B3"/>
    <w:rsid w:val="00BB33E1"/>
    <w:rsid w:val="00BB48FC"/>
    <w:rsid w:val="00BB65E2"/>
    <w:rsid w:val="00BC2898"/>
    <w:rsid w:val="00BD114C"/>
    <w:rsid w:val="00BD1BC3"/>
    <w:rsid w:val="00BD2BED"/>
    <w:rsid w:val="00BD32DA"/>
    <w:rsid w:val="00BD7A08"/>
    <w:rsid w:val="00BE07F8"/>
    <w:rsid w:val="00BE0C9D"/>
    <w:rsid w:val="00BE2406"/>
    <w:rsid w:val="00BE3E4A"/>
    <w:rsid w:val="00BE4470"/>
    <w:rsid w:val="00BE4CCE"/>
    <w:rsid w:val="00BE6559"/>
    <w:rsid w:val="00BE7560"/>
    <w:rsid w:val="00BE7588"/>
    <w:rsid w:val="00BF389A"/>
    <w:rsid w:val="00BF6643"/>
    <w:rsid w:val="00BF7FBD"/>
    <w:rsid w:val="00C0011A"/>
    <w:rsid w:val="00C00F97"/>
    <w:rsid w:val="00C040E6"/>
    <w:rsid w:val="00C16FD6"/>
    <w:rsid w:val="00C21A17"/>
    <w:rsid w:val="00C21DED"/>
    <w:rsid w:val="00C30C1D"/>
    <w:rsid w:val="00C36D57"/>
    <w:rsid w:val="00C406FA"/>
    <w:rsid w:val="00C40729"/>
    <w:rsid w:val="00C42836"/>
    <w:rsid w:val="00C46DFA"/>
    <w:rsid w:val="00C52F25"/>
    <w:rsid w:val="00C576FF"/>
    <w:rsid w:val="00C61BB4"/>
    <w:rsid w:val="00C6397F"/>
    <w:rsid w:val="00C722B7"/>
    <w:rsid w:val="00C723A9"/>
    <w:rsid w:val="00C75B0A"/>
    <w:rsid w:val="00C842F5"/>
    <w:rsid w:val="00C852F7"/>
    <w:rsid w:val="00C86440"/>
    <w:rsid w:val="00C87D04"/>
    <w:rsid w:val="00C90859"/>
    <w:rsid w:val="00C90C77"/>
    <w:rsid w:val="00C95696"/>
    <w:rsid w:val="00CB48F7"/>
    <w:rsid w:val="00CB6152"/>
    <w:rsid w:val="00CB7566"/>
    <w:rsid w:val="00CC0B60"/>
    <w:rsid w:val="00CC3DC0"/>
    <w:rsid w:val="00CC4B11"/>
    <w:rsid w:val="00CC5318"/>
    <w:rsid w:val="00CC5D5D"/>
    <w:rsid w:val="00CC77BD"/>
    <w:rsid w:val="00CD1117"/>
    <w:rsid w:val="00CD3D5F"/>
    <w:rsid w:val="00CD7A1D"/>
    <w:rsid w:val="00CD7B25"/>
    <w:rsid w:val="00CE185E"/>
    <w:rsid w:val="00CE3AAA"/>
    <w:rsid w:val="00CE40E5"/>
    <w:rsid w:val="00CF016D"/>
    <w:rsid w:val="00CF0AB4"/>
    <w:rsid w:val="00CF10CC"/>
    <w:rsid w:val="00CF5CD8"/>
    <w:rsid w:val="00D02D97"/>
    <w:rsid w:val="00D050C7"/>
    <w:rsid w:val="00D0769F"/>
    <w:rsid w:val="00D07ABA"/>
    <w:rsid w:val="00D16ABB"/>
    <w:rsid w:val="00D20C50"/>
    <w:rsid w:val="00D21E46"/>
    <w:rsid w:val="00D23E85"/>
    <w:rsid w:val="00D25863"/>
    <w:rsid w:val="00D269D1"/>
    <w:rsid w:val="00D27113"/>
    <w:rsid w:val="00D30A33"/>
    <w:rsid w:val="00D30B0A"/>
    <w:rsid w:val="00D312D7"/>
    <w:rsid w:val="00D31384"/>
    <w:rsid w:val="00D33214"/>
    <w:rsid w:val="00D4100E"/>
    <w:rsid w:val="00D619E3"/>
    <w:rsid w:val="00D61C4A"/>
    <w:rsid w:val="00D67324"/>
    <w:rsid w:val="00D727CF"/>
    <w:rsid w:val="00D7496A"/>
    <w:rsid w:val="00D75E6E"/>
    <w:rsid w:val="00D76F17"/>
    <w:rsid w:val="00D772B4"/>
    <w:rsid w:val="00D85DC2"/>
    <w:rsid w:val="00D92975"/>
    <w:rsid w:val="00D94F0D"/>
    <w:rsid w:val="00DA3DD6"/>
    <w:rsid w:val="00DA3F22"/>
    <w:rsid w:val="00DA4333"/>
    <w:rsid w:val="00DA5B6D"/>
    <w:rsid w:val="00DA623F"/>
    <w:rsid w:val="00DA7F5E"/>
    <w:rsid w:val="00DB2660"/>
    <w:rsid w:val="00DC38A0"/>
    <w:rsid w:val="00DD0673"/>
    <w:rsid w:val="00DD0F55"/>
    <w:rsid w:val="00DD40D5"/>
    <w:rsid w:val="00DD6523"/>
    <w:rsid w:val="00DD6AF4"/>
    <w:rsid w:val="00DD6BD7"/>
    <w:rsid w:val="00DE3B79"/>
    <w:rsid w:val="00DF1F62"/>
    <w:rsid w:val="00DF74AD"/>
    <w:rsid w:val="00E04514"/>
    <w:rsid w:val="00E278AC"/>
    <w:rsid w:val="00E30310"/>
    <w:rsid w:val="00E30D55"/>
    <w:rsid w:val="00E33F66"/>
    <w:rsid w:val="00E4014E"/>
    <w:rsid w:val="00E416D2"/>
    <w:rsid w:val="00E617FD"/>
    <w:rsid w:val="00E674A5"/>
    <w:rsid w:val="00E70B72"/>
    <w:rsid w:val="00E7188E"/>
    <w:rsid w:val="00E72622"/>
    <w:rsid w:val="00E74B7A"/>
    <w:rsid w:val="00E75420"/>
    <w:rsid w:val="00E80354"/>
    <w:rsid w:val="00E809D8"/>
    <w:rsid w:val="00E858C3"/>
    <w:rsid w:val="00E94064"/>
    <w:rsid w:val="00E95965"/>
    <w:rsid w:val="00E95BEA"/>
    <w:rsid w:val="00E960D7"/>
    <w:rsid w:val="00EA2E78"/>
    <w:rsid w:val="00EB15B5"/>
    <w:rsid w:val="00EB6BC1"/>
    <w:rsid w:val="00EC0D97"/>
    <w:rsid w:val="00EC3065"/>
    <w:rsid w:val="00EC4FAB"/>
    <w:rsid w:val="00ED1B7C"/>
    <w:rsid w:val="00ED2826"/>
    <w:rsid w:val="00ED3056"/>
    <w:rsid w:val="00ED7330"/>
    <w:rsid w:val="00ED78EC"/>
    <w:rsid w:val="00EE4700"/>
    <w:rsid w:val="00EE6E1B"/>
    <w:rsid w:val="00EF2020"/>
    <w:rsid w:val="00EF4E07"/>
    <w:rsid w:val="00EF5D31"/>
    <w:rsid w:val="00EF77D7"/>
    <w:rsid w:val="00F0339B"/>
    <w:rsid w:val="00F04B12"/>
    <w:rsid w:val="00F06B4F"/>
    <w:rsid w:val="00F13804"/>
    <w:rsid w:val="00F14E56"/>
    <w:rsid w:val="00F205F8"/>
    <w:rsid w:val="00F2314A"/>
    <w:rsid w:val="00F24113"/>
    <w:rsid w:val="00F345C7"/>
    <w:rsid w:val="00F36702"/>
    <w:rsid w:val="00F460AC"/>
    <w:rsid w:val="00F60415"/>
    <w:rsid w:val="00F61111"/>
    <w:rsid w:val="00F620C7"/>
    <w:rsid w:val="00F63433"/>
    <w:rsid w:val="00F63A06"/>
    <w:rsid w:val="00F645F6"/>
    <w:rsid w:val="00F6563A"/>
    <w:rsid w:val="00F65BB6"/>
    <w:rsid w:val="00F65C14"/>
    <w:rsid w:val="00F70CF6"/>
    <w:rsid w:val="00F84712"/>
    <w:rsid w:val="00F85470"/>
    <w:rsid w:val="00F91EAB"/>
    <w:rsid w:val="00F97C9B"/>
    <w:rsid w:val="00FA1F47"/>
    <w:rsid w:val="00FA4A0B"/>
    <w:rsid w:val="00FB04CD"/>
    <w:rsid w:val="00FB0661"/>
    <w:rsid w:val="00FB1233"/>
    <w:rsid w:val="00FB33B9"/>
    <w:rsid w:val="00FB586F"/>
    <w:rsid w:val="00FB5977"/>
    <w:rsid w:val="00FB5E71"/>
    <w:rsid w:val="00FB6023"/>
    <w:rsid w:val="00FC15D3"/>
    <w:rsid w:val="00FC41B6"/>
    <w:rsid w:val="00FC521B"/>
    <w:rsid w:val="00FC574E"/>
    <w:rsid w:val="00FC58B0"/>
    <w:rsid w:val="00FC7C64"/>
    <w:rsid w:val="00FD0EEC"/>
    <w:rsid w:val="00FD4EC2"/>
    <w:rsid w:val="00FE022E"/>
    <w:rsid w:val="00FE4599"/>
    <w:rsid w:val="00FE5776"/>
    <w:rsid w:val="00FE6BFD"/>
    <w:rsid w:val="00FE6CFE"/>
    <w:rsid w:val="00FF4F7D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3647"/>
  <w15:docId w15:val="{4D69481F-069C-4B4F-855B-82C0BC1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6"/>
    <w:rPr>
      <w:lang w:val="en-US"/>
    </w:rPr>
  </w:style>
  <w:style w:type="paragraph" w:customStyle="1" w:styleId="Default">
    <w:name w:val="Default"/>
    <w:rsid w:val="00713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3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3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D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7347C"/>
    <w:rPr>
      <w:strike w:val="0"/>
      <w:dstrike w:val="0"/>
      <w:color w:val="000000"/>
      <w:u w:val="none"/>
      <w:effect w:val="none"/>
    </w:rPr>
  </w:style>
  <w:style w:type="paragraph" w:customStyle="1" w:styleId="oj-doc-ti">
    <w:name w:val="oj-doc-ti"/>
    <w:basedOn w:val="Normal"/>
    <w:rsid w:val="00BD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21B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83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3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2630"/>
    <w:rPr>
      <w:vertAlign w:val="superscript"/>
    </w:rPr>
  </w:style>
  <w:style w:type="paragraph" w:customStyle="1" w:styleId="Char">
    <w:name w:val="Char"/>
    <w:basedOn w:val="Normal"/>
    <w:autoRedefine/>
    <w:rsid w:val="002E6936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B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D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D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EB44-9D4F-459A-8EF0-3F5777B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DFZ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Velichka Kurteva</cp:lastModifiedBy>
  <cp:revision>48</cp:revision>
  <cp:lastPrinted>2025-03-31T08:21:00Z</cp:lastPrinted>
  <dcterms:created xsi:type="dcterms:W3CDTF">2024-12-13T08:44:00Z</dcterms:created>
  <dcterms:modified xsi:type="dcterms:W3CDTF">2025-04-28T11:59:00Z</dcterms:modified>
</cp:coreProperties>
</file>