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24" w:rsidRPr="00103501" w:rsidRDefault="00567724" w:rsidP="0056772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Verdana"/>
          <w:color w:val="FFFFFF"/>
          <w:sz w:val="16"/>
          <w:szCs w:val="16"/>
          <w:lang w:val="bg-BG" w:eastAsia="bg-BG"/>
        </w:rPr>
      </w:pPr>
      <w:r w:rsidRPr="00103501">
        <w:rPr>
          <w:rFonts w:ascii="Verdana" w:eastAsia="Calibri" w:hAnsi="Verdana"/>
          <w:noProof/>
          <w:sz w:val="20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3F5C2407" wp14:editId="4CDEF19D">
            <wp:simplePos x="0" y="0"/>
            <wp:positionH relativeFrom="column">
              <wp:posOffset>2261870</wp:posOffset>
            </wp:positionH>
            <wp:positionV relativeFrom="paragraph">
              <wp:posOffset>-120015</wp:posOffset>
            </wp:positionV>
            <wp:extent cx="1303200" cy="1137600"/>
            <wp:effectExtent l="0" t="0" r="0" b="5715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724" w:rsidRPr="00103501" w:rsidRDefault="00567724" w:rsidP="005677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FFFFFF"/>
          <w:sz w:val="16"/>
          <w:szCs w:val="16"/>
          <w:lang w:val="bg-BG" w:eastAsia="bg-BG"/>
        </w:rPr>
      </w:pPr>
    </w:p>
    <w:p w:rsidR="00567724" w:rsidRPr="00103501" w:rsidRDefault="00567724" w:rsidP="00567724">
      <w:pPr>
        <w:tabs>
          <w:tab w:val="center" w:pos="4536"/>
          <w:tab w:val="left" w:pos="5040"/>
          <w:tab w:val="left" w:pos="5760"/>
        </w:tabs>
        <w:spacing w:before="20" w:after="20"/>
        <w:jc w:val="center"/>
        <w:rPr>
          <w:rFonts w:ascii="Verdana" w:eastAsia="Calibri" w:hAnsi="Verdana"/>
          <w:sz w:val="20"/>
          <w:lang w:val="bg-BG"/>
        </w:rPr>
      </w:pPr>
    </w:p>
    <w:p w:rsidR="00567724" w:rsidRPr="00103501" w:rsidRDefault="00567724" w:rsidP="00567724">
      <w:pPr>
        <w:tabs>
          <w:tab w:val="center" w:pos="4536"/>
          <w:tab w:val="right" w:pos="9072"/>
        </w:tabs>
        <w:spacing w:before="20" w:after="20"/>
        <w:jc w:val="center"/>
        <w:rPr>
          <w:rFonts w:ascii="Verdana" w:eastAsia="Calibri" w:hAnsi="Verdana"/>
          <w:sz w:val="20"/>
          <w:lang w:val="bg-BG"/>
        </w:rPr>
      </w:pPr>
    </w:p>
    <w:p w:rsidR="00567724" w:rsidRPr="00103501" w:rsidRDefault="00567724" w:rsidP="00567724">
      <w:pPr>
        <w:tabs>
          <w:tab w:val="center" w:pos="4536"/>
          <w:tab w:val="right" w:pos="9072"/>
        </w:tabs>
        <w:spacing w:before="20" w:after="20"/>
        <w:jc w:val="center"/>
        <w:rPr>
          <w:rFonts w:ascii="Verdana" w:eastAsia="Calibri" w:hAnsi="Verdana"/>
          <w:sz w:val="20"/>
          <w:lang w:val="bg-BG"/>
        </w:rPr>
      </w:pPr>
    </w:p>
    <w:p w:rsidR="00CD3E71" w:rsidRPr="00103501" w:rsidRDefault="00CD3E71" w:rsidP="00567724">
      <w:pPr>
        <w:tabs>
          <w:tab w:val="center" w:pos="4536"/>
          <w:tab w:val="right" w:pos="9072"/>
        </w:tabs>
        <w:spacing w:before="20" w:after="20"/>
        <w:jc w:val="center"/>
        <w:rPr>
          <w:rFonts w:ascii="Verdana" w:eastAsia="Calibri" w:hAnsi="Verdana"/>
          <w:sz w:val="20"/>
          <w:lang w:val="bg-BG"/>
        </w:rPr>
      </w:pPr>
    </w:p>
    <w:p w:rsidR="00567724" w:rsidRPr="00103501" w:rsidRDefault="00567724" w:rsidP="00567724">
      <w:pPr>
        <w:tabs>
          <w:tab w:val="center" w:pos="4536"/>
          <w:tab w:val="right" w:pos="9072"/>
        </w:tabs>
        <w:spacing w:before="20" w:after="20"/>
        <w:jc w:val="center"/>
        <w:rPr>
          <w:rFonts w:ascii="Verdana" w:eastAsia="Calibri" w:hAnsi="Verdana"/>
          <w:b/>
          <w:spacing w:val="70"/>
          <w:szCs w:val="24"/>
          <w:lang w:val="bg-BG"/>
        </w:rPr>
      </w:pPr>
      <w:r w:rsidRPr="00103501">
        <w:rPr>
          <w:rFonts w:ascii="Verdana" w:eastAsia="Calibri" w:hAnsi="Verdana"/>
          <w:b/>
          <w:spacing w:val="70"/>
          <w:szCs w:val="24"/>
          <w:lang w:val="bg-BG"/>
        </w:rPr>
        <w:t>РЕПУБЛИКА  БЪЛГАРИЯ</w:t>
      </w:r>
    </w:p>
    <w:p w:rsidR="00567724" w:rsidRPr="00103501" w:rsidRDefault="00567724" w:rsidP="00567724">
      <w:pPr>
        <w:pBdr>
          <w:bottom w:val="single" w:sz="4" w:space="1" w:color="auto"/>
        </w:pBdr>
        <w:tabs>
          <w:tab w:val="center" w:pos="4536"/>
          <w:tab w:val="right" w:pos="9072"/>
        </w:tabs>
        <w:spacing w:before="20" w:after="20"/>
        <w:jc w:val="center"/>
        <w:rPr>
          <w:rFonts w:ascii="Verdana" w:eastAsia="Calibri" w:hAnsi="Verdana"/>
          <w:b/>
          <w:spacing w:val="70"/>
          <w:szCs w:val="24"/>
          <w:lang w:val="bg-BG"/>
        </w:rPr>
      </w:pPr>
      <w:r w:rsidRPr="00103501">
        <w:rPr>
          <w:rFonts w:ascii="Verdana" w:eastAsia="Calibri" w:hAnsi="Verdana"/>
          <w:b/>
          <w:spacing w:val="70"/>
          <w:szCs w:val="24"/>
          <w:lang w:val="bg-BG"/>
        </w:rPr>
        <w:t>МИНИСТЕРСКИ  СЪВЕТ</w:t>
      </w:r>
    </w:p>
    <w:p w:rsidR="00567724" w:rsidRPr="00103501" w:rsidRDefault="00567724" w:rsidP="00567724">
      <w:pPr>
        <w:tabs>
          <w:tab w:val="center" w:pos="4153"/>
          <w:tab w:val="right" w:pos="8306"/>
        </w:tabs>
        <w:spacing w:line="360" w:lineRule="auto"/>
        <w:jc w:val="right"/>
        <w:rPr>
          <w:rFonts w:ascii="Verdana" w:hAnsi="Verdana" w:cs="Verdana"/>
          <w:sz w:val="20"/>
          <w:lang w:val="bg-BG" w:eastAsia="bg-BG"/>
        </w:rPr>
      </w:pPr>
      <w:r w:rsidRPr="00103501">
        <w:rPr>
          <w:rFonts w:ascii="Verdana" w:hAnsi="Verdana" w:cs="Verdana"/>
          <w:sz w:val="20"/>
          <w:lang w:val="bg-BG" w:eastAsia="bg-BG"/>
        </w:rPr>
        <w:t>Проект</w:t>
      </w:r>
    </w:p>
    <w:p w:rsidR="00C522D7" w:rsidRPr="00103501" w:rsidRDefault="00C522D7" w:rsidP="00C522D7">
      <w:pPr>
        <w:tabs>
          <w:tab w:val="center" w:pos="4153"/>
          <w:tab w:val="right" w:pos="8306"/>
        </w:tabs>
        <w:spacing w:line="360" w:lineRule="auto"/>
        <w:jc w:val="center"/>
        <w:rPr>
          <w:rFonts w:ascii="Verdana" w:hAnsi="Verdana" w:cs="Verdana"/>
          <w:sz w:val="20"/>
          <w:lang w:val="bg-BG" w:eastAsia="bg-BG"/>
        </w:rPr>
      </w:pPr>
    </w:p>
    <w:p w:rsidR="00CD3E71" w:rsidRPr="00103501" w:rsidRDefault="00CD3E71" w:rsidP="00C522D7">
      <w:pPr>
        <w:tabs>
          <w:tab w:val="center" w:pos="4153"/>
          <w:tab w:val="right" w:pos="8306"/>
        </w:tabs>
        <w:spacing w:line="360" w:lineRule="auto"/>
        <w:jc w:val="center"/>
        <w:rPr>
          <w:rFonts w:ascii="Verdana" w:hAnsi="Verdana" w:cs="Verdana"/>
          <w:sz w:val="20"/>
          <w:lang w:val="bg-BG" w:eastAsia="bg-BG"/>
        </w:rPr>
      </w:pPr>
    </w:p>
    <w:p w:rsidR="00567724" w:rsidRPr="00103501" w:rsidRDefault="00567724" w:rsidP="00567724">
      <w:pPr>
        <w:widowControl w:val="0"/>
        <w:tabs>
          <w:tab w:val="left" w:pos="675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color w:val="FFFFFF"/>
          <w:sz w:val="16"/>
          <w:szCs w:val="16"/>
          <w:lang w:val="bg-BG" w:eastAsia="bg-BG"/>
        </w:rPr>
      </w:pPr>
    </w:p>
    <w:p w:rsidR="0062119F" w:rsidRPr="00103501" w:rsidRDefault="0062119F" w:rsidP="0062119F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szCs w:val="24"/>
          <w:lang w:val="bg-BG" w:eastAsia="bg-BG"/>
        </w:rPr>
      </w:pPr>
      <w:r w:rsidRPr="00103501">
        <w:rPr>
          <w:rFonts w:ascii="Verdana" w:hAnsi="Verdana" w:cs="Verdana"/>
          <w:b/>
          <w:bCs/>
          <w:spacing w:val="66"/>
          <w:szCs w:val="24"/>
          <w:lang w:val="bg-BG" w:eastAsia="bg-BG"/>
        </w:rPr>
        <w:t xml:space="preserve">ПОСТАНОВЛЕНИЕ </w:t>
      </w:r>
      <w:r w:rsidRPr="00103501">
        <w:rPr>
          <w:rFonts w:ascii="Verdana" w:hAnsi="Verdana" w:cs="Verdana"/>
          <w:b/>
          <w:bCs/>
          <w:szCs w:val="24"/>
          <w:lang w:val="bg-BG" w:eastAsia="bg-BG"/>
        </w:rPr>
        <w:t xml:space="preserve"> № </w:t>
      </w:r>
      <w:r w:rsidRPr="00103501">
        <w:rPr>
          <w:rFonts w:ascii="Verdana" w:hAnsi="Verdana" w:cs="Verdana"/>
          <w:sz w:val="20"/>
          <w:lang w:val="bg-BG" w:eastAsia="bg-BG"/>
        </w:rPr>
        <w:t>..............................</w:t>
      </w:r>
    </w:p>
    <w:p w:rsidR="0062119F" w:rsidRPr="00103501" w:rsidRDefault="0062119F" w:rsidP="0062119F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bCs/>
          <w:sz w:val="20"/>
          <w:lang w:val="bg-BG" w:eastAsia="bg-BG"/>
        </w:rPr>
      </w:pPr>
      <w:r w:rsidRPr="00103501">
        <w:rPr>
          <w:rFonts w:ascii="Verdana" w:hAnsi="Verdana" w:cs="Verdana"/>
          <w:b/>
          <w:bCs/>
          <w:sz w:val="20"/>
          <w:lang w:val="bg-BG" w:eastAsia="bg-BG"/>
        </w:rPr>
        <w:t xml:space="preserve">от </w:t>
      </w:r>
      <w:r w:rsidRPr="00103501">
        <w:rPr>
          <w:rFonts w:ascii="Verdana" w:hAnsi="Verdana" w:cs="Verdana"/>
          <w:sz w:val="20"/>
          <w:lang w:val="bg-BG" w:eastAsia="bg-BG"/>
        </w:rPr>
        <w:t>......................................</w:t>
      </w:r>
      <w:r w:rsidRPr="00103501">
        <w:rPr>
          <w:rFonts w:ascii="Verdana" w:hAnsi="Verdana" w:cs="Verdana"/>
          <w:b/>
          <w:bCs/>
          <w:sz w:val="20"/>
          <w:lang w:val="bg-BG" w:eastAsia="bg-BG"/>
        </w:rPr>
        <w:t xml:space="preserve"> година</w:t>
      </w:r>
    </w:p>
    <w:p w:rsidR="0062119F" w:rsidRPr="00103501" w:rsidRDefault="0062119F">
      <w:pPr>
        <w:rPr>
          <w:rFonts w:ascii="Times New Roman" w:hAnsi="Times New Roman"/>
          <w:b/>
          <w:szCs w:val="24"/>
          <w:lang w:val="bg-BG"/>
        </w:rPr>
      </w:pPr>
    </w:p>
    <w:p w:rsidR="001D6269" w:rsidRPr="00103501" w:rsidRDefault="001D6269" w:rsidP="00567724">
      <w:pPr>
        <w:pStyle w:val="BodyText"/>
        <w:spacing w:line="360" w:lineRule="auto"/>
        <w:ind w:left="397" w:hanging="397"/>
        <w:jc w:val="both"/>
        <w:rPr>
          <w:rFonts w:ascii="Verdana" w:hAnsi="Verdana"/>
          <w:b w:val="0"/>
          <w:smallCaps/>
          <w:sz w:val="20"/>
        </w:rPr>
      </w:pPr>
      <w:r w:rsidRPr="00103501">
        <w:rPr>
          <w:rFonts w:ascii="Verdana" w:hAnsi="Verdana"/>
          <w:smallCaps/>
          <w:sz w:val="20"/>
        </w:rPr>
        <w:t xml:space="preserve">ЗА </w:t>
      </w:r>
      <w:r w:rsidR="007E3F11" w:rsidRPr="00103501">
        <w:rPr>
          <w:rFonts w:ascii="Verdana" w:hAnsi="Verdana"/>
          <w:b w:val="0"/>
          <w:smallCaps/>
          <w:sz w:val="20"/>
        </w:rPr>
        <w:t xml:space="preserve">назначаване на допълнителен персонал за нуждите и в срока на прилагане на </w:t>
      </w:r>
      <w:r w:rsidR="00183A95" w:rsidRPr="00103501">
        <w:rPr>
          <w:rFonts w:ascii="Verdana" w:hAnsi="Verdana"/>
          <w:b w:val="0"/>
          <w:smallCaps/>
          <w:sz w:val="20"/>
        </w:rPr>
        <w:t>Стратегическия план за развитието на зе</w:t>
      </w:r>
      <w:r w:rsidR="007B4E05">
        <w:rPr>
          <w:rFonts w:ascii="Verdana" w:hAnsi="Verdana"/>
          <w:b w:val="0"/>
          <w:smallCaps/>
          <w:sz w:val="20"/>
        </w:rPr>
        <w:t>меделието и селските райони на Р</w:t>
      </w:r>
      <w:r w:rsidR="00183A95" w:rsidRPr="00103501">
        <w:rPr>
          <w:rFonts w:ascii="Verdana" w:hAnsi="Verdana"/>
          <w:b w:val="0"/>
          <w:smallCaps/>
          <w:sz w:val="20"/>
        </w:rPr>
        <w:t>епублика България за периода 2023 – 2027 г.</w:t>
      </w:r>
      <w:r w:rsidR="007E3F11" w:rsidRPr="00103501">
        <w:rPr>
          <w:rFonts w:ascii="Verdana" w:hAnsi="Verdana"/>
          <w:b w:val="0"/>
          <w:smallCaps/>
          <w:sz w:val="20"/>
        </w:rPr>
        <w:t xml:space="preserve"> със средства от </w:t>
      </w:r>
      <w:r w:rsidR="00D62391" w:rsidRPr="00103501">
        <w:rPr>
          <w:rFonts w:ascii="Verdana" w:hAnsi="Verdana"/>
          <w:b w:val="0"/>
          <w:smallCaps/>
          <w:sz w:val="20"/>
        </w:rPr>
        <w:t>т</w:t>
      </w:r>
      <w:r w:rsidR="007E3F11" w:rsidRPr="00103501">
        <w:rPr>
          <w:rFonts w:ascii="Verdana" w:hAnsi="Verdana"/>
          <w:b w:val="0"/>
          <w:smallCaps/>
          <w:sz w:val="20"/>
        </w:rPr>
        <w:t xml:space="preserve">ехническа помощ и на персонал на местните инициативни групи, изпълняващи стратегии за водено от общностите местно развитие, финансирани със средства от </w:t>
      </w:r>
      <w:r w:rsidR="002A396F" w:rsidRPr="00103501">
        <w:rPr>
          <w:rFonts w:ascii="Verdana" w:hAnsi="Verdana"/>
          <w:b w:val="0"/>
          <w:smallCaps/>
          <w:sz w:val="20"/>
        </w:rPr>
        <w:t xml:space="preserve">интервенция </w:t>
      </w:r>
      <w:r w:rsidR="007B4E05" w:rsidRPr="00103501">
        <w:rPr>
          <w:rFonts w:ascii="Verdana" w:hAnsi="Verdana"/>
          <w:b w:val="0"/>
          <w:smallCaps/>
          <w:sz w:val="20"/>
        </w:rPr>
        <w:t xml:space="preserve">II.Ж.5 </w:t>
      </w:r>
      <w:r w:rsidR="0062747B" w:rsidRPr="00103501">
        <w:rPr>
          <w:rFonts w:ascii="Verdana" w:hAnsi="Verdana"/>
          <w:b w:val="0"/>
          <w:smallCaps/>
          <w:sz w:val="20"/>
        </w:rPr>
        <w:t>„</w:t>
      </w:r>
      <w:r w:rsidR="00183A95" w:rsidRPr="00103501">
        <w:rPr>
          <w:rFonts w:ascii="Verdana" w:hAnsi="Verdana"/>
          <w:b w:val="0"/>
          <w:smallCaps/>
          <w:sz w:val="20"/>
        </w:rPr>
        <w:t xml:space="preserve">Изпълнение на операции, включително дейности за сътрудничество и тяхната подготовка, избрани в рамките на стратегията за местно развитие“ </w:t>
      </w:r>
    </w:p>
    <w:p w:rsidR="001D6269" w:rsidRPr="00103501" w:rsidRDefault="001D6269">
      <w:pPr>
        <w:rPr>
          <w:rFonts w:ascii="Times New Roman" w:hAnsi="Times New Roman"/>
          <w:szCs w:val="24"/>
          <w:lang w:val="bg-BG"/>
        </w:rPr>
      </w:pPr>
    </w:p>
    <w:p w:rsidR="00567724" w:rsidRPr="00103501" w:rsidRDefault="00567724" w:rsidP="00567724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Verdana" w:hAnsi="Verdana" w:cs="Verdana"/>
          <w:b/>
          <w:bCs/>
          <w:spacing w:val="66"/>
          <w:szCs w:val="24"/>
          <w:lang w:val="bg-BG" w:eastAsia="bg-BG"/>
        </w:rPr>
      </w:pPr>
      <w:r w:rsidRPr="00103501">
        <w:rPr>
          <w:rFonts w:ascii="Verdana" w:hAnsi="Verdana" w:cs="Verdana"/>
          <w:b/>
          <w:bCs/>
          <w:spacing w:val="66"/>
          <w:szCs w:val="24"/>
          <w:lang w:val="bg-BG" w:eastAsia="bg-BG"/>
        </w:rPr>
        <w:t>МИНИСТЕРСКИЯТ СЪВЕТ</w:t>
      </w:r>
    </w:p>
    <w:p w:rsidR="00567724" w:rsidRPr="00103501" w:rsidRDefault="00567724" w:rsidP="00567724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Verdana" w:hAnsi="Verdana" w:cs="Verdana"/>
          <w:b/>
          <w:bCs/>
          <w:spacing w:val="66"/>
          <w:szCs w:val="24"/>
          <w:lang w:val="bg-BG" w:eastAsia="bg-BG"/>
        </w:rPr>
      </w:pPr>
      <w:r w:rsidRPr="00103501">
        <w:rPr>
          <w:rFonts w:ascii="Verdana" w:hAnsi="Verdana" w:cs="Verdana"/>
          <w:b/>
          <w:bCs/>
          <w:spacing w:val="66"/>
          <w:szCs w:val="24"/>
          <w:lang w:val="bg-BG" w:eastAsia="bg-BG"/>
        </w:rPr>
        <w:t>ПОСТАНОВИ:</w:t>
      </w:r>
    </w:p>
    <w:p w:rsidR="001D6269" w:rsidRPr="00103501" w:rsidRDefault="001D6269" w:rsidP="0062119F">
      <w:pPr>
        <w:spacing w:line="276" w:lineRule="auto"/>
        <w:jc w:val="center"/>
        <w:rPr>
          <w:rFonts w:ascii="Verdana" w:hAnsi="Verdana"/>
          <w:bCs/>
          <w:sz w:val="20"/>
          <w:lang w:val="bg-BG" w:eastAsia="bg-BG"/>
        </w:rPr>
      </w:pPr>
    </w:p>
    <w:p w:rsidR="007E3F11" w:rsidRPr="0010350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 xml:space="preserve">Чл. 1. </w:t>
      </w:r>
      <w:r w:rsidRPr="00103501">
        <w:rPr>
          <w:rFonts w:ascii="Verdana" w:hAnsi="Verdana"/>
          <w:bCs/>
          <w:sz w:val="20"/>
          <w:lang w:val="bg-BG" w:eastAsia="bg-BG"/>
        </w:rPr>
        <w:t xml:space="preserve">(1) За нуждите и в срока на прилагане на </w:t>
      </w:r>
      <w:r w:rsidR="004473D0" w:rsidRPr="00103501">
        <w:rPr>
          <w:rFonts w:ascii="Verdana" w:hAnsi="Verdana"/>
          <w:bCs/>
          <w:sz w:val="20"/>
          <w:lang w:val="bg-BG" w:eastAsia="bg-BG"/>
        </w:rPr>
        <w:t>Стратегическия план за развитието на земеделието и селските райони на Република България за периода 2023 – 2027 г.</w:t>
      </w:r>
      <w:r w:rsidR="000517CA" w:rsidRPr="00103501">
        <w:rPr>
          <w:rFonts w:ascii="Verdana" w:hAnsi="Verdana"/>
          <w:bCs/>
          <w:sz w:val="20"/>
          <w:lang w:val="bg-BG" w:eastAsia="bg-BG"/>
        </w:rPr>
        <w:t xml:space="preserve"> (</w:t>
      </w:r>
      <w:r w:rsidR="004473D0" w:rsidRPr="00103501">
        <w:rPr>
          <w:rFonts w:ascii="Verdana" w:hAnsi="Verdana"/>
          <w:bCs/>
          <w:sz w:val="20"/>
          <w:lang w:val="bg-BG" w:eastAsia="bg-BG"/>
        </w:rPr>
        <w:t>СПРЗСР 2023 – 2027 г.</w:t>
      </w:r>
      <w:r w:rsidRPr="00103501">
        <w:rPr>
          <w:rFonts w:ascii="Verdana" w:hAnsi="Verdana"/>
          <w:bCs/>
          <w:sz w:val="20"/>
          <w:lang w:val="bg-BG" w:eastAsia="bg-BG"/>
        </w:rPr>
        <w:t xml:space="preserve">) министърът на земеделието и храните и изпълнителният директор на Държавен фонд „Земеделие“ (ДФЗ) сключват извън утвърдената численост на персонала на Министерството на земеделието и храните (МЗХ) и на ДФЗ срочни трудови договори за периода на изпълнение на </w:t>
      </w:r>
      <w:r w:rsidR="004473D0" w:rsidRPr="00103501">
        <w:rPr>
          <w:rFonts w:ascii="Verdana" w:hAnsi="Verdana"/>
          <w:bCs/>
          <w:sz w:val="20"/>
          <w:lang w:val="bg-BG" w:eastAsia="bg-BG"/>
        </w:rPr>
        <w:t>СПРЗСР 2023 – 2027 г.</w:t>
      </w:r>
      <w:r w:rsidR="00DC6901" w:rsidRPr="00103501">
        <w:rPr>
          <w:rFonts w:ascii="Verdana" w:hAnsi="Verdana"/>
          <w:bCs/>
          <w:sz w:val="20"/>
          <w:lang w:val="bg-BG" w:eastAsia="bg-BG"/>
        </w:rPr>
        <w:t xml:space="preserve"> </w:t>
      </w:r>
      <w:r w:rsidRPr="00103501">
        <w:rPr>
          <w:rFonts w:ascii="Verdana" w:hAnsi="Verdana"/>
          <w:bCs/>
          <w:sz w:val="20"/>
          <w:lang w:val="bg-BG" w:eastAsia="bg-BG"/>
        </w:rPr>
        <w:t>с български и чужде</w:t>
      </w:r>
      <w:r w:rsidR="000517CA" w:rsidRPr="00103501">
        <w:rPr>
          <w:rFonts w:ascii="Verdana" w:hAnsi="Verdana"/>
          <w:bCs/>
          <w:sz w:val="20"/>
          <w:lang w:val="bg-BG" w:eastAsia="bg-BG"/>
        </w:rPr>
        <w:t>странни граждани</w:t>
      </w:r>
      <w:r w:rsidRPr="00103501">
        <w:rPr>
          <w:rFonts w:ascii="Verdana" w:hAnsi="Verdana"/>
          <w:bCs/>
          <w:sz w:val="20"/>
          <w:lang w:val="bg-BG" w:eastAsia="bg-BG"/>
        </w:rPr>
        <w:t>, както следва:</w:t>
      </w:r>
    </w:p>
    <w:p w:rsidR="007E3F11" w:rsidRPr="00103501" w:rsidRDefault="007E3F11" w:rsidP="00C522D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Verdana" w:hAnsi="Verdana"/>
          <w:bCs/>
          <w:sz w:val="20"/>
          <w:szCs w:val="20"/>
          <w:lang w:eastAsia="bg-BG"/>
        </w:rPr>
      </w:pPr>
      <w:r w:rsidRPr="00103501">
        <w:rPr>
          <w:rFonts w:ascii="Verdana" w:hAnsi="Verdana"/>
          <w:bCs/>
          <w:sz w:val="20"/>
          <w:szCs w:val="20"/>
          <w:lang w:eastAsia="bg-BG"/>
        </w:rPr>
        <w:t xml:space="preserve">в </w:t>
      </w:r>
      <w:r w:rsidR="000517CA" w:rsidRPr="00103501">
        <w:rPr>
          <w:rFonts w:ascii="Verdana" w:hAnsi="Verdana"/>
          <w:bCs/>
          <w:sz w:val="20"/>
          <w:szCs w:val="20"/>
          <w:lang w:eastAsia="bg-BG"/>
        </w:rPr>
        <w:t>М</w:t>
      </w:r>
      <w:r w:rsidR="00D64005" w:rsidRPr="00103501">
        <w:rPr>
          <w:rFonts w:ascii="Verdana" w:hAnsi="Verdana"/>
          <w:bCs/>
          <w:sz w:val="20"/>
          <w:szCs w:val="20"/>
          <w:lang w:eastAsia="bg-BG"/>
        </w:rPr>
        <w:t>ЗХ</w:t>
      </w:r>
      <w:r w:rsidR="00103501" w:rsidRPr="00103501">
        <w:rPr>
          <w:rFonts w:ascii="Verdana" w:hAnsi="Verdana"/>
          <w:bCs/>
          <w:sz w:val="20"/>
          <w:szCs w:val="20"/>
          <w:lang w:eastAsia="bg-BG"/>
        </w:rPr>
        <w:t xml:space="preserve"> </w:t>
      </w:r>
      <w:r w:rsidR="003C7F4B" w:rsidRPr="00103501">
        <w:rPr>
          <w:rFonts w:ascii="Verdana" w:hAnsi="Verdana"/>
          <w:bCs/>
          <w:sz w:val="20"/>
          <w:szCs w:val="20"/>
          <w:lang w:eastAsia="bg-BG"/>
        </w:rPr>
        <w:t>–</w:t>
      </w:r>
      <w:r w:rsidRPr="00103501">
        <w:rPr>
          <w:rFonts w:ascii="Verdana" w:hAnsi="Verdana"/>
          <w:bCs/>
          <w:sz w:val="20"/>
          <w:szCs w:val="20"/>
          <w:lang w:eastAsia="bg-BG"/>
        </w:rPr>
        <w:t xml:space="preserve"> за подпомагане на </w:t>
      </w:r>
      <w:r w:rsidR="00AD448F" w:rsidRPr="00103501">
        <w:rPr>
          <w:rFonts w:ascii="Verdana" w:hAnsi="Verdana"/>
          <w:bCs/>
          <w:sz w:val="20"/>
          <w:szCs w:val="20"/>
          <w:lang w:eastAsia="bg-BG"/>
        </w:rPr>
        <w:t xml:space="preserve">Управляващия орган на Стратегическия план за развитие на земеделието и селските райони на Република България за периода 2023 </w:t>
      </w:r>
      <w:r w:rsidR="00C522D7" w:rsidRPr="00103501">
        <w:rPr>
          <w:rFonts w:ascii="Verdana" w:hAnsi="Verdana"/>
          <w:bCs/>
          <w:sz w:val="20"/>
          <w:szCs w:val="20"/>
          <w:lang w:eastAsia="bg-BG"/>
        </w:rPr>
        <w:t xml:space="preserve">– </w:t>
      </w:r>
      <w:r w:rsidR="00AD448F" w:rsidRPr="00103501">
        <w:rPr>
          <w:rFonts w:ascii="Verdana" w:hAnsi="Verdana"/>
          <w:bCs/>
          <w:sz w:val="20"/>
          <w:szCs w:val="20"/>
          <w:lang w:eastAsia="bg-BG"/>
        </w:rPr>
        <w:t>2027 г.</w:t>
      </w:r>
      <w:r w:rsidRPr="00103501">
        <w:rPr>
          <w:rFonts w:ascii="Verdana" w:hAnsi="Verdana"/>
          <w:bCs/>
          <w:sz w:val="20"/>
          <w:szCs w:val="20"/>
          <w:lang w:eastAsia="bg-BG"/>
        </w:rPr>
        <w:t xml:space="preserve">– до </w:t>
      </w:r>
      <w:r w:rsidR="00295119" w:rsidRPr="00103501">
        <w:rPr>
          <w:rFonts w:ascii="Verdana" w:hAnsi="Verdana"/>
          <w:bCs/>
          <w:sz w:val="20"/>
          <w:szCs w:val="20"/>
          <w:lang w:eastAsia="bg-BG"/>
        </w:rPr>
        <w:t>4</w:t>
      </w:r>
      <w:r w:rsidRPr="00103501">
        <w:rPr>
          <w:rFonts w:ascii="Verdana" w:hAnsi="Verdana"/>
          <w:bCs/>
          <w:sz w:val="20"/>
          <w:szCs w:val="20"/>
          <w:lang w:eastAsia="bg-BG"/>
        </w:rPr>
        <w:t>0 служители</w:t>
      </w:r>
      <w:r w:rsidR="00AD448F" w:rsidRPr="00103501">
        <w:rPr>
          <w:rFonts w:ascii="Verdana" w:hAnsi="Verdana"/>
          <w:bCs/>
          <w:sz w:val="20"/>
          <w:szCs w:val="20"/>
          <w:lang w:eastAsia="bg-BG"/>
        </w:rPr>
        <w:t>.</w:t>
      </w:r>
    </w:p>
    <w:p w:rsidR="007E3F11" w:rsidRPr="00103501" w:rsidRDefault="000517CA" w:rsidP="00C522D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Verdana" w:hAnsi="Verdana"/>
          <w:bCs/>
          <w:sz w:val="20"/>
          <w:szCs w:val="20"/>
          <w:lang w:eastAsia="bg-BG"/>
        </w:rPr>
      </w:pPr>
      <w:r w:rsidRPr="00103501">
        <w:rPr>
          <w:rFonts w:ascii="Verdana" w:hAnsi="Verdana"/>
          <w:bCs/>
          <w:sz w:val="20"/>
          <w:szCs w:val="20"/>
          <w:lang w:eastAsia="bg-BG"/>
        </w:rPr>
        <w:t>в Д</w:t>
      </w:r>
      <w:r w:rsidR="00D64005" w:rsidRPr="00103501">
        <w:rPr>
          <w:rFonts w:ascii="Verdana" w:hAnsi="Verdana"/>
          <w:bCs/>
          <w:sz w:val="20"/>
          <w:szCs w:val="20"/>
          <w:lang w:eastAsia="bg-BG"/>
        </w:rPr>
        <w:t>ФЗ</w:t>
      </w:r>
      <w:r w:rsidR="007E3F11" w:rsidRPr="00103501">
        <w:rPr>
          <w:rFonts w:ascii="Verdana" w:hAnsi="Verdana"/>
          <w:bCs/>
          <w:sz w:val="20"/>
          <w:szCs w:val="20"/>
          <w:lang w:eastAsia="bg-BG"/>
        </w:rPr>
        <w:t xml:space="preserve"> </w:t>
      </w:r>
      <w:r w:rsidR="003C7F4B" w:rsidRPr="00103501">
        <w:rPr>
          <w:rFonts w:ascii="Verdana" w:hAnsi="Verdana"/>
          <w:bCs/>
          <w:sz w:val="20"/>
          <w:szCs w:val="20"/>
          <w:lang w:eastAsia="bg-BG"/>
        </w:rPr>
        <w:t>–</w:t>
      </w:r>
      <w:r w:rsidR="007E3F11" w:rsidRPr="00103501">
        <w:rPr>
          <w:rFonts w:ascii="Verdana" w:hAnsi="Verdana"/>
          <w:bCs/>
          <w:sz w:val="20"/>
          <w:szCs w:val="20"/>
          <w:lang w:eastAsia="bg-BG"/>
        </w:rPr>
        <w:t xml:space="preserve"> за подпомагане на дирекции „Договориране по прилагане на мерки за развитие на селските райони“, „Оторизация на плащанията по прилагане на мерки за развитие на селските райони“, отдел „</w:t>
      </w:r>
      <w:r w:rsidR="00183A95" w:rsidRPr="00103501">
        <w:rPr>
          <w:rFonts w:ascii="Verdana" w:hAnsi="Verdana"/>
          <w:bCs/>
          <w:sz w:val="20"/>
          <w:szCs w:val="20"/>
          <w:lang w:eastAsia="bg-BG"/>
        </w:rPr>
        <w:t>Биологични и агроекологични плащания</w:t>
      </w:r>
      <w:r w:rsidR="007E3F11" w:rsidRPr="00103501">
        <w:rPr>
          <w:rFonts w:ascii="Verdana" w:hAnsi="Verdana"/>
          <w:bCs/>
          <w:sz w:val="20"/>
          <w:szCs w:val="20"/>
          <w:lang w:eastAsia="bg-BG"/>
        </w:rPr>
        <w:t>“ към дирекция „Директни плащания“ и областните дирекции – до 180 служители.</w:t>
      </w:r>
    </w:p>
    <w:p w:rsidR="007E3F11" w:rsidRPr="0010350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Cs/>
          <w:sz w:val="20"/>
          <w:lang w:val="bg-BG" w:eastAsia="bg-BG"/>
        </w:rPr>
        <w:t>(2) За нуждите н</w:t>
      </w:r>
      <w:r w:rsidR="00F02079" w:rsidRPr="00103501">
        <w:rPr>
          <w:rFonts w:ascii="Verdana" w:hAnsi="Verdana"/>
          <w:bCs/>
          <w:sz w:val="20"/>
          <w:lang w:val="bg-BG" w:eastAsia="bg-BG"/>
        </w:rPr>
        <w:t>а изпълнението на стратегии за в</w:t>
      </w:r>
      <w:r w:rsidRPr="00103501">
        <w:rPr>
          <w:rFonts w:ascii="Verdana" w:hAnsi="Verdana"/>
          <w:bCs/>
          <w:sz w:val="20"/>
          <w:lang w:val="bg-BG" w:eastAsia="bg-BG"/>
        </w:rPr>
        <w:t xml:space="preserve">одено от общностите местно развитие местните инициативни групи (МИГ), получили финансиране за изпълнение на стратегии по </w:t>
      </w:r>
      <w:r w:rsidR="002A396F" w:rsidRPr="00103501">
        <w:rPr>
          <w:rFonts w:ascii="Verdana" w:hAnsi="Verdana"/>
          <w:bCs/>
          <w:sz w:val="20"/>
          <w:lang w:val="bg-BG" w:eastAsia="bg-BG"/>
        </w:rPr>
        <w:t xml:space="preserve">интервенция II.Ж.5 „Изпълнение на операции, включително дейности </w:t>
      </w:r>
      <w:r w:rsidR="002A396F" w:rsidRPr="00103501">
        <w:rPr>
          <w:rFonts w:ascii="Verdana" w:hAnsi="Verdana"/>
          <w:bCs/>
          <w:sz w:val="20"/>
          <w:lang w:val="bg-BG" w:eastAsia="bg-BG"/>
        </w:rPr>
        <w:lastRenderedPageBreak/>
        <w:t>за сътрудничество и тяхната подготовка, избрани в рамките на стратегията за местно развитие“</w:t>
      </w:r>
      <w:r w:rsidR="00F02079" w:rsidRPr="00103501">
        <w:rPr>
          <w:rFonts w:ascii="Verdana" w:hAnsi="Verdana"/>
          <w:bCs/>
          <w:sz w:val="20"/>
          <w:lang w:val="bg-BG" w:eastAsia="bg-BG"/>
        </w:rPr>
        <w:t>,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назначават персонал за срока на изпълнение на стратегиите.</w:t>
      </w:r>
    </w:p>
    <w:p w:rsidR="007E3F11" w:rsidRPr="00103501" w:rsidRDefault="007E3F11" w:rsidP="00567724">
      <w:pPr>
        <w:spacing w:line="360" w:lineRule="auto"/>
        <w:ind w:firstLine="720"/>
        <w:jc w:val="both"/>
        <w:rPr>
          <w:rFonts w:ascii="Verdana" w:hAnsi="Verdana"/>
          <w:bCs/>
          <w:spacing w:val="-6"/>
          <w:sz w:val="20"/>
          <w:lang w:val="bg-BG" w:eastAsia="bg-BG"/>
        </w:rPr>
      </w:pPr>
      <w:r w:rsidRPr="00103501">
        <w:rPr>
          <w:rFonts w:ascii="Verdana" w:hAnsi="Verdana"/>
          <w:bCs/>
          <w:spacing w:val="-6"/>
          <w:sz w:val="20"/>
          <w:lang w:val="bg-BG" w:eastAsia="bg-BG"/>
        </w:rPr>
        <w:t xml:space="preserve">(3) Крайният срок на договорите по ал. 1 и 2 е не по-късно от </w:t>
      </w:r>
      <w:r w:rsidR="00B40F22" w:rsidRPr="00103501">
        <w:rPr>
          <w:rFonts w:ascii="Verdana" w:hAnsi="Verdana"/>
          <w:bCs/>
          <w:spacing w:val="-6"/>
          <w:sz w:val="20"/>
          <w:lang w:val="bg-BG" w:eastAsia="bg-BG"/>
        </w:rPr>
        <w:t>15 октомври 2029 г.</w:t>
      </w:r>
    </w:p>
    <w:p w:rsidR="00B83CCB" w:rsidRPr="00103501" w:rsidRDefault="0072185A" w:rsidP="00567724">
      <w:pPr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Cs/>
          <w:sz w:val="20"/>
          <w:lang w:val="bg-BG" w:eastAsia="bg-BG"/>
        </w:rPr>
        <w:t>(4) За служителите по ал. 1 не се прилага чл. 107а от Кодекса на труда</w:t>
      </w:r>
      <w:r w:rsidR="002A396F" w:rsidRPr="00103501">
        <w:rPr>
          <w:rFonts w:ascii="Verdana" w:hAnsi="Verdana"/>
          <w:bCs/>
          <w:sz w:val="20"/>
          <w:lang w:val="bg-BG" w:eastAsia="bg-BG"/>
        </w:rPr>
        <w:t>.</w:t>
      </w:r>
    </w:p>
    <w:p w:rsidR="00C522D7" w:rsidRPr="00103501" w:rsidRDefault="00C522D7" w:rsidP="00567724">
      <w:pPr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7E3F11" w:rsidRPr="00103501" w:rsidRDefault="007E3F11" w:rsidP="00567724">
      <w:pPr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 xml:space="preserve">Чл. 2. </w:t>
      </w:r>
      <w:r w:rsidRPr="00103501">
        <w:rPr>
          <w:rFonts w:ascii="Verdana" w:hAnsi="Verdana"/>
          <w:bCs/>
          <w:sz w:val="20"/>
          <w:lang w:val="bg-BG" w:eastAsia="bg-BG"/>
        </w:rPr>
        <w:t>(1) Служителите по чл. 1, ал. 1 се назначават при спазване на реда за предоставяне на финансова помощ</w:t>
      </w:r>
      <w:r w:rsidR="00C522D7" w:rsidRPr="00103501">
        <w:rPr>
          <w:rFonts w:ascii="Verdana" w:hAnsi="Verdana"/>
          <w:bCs/>
          <w:sz w:val="20"/>
          <w:lang w:val="bg-BG" w:eastAsia="bg-BG"/>
        </w:rPr>
        <w:t xml:space="preserve"> по Наредба № 1 от </w:t>
      </w:r>
      <w:r w:rsidR="002A396F" w:rsidRPr="00103501">
        <w:rPr>
          <w:rFonts w:ascii="Verdana" w:hAnsi="Verdana"/>
          <w:bCs/>
          <w:sz w:val="20"/>
          <w:lang w:val="bg-BG" w:eastAsia="bg-BG"/>
        </w:rPr>
        <w:t xml:space="preserve">2024 г. за условията и реда за предоставяне на подпомагане по </w:t>
      </w:r>
      <w:r w:rsidR="00C522D7" w:rsidRPr="00103501">
        <w:rPr>
          <w:rFonts w:ascii="Verdana" w:hAnsi="Verdana"/>
          <w:bCs/>
          <w:sz w:val="20"/>
          <w:lang w:val="bg-BG" w:eastAsia="bg-BG"/>
        </w:rPr>
        <w:t>т</w:t>
      </w:r>
      <w:r w:rsidR="002A396F" w:rsidRPr="00103501">
        <w:rPr>
          <w:rFonts w:ascii="Verdana" w:hAnsi="Verdana"/>
          <w:bCs/>
          <w:sz w:val="20"/>
          <w:lang w:val="bg-BG" w:eastAsia="bg-BG"/>
        </w:rPr>
        <w:t>ехническа помощ от Стратегическия план за развитие на земеделието и селските райони за периода 2023 – 2027</w:t>
      </w:r>
      <w:r w:rsidR="004C77F3" w:rsidRPr="00103501">
        <w:rPr>
          <w:rFonts w:ascii="Verdana" w:hAnsi="Verdana"/>
          <w:bCs/>
          <w:sz w:val="20"/>
          <w:lang w:val="bg-BG" w:eastAsia="bg-BG"/>
        </w:rPr>
        <w:t xml:space="preserve"> </w:t>
      </w:r>
      <w:r w:rsidR="002A396F" w:rsidRPr="00103501">
        <w:rPr>
          <w:rFonts w:ascii="Verdana" w:hAnsi="Verdana"/>
          <w:bCs/>
          <w:sz w:val="20"/>
          <w:lang w:val="bg-BG" w:eastAsia="bg-BG"/>
        </w:rPr>
        <w:t>г., както и реда за налагане на административни санкции</w:t>
      </w:r>
      <w:r w:rsidR="00BA419C" w:rsidRPr="00103501">
        <w:rPr>
          <w:rFonts w:ascii="Verdana" w:hAnsi="Verdana"/>
          <w:bCs/>
          <w:sz w:val="20"/>
          <w:lang w:val="bg-BG" w:eastAsia="bg-BG"/>
        </w:rPr>
        <w:t xml:space="preserve"> (обн., ДВ, бр.</w:t>
      </w:r>
      <w:r w:rsidR="006B3C06" w:rsidRPr="00103501">
        <w:rPr>
          <w:rFonts w:ascii="Verdana" w:hAnsi="Verdana"/>
          <w:bCs/>
          <w:sz w:val="20"/>
          <w:lang w:val="bg-BG" w:eastAsia="bg-BG"/>
        </w:rPr>
        <w:t xml:space="preserve"> 30 </w:t>
      </w:r>
      <w:r w:rsidR="00BA419C" w:rsidRPr="00103501">
        <w:rPr>
          <w:rFonts w:ascii="Verdana" w:hAnsi="Verdana"/>
          <w:bCs/>
          <w:sz w:val="20"/>
          <w:lang w:val="bg-BG" w:eastAsia="bg-BG"/>
        </w:rPr>
        <w:t>от 2024 г.)</w:t>
      </w:r>
      <w:r w:rsidR="002A396F" w:rsidRPr="00103501">
        <w:rPr>
          <w:rFonts w:ascii="Verdana" w:hAnsi="Verdana"/>
          <w:bCs/>
          <w:sz w:val="20"/>
          <w:lang w:val="bg-BG" w:eastAsia="bg-BG"/>
        </w:rPr>
        <w:t xml:space="preserve">. </w:t>
      </w:r>
    </w:p>
    <w:p w:rsidR="007E3F11" w:rsidRPr="0010350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Cs/>
          <w:sz w:val="20"/>
          <w:lang w:val="bg-BG" w:eastAsia="bg-BG"/>
        </w:rPr>
        <w:t>(2) Подборът на служителите по чл. 1, ал. 1 се извършва при условия и по ред, определени с методика, одобрена от министъра на земеделието и храните, при спазване разпоредбите на трудовото законодателство.</w:t>
      </w:r>
    </w:p>
    <w:p w:rsidR="007E3F11" w:rsidRPr="0010350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Cs/>
          <w:sz w:val="20"/>
          <w:lang w:val="bg-BG" w:eastAsia="bg-BG"/>
        </w:rPr>
        <w:t xml:space="preserve">(3) Информацията за провеждането на процедурата, включително резултатите от класирането на кандидатите, се обявява на електронната страница на </w:t>
      </w:r>
      <w:r w:rsidR="00F02079" w:rsidRPr="00103501">
        <w:rPr>
          <w:rFonts w:ascii="Verdana" w:hAnsi="Verdana"/>
          <w:bCs/>
          <w:sz w:val="20"/>
          <w:lang w:val="bg-BG" w:eastAsia="bg-BG"/>
        </w:rPr>
        <w:t>М</w:t>
      </w:r>
      <w:r w:rsidR="003937C5" w:rsidRPr="00103501">
        <w:rPr>
          <w:rFonts w:ascii="Verdana" w:hAnsi="Verdana"/>
          <w:bCs/>
          <w:sz w:val="20"/>
          <w:lang w:val="bg-BG" w:eastAsia="bg-BG"/>
        </w:rPr>
        <w:t>ЗХ</w:t>
      </w:r>
      <w:r w:rsidR="00F02079" w:rsidRPr="00103501">
        <w:rPr>
          <w:rFonts w:ascii="Verdana" w:hAnsi="Verdana"/>
          <w:bCs/>
          <w:sz w:val="20"/>
          <w:lang w:val="bg-BG" w:eastAsia="bg-BG"/>
        </w:rPr>
        <w:t xml:space="preserve">, съответно на </w:t>
      </w:r>
      <w:r w:rsidR="00347BAB" w:rsidRPr="00103501">
        <w:rPr>
          <w:rFonts w:ascii="Verdana" w:hAnsi="Verdana"/>
          <w:bCs/>
          <w:sz w:val="20"/>
          <w:lang w:val="bg-BG" w:eastAsia="bg-BG"/>
        </w:rPr>
        <w:t>ДФЗ</w:t>
      </w:r>
      <w:r w:rsidRPr="00103501">
        <w:rPr>
          <w:rFonts w:ascii="Verdana" w:hAnsi="Verdana"/>
          <w:bCs/>
          <w:sz w:val="20"/>
          <w:lang w:val="bg-BG" w:eastAsia="bg-BG"/>
        </w:rPr>
        <w:t>.</w:t>
      </w:r>
    </w:p>
    <w:p w:rsidR="00C522D7" w:rsidRPr="00103501" w:rsidRDefault="00C522D7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7E3F11" w:rsidRPr="0010350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 xml:space="preserve">Чл. 3. </w:t>
      </w:r>
      <w:r w:rsidRPr="00103501">
        <w:rPr>
          <w:rFonts w:ascii="Verdana" w:hAnsi="Verdana"/>
          <w:bCs/>
          <w:sz w:val="20"/>
          <w:lang w:val="bg-BG" w:eastAsia="bg-BG"/>
        </w:rPr>
        <w:t>(1) Основната месечна работна заплата и допълнителните възнаграждения на служителите, назначени по реда на чл. 2 за пълно работно време</w:t>
      </w:r>
      <w:r w:rsidR="00347BAB" w:rsidRPr="00103501">
        <w:rPr>
          <w:rFonts w:ascii="Verdana" w:hAnsi="Verdana"/>
          <w:bCs/>
          <w:sz w:val="20"/>
          <w:lang w:val="bg-BG" w:eastAsia="bg-BG"/>
        </w:rPr>
        <w:t>,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се определя в </w:t>
      </w:r>
      <w:r w:rsidR="001A393A" w:rsidRPr="00103501">
        <w:rPr>
          <w:rFonts w:ascii="Verdana" w:hAnsi="Verdana"/>
          <w:bCs/>
          <w:sz w:val="20"/>
          <w:lang w:val="bg-BG" w:eastAsia="bg-BG"/>
        </w:rPr>
        <w:t xml:space="preserve">трудовия договор, сключен между лицата по чл. 1, ал. 1 с </w:t>
      </w:r>
      <w:r w:rsidR="00347BAB" w:rsidRPr="00103501">
        <w:rPr>
          <w:rFonts w:ascii="Verdana" w:hAnsi="Verdana"/>
          <w:bCs/>
          <w:sz w:val="20"/>
          <w:lang w:val="bg-BG" w:eastAsia="bg-BG"/>
        </w:rPr>
        <w:t>министъра на земеделието и храните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и</w:t>
      </w:r>
      <w:r w:rsidR="001A393A" w:rsidRPr="00103501">
        <w:rPr>
          <w:rFonts w:ascii="Verdana" w:hAnsi="Verdana"/>
          <w:bCs/>
          <w:sz w:val="20"/>
          <w:lang w:val="bg-BG" w:eastAsia="bg-BG"/>
        </w:rPr>
        <w:t>ли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</w:t>
      </w:r>
      <w:r w:rsidR="001A393A" w:rsidRPr="00103501">
        <w:rPr>
          <w:rFonts w:ascii="Verdana" w:hAnsi="Verdana"/>
          <w:bCs/>
          <w:sz w:val="20"/>
          <w:lang w:val="bg-BG" w:eastAsia="bg-BG"/>
        </w:rPr>
        <w:t xml:space="preserve">с </w:t>
      </w:r>
      <w:r w:rsidR="00523CC9" w:rsidRPr="00103501">
        <w:rPr>
          <w:rFonts w:ascii="Verdana" w:hAnsi="Verdana"/>
          <w:bCs/>
          <w:sz w:val="20"/>
          <w:lang w:val="bg-BG" w:eastAsia="bg-BG"/>
        </w:rPr>
        <w:t xml:space="preserve">изпълнителния </w:t>
      </w:r>
      <w:r w:rsidRPr="00103501">
        <w:rPr>
          <w:rFonts w:ascii="Verdana" w:hAnsi="Verdana"/>
          <w:bCs/>
          <w:sz w:val="20"/>
          <w:lang w:val="bg-BG" w:eastAsia="bg-BG"/>
        </w:rPr>
        <w:t xml:space="preserve">директор на ДФЗ. </w:t>
      </w:r>
    </w:p>
    <w:p w:rsidR="00C522D7" w:rsidRPr="00103501" w:rsidRDefault="00DB2008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DB2008">
        <w:rPr>
          <w:rFonts w:ascii="Verdana" w:hAnsi="Verdana"/>
          <w:bCs/>
          <w:sz w:val="20"/>
          <w:lang w:val="bg-BG" w:eastAsia="bg-BG"/>
        </w:rPr>
        <w:t>(2) Средствата за работна заплата, осигурителните вноски и допълнителните възнаграждения, както и възнагражденията за времето на ползване на платен отпуск и разходите за обезщетения, изплатени от осигурителя за дните на временна неработоспособност, съглас</w:t>
      </w:r>
      <w:r w:rsidR="00276D79">
        <w:rPr>
          <w:rFonts w:ascii="Verdana" w:hAnsi="Verdana"/>
          <w:bCs/>
          <w:sz w:val="20"/>
          <w:lang w:val="bg-BG" w:eastAsia="bg-BG"/>
        </w:rPr>
        <w:t xml:space="preserve">но </w:t>
      </w:r>
      <w:r w:rsidRPr="00DB2008">
        <w:rPr>
          <w:rFonts w:ascii="Verdana" w:hAnsi="Verdana"/>
          <w:bCs/>
          <w:sz w:val="20"/>
          <w:lang w:val="bg-BG" w:eastAsia="bg-BG"/>
        </w:rPr>
        <w:t>Кодекса за социално осигуряване, на служителите по чл. 1, ал. 1, се планират, осигуряват и отчитат по бюджета за „Техническа помощ“ от СПРЗСР 2023 – 2027 г., като авансово се заплащат от бюджета на МЗХ и на ДФЗ и след това се възстановяват по реда на Наредба № 1 от 2024 г. за условията и реда за предоставяне на подпомагане по техническа помощ от Стратегическия план за развитие на земеделието и селските райони за периода 2023 – 2027г., както и реда за налагане на административни санкции</w:t>
      </w:r>
      <w:r>
        <w:rPr>
          <w:rFonts w:ascii="Verdana" w:hAnsi="Verdana"/>
          <w:bCs/>
          <w:sz w:val="20"/>
          <w:lang w:val="bg-BG" w:eastAsia="bg-BG"/>
        </w:rPr>
        <w:t>.</w:t>
      </w:r>
    </w:p>
    <w:p w:rsidR="007B4E05" w:rsidRDefault="007B4E05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/>
          <w:bCs/>
          <w:sz w:val="20"/>
          <w:lang w:val="bg-BG" w:eastAsia="bg-BG"/>
        </w:rPr>
      </w:pPr>
    </w:p>
    <w:p w:rsidR="007E3F11" w:rsidRPr="0010350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Чл. 4.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За служителите, назначени по реда на чл. 2, се разработват разписания на длъжностите и функциите, които се утвърждават от министъра на земеделието и храните, съответно от изпълнителния директор на </w:t>
      </w:r>
      <w:r w:rsidR="00347BAB" w:rsidRPr="00103501">
        <w:rPr>
          <w:rFonts w:ascii="Verdana" w:hAnsi="Verdana"/>
          <w:bCs/>
          <w:sz w:val="20"/>
          <w:lang w:val="bg-BG" w:eastAsia="bg-BG"/>
        </w:rPr>
        <w:t>ДФЗ</w:t>
      </w:r>
      <w:r w:rsidRPr="00103501">
        <w:rPr>
          <w:rFonts w:ascii="Verdana" w:hAnsi="Verdana"/>
          <w:bCs/>
          <w:sz w:val="20"/>
          <w:lang w:val="bg-BG" w:eastAsia="bg-BG"/>
        </w:rPr>
        <w:t>.</w:t>
      </w:r>
    </w:p>
    <w:p w:rsidR="00C522D7" w:rsidRPr="00103501" w:rsidRDefault="00C522D7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7E3F11" w:rsidRPr="0010350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 xml:space="preserve">Чл. 5. </w:t>
      </w:r>
      <w:r w:rsidRPr="00103501">
        <w:rPr>
          <w:rFonts w:ascii="Verdana" w:hAnsi="Verdana"/>
          <w:bCs/>
          <w:sz w:val="20"/>
          <w:lang w:val="bg-BG" w:eastAsia="bg-BG"/>
        </w:rPr>
        <w:t xml:space="preserve">(1) Служителите по чл. 1, ал. 2 се назначават при спазване на условията и реда, установен с </w:t>
      </w:r>
      <w:r w:rsidR="00D632EC" w:rsidRPr="00103501">
        <w:rPr>
          <w:rFonts w:ascii="Verdana" w:hAnsi="Verdana"/>
          <w:bCs/>
          <w:sz w:val="20"/>
          <w:lang w:val="bg-BG" w:eastAsia="bg-BG"/>
        </w:rPr>
        <w:t>Насоки за кандидатстване по интервенция II.Ж.5 „Изпълнение на операции, включително дейности за сътрудничество и тяхната подготовка, избрани в рамките на стратегията за местно развитие“ от СПРЗСР 2023 – 2027 г.</w:t>
      </w:r>
    </w:p>
    <w:p w:rsidR="007E3F1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Cs/>
          <w:sz w:val="20"/>
          <w:lang w:val="bg-BG" w:eastAsia="bg-BG"/>
        </w:rPr>
        <w:lastRenderedPageBreak/>
        <w:t xml:space="preserve">(2) Подборът на служителите по чл. 1, ал. 2 се извършва при условия и по ред, определени от </w:t>
      </w:r>
      <w:r w:rsidR="00F468A3" w:rsidRPr="00103501">
        <w:rPr>
          <w:rFonts w:ascii="Verdana" w:hAnsi="Verdana"/>
          <w:bCs/>
          <w:sz w:val="20"/>
          <w:lang w:val="bg-BG" w:eastAsia="bg-BG"/>
        </w:rPr>
        <w:t xml:space="preserve">колективния </w:t>
      </w:r>
      <w:r w:rsidRPr="00103501">
        <w:rPr>
          <w:rFonts w:ascii="Verdana" w:hAnsi="Verdana"/>
          <w:bCs/>
          <w:sz w:val="20"/>
          <w:lang w:val="bg-BG" w:eastAsia="bg-BG"/>
        </w:rPr>
        <w:t>управителен орган на МИГ, при спазване разпоредбите на трудовото законодателство</w:t>
      </w:r>
      <w:r w:rsidR="003525D0" w:rsidRPr="00103501">
        <w:rPr>
          <w:rFonts w:ascii="Verdana" w:hAnsi="Verdana"/>
          <w:bCs/>
          <w:sz w:val="20"/>
          <w:lang w:val="bg-BG" w:eastAsia="bg-BG"/>
        </w:rPr>
        <w:t>.</w:t>
      </w:r>
    </w:p>
    <w:p w:rsidR="00832F27" w:rsidRPr="00103501" w:rsidRDefault="00832F27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7E3F11" w:rsidRPr="00103501" w:rsidRDefault="007E3F11" w:rsidP="0056772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Чл. 6.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(1) Основната месечна работна заплата и допълнителните възнаграждения на служителите, назначени по реда на чл. 1, ал. 2, за пълно работно време се определят с решение на </w:t>
      </w:r>
      <w:r w:rsidR="00F468A3" w:rsidRPr="00103501">
        <w:rPr>
          <w:rFonts w:ascii="Verdana" w:hAnsi="Verdana"/>
          <w:bCs/>
          <w:sz w:val="20"/>
          <w:lang w:val="bg-BG" w:eastAsia="bg-BG"/>
        </w:rPr>
        <w:t xml:space="preserve">колективния </w:t>
      </w:r>
      <w:r w:rsidRPr="00103501">
        <w:rPr>
          <w:rFonts w:ascii="Verdana" w:hAnsi="Verdana"/>
          <w:bCs/>
          <w:sz w:val="20"/>
          <w:lang w:val="bg-BG" w:eastAsia="bg-BG"/>
        </w:rPr>
        <w:t>управителен орган на МИГ в рамките на одобрения бюджет.</w:t>
      </w:r>
    </w:p>
    <w:p w:rsidR="007E3F11" w:rsidRPr="00103501" w:rsidRDefault="007E3F11" w:rsidP="00567724">
      <w:pPr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Cs/>
          <w:sz w:val="20"/>
          <w:lang w:val="bg-BG" w:eastAsia="bg-BG"/>
        </w:rPr>
        <w:t>(2) Средствата за работна заплата, осигурителни</w:t>
      </w:r>
      <w:r w:rsidR="00F02079" w:rsidRPr="00103501">
        <w:rPr>
          <w:rFonts w:ascii="Verdana" w:hAnsi="Verdana"/>
          <w:bCs/>
          <w:sz w:val="20"/>
          <w:lang w:val="bg-BG" w:eastAsia="bg-BG"/>
        </w:rPr>
        <w:t>те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вноски и допълнителни</w:t>
      </w:r>
      <w:r w:rsidR="00F02079" w:rsidRPr="00103501">
        <w:rPr>
          <w:rFonts w:ascii="Verdana" w:hAnsi="Verdana"/>
          <w:bCs/>
          <w:sz w:val="20"/>
          <w:lang w:val="bg-BG" w:eastAsia="bg-BG"/>
        </w:rPr>
        <w:t>те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възнаграждения на служителите по чл. 1, ал. 2 се планират, осигуряват и отчитат по бюджета на МИГ по </w:t>
      </w:r>
      <w:r w:rsidR="00F468A3" w:rsidRPr="00103501">
        <w:rPr>
          <w:rFonts w:ascii="Verdana" w:hAnsi="Verdana"/>
          <w:bCs/>
          <w:sz w:val="20"/>
          <w:lang w:val="bg-BG" w:eastAsia="bg-BG"/>
        </w:rPr>
        <w:t xml:space="preserve">интервенция </w:t>
      </w:r>
      <w:r w:rsidR="003B7B5C" w:rsidRPr="00103501">
        <w:rPr>
          <w:rFonts w:ascii="Verdana" w:hAnsi="Verdana"/>
          <w:bCs/>
          <w:sz w:val="20"/>
          <w:lang w:val="bg-BG" w:eastAsia="bg-BG"/>
        </w:rPr>
        <w:t>II.Ж.5 „Изпълнение на операции, включително дейности за сътрудничество и тяхната подготовка, избрани в рамките на стратегията за местно развитие“.</w:t>
      </w:r>
    </w:p>
    <w:p w:rsidR="00C522D7" w:rsidRPr="00103501" w:rsidRDefault="00C522D7" w:rsidP="00567724">
      <w:pPr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7E3F11" w:rsidRDefault="007E3F11" w:rsidP="0056772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Verdana" w:hAnsi="Verdana"/>
          <w:b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Допълнителна разпоредба</w:t>
      </w:r>
    </w:p>
    <w:p w:rsidR="00407734" w:rsidRPr="00103501" w:rsidRDefault="00407734" w:rsidP="0056772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Verdana" w:hAnsi="Verdana"/>
          <w:b/>
          <w:bCs/>
          <w:sz w:val="20"/>
          <w:lang w:val="bg-BG" w:eastAsia="bg-BG"/>
        </w:rPr>
      </w:pPr>
    </w:p>
    <w:p w:rsidR="007E3F11" w:rsidRPr="00103501" w:rsidRDefault="007E3F11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§ 1.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По смисъла на това постановление „Местна инициативна група” е публично-частно партньорство, учредено и регистрирано по Закона за юридическите лица с нестопанска цел, сключило </w:t>
      </w:r>
      <w:r w:rsidR="00451929" w:rsidRPr="00103501">
        <w:rPr>
          <w:rFonts w:ascii="Verdana" w:hAnsi="Verdana"/>
          <w:bCs/>
          <w:sz w:val="20"/>
          <w:lang w:val="bg-BG" w:eastAsia="bg-BG"/>
        </w:rPr>
        <w:t xml:space="preserve">споразумение </w:t>
      </w:r>
      <w:r w:rsidRPr="00103501">
        <w:rPr>
          <w:rFonts w:ascii="Verdana" w:hAnsi="Verdana"/>
          <w:bCs/>
          <w:sz w:val="20"/>
          <w:lang w:val="bg-BG" w:eastAsia="bg-BG"/>
        </w:rPr>
        <w:t xml:space="preserve">за финансиране на стратегия за водено от общностите местно развитие от </w:t>
      </w:r>
      <w:r w:rsidR="00A15714" w:rsidRPr="00103501">
        <w:rPr>
          <w:rFonts w:ascii="Verdana" w:hAnsi="Verdana"/>
          <w:bCs/>
          <w:sz w:val="20"/>
          <w:lang w:val="bg-BG" w:eastAsia="bg-BG"/>
        </w:rPr>
        <w:t>СПРЗСР 2023 – 2027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г.</w:t>
      </w:r>
    </w:p>
    <w:p w:rsidR="00347BAB" w:rsidRPr="00103501" w:rsidRDefault="00347BAB" w:rsidP="00C522D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Cs/>
          <w:sz w:val="20"/>
          <w:lang w:val="bg-BG" w:eastAsia="bg-BG"/>
        </w:rPr>
      </w:pPr>
    </w:p>
    <w:p w:rsidR="007E3F11" w:rsidRDefault="007E3F11" w:rsidP="0056772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Verdana" w:hAnsi="Verdana"/>
          <w:b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Преходни и заключителни разпоредби</w:t>
      </w:r>
    </w:p>
    <w:p w:rsidR="00407734" w:rsidRPr="00103501" w:rsidRDefault="00407734" w:rsidP="0056772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Verdana" w:hAnsi="Verdana"/>
          <w:b/>
          <w:bCs/>
          <w:sz w:val="20"/>
          <w:lang w:val="bg-BG" w:eastAsia="bg-BG"/>
        </w:rPr>
      </w:pPr>
    </w:p>
    <w:p w:rsidR="007E3F11" w:rsidRPr="00103501" w:rsidRDefault="007E3F11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§ 2</w:t>
      </w:r>
      <w:r w:rsidRPr="00103501">
        <w:rPr>
          <w:rFonts w:ascii="Verdana" w:hAnsi="Verdana"/>
          <w:bCs/>
          <w:sz w:val="20"/>
          <w:lang w:val="bg-BG" w:eastAsia="bg-BG"/>
        </w:rPr>
        <w:t>. Служител</w:t>
      </w:r>
      <w:r w:rsidR="00F468A3" w:rsidRPr="00103501">
        <w:rPr>
          <w:rFonts w:ascii="Verdana" w:hAnsi="Verdana"/>
          <w:bCs/>
          <w:sz w:val="20"/>
          <w:lang w:val="bg-BG" w:eastAsia="bg-BG"/>
        </w:rPr>
        <w:t xml:space="preserve"> от МЗХ и ДФЗ</w:t>
      </w:r>
      <w:r w:rsidRPr="00103501">
        <w:rPr>
          <w:rFonts w:ascii="Verdana" w:hAnsi="Verdana"/>
          <w:bCs/>
          <w:sz w:val="20"/>
          <w:lang w:val="bg-BG" w:eastAsia="bg-BG"/>
        </w:rPr>
        <w:t xml:space="preserve">, назначен по реда на Постановление № </w:t>
      </w:r>
      <w:r w:rsidR="00A15714" w:rsidRPr="00103501">
        <w:rPr>
          <w:rFonts w:ascii="Verdana" w:hAnsi="Verdana"/>
          <w:bCs/>
          <w:sz w:val="20"/>
          <w:lang w:val="bg-BG" w:eastAsia="bg-BG"/>
        </w:rPr>
        <w:t xml:space="preserve">209 </w:t>
      </w:r>
      <w:r w:rsidRPr="00103501">
        <w:rPr>
          <w:rFonts w:ascii="Verdana" w:hAnsi="Verdana"/>
          <w:bCs/>
          <w:sz w:val="20"/>
          <w:lang w:val="bg-BG" w:eastAsia="bg-BG"/>
        </w:rPr>
        <w:t xml:space="preserve">на Министерския съвет от </w:t>
      </w:r>
      <w:r w:rsidR="00A15714" w:rsidRPr="00103501">
        <w:rPr>
          <w:rFonts w:ascii="Verdana" w:hAnsi="Verdana"/>
          <w:bCs/>
          <w:sz w:val="20"/>
          <w:lang w:val="bg-BG" w:eastAsia="bg-BG"/>
        </w:rPr>
        <w:t xml:space="preserve">2015 </w:t>
      </w:r>
      <w:r w:rsidRPr="00103501">
        <w:rPr>
          <w:rFonts w:ascii="Verdana" w:hAnsi="Verdana"/>
          <w:bCs/>
          <w:sz w:val="20"/>
          <w:lang w:val="bg-BG" w:eastAsia="bg-BG"/>
        </w:rPr>
        <w:t xml:space="preserve">г. за </w:t>
      </w:r>
      <w:r w:rsidR="003D49F6" w:rsidRPr="00103501">
        <w:rPr>
          <w:rFonts w:ascii="Verdana" w:hAnsi="Verdana"/>
          <w:bCs/>
          <w:sz w:val="20"/>
          <w:lang w:val="bg-BG" w:eastAsia="bg-BG"/>
        </w:rPr>
        <w:t>назначаване на допълнителен персонал за нуждите и в срока на прилагане на програма за развитие на селските райони за периода 2014</w:t>
      </w:r>
      <w:r w:rsidR="007B4E05">
        <w:rPr>
          <w:rFonts w:ascii="Verdana" w:hAnsi="Verdana"/>
          <w:bCs/>
          <w:sz w:val="20"/>
          <w:lang w:val="bg-BG" w:eastAsia="bg-BG"/>
        </w:rPr>
        <w:t xml:space="preserve"> – </w:t>
      </w:r>
      <w:r w:rsidR="003D49F6" w:rsidRPr="00103501">
        <w:rPr>
          <w:rFonts w:ascii="Verdana" w:hAnsi="Verdana"/>
          <w:bCs/>
          <w:sz w:val="20"/>
          <w:lang w:val="bg-BG" w:eastAsia="bg-BG"/>
        </w:rPr>
        <w:t>2020 г. със средства от мярка „</w:t>
      </w:r>
      <w:r w:rsidR="00F468A3" w:rsidRPr="00103501">
        <w:rPr>
          <w:rFonts w:ascii="Verdana" w:hAnsi="Verdana"/>
          <w:bCs/>
          <w:sz w:val="20"/>
          <w:lang w:val="bg-BG" w:eastAsia="bg-BG"/>
        </w:rPr>
        <w:t>Т</w:t>
      </w:r>
      <w:r w:rsidR="003D49F6" w:rsidRPr="00103501">
        <w:rPr>
          <w:rFonts w:ascii="Verdana" w:hAnsi="Verdana"/>
          <w:bCs/>
          <w:sz w:val="20"/>
          <w:lang w:val="bg-BG" w:eastAsia="bg-BG"/>
        </w:rPr>
        <w:t>ехническа помощ“ и на персонал на местните инициативни групи, изпълняващи стратегии за водено от общностите местно развитие, финансирани със средства от мярка 19 „</w:t>
      </w:r>
      <w:r w:rsidR="00F468A3" w:rsidRPr="00103501">
        <w:rPr>
          <w:rFonts w:ascii="Verdana" w:hAnsi="Verdana"/>
          <w:bCs/>
          <w:sz w:val="20"/>
          <w:lang w:val="bg-BG" w:eastAsia="bg-BG"/>
        </w:rPr>
        <w:t>В</w:t>
      </w:r>
      <w:r w:rsidR="003D49F6" w:rsidRPr="00103501">
        <w:rPr>
          <w:rFonts w:ascii="Verdana" w:hAnsi="Verdana"/>
          <w:bCs/>
          <w:sz w:val="20"/>
          <w:lang w:val="bg-BG" w:eastAsia="bg-BG"/>
        </w:rPr>
        <w:t xml:space="preserve">одено от общностите местно развитие” на програмата </w:t>
      </w:r>
      <w:r w:rsidRPr="00103501">
        <w:rPr>
          <w:rFonts w:ascii="Verdana" w:hAnsi="Verdana"/>
          <w:bCs/>
          <w:sz w:val="20"/>
          <w:lang w:val="bg-BG" w:eastAsia="bg-BG"/>
        </w:rPr>
        <w:t>(</w:t>
      </w:r>
      <w:r w:rsidR="00AF7B47" w:rsidRPr="00103501">
        <w:rPr>
          <w:rFonts w:ascii="Verdana" w:hAnsi="Verdana"/>
          <w:bCs/>
          <w:sz w:val="20"/>
          <w:lang w:val="bg-BG" w:eastAsia="bg-BG"/>
        </w:rPr>
        <w:t xml:space="preserve">обн., </w:t>
      </w:r>
      <w:r w:rsidRPr="00103501">
        <w:rPr>
          <w:rFonts w:ascii="Verdana" w:hAnsi="Verdana"/>
          <w:bCs/>
          <w:sz w:val="20"/>
          <w:lang w:val="bg-BG" w:eastAsia="bg-BG"/>
        </w:rPr>
        <w:t xml:space="preserve">ДВ, бр. </w:t>
      </w:r>
      <w:r w:rsidR="00183A95" w:rsidRPr="00103501">
        <w:rPr>
          <w:rFonts w:ascii="Verdana" w:hAnsi="Verdana"/>
          <w:bCs/>
          <w:sz w:val="20"/>
          <w:lang w:val="bg-BG" w:eastAsia="bg-BG"/>
        </w:rPr>
        <w:t xml:space="preserve">63 </w:t>
      </w:r>
      <w:r w:rsidR="00F02079" w:rsidRPr="00103501">
        <w:rPr>
          <w:rFonts w:ascii="Verdana" w:hAnsi="Verdana"/>
          <w:bCs/>
          <w:sz w:val="20"/>
          <w:lang w:val="bg-BG" w:eastAsia="bg-BG"/>
        </w:rPr>
        <w:t xml:space="preserve">от </w:t>
      </w:r>
      <w:r w:rsidR="00183A95" w:rsidRPr="00103501">
        <w:rPr>
          <w:rFonts w:ascii="Verdana" w:hAnsi="Verdana"/>
          <w:bCs/>
          <w:sz w:val="20"/>
          <w:lang w:val="bg-BG" w:eastAsia="bg-BG"/>
        </w:rPr>
        <w:t xml:space="preserve">2015 </w:t>
      </w:r>
      <w:r w:rsidR="00F02079" w:rsidRPr="00103501">
        <w:rPr>
          <w:rFonts w:ascii="Verdana" w:hAnsi="Verdana"/>
          <w:bCs/>
          <w:sz w:val="20"/>
          <w:lang w:val="bg-BG" w:eastAsia="bg-BG"/>
        </w:rPr>
        <w:t>г.</w:t>
      </w:r>
      <w:r w:rsidR="003D49F6" w:rsidRPr="00103501">
        <w:rPr>
          <w:rFonts w:ascii="Verdana" w:hAnsi="Verdana"/>
          <w:bCs/>
          <w:sz w:val="20"/>
          <w:lang w:val="bg-BG" w:eastAsia="bg-BG"/>
        </w:rPr>
        <w:t>)</w:t>
      </w:r>
      <w:r w:rsidRPr="00103501">
        <w:rPr>
          <w:rFonts w:ascii="Verdana" w:hAnsi="Verdana"/>
          <w:bCs/>
          <w:sz w:val="20"/>
          <w:lang w:val="bg-BG" w:eastAsia="bg-BG"/>
        </w:rPr>
        <w:t xml:space="preserve">, чийто трудов договор не е прекратен към </w:t>
      </w:r>
      <w:r w:rsidR="00F02079" w:rsidRPr="00103501">
        <w:rPr>
          <w:rFonts w:ascii="Verdana" w:hAnsi="Verdana"/>
          <w:bCs/>
          <w:sz w:val="20"/>
          <w:lang w:val="bg-BG" w:eastAsia="bg-BG"/>
        </w:rPr>
        <w:t>датата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на влизане</w:t>
      </w:r>
      <w:r w:rsidR="00F02079" w:rsidRPr="00103501">
        <w:rPr>
          <w:rFonts w:ascii="Verdana" w:hAnsi="Verdana"/>
          <w:bCs/>
          <w:sz w:val="20"/>
          <w:lang w:val="bg-BG" w:eastAsia="bg-BG"/>
        </w:rPr>
        <w:t>то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в сила на </w:t>
      </w:r>
      <w:r w:rsidR="00347BAB" w:rsidRPr="00103501">
        <w:rPr>
          <w:rFonts w:ascii="Verdana" w:hAnsi="Verdana"/>
          <w:bCs/>
          <w:sz w:val="20"/>
          <w:lang w:val="bg-BG" w:eastAsia="bg-BG"/>
        </w:rPr>
        <w:t xml:space="preserve">настоящото </w:t>
      </w:r>
      <w:r w:rsidRPr="00103501">
        <w:rPr>
          <w:rFonts w:ascii="Verdana" w:hAnsi="Verdana"/>
          <w:bCs/>
          <w:sz w:val="20"/>
          <w:lang w:val="bg-BG" w:eastAsia="bg-BG"/>
        </w:rPr>
        <w:t>постановление, може да бъде преназначен за срока на</w:t>
      </w:r>
      <w:r w:rsidR="00F02079" w:rsidRPr="00103501">
        <w:rPr>
          <w:rFonts w:ascii="Verdana" w:hAnsi="Verdana"/>
          <w:bCs/>
          <w:sz w:val="20"/>
          <w:lang w:val="bg-BG" w:eastAsia="bg-BG"/>
        </w:rPr>
        <w:t xml:space="preserve"> прилагане на </w:t>
      </w:r>
      <w:r w:rsidR="00A15714" w:rsidRPr="00103501">
        <w:rPr>
          <w:rFonts w:ascii="Verdana" w:hAnsi="Verdana"/>
          <w:bCs/>
          <w:sz w:val="20"/>
          <w:lang w:val="bg-BG" w:eastAsia="bg-BG"/>
        </w:rPr>
        <w:t>СПРЗСР 2023 – 2027 г.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по преценка на министъра на земеделието и храните и след предложение на ръководителя на Управляващия орган, а за служителите на ДФЗ – по преценка на изпълнителния директор на ДФЗ, без извършване на подбора по чл. 2, ал. 2. </w:t>
      </w:r>
      <w:bookmarkStart w:id="0" w:name="_GoBack"/>
      <w:bookmarkEnd w:id="0"/>
    </w:p>
    <w:p w:rsidR="00C522D7" w:rsidRPr="00103501" w:rsidRDefault="00C522D7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7E3F11" w:rsidRPr="00103501" w:rsidRDefault="007E3F11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§ 3.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До края на 20</w:t>
      </w:r>
      <w:r w:rsidR="00A15714" w:rsidRPr="00103501">
        <w:rPr>
          <w:rFonts w:ascii="Verdana" w:hAnsi="Verdana"/>
          <w:bCs/>
          <w:sz w:val="20"/>
          <w:lang w:val="bg-BG" w:eastAsia="bg-BG"/>
        </w:rPr>
        <w:t>25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г., при необходимост, служителите </w:t>
      </w:r>
      <w:r w:rsidR="00F02079" w:rsidRPr="00103501">
        <w:rPr>
          <w:rFonts w:ascii="Verdana" w:hAnsi="Verdana"/>
          <w:bCs/>
          <w:sz w:val="20"/>
          <w:lang w:val="bg-BG" w:eastAsia="bg-BG"/>
        </w:rPr>
        <w:t xml:space="preserve">по </w:t>
      </w:r>
      <w:r w:rsidRPr="00103501">
        <w:rPr>
          <w:rFonts w:ascii="Verdana" w:hAnsi="Verdana"/>
          <w:bCs/>
          <w:sz w:val="20"/>
          <w:lang w:val="bg-BG" w:eastAsia="bg-BG"/>
        </w:rPr>
        <w:t xml:space="preserve">чл. 1, ал. 1 могат да изпълняват дейности, свързани с приключване на прилагането на Програмата за развитие на селските райони </w:t>
      </w:r>
      <w:r w:rsidR="00A15714" w:rsidRPr="00103501">
        <w:rPr>
          <w:rFonts w:ascii="Verdana" w:hAnsi="Verdana"/>
          <w:bCs/>
          <w:sz w:val="20"/>
          <w:lang w:val="bg-BG" w:eastAsia="bg-BG"/>
        </w:rPr>
        <w:t>2014 – 2020 г</w:t>
      </w:r>
      <w:r w:rsidRPr="00103501">
        <w:rPr>
          <w:rFonts w:ascii="Verdana" w:hAnsi="Verdana"/>
          <w:bCs/>
          <w:sz w:val="20"/>
          <w:lang w:val="bg-BG" w:eastAsia="bg-BG"/>
        </w:rPr>
        <w:t>.</w:t>
      </w:r>
    </w:p>
    <w:p w:rsidR="00C522D7" w:rsidRPr="00103501" w:rsidRDefault="00C522D7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7E3F11" w:rsidRPr="00103501" w:rsidRDefault="007E3F11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 xml:space="preserve">§ </w:t>
      </w:r>
      <w:r w:rsidR="003D49F6" w:rsidRPr="00103501">
        <w:rPr>
          <w:rFonts w:ascii="Verdana" w:hAnsi="Verdana"/>
          <w:b/>
          <w:bCs/>
          <w:sz w:val="20"/>
          <w:lang w:val="bg-BG" w:eastAsia="bg-BG"/>
        </w:rPr>
        <w:t>4</w:t>
      </w:r>
      <w:r w:rsidRPr="00103501">
        <w:rPr>
          <w:rFonts w:ascii="Verdana" w:hAnsi="Verdana"/>
          <w:b/>
          <w:bCs/>
          <w:sz w:val="20"/>
          <w:lang w:val="bg-BG" w:eastAsia="bg-BG"/>
        </w:rPr>
        <w:t>.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Постановлението се приема на основание чл. 7а от Закона за нормативните актове във връзка с чл. 68, ал. 1, т. 1 от Кодекса на труда и Решение за изпълнение на </w:t>
      </w:r>
      <w:r w:rsidR="00183A95" w:rsidRPr="00103501">
        <w:rPr>
          <w:rFonts w:ascii="Verdana" w:hAnsi="Verdana"/>
          <w:bCs/>
          <w:sz w:val="20"/>
          <w:lang w:val="bg-BG" w:eastAsia="bg-BG"/>
        </w:rPr>
        <w:t>Европейската комисия С(2022) 8749 от 7 декември 2022 г. ССI: 2023BG06AFSP001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за одобряване на </w:t>
      </w:r>
      <w:r w:rsidR="00183A95" w:rsidRPr="00103501">
        <w:rPr>
          <w:rFonts w:ascii="Verdana" w:hAnsi="Verdana"/>
          <w:bCs/>
          <w:sz w:val="20"/>
          <w:lang w:val="bg-BG" w:eastAsia="bg-BG"/>
        </w:rPr>
        <w:t>Ст</w:t>
      </w:r>
      <w:r w:rsidR="003D49F6" w:rsidRPr="00103501">
        <w:rPr>
          <w:rFonts w:ascii="Verdana" w:hAnsi="Verdana"/>
          <w:bCs/>
          <w:sz w:val="20"/>
          <w:lang w:val="bg-BG" w:eastAsia="bg-BG"/>
        </w:rPr>
        <w:t>ратегическия</w:t>
      </w:r>
      <w:r w:rsidR="00183A95" w:rsidRPr="00103501">
        <w:rPr>
          <w:rFonts w:ascii="Verdana" w:hAnsi="Verdana"/>
          <w:bCs/>
          <w:sz w:val="20"/>
          <w:lang w:val="bg-BG" w:eastAsia="bg-BG"/>
        </w:rPr>
        <w:t xml:space="preserve"> план за развитие на земеделието и селските райони на Република България за периода 2023 – 2027 г.</w:t>
      </w:r>
    </w:p>
    <w:p w:rsidR="00C522D7" w:rsidRPr="00103501" w:rsidRDefault="00C522D7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DB2008" w:rsidRDefault="007E3F11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 xml:space="preserve">§ </w:t>
      </w:r>
      <w:r w:rsidR="003D49F6" w:rsidRPr="00103501">
        <w:rPr>
          <w:rFonts w:ascii="Verdana" w:hAnsi="Verdana"/>
          <w:b/>
          <w:bCs/>
          <w:sz w:val="20"/>
          <w:lang w:val="bg-BG" w:eastAsia="bg-BG"/>
        </w:rPr>
        <w:t>5</w:t>
      </w:r>
      <w:r w:rsidRPr="00103501">
        <w:rPr>
          <w:rFonts w:ascii="Verdana" w:hAnsi="Verdana"/>
          <w:b/>
          <w:bCs/>
          <w:sz w:val="20"/>
          <w:lang w:val="bg-BG" w:eastAsia="bg-BG"/>
        </w:rPr>
        <w:t>.</w:t>
      </w:r>
      <w:r w:rsidRPr="00103501">
        <w:rPr>
          <w:rFonts w:ascii="Verdana" w:hAnsi="Verdana"/>
          <w:bCs/>
          <w:sz w:val="20"/>
          <w:lang w:val="bg-BG" w:eastAsia="bg-BG"/>
        </w:rPr>
        <w:t xml:space="preserve"> </w:t>
      </w:r>
      <w:r w:rsidR="00DB2008">
        <w:rPr>
          <w:rFonts w:ascii="Verdana" w:hAnsi="Verdana"/>
          <w:bCs/>
          <w:sz w:val="20"/>
          <w:lang w:val="bg-BG" w:eastAsia="bg-BG"/>
        </w:rPr>
        <w:t xml:space="preserve">В едномесечен срок от влизане в сила на Постановлението, </w:t>
      </w:r>
      <w:r w:rsidR="00DB2008" w:rsidRPr="00DB2008">
        <w:rPr>
          <w:rFonts w:ascii="Verdana" w:hAnsi="Verdana"/>
          <w:bCs/>
          <w:sz w:val="20"/>
          <w:lang w:val="bg-BG" w:eastAsia="bg-BG"/>
        </w:rPr>
        <w:t>министърът на земеделието и храните одобр</w:t>
      </w:r>
      <w:r w:rsidR="00DB2008">
        <w:rPr>
          <w:rFonts w:ascii="Verdana" w:hAnsi="Verdana"/>
          <w:bCs/>
          <w:sz w:val="20"/>
          <w:lang w:val="bg-BG" w:eastAsia="bg-BG"/>
        </w:rPr>
        <w:t>ява</w:t>
      </w:r>
      <w:r w:rsidR="00DB2008" w:rsidRPr="00DB2008">
        <w:rPr>
          <w:rFonts w:ascii="Verdana" w:hAnsi="Verdana"/>
          <w:bCs/>
          <w:sz w:val="20"/>
          <w:lang w:val="bg-BG" w:eastAsia="bg-BG"/>
        </w:rPr>
        <w:t xml:space="preserve"> методиката по чл. 2, ал. 2.</w:t>
      </w:r>
    </w:p>
    <w:p w:rsidR="00DB2008" w:rsidRDefault="00DB2008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7E3F11" w:rsidRPr="00103501" w:rsidRDefault="00DB2008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  <w:r w:rsidRPr="00DB2008">
        <w:rPr>
          <w:rFonts w:ascii="Verdana" w:hAnsi="Verdana"/>
          <w:b/>
          <w:bCs/>
          <w:sz w:val="20"/>
          <w:lang w:val="bg-BG" w:eastAsia="bg-BG"/>
        </w:rPr>
        <w:t xml:space="preserve">§ </w:t>
      </w:r>
      <w:r>
        <w:rPr>
          <w:rFonts w:ascii="Verdana" w:hAnsi="Verdana"/>
          <w:b/>
          <w:bCs/>
          <w:sz w:val="20"/>
          <w:lang w:val="bg-BG" w:eastAsia="bg-BG"/>
        </w:rPr>
        <w:t>6</w:t>
      </w:r>
      <w:r w:rsidRPr="00DB2008">
        <w:rPr>
          <w:rFonts w:ascii="Verdana" w:hAnsi="Verdana"/>
          <w:b/>
          <w:bCs/>
          <w:sz w:val="20"/>
          <w:lang w:val="bg-BG" w:eastAsia="bg-BG"/>
        </w:rPr>
        <w:t>.</w:t>
      </w:r>
      <w:r w:rsidRPr="00DB2008">
        <w:rPr>
          <w:rFonts w:ascii="Verdana" w:hAnsi="Verdana"/>
          <w:bCs/>
          <w:sz w:val="20"/>
          <w:lang w:val="bg-BG" w:eastAsia="bg-BG"/>
        </w:rPr>
        <w:t xml:space="preserve"> </w:t>
      </w:r>
      <w:r w:rsidR="007E3F11" w:rsidRPr="00103501">
        <w:rPr>
          <w:rFonts w:ascii="Verdana" w:hAnsi="Verdana"/>
          <w:bCs/>
          <w:sz w:val="20"/>
          <w:lang w:val="bg-BG" w:eastAsia="bg-BG"/>
        </w:rPr>
        <w:t>Постановлението влиза в сила от деня на обнародването му в „Държавен вестник“.</w:t>
      </w:r>
    </w:p>
    <w:p w:rsidR="00C522D7" w:rsidRPr="00103501" w:rsidRDefault="00C522D7" w:rsidP="00C522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Cs/>
          <w:sz w:val="20"/>
          <w:lang w:val="bg-BG" w:eastAsia="bg-BG"/>
        </w:rPr>
      </w:pPr>
    </w:p>
    <w:p w:rsidR="001D6269" w:rsidRPr="00103501" w:rsidRDefault="007E3F11" w:rsidP="00C522D7">
      <w:pPr>
        <w:pStyle w:val="BodyTextIndent2"/>
        <w:spacing w:line="360" w:lineRule="auto"/>
        <w:ind w:right="0"/>
        <w:rPr>
          <w:rFonts w:ascii="Verdana" w:hAnsi="Verdana"/>
          <w:bCs/>
          <w:sz w:val="20"/>
          <w:lang w:eastAsia="bg-BG"/>
        </w:rPr>
      </w:pPr>
      <w:r w:rsidRPr="00103501">
        <w:rPr>
          <w:rFonts w:ascii="Verdana" w:hAnsi="Verdana"/>
          <w:b/>
          <w:bCs/>
          <w:sz w:val="20"/>
          <w:lang w:eastAsia="bg-BG"/>
        </w:rPr>
        <w:t xml:space="preserve">§ </w:t>
      </w:r>
      <w:r w:rsidR="00DB2008">
        <w:rPr>
          <w:rFonts w:ascii="Verdana" w:hAnsi="Verdana"/>
          <w:b/>
          <w:bCs/>
          <w:sz w:val="20"/>
          <w:lang w:eastAsia="bg-BG"/>
        </w:rPr>
        <w:t>7</w:t>
      </w:r>
      <w:r w:rsidRPr="00103501">
        <w:rPr>
          <w:rFonts w:ascii="Verdana" w:hAnsi="Verdana"/>
          <w:b/>
          <w:bCs/>
          <w:sz w:val="20"/>
          <w:lang w:eastAsia="bg-BG"/>
        </w:rPr>
        <w:t>.</w:t>
      </w:r>
      <w:r w:rsidRPr="00103501">
        <w:rPr>
          <w:rFonts w:ascii="Verdana" w:hAnsi="Verdana"/>
          <w:bCs/>
          <w:sz w:val="20"/>
          <w:lang w:eastAsia="bg-BG"/>
        </w:rPr>
        <w:t xml:space="preserve"> Изпълнението на постановлението се възлага на министъра на земеделието и храните и на изпълнителния директор на </w:t>
      </w:r>
      <w:r w:rsidR="00347BAB" w:rsidRPr="00103501">
        <w:rPr>
          <w:rFonts w:ascii="Verdana" w:hAnsi="Verdana"/>
          <w:bCs/>
          <w:sz w:val="20"/>
          <w:lang w:eastAsia="bg-BG"/>
        </w:rPr>
        <w:t>ДФЗ.</w:t>
      </w:r>
    </w:p>
    <w:p w:rsidR="001D6269" w:rsidRDefault="001D6269" w:rsidP="00832F27">
      <w:pPr>
        <w:spacing w:line="300" w:lineRule="auto"/>
        <w:outlineLvl w:val="0"/>
        <w:rPr>
          <w:rFonts w:ascii="Verdana" w:hAnsi="Verdana"/>
          <w:bCs/>
          <w:sz w:val="20"/>
          <w:lang w:val="bg-BG" w:eastAsia="bg-BG"/>
        </w:rPr>
      </w:pPr>
    </w:p>
    <w:p w:rsidR="00832F27" w:rsidRPr="00832F27" w:rsidRDefault="00832F27" w:rsidP="00832F27">
      <w:pPr>
        <w:spacing w:line="300" w:lineRule="auto"/>
        <w:outlineLvl w:val="0"/>
        <w:rPr>
          <w:rFonts w:ascii="Verdana" w:hAnsi="Verdana"/>
          <w:bCs/>
          <w:sz w:val="20"/>
          <w:lang w:val="bg-BG" w:eastAsia="bg-BG"/>
        </w:rPr>
      </w:pPr>
    </w:p>
    <w:p w:rsidR="00DF1B80" w:rsidRPr="00103501" w:rsidRDefault="00DF1B80" w:rsidP="00DF1B80">
      <w:pPr>
        <w:spacing w:line="300" w:lineRule="auto"/>
        <w:outlineLvl w:val="0"/>
        <w:rPr>
          <w:rFonts w:ascii="Verdana" w:hAnsi="Verdana"/>
          <w:b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МИНИСТЪР-ПРЕДСЕДАТЕЛ:</w:t>
      </w:r>
    </w:p>
    <w:p w:rsidR="00DF1B80" w:rsidRPr="00103501" w:rsidRDefault="00DF1B80" w:rsidP="00DF1B80">
      <w:pPr>
        <w:spacing w:line="300" w:lineRule="auto"/>
        <w:ind w:left="3231"/>
        <w:outlineLvl w:val="0"/>
        <w:rPr>
          <w:rFonts w:ascii="Verdana" w:hAnsi="Verdana"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РОСЕН ЖЕЛЯЗКОВ</w:t>
      </w:r>
    </w:p>
    <w:p w:rsidR="00DF1B80" w:rsidRDefault="00DF1B80" w:rsidP="00DF1B80">
      <w:pPr>
        <w:spacing w:line="300" w:lineRule="auto"/>
        <w:outlineLvl w:val="0"/>
        <w:rPr>
          <w:rFonts w:ascii="Verdana" w:hAnsi="Verdana"/>
          <w:bCs/>
          <w:sz w:val="20"/>
          <w:lang w:val="bg-BG" w:eastAsia="bg-BG"/>
        </w:rPr>
      </w:pPr>
    </w:p>
    <w:p w:rsidR="007B4E05" w:rsidRPr="00832F27" w:rsidRDefault="007B4E05" w:rsidP="00DF1B80">
      <w:pPr>
        <w:spacing w:line="300" w:lineRule="auto"/>
        <w:outlineLvl w:val="0"/>
        <w:rPr>
          <w:rFonts w:ascii="Verdana" w:hAnsi="Verdana"/>
          <w:bCs/>
          <w:sz w:val="20"/>
          <w:lang w:val="bg-BG" w:eastAsia="bg-BG"/>
        </w:rPr>
      </w:pPr>
    </w:p>
    <w:p w:rsidR="00DF1B80" w:rsidRPr="00103501" w:rsidRDefault="00DF1B80" w:rsidP="00DF1B80">
      <w:pPr>
        <w:spacing w:line="300" w:lineRule="auto"/>
        <w:outlineLvl w:val="0"/>
        <w:rPr>
          <w:rFonts w:ascii="Verdana" w:hAnsi="Verdana"/>
          <w:b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ГЛАВЕН СЕКРЕТАР НА МИНИСТЕРСКИЯ СЪВЕТ:</w:t>
      </w:r>
    </w:p>
    <w:p w:rsidR="00DF1B80" w:rsidRPr="00103501" w:rsidRDefault="00DF1B80" w:rsidP="00DF1B80">
      <w:pPr>
        <w:spacing w:line="300" w:lineRule="auto"/>
        <w:ind w:left="5499"/>
        <w:outlineLvl w:val="0"/>
        <w:rPr>
          <w:rFonts w:ascii="Verdana" w:hAnsi="Verdana"/>
          <w:b/>
          <w:bCs/>
          <w:sz w:val="20"/>
          <w:lang w:val="bg-BG" w:eastAsia="bg-BG"/>
        </w:rPr>
      </w:pPr>
      <w:r w:rsidRPr="00103501">
        <w:rPr>
          <w:rFonts w:ascii="Verdana" w:hAnsi="Verdana"/>
          <w:b/>
          <w:bCs/>
          <w:sz w:val="20"/>
          <w:lang w:val="bg-BG" w:eastAsia="bg-BG"/>
        </w:rPr>
        <w:t>ГАБРИЕЛА КОЗАРЕВА</w:t>
      </w:r>
    </w:p>
    <w:p w:rsidR="00D333AD" w:rsidRPr="00832F27" w:rsidRDefault="00D333AD" w:rsidP="003D49F6">
      <w:pPr>
        <w:pBdr>
          <w:bottom w:val="single" w:sz="6" w:space="1" w:color="auto"/>
        </w:pBdr>
        <w:rPr>
          <w:rFonts w:ascii="Verdana" w:eastAsia="Calibri" w:hAnsi="Verdana"/>
          <w:smallCaps/>
          <w:sz w:val="20"/>
          <w:lang w:val="bg-BG"/>
        </w:rPr>
      </w:pPr>
    </w:p>
    <w:p w:rsidR="00DE75F4" w:rsidRPr="00832F27" w:rsidRDefault="00DE75F4" w:rsidP="003D49F6">
      <w:pPr>
        <w:rPr>
          <w:rFonts w:ascii="Verdana" w:eastAsia="Calibri" w:hAnsi="Verdana"/>
          <w:smallCaps/>
          <w:sz w:val="20"/>
          <w:lang w:val="bg-BG"/>
        </w:rPr>
      </w:pPr>
    </w:p>
    <w:tbl>
      <w:tblPr>
        <w:tblStyle w:val="TableGridLight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DF1B80" w:rsidRPr="00103501" w:rsidTr="00950388">
        <w:tc>
          <w:tcPr>
            <w:tcW w:w="5211" w:type="dxa"/>
            <w:vAlign w:val="center"/>
          </w:tcPr>
          <w:p w:rsidR="00DF1B80" w:rsidRPr="00103501" w:rsidRDefault="00DF1B80" w:rsidP="00950388">
            <w:pPr>
              <w:rPr>
                <w:rFonts w:ascii="Verdana" w:hAnsi="Verdana"/>
                <w:b/>
                <w:smallCaps/>
                <w:sz w:val="20"/>
                <w:lang w:val="bg-BG"/>
              </w:rPr>
            </w:pPr>
            <w:r w:rsidRPr="00103501">
              <w:rPr>
                <w:rFonts w:ascii="Verdana" w:hAnsi="Verdana"/>
                <w:b/>
                <w:smallCaps/>
                <w:sz w:val="20"/>
                <w:lang w:val="bg-BG"/>
              </w:rPr>
              <w:t>Главен секретар на Министерството на земеделието и храните:</w:t>
            </w:r>
          </w:p>
        </w:tc>
        <w:tc>
          <w:tcPr>
            <w:tcW w:w="4111" w:type="dxa"/>
          </w:tcPr>
          <w:p w:rsidR="00DF1B80" w:rsidRPr="00103501" w:rsidRDefault="00793FA1" w:rsidP="00950388">
            <w:pPr>
              <w:tabs>
                <w:tab w:val="left" w:leader="dot" w:pos="3802"/>
              </w:tabs>
              <w:jc w:val="center"/>
              <w:rPr>
                <w:bCs/>
                <w:caps/>
                <w:color w:val="000000"/>
                <w:sz w:val="20"/>
                <w:lang w:val="bg-BG"/>
              </w:rPr>
            </w:pPr>
            <w:r>
              <w:rPr>
                <w:bCs/>
                <w:caps/>
                <w:color w:val="000000"/>
                <w:sz w:val="20"/>
                <w:lang w:val="bg-BG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2pt;height:95.8pt">
                  <v:imagedata r:id="rId9" o:title=""/>
                  <o:lock v:ext="edit" ungrouping="t" rotation="t" cropping="t" verticies="t" text="t" grouping="t"/>
                  <o:signatureline v:ext="edit" id="{85B2022B-7360-467E-B614-4F171982718C}" provid="{00000000-0000-0000-0000-000000000000}" o:suggestedsigner="ДАНИЕЛА АНГЕЛОВА" issignatureline="t"/>
                </v:shape>
              </w:pict>
            </w:r>
          </w:p>
        </w:tc>
      </w:tr>
      <w:tr w:rsidR="00DF1B80" w:rsidRPr="00103501" w:rsidTr="00950388">
        <w:trPr>
          <w:trHeight w:val="851"/>
        </w:trPr>
        <w:tc>
          <w:tcPr>
            <w:tcW w:w="5211" w:type="dxa"/>
            <w:vAlign w:val="center"/>
          </w:tcPr>
          <w:p w:rsidR="00DF1B80" w:rsidRPr="00103501" w:rsidRDefault="00DF1B80" w:rsidP="00950388">
            <w:pPr>
              <w:tabs>
                <w:tab w:val="center" w:pos="4153"/>
                <w:tab w:val="left" w:pos="7230"/>
                <w:tab w:val="left" w:pos="7655"/>
                <w:tab w:val="right" w:pos="8306"/>
              </w:tabs>
              <w:rPr>
                <w:rFonts w:ascii="Verdana" w:hAnsi="Verdana"/>
                <w:b/>
                <w:smallCaps/>
                <w:sz w:val="20"/>
                <w:lang w:val="bg-BG"/>
              </w:rPr>
            </w:pPr>
            <w:r w:rsidRPr="00103501">
              <w:rPr>
                <w:rFonts w:ascii="Verdana" w:hAnsi="Verdana"/>
                <w:b/>
                <w:smallCaps/>
                <w:sz w:val="20"/>
                <w:lang w:val="bg-BG"/>
              </w:rPr>
              <w:t xml:space="preserve">Директор на дирекция „Правни дейности и законодателство на Европейския съюз“, Министерство на земеделието </w:t>
            </w:r>
            <w:r w:rsidRPr="00103501">
              <w:rPr>
                <w:rFonts w:ascii="Verdana" w:hAnsi="Verdana"/>
                <w:b/>
                <w:bCs/>
                <w:smallCaps/>
                <w:sz w:val="20"/>
                <w:lang w:val="bg-BG"/>
              </w:rPr>
              <w:t>и храните</w:t>
            </w:r>
            <w:r w:rsidRPr="00103501">
              <w:rPr>
                <w:rFonts w:ascii="Verdana" w:hAnsi="Verdana"/>
                <w:b/>
                <w:smallCaps/>
                <w:sz w:val="20"/>
                <w:lang w:val="bg-BG"/>
              </w:rPr>
              <w:t>:</w:t>
            </w:r>
          </w:p>
        </w:tc>
        <w:tc>
          <w:tcPr>
            <w:tcW w:w="4111" w:type="dxa"/>
          </w:tcPr>
          <w:p w:rsidR="00DF1B80" w:rsidRPr="00103501" w:rsidRDefault="00793FA1" w:rsidP="00950388">
            <w:pPr>
              <w:tabs>
                <w:tab w:val="left" w:leader="dot" w:pos="3802"/>
              </w:tabs>
              <w:jc w:val="center"/>
              <w:rPr>
                <w:bCs/>
                <w:caps/>
                <w:color w:val="000000"/>
                <w:sz w:val="20"/>
                <w:lang w:val="bg-BG"/>
              </w:rPr>
            </w:pPr>
            <w:r>
              <w:rPr>
                <w:bCs/>
                <w:caps/>
                <w:color w:val="000000"/>
                <w:sz w:val="20"/>
                <w:lang w:val="bg-BG" w:eastAsia="en-US"/>
              </w:rPr>
              <w:pict>
                <v:shape id="_x0000_i1026" type="#_x0000_t75" alt="Microsoft Office Signature Line..." style="width:192.2pt;height:95.8pt">
                  <v:imagedata r:id="rId10" o:title=""/>
                  <o:lock v:ext="edit" ungrouping="t" rotation="t" cropping="t" verticies="t" text="t" grouping="t"/>
                  <o:signatureline v:ext="edit" id="{4EA850C0-CB70-40B2-B959-AE4D55D993D0}" provid="{00000000-0000-0000-0000-000000000000}" o:suggestedsigner="ДЕСИСЛАВА ПЕТРОВА" issignatureline="t"/>
                </v:shape>
              </w:pict>
            </w:r>
          </w:p>
        </w:tc>
      </w:tr>
    </w:tbl>
    <w:p w:rsidR="00DF1B80" w:rsidRDefault="00DF1B80" w:rsidP="003D49F6">
      <w:pPr>
        <w:rPr>
          <w:rFonts w:ascii="Verdana" w:eastAsia="Calibri" w:hAnsi="Verdana"/>
          <w:smallCaps/>
          <w:sz w:val="20"/>
          <w:lang w:val="bg-BG"/>
        </w:rPr>
      </w:pPr>
    </w:p>
    <w:sectPr w:rsidR="00DF1B80" w:rsidSect="007B4E05">
      <w:headerReference w:type="even" r:id="rId11"/>
      <w:footerReference w:type="default" r:id="rId12"/>
      <w:headerReference w:type="first" r:id="rId13"/>
      <w:pgSz w:w="11907" w:h="16840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A1" w:rsidRDefault="00793FA1">
      <w:r>
        <w:separator/>
      </w:r>
    </w:p>
  </w:endnote>
  <w:endnote w:type="continuationSeparator" w:id="0">
    <w:p w:rsidR="00793FA1" w:rsidRDefault="007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NewSaturio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Loze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msCy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4088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AD448F" w:rsidRPr="00567724" w:rsidRDefault="00567724" w:rsidP="00567724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67724">
          <w:rPr>
            <w:rFonts w:ascii="Verdana" w:hAnsi="Verdana"/>
            <w:sz w:val="16"/>
            <w:szCs w:val="16"/>
          </w:rPr>
          <w:fldChar w:fldCharType="begin"/>
        </w:r>
        <w:r w:rsidRPr="00567724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67724">
          <w:rPr>
            <w:rFonts w:ascii="Verdana" w:hAnsi="Verdana"/>
            <w:sz w:val="16"/>
            <w:szCs w:val="16"/>
          </w:rPr>
          <w:fldChar w:fldCharType="separate"/>
        </w:r>
        <w:r w:rsidR="00407734">
          <w:rPr>
            <w:rFonts w:ascii="Verdana" w:hAnsi="Verdana"/>
            <w:noProof/>
            <w:sz w:val="16"/>
            <w:szCs w:val="16"/>
          </w:rPr>
          <w:t>4</w:t>
        </w:r>
        <w:r w:rsidRPr="00567724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A1" w:rsidRDefault="00793FA1">
      <w:r>
        <w:separator/>
      </w:r>
    </w:p>
  </w:footnote>
  <w:footnote w:type="continuationSeparator" w:id="0">
    <w:p w:rsidR="00793FA1" w:rsidRDefault="0079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8F" w:rsidRDefault="00AD44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48F" w:rsidRDefault="00AD4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9F" w:rsidRPr="0062119F" w:rsidRDefault="0062119F" w:rsidP="0062119F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8"/>
        <w:lang w:val="bg-BG" w:eastAsia="bg-BG"/>
      </w:rPr>
    </w:pPr>
    <w:r w:rsidRPr="0062119F">
      <w:rPr>
        <w:rFonts w:ascii="Verdana" w:hAnsi="Verdana"/>
        <w:sz w:val="16"/>
        <w:szCs w:val="18"/>
        <w:lang w:val="bg-BG" w:eastAsia="bg-BG"/>
      </w:rPr>
      <w:t>Класификация на информацията:</w:t>
    </w:r>
  </w:p>
  <w:p w:rsidR="0062119F" w:rsidRDefault="0062119F" w:rsidP="00567724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</w:pPr>
    <w:r w:rsidRPr="0062119F">
      <w:rPr>
        <w:rFonts w:ascii="Verdana" w:hAnsi="Verdana"/>
        <w:bCs/>
        <w:sz w:val="16"/>
        <w:szCs w:val="18"/>
        <w:lang w:val="bg-BG" w:eastAsia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108"/>
    <w:multiLevelType w:val="multilevel"/>
    <w:tmpl w:val="5852A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  <w:b/>
      </w:rPr>
    </w:lvl>
  </w:abstractNum>
  <w:abstractNum w:abstractNumId="1" w15:restartNumberingAfterBreak="0">
    <w:nsid w:val="1E1C5FCF"/>
    <w:multiLevelType w:val="multilevel"/>
    <w:tmpl w:val="987E80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2" w15:restartNumberingAfterBreak="0">
    <w:nsid w:val="2EC86CA5"/>
    <w:multiLevelType w:val="multilevel"/>
    <w:tmpl w:val="71AEA4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61"/>
        </w:tabs>
        <w:ind w:left="961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02"/>
        </w:tabs>
        <w:ind w:left="12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80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4"/>
        </w:tabs>
        <w:ind w:left="20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6"/>
        </w:tabs>
        <w:ind w:left="288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7"/>
        </w:tabs>
        <w:ind w:left="348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8"/>
        </w:tabs>
        <w:ind w:left="3728" w:hanging="1800"/>
      </w:pPr>
      <w:rPr>
        <w:rFonts w:hint="default"/>
        <w:b/>
      </w:rPr>
    </w:lvl>
  </w:abstractNum>
  <w:abstractNum w:abstractNumId="3" w15:restartNumberingAfterBreak="0">
    <w:nsid w:val="33A453F0"/>
    <w:multiLevelType w:val="multilevel"/>
    <w:tmpl w:val="CFB8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C2CE1"/>
    <w:multiLevelType w:val="multilevel"/>
    <w:tmpl w:val="E56A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</w:abstractNum>
  <w:abstractNum w:abstractNumId="5" w15:restartNumberingAfterBreak="0">
    <w:nsid w:val="4AC4177E"/>
    <w:multiLevelType w:val="multilevel"/>
    <w:tmpl w:val="136A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115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B2B07AD"/>
    <w:multiLevelType w:val="multilevel"/>
    <w:tmpl w:val="73423F88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4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  <w:b/>
      </w:rPr>
    </w:lvl>
  </w:abstractNum>
  <w:abstractNum w:abstractNumId="7" w15:restartNumberingAfterBreak="0">
    <w:nsid w:val="53AF171F"/>
    <w:multiLevelType w:val="hybridMultilevel"/>
    <w:tmpl w:val="6F629338"/>
    <w:lvl w:ilvl="0" w:tplc="0402000F">
      <w:start w:val="1"/>
      <w:numFmt w:val="decimal"/>
      <w:lvlText w:val="%1."/>
      <w:lvlJc w:val="left"/>
      <w:pPr>
        <w:tabs>
          <w:tab w:val="num" w:pos="1871"/>
        </w:tabs>
        <w:ind w:left="187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91"/>
        </w:tabs>
        <w:ind w:left="259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11"/>
        </w:tabs>
        <w:ind w:left="331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31"/>
        </w:tabs>
        <w:ind w:left="403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8" w15:restartNumberingAfterBreak="0">
    <w:nsid w:val="5BBF6B57"/>
    <w:multiLevelType w:val="multilevel"/>
    <w:tmpl w:val="4B603B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ascii="Trebuchet MS" w:hAnsi="Trebuchet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ascii="Trebuchet MS" w:hAnsi="Trebuchet MS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ascii="Trebuchet MS" w:hAnsi="Trebuchet MS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ascii="Trebuchet MS" w:hAnsi="Trebuchet MS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ascii="Trebuchet MS" w:hAnsi="Trebuchet MS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ascii="Trebuchet MS" w:hAnsi="Trebuchet MS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ascii="Trebuchet MS" w:hAnsi="Trebuchet MS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ascii="Trebuchet MS" w:hAnsi="Trebuchet MS" w:hint="default"/>
        <w:b/>
      </w:rPr>
    </w:lvl>
  </w:abstractNum>
  <w:abstractNum w:abstractNumId="9" w15:restartNumberingAfterBreak="0">
    <w:nsid w:val="626D47AC"/>
    <w:multiLevelType w:val="multilevel"/>
    <w:tmpl w:val="26BE92DA"/>
    <w:lvl w:ilvl="0">
      <w:start w:val="1"/>
      <w:numFmt w:val="decimal"/>
      <w:suff w:val="space"/>
      <w:lvlText w:val="%1."/>
      <w:lvlJc w:val="left"/>
      <w:pPr>
        <w:ind w:left="1740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0" w15:restartNumberingAfterBreak="0">
    <w:nsid w:val="78C02EBD"/>
    <w:multiLevelType w:val="multilevel"/>
    <w:tmpl w:val="794A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B8"/>
    <w:rsid w:val="000161BA"/>
    <w:rsid w:val="0002013F"/>
    <w:rsid w:val="00035BED"/>
    <w:rsid w:val="000517CA"/>
    <w:rsid w:val="00061289"/>
    <w:rsid w:val="00066A56"/>
    <w:rsid w:val="00080DC4"/>
    <w:rsid w:val="000831F2"/>
    <w:rsid w:val="00092275"/>
    <w:rsid w:val="00096D59"/>
    <w:rsid w:val="000B0634"/>
    <w:rsid w:val="000B25EB"/>
    <w:rsid w:val="000B4137"/>
    <w:rsid w:val="000E24C6"/>
    <w:rsid w:val="000F23C9"/>
    <w:rsid w:val="000F68BB"/>
    <w:rsid w:val="00102E4D"/>
    <w:rsid w:val="00103501"/>
    <w:rsid w:val="0011294F"/>
    <w:rsid w:val="00140D7A"/>
    <w:rsid w:val="00163A21"/>
    <w:rsid w:val="00163C6F"/>
    <w:rsid w:val="0017593A"/>
    <w:rsid w:val="00181C89"/>
    <w:rsid w:val="00183A95"/>
    <w:rsid w:val="0019582C"/>
    <w:rsid w:val="001961FD"/>
    <w:rsid w:val="001A393A"/>
    <w:rsid w:val="001A7387"/>
    <w:rsid w:val="001D6269"/>
    <w:rsid w:val="001E5A2C"/>
    <w:rsid w:val="001E5D54"/>
    <w:rsid w:val="00200260"/>
    <w:rsid w:val="00213FB8"/>
    <w:rsid w:val="00215E8C"/>
    <w:rsid w:val="00223508"/>
    <w:rsid w:val="00226694"/>
    <w:rsid w:val="00235BE5"/>
    <w:rsid w:val="0024384B"/>
    <w:rsid w:val="0025404E"/>
    <w:rsid w:val="00262BC4"/>
    <w:rsid w:val="00270197"/>
    <w:rsid w:val="002706D9"/>
    <w:rsid w:val="00275CB6"/>
    <w:rsid w:val="00276D79"/>
    <w:rsid w:val="0028334B"/>
    <w:rsid w:val="00295119"/>
    <w:rsid w:val="00297B2C"/>
    <w:rsid w:val="002A396F"/>
    <w:rsid w:val="002B3C79"/>
    <w:rsid w:val="002C16C3"/>
    <w:rsid w:val="002C5E44"/>
    <w:rsid w:val="002C6754"/>
    <w:rsid w:val="002D4BC6"/>
    <w:rsid w:val="002D7BDB"/>
    <w:rsid w:val="00305D05"/>
    <w:rsid w:val="00317421"/>
    <w:rsid w:val="00320E42"/>
    <w:rsid w:val="0033047A"/>
    <w:rsid w:val="00347BAB"/>
    <w:rsid w:val="003525D0"/>
    <w:rsid w:val="003541B1"/>
    <w:rsid w:val="0038194A"/>
    <w:rsid w:val="003934D5"/>
    <w:rsid w:val="003937C5"/>
    <w:rsid w:val="003A1010"/>
    <w:rsid w:val="003A7A7A"/>
    <w:rsid w:val="003B13CB"/>
    <w:rsid w:val="003B2009"/>
    <w:rsid w:val="003B7B5C"/>
    <w:rsid w:val="003C2267"/>
    <w:rsid w:val="003C5F99"/>
    <w:rsid w:val="003C7F4B"/>
    <w:rsid w:val="003D49F6"/>
    <w:rsid w:val="003D4D13"/>
    <w:rsid w:val="003D6264"/>
    <w:rsid w:val="003D629B"/>
    <w:rsid w:val="003E7F97"/>
    <w:rsid w:val="00407734"/>
    <w:rsid w:val="004102ED"/>
    <w:rsid w:val="00415E64"/>
    <w:rsid w:val="004179E3"/>
    <w:rsid w:val="00421832"/>
    <w:rsid w:val="004407FD"/>
    <w:rsid w:val="0044384E"/>
    <w:rsid w:val="004473D0"/>
    <w:rsid w:val="004507FF"/>
    <w:rsid w:val="00451929"/>
    <w:rsid w:val="004556C1"/>
    <w:rsid w:val="00462C3B"/>
    <w:rsid w:val="0047363B"/>
    <w:rsid w:val="00482922"/>
    <w:rsid w:val="00487575"/>
    <w:rsid w:val="004901E2"/>
    <w:rsid w:val="004A2CFD"/>
    <w:rsid w:val="004A4BD6"/>
    <w:rsid w:val="004C77F3"/>
    <w:rsid w:val="004C7B26"/>
    <w:rsid w:val="004D4A0D"/>
    <w:rsid w:val="004F7CC9"/>
    <w:rsid w:val="00501E07"/>
    <w:rsid w:val="005205BE"/>
    <w:rsid w:val="00522C2C"/>
    <w:rsid w:val="00523CC9"/>
    <w:rsid w:val="00533119"/>
    <w:rsid w:val="005363C3"/>
    <w:rsid w:val="00553CDD"/>
    <w:rsid w:val="00567724"/>
    <w:rsid w:val="00572F09"/>
    <w:rsid w:val="00592FE9"/>
    <w:rsid w:val="005A15C6"/>
    <w:rsid w:val="005A1DF9"/>
    <w:rsid w:val="005A7A26"/>
    <w:rsid w:val="005C1D89"/>
    <w:rsid w:val="005E678D"/>
    <w:rsid w:val="006160F2"/>
    <w:rsid w:val="00620D0B"/>
    <w:rsid w:val="0062119F"/>
    <w:rsid w:val="0062747B"/>
    <w:rsid w:val="006500E1"/>
    <w:rsid w:val="00660C89"/>
    <w:rsid w:val="006611AD"/>
    <w:rsid w:val="00671B04"/>
    <w:rsid w:val="006846CF"/>
    <w:rsid w:val="006B30E9"/>
    <w:rsid w:val="006B3C06"/>
    <w:rsid w:val="006B4437"/>
    <w:rsid w:val="006B6292"/>
    <w:rsid w:val="006B79BA"/>
    <w:rsid w:val="006C60CA"/>
    <w:rsid w:val="006F3079"/>
    <w:rsid w:val="00700A22"/>
    <w:rsid w:val="00710558"/>
    <w:rsid w:val="0071401C"/>
    <w:rsid w:val="0072185A"/>
    <w:rsid w:val="007331F4"/>
    <w:rsid w:val="00733CEF"/>
    <w:rsid w:val="00737423"/>
    <w:rsid w:val="007525D7"/>
    <w:rsid w:val="00762533"/>
    <w:rsid w:val="00772B48"/>
    <w:rsid w:val="00772C64"/>
    <w:rsid w:val="00774558"/>
    <w:rsid w:val="007814A0"/>
    <w:rsid w:val="00793FA1"/>
    <w:rsid w:val="007A2EF3"/>
    <w:rsid w:val="007B476B"/>
    <w:rsid w:val="007B4E05"/>
    <w:rsid w:val="007C42C0"/>
    <w:rsid w:val="007E3BA5"/>
    <w:rsid w:val="007E3F11"/>
    <w:rsid w:val="00812AD2"/>
    <w:rsid w:val="00827372"/>
    <w:rsid w:val="00832F27"/>
    <w:rsid w:val="00854ABA"/>
    <w:rsid w:val="00865659"/>
    <w:rsid w:val="00895BE0"/>
    <w:rsid w:val="008C7359"/>
    <w:rsid w:val="008E6A51"/>
    <w:rsid w:val="008F2AB6"/>
    <w:rsid w:val="00914A54"/>
    <w:rsid w:val="009424A0"/>
    <w:rsid w:val="00945673"/>
    <w:rsid w:val="0095061B"/>
    <w:rsid w:val="009603E6"/>
    <w:rsid w:val="00962DD5"/>
    <w:rsid w:val="00964429"/>
    <w:rsid w:val="00973247"/>
    <w:rsid w:val="0097405C"/>
    <w:rsid w:val="00976FC5"/>
    <w:rsid w:val="00977888"/>
    <w:rsid w:val="00977FFB"/>
    <w:rsid w:val="0098690C"/>
    <w:rsid w:val="009A2D8E"/>
    <w:rsid w:val="009B247A"/>
    <w:rsid w:val="009D304D"/>
    <w:rsid w:val="00A12C8A"/>
    <w:rsid w:val="00A15714"/>
    <w:rsid w:val="00A47A64"/>
    <w:rsid w:val="00A56D1B"/>
    <w:rsid w:val="00A722F7"/>
    <w:rsid w:val="00A822BD"/>
    <w:rsid w:val="00A874E4"/>
    <w:rsid w:val="00A93258"/>
    <w:rsid w:val="00A96AB7"/>
    <w:rsid w:val="00AA18C2"/>
    <w:rsid w:val="00AD448F"/>
    <w:rsid w:val="00AF1474"/>
    <w:rsid w:val="00AF7B47"/>
    <w:rsid w:val="00B06FD3"/>
    <w:rsid w:val="00B25E2F"/>
    <w:rsid w:val="00B32F06"/>
    <w:rsid w:val="00B35DFE"/>
    <w:rsid w:val="00B369B8"/>
    <w:rsid w:val="00B40F22"/>
    <w:rsid w:val="00B448D8"/>
    <w:rsid w:val="00B65942"/>
    <w:rsid w:val="00B65D59"/>
    <w:rsid w:val="00B83670"/>
    <w:rsid w:val="00B83CCB"/>
    <w:rsid w:val="00B85C49"/>
    <w:rsid w:val="00BA0007"/>
    <w:rsid w:val="00BA419C"/>
    <w:rsid w:val="00BC480C"/>
    <w:rsid w:val="00BC5736"/>
    <w:rsid w:val="00BC5E14"/>
    <w:rsid w:val="00BD76AC"/>
    <w:rsid w:val="00BE16CB"/>
    <w:rsid w:val="00BF6DEB"/>
    <w:rsid w:val="00C2202E"/>
    <w:rsid w:val="00C243A9"/>
    <w:rsid w:val="00C275CD"/>
    <w:rsid w:val="00C35B5E"/>
    <w:rsid w:val="00C522D7"/>
    <w:rsid w:val="00C9041A"/>
    <w:rsid w:val="00C92A2A"/>
    <w:rsid w:val="00CA013A"/>
    <w:rsid w:val="00CA760D"/>
    <w:rsid w:val="00CC51C0"/>
    <w:rsid w:val="00CD3E71"/>
    <w:rsid w:val="00CE680B"/>
    <w:rsid w:val="00CF1D51"/>
    <w:rsid w:val="00D333AD"/>
    <w:rsid w:val="00D33F4F"/>
    <w:rsid w:val="00D62391"/>
    <w:rsid w:val="00D632EC"/>
    <w:rsid w:val="00D64005"/>
    <w:rsid w:val="00D81952"/>
    <w:rsid w:val="00D81AD5"/>
    <w:rsid w:val="00DB2008"/>
    <w:rsid w:val="00DC61E0"/>
    <w:rsid w:val="00DC6901"/>
    <w:rsid w:val="00DC7E8C"/>
    <w:rsid w:val="00DE2A18"/>
    <w:rsid w:val="00DE68C0"/>
    <w:rsid w:val="00DE75F4"/>
    <w:rsid w:val="00DF1B80"/>
    <w:rsid w:val="00E10597"/>
    <w:rsid w:val="00E23067"/>
    <w:rsid w:val="00E43AEF"/>
    <w:rsid w:val="00E804EE"/>
    <w:rsid w:val="00E843EB"/>
    <w:rsid w:val="00E921CB"/>
    <w:rsid w:val="00E94190"/>
    <w:rsid w:val="00F02079"/>
    <w:rsid w:val="00F16C0F"/>
    <w:rsid w:val="00F1707A"/>
    <w:rsid w:val="00F468A3"/>
    <w:rsid w:val="00F53286"/>
    <w:rsid w:val="00F5675A"/>
    <w:rsid w:val="00F653A8"/>
    <w:rsid w:val="00F67923"/>
    <w:rsid w:val="00F7152E"/>
    <w:rsid w:val="00F8436E"/>
    <w:rsid w:val="00F9220A"/>
    <w:rsid w:val="00FA0537"/>
    <w:rsid w:val="00FB258D"/>
    <w:rsid w:val="00FB2E6E"/>
    <w:rsid w:val="00FC59C6"/>
    <w:rsid w:val="00FC6D94"/>
    <w:rsid w:val="00FD3889"/>
    <w:rsid w:val="00FE0368"/>
    <w:rsid w:val="00FE7464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51D81"/>
  <w15:chartTrackingRefBased/>
  <w15:docId w15:val="{3532FF09-34EE-4A32-ADA3-A9B8A49D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ind w:left="708" w:hanging="708"/>
      <w:jc w:val="center"/>
      <w:outlineLvl w:val="0"/>
    </w:pPr>
    <w:rPr>
      <w:rFonts w:ascii="Times New Roman" w:hAnsi="Times New Roman"/>
      <w:kern w:val="28"/>
      <w:lang w:val="bg-BG"/>
    </w:rPr>
  </w:style>
  <w:style w:type="paragraph" w:styleId="Heading2">
    <w:name w:val="heading 2"/>
    <w:basedOn w:val="Normal"/>
    <w:next w:val="Normal"/>
    <w:qFormat/>
    <w:pPr>
      <w:keepNext/>
      <w:ind w:firstLine="1134"/>
      <w:outlineLvl w:val="1"/>
    </w:pPr>
    <w:rPr>
      <w:rFonts w:ascii="NewSaturionCyr" w:hAnsi="NewSaturio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Lozen" w:hAnsi="Lozen"/>
      <w:b/>
      <w:lang w:val="en-AU"/>
    </w:rPr>
  </w:style>
  <w:style w:type="paragraph" w:styleId="Heading4">
    <w:name w:val="heading 4"/>
    <w:basedOn w:val="Normal"/>
    <w:next w:val="Normal"/>
    <w:qFormat/>
    <w:pPr>
      <w:keepNext/>
      <w:spacing w:before="140"/>
      <w:ind w:left="1134"/>
      <w:outlineLvl w:val="3"/>
    </w:pPr>
    <w:rPr>
      <w:rFonts w:ascii="NewSaturionModernCyr" w:hAnsi="NewSaturionModernCyr"/>
      <w:b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barU" w:hAnsi="HebarU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  <w:jc w:val="both"/>
    </w:pPr>
    <w:rPr>
      <w:rFonts w:ascii="Lozen" w:hAnsi="Lozen"/>
      <w:lang w:val="en-AU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Times New Roman" w:hAnsi="Times New Roman"/>
      <w:spacing w:val="40"/>
      <w:sz w:val="28"/>
      <w:lang w:val="en-AU"/>
    </w:rPr>
  </w:style>
  <w:style w:type="paragraph" w:styleId="BodyText2">
    <w:name w:val="Body Text 2"/>
    <w:basedOn w:val="Normal"/>
    <w:pPr>
      <w:widowControl w:val="0"/>
      <w:ind w:firstLine="720"/>
      <w:jc w:val="both"/>
    </w:pPr>
    <w:rPr>
      <w:rFonts w:ascii="Lozen" w:hAnsi="Lozen"/>
      <w:lang w:val="en-AU"/>
    </w:rPr>
  </w:style>
  <w:style w:type="paragraph" w:styleId="TOC1">
    <w:name w:val="toc 1"/>
    <w:basedOn w:val="Normal"/>
    <w:next w:val="Normal"/>
    <w:semiHidden/>
    <w:pPr>
      <w:widowControl w:val="0"/>
      <w:tabs>
        <w:tab w:val="right" w:pos="8640"/>
      </w:tabs>
      <w:spacing w:before="120" w:after="120" w:line="360" w:lineRule="auto"/>
    </w:pPr>
    <w:rPr>
      <w:rFonts w:ascii="Garamond" w:hAnsi="Garamond"/>
      <w:b/>
      <w:noProof/>
      <w:sz w:val="22"/>
    </w:rPr>
  </w:style>
  <w:style w:type="paragraph" w:styleId="BlockText">
    <w:name w:val="Block Text"/>
    <w:basedOn w:val="Normal"/>
    <w:pPr>
      <w:widowControl w:val="0"/>
      <w:ind w:left="720" w:right="1989"/>
      <w:jc w:val="both"/>
    </w:pPr>
    <w:rPr>
      <w:rFonts w:ascii="TmsCyr" w:hAnsi="TmsCyr"/>
      <w:lang w:val="bg-BG"/>
    </w:rPr>
  </w:style>
  <w:style w:type="paragraph" w:styleId="BodyTextIndent3">
    <w:name w:val="Body Text Indent 3"/>
    <w:basedOn w:val="Normal"/>
    <w:pPr>
      <w:widowControl w:val="0"/>
      <w:ind w:firstLine="720"/>
      <w:jc w:val="both"/>
    </w:pPr>
    <w:rPr>
      <w:rFonts w:ascii="Garamond" w:hAnsi="Garamond"/>
      <w:lang w:val="bg-BG"/>
    </w:rPr>
  </w:style>
  <w:style w:type="paragraph" w:styleId="BodyTextIndent2">
    <w:name w:val="Body Text Indent 2"/>
    <w:basedOn w:val="Normal"/>
    <w:pPr>
      <w:ind w:right="9" w:firstLine="720"/>
      <w:jc w:val="both"/>
    </w:pPr>
    <w:rPr>
      <w:rFonts w:ascii="Garamond" w:hAnsi="Garamond"/>
      <w:lang w:val="bg-BG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lang w:val="bg-BG"/>
    </w:rPr>
  </w:style>
  <w:style w:type="paragraph" w:customStyle="1" w:styleId="Uvod">
    <w:name w:val="Uvod"/>
    <w:pPr>
      <w:tabs>
        <w:tab w:val="left" w:pos="1200"/>
        <w:tab w:val="left" w:pos="1500"/>
      </w:tabs>
      <w:spacing w:before="100"/>
      <w:ind w:firstLine="480"/>
      <w:jc w:val="both"/>
    </w:pPr>
    <w:rPr>
      <w:rFonts w:ascii="Trebuchet MS" w:eastAsia="Timok" w:hAnsi="Trebuchet MS"/>
      <w:i/>
      <w:snapToGrid w:val="0"/>
      <w:sz w:val="24"/>
    </w:rPr>
  </w:style>
  <w:style w:type="paragraph" w:customStyle="1" w:styleId="tent">
    <w:name w:val="tent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</w:rPr>
  </w:style>
  <w:style w:type="paragraph" w:customStyle="1" w:styleId="Razdel">
    <w:name w:val="Razdel"/>
    <w:pPr>
      <w:pBdr>
        <w:bottom w:val="double" w:sz="6" w:space="0" w:color="auto"/>
        <w:between w:val="double" w:sz="6" w:space="2" w:color="auto"/>
      </w:pBdr>
      <w:spacing w:after="360" w:line="384" w:lineRule="atLeast"/>
      <w:jc w:val="center"/>
    </w:pPr>
    <w:rPr>
      <w:rFonts w:ascii="Trebuchet MS" w:eastAsia="Timok" w:hAnsi="Trebuchet MS"/>
      <w:b/>
      <w:caps/>
      <w:snapToGrid w:val="0"/>
      <w:color w:val="000000"/>
      <w:sz w:val="30"/>
    </w:rPr>
  </w:style>
  <w:style w:type="paragraph" w:customStyle="1" w:styleId="Glava">
    <w:name w:val="Glava"/>
    <w:pPr>
      <w:keepNext/>
      <w:tabs>
        <w:tab w:val="left" w:pos="1200"/>
      </w:tabs>
      <w:spacing w:before="240" w:after="60"/>
      <w:ind w:left="1200" w:hanging="720"/>
    </w:pPr>
    <w:rPr>
      <w:rFonts w:ascii="Trebuchet MS" w:eastAsia="Timok" w:hAnsi="Trebuchet MS"/>
      <w:b/>
      <w:caps/>
      <w:snapToGrid w:val="0"/>
      <w:sz w:val="25"/>
    </w:rPr>
  </w:style>
  <w:style w:type="paragraph" w:customStyle="1" w:styleId="ras">
    <w:name w:val="ras"/>
    <w:pPr>
      <w:tabs>
        <w:tab w:val="left" w:pos="1200"/>
        <w:tab w:val="left" w:pos="1500"/>
      </w:tabs>
      <w:ind w:firstLine="480"/>
      <w:jc w:val="both"/>
    </w:pPr>
    <w:rPr>
      <w:rFonts w:ascii="Trebuchet MS" w:eastAsia="Timok" w:hAnsi="Trebuchet MS"/>
      <w:snapToGrid w:val="0"/>
      <w:sz w:val="12"/>
    </w:rPr>
  </w:style>
  <w:style w:type="paragraph" w:customStyle="1" w:styleId="tent001">
    <w:name w:val="tent 001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</w:rPr>
  </w:style>
  <w:style w:type="paragraph" w:customStyle="1" w:styleId="tent00">
    <w:name w:val="tent 00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</w:rPr>
  </w:style>
  <w:style w:type="paragraph" w:customStyle="1" w:styleId="tent00copy">
    <w:name w:val="tent 00 copy"/>
    <w:pPr>
      <w:tabs>
        <w:tab w:val="left" w:pos="2040"/>
      </w:tabs>
      <w:spacing w:before="40" w:line="250" w:lineRule="atLeast"/>
      <w:ind w:left="2040" w:hanging="840"/>
      <w:jc w:val="both"/>
    </w:pPr>
    <w:rPr>
      <w:rFonts w:ascii="Trebuchet MS" w:eastAsia="Timok" w:hAnsi="Trebuchet MS"/>
      <w:snapToGrid w:val="0"/>
      <w:sz w:val="22"/>
    </w:rPr>
  </w:style>
  <w:style w:type="paragraph" w:customStyle="1" w:styleId="tent01">
    <w:name w:val="tent01"/>
    <w:basedOn w:val="tent"/>
    <w:pPr>
      <w:tabs>
        <w:tab w:val="left" w:pos="1800"/>
      </w:tabs>
      <w:spacing w:before="40"/>
      <w:ind w:left="1200" w:hanging="720"/>
    </w:pPr>
    <w:rPr>
      <w:sz w:val="21"/>
    </w:rPr>
  </w:style>
  <w:style w:type="character" w:customStyle="1" w:styleId="newsbody1">
    <w:name w:val="newsbody1"/>
    <w:rsid w:val="00FE7F0B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CharCharChar">
    <w:name w:val="Char Char Знак Char Char"/>
    <w:basedOn w:val="Normal"/>
    <w:rsid w:val="00660C89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Strong">
    <w:name w:val="Strong"/>
    <w:qFormat/>
    <w:rsid w:val="00A93258"/>
    <w:rPr>
      <w:b/>
      <w:bCs/>
    </w:rPr>
  </w:style>
  <w:style w:type="character" w:styleId="Emphasis">
    <w:name w:val="Emphasis"/>
    <w:qFormat/>
    <w:rsid w:val="00A56D1B"/>
    <w:rPr>
      <w:b/>
      <w:bCs/>
      <w:i w:val="0"/>
      <w:iCs w:val="0"/>
    </w:rPr>
  </w:style>
  <w:style w:type="table" w:styleId="TableGrid">
    <w:name w:val="Table Grid"/>
    <w:basedOn w:val="TableNormal"/>
    <w:rsid w:val="0081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E3F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styleId="CommentReference">
    <w:name w:val="annotation reference"/>
    <w:rsid w:val="007814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814A0"/>
    <w:rPr>
      <w:b/>
      <w:bCs/>
    </w:rPr>
  </w:style>
  <w:style w:type="character" w:customStyle="1" w:styleId="CommentTextChar">
    <w:name w:val="Comment Text Char"/>
    <w:link w:val="CommentText"/>
    <w:semiHidden/>
    <w:rsid w:val="007814A0"/>
    <w:rPr>
      <w:rFonts w:ascii="Hebar" w:hAnsi="Hebar"/>
      <w:lang w:val="en-GB"/>
    </w:rPr>
  </w:style>
  <w:style w:type="character" w:customStyle="1" w:styleId="CommentSubjectChar">
    <w:name w:val="Comment Subject Char"/>
    <w:link w:val="CommentSubject"/>
    <w:rsid w:val="007814A0"/>
    <w:rPr>
      <w:rFonts w:ascii="Hebar" w:hAnsi="Hebar"/>
      <w:b/>
      <w:bCs/>
      <w:lang w:val="en-GB"/>
    </w:rPr>
  </w:style>
  <w:style w:type="paragraph" w:styleId="BalloonText">
    <w:name w:val="Balloon Text"/>
    <w:basedOn w:val="Normal"/>
    <w:link w:val="BalloonTextChar"/>
    <w:rsid w:val="00781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14A0"/>
    <w:rPr>
      <w:rFonts w:ascii="Segoe UI" w:hAnsi="Segoe UI" w:cs="Segoe UI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67724"/>
    <w:rPr>
      <w:rFonts w:ascii="Hebar" w:hAnsi="Hebar"/>
      <w:sz w:val="24"/>
      <w:lang w:val="en-GB"/>
    </w:rPr>
  </w:style>
  <w:style w:type="table" w:customStyle="1" w:styleId="TableGridLight1">
    <w:name w:val="Table Grid Light1"/>
    <w:basedOn w:val="TableNormal"/>
    <w:next w:val="TableGridLight"/>
    <w:uiPriority w:val="40"/>
    <w:rsid w:val="00DF1B80"/>
    <w:rPr>
      <w:rFonts w:ascii="Verdana"/>
      <w:lang w:val="bg-BG" w:eastAsia="bg-BG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DF1B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2D2-A3E1-46DF-9EA4-8518FFA6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Бойка Владова</dc:creator>
  <cp:keywords/>
  <dc:description/>
  <cp:lastModifiedBy>Velichka Kurteva</cp:lastModifiedBy>
  <cp:revision>17</cp:revision>
  <cp:lastPrinted>2015-08-10T11:00:00Z</cp:lastPrinted>
  <dcterms:created xsi:type="dcterms:W3CDTF">2025-03-31T08:50:00Z</dcterms:created>
  <dcterms:modified xsi:type="dcterms:W3CDTF">2025-04-28T11:45:00Z</dcterms:modified>
</cp:coreProperties>
</file>