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F4E0F" w14:textId="57377653" w:rsidR="009D43E2" w:rsidRDefault="009A2C3E" w:rsidP="00694BB1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0A31C9">
        <w:rPr>
          <w:noProof/>
          <w:sz w:val="24"/>
          <w:szCs w:val="24"/>
          <w:lang w:val="en-US"/>
        </w:rPr>
        <w:drawing>
          <wp:anchor distT="0" distB="0" distL="114300" distR="114300" simplePos="0" relativeHeight="251657728" behindDoc="1" locked="0" layoutInCell="1" allowOverlap="1" wp14:anchorId="4A272211" wp14:editId="161CD4FB">
            <wp:simplePos x="0" y="0"/>
            <wp:positionH relativeFrom="column">
              <wp:posOffset>2343785</wp:posOffset>
            </wp:positionH>
            <wp:positionV relativeFrom="paragraph">
              <wp:posOffset>69215</wp:posOffset>
            </wp:positionV>
            <wp:extent cx="1188085" cy="118808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1712D" w14:textId="4CA6C454" w:rsidR="003F55B7" w:rsidRDefault="003F55B7" w:rsidP="00694BB1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14:paraId="34C6B06B" w14:textId="77777777" w:rsidR="00F44C06" w:rsidRPr="000A31C9" w:rsidRDefault="00F44C06" w:rsidP="00694BB1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14:paraId="30229654" w14:textId="575AB19C" w:rsidR="009D43E2" w:rsidRDefault="009D43E2" w:rsidP="00694BB1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14:paraId="4D5C8989" w14:textId="77777777" w:rsidR="006B7165" w:rsidRPr="000A31C9" w:rsidRDefault="006B7165" w:rsidP="00694BB1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14:paraId="1FB0E0A2" w14:textId="77777777" w:rsidR="006B7165" w:rsidRPr="006B7165" w:rsidRDefault="006B7165" w:rsidP="006B7165">
      <w:pPr>
        <w:keepNext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Platinum Bg" w:eastAsia="Times New Roman" w:hAnsi="Platinum Bg" w:cs="Platinum Bg"/>
          <w:spacing w:val="40"/>
          <w:kern w:val="32"/>
          <w:sz w:val="36"/>
          <w:szCs w:val="36"/>
          <w:lang w:eastAsia="bg-BG"/>
        </w:rPr>
      </w:pPr>
      <w:r w:rsidRPr="006B7165">
        <w:rPr>
          <w:rFonts w:ascii="Platinum Bg" w:eastAsia="Times New Roman" w:hAnsi="Platinum Bg" w:cs="Platinum Bg"/>
          <w:spacing w:val="40"/>
          <w:kern w:val="32"/>
          <w:sz w:val="36"/>
          <w:szCs w:val="36"/>
          <w:lang w:eastAsia="bg-BG"/>
        </w:rPr>
        <w:t>РЕПУБЛИКА БЪЛГАРИЯ</w:t>
      </w:r>
    </w:p>
    <w:p w14:paraId="5FA66710" w14:textId="77777777" w:rsidR="006B7165" w:rsidRPr="006B7165" w:rsidRDefault="006B7165" w:rsidP="006B7165">
      <w:pPr>
        <w:widowControl w:val="0"/>
        <w:pBdr>
          <w:bottom w:val="single" w:sz="4" w:space="1" w:color="auto"/>
        </w:pBdr>
        <w:suppressAutoHyphens w:val="0"/>
        <w:autoSpaceDE w:val="0"/>
        <w:adjustRightInd w:val="0"/>
        <w:spacing w:after="0" w:line="360" w:lineRule="auto"/>
        <w:jc w:val="center"/>
        <w:textAlignment w:val="auto"/>
        <w:rPr>
          <w:rFonts w:ascii="Timok" w:eastAsia="Times New Roman" w:hAnsi="Timok" w:cs="Timok"/>
          <w:spacing w:val="38"/>
          <w:sz w:val="32"/>
          <w:szCs w:val="32"/>
          <w:lang w:eastAsia="bg-BG"/>
        </w:rPr>
      </w:pPr>
      <w:r w:rsidRPr="006B7165">
        <w:rPr>
          <w:rFonts w:ascii="Platinum Bg" w:eastAsia="Times New Roman" w:hAnsi="Platinum Bg" w:cs="Platinum Bg"/>
          <w:spacing w:val="30"/>
          <w:sz w:val="32"/>
          <w:szCs w:val="32"/>
          <w:lang w:eastAsia="bg-BG"/>
        </w:rPr>
        <w:t>Министър на земеделието и храните</w:t>
      </w:r>
    </w:p>
    <w:p w14:paraId="5C4795CA" w14:textId="5260D417" w:rsidR="00400B96" w:rsidRDefault="00400B96" w:rsidP="001A6DB6">
      <w:pPr>
        <w:widowControl w:val="0"/>
        <w:autoSpaceDE w:val="0"/>
        <w:spacing w:after="0" w:line="360" w:lineRule="auto"/>
        <w:rPr>
          <w:rFonts w:ascii="Times New Roman" w:hAnsi="Times New Roman"/>
          <w:bCs/>
          <w:sz w:val="24"/>
          <w:szCs w:val="24"/>
          <w:lang w:eastAsia="bg-BG"/>
        </w:rPr>
      </w:pPr>
    </w:p>
    <w:p w14:paraId="67B56133" w14:textId="77777777" w:rsidR="00A30ED9" w:rsidRPr="00C31623" w:rsidRDefault="00A30ED9" w:rsidP="001A6DB6">
      <w:pPr>
        <w:widowControl w:val="0"/>
        <w:autoSpaceDE w:val="0"/>
        <w:spacing w:after="0" w:line="360" w:lineRule="auto"/>
        <w:rPr>
          <w:rFonts w:ascii="Times New Roman" w:hAnsi="Times New Roman"/>
          <w:bCs/>
          <w:sz w:val="24"/>
          <w:szCs w:val="24"/>
          <w:lang w:eastAsia="bg-BG"/>
        </w:rPr>
      </w:pPr>
    </w:p>
    <w:p w14:paraId="0E8F80D7" w14:textId="5FBF5706" w:rsidR="009D43E2" w:rsidRPr="000A31C9" w:rsidRDefault="009D43E2" w:rsidP="001A6DB6">
      <w:pPr>
        <w:widowControl w:val="0"/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ДО</w:t>
      </w:r>
    </w:p>
    <w:p w14:paraId="324E61B1" w14:textId="77777777" w:rsidR="009D43E2" w:rsidRPr="000A31C9" w:rsidRDefault="009D43E2" w:rsidP="001A6DB6">
      <w:pPr>
        <w:widowControl w:val="0"/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МИНИСТЕРСКИЯ СЪВЕТ</w:t>
      </w:r>
    </w:p>
    <w:p w14:paraId="0A3762C0" w14:textId="711B6116" w:rsidR="009D43E2" w:rsidRPr="000A31C9" w:rsidRDefault="009D43E2" w:rsidP="001A6DB6">
      <w:pPr>
        <w:widowControl w:val="0"/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НА РЕПУБЛИКА БЪЛГАРИЯ</w:t>
      </w:r>
    </w:p>
    <w:p w14:paraId="0E665FDB" w14:textId="42D483FF" w:rsidR="00F44C06" w:rsidRDefault="00F44C06" w:rsidP="001A6DB6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bg-BG"/>
        </w:rPr>
      </w:pPr>
    </w:p>
    <w:p w14:paraId="6DD8B290" w14:textId="77777777" w:rsidR="00F44C06" w:rsidRPr="000A31C9" w:rsidRDefault="00F44C06" w:rsidP="001A6DB6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bg-BG"/>
        </w:rPr>
      </w:pPr>
    </w:p>
    <w:p w14:paraId="09D409A3" w14:textId="77777777" w:rsidR="009D43E2" w:rsidRPr="000A31C9" w:rsidRDefault="009D43E2" w:rsidP="006B7165">
      <w:pPr>
        <w:keepNext/>
        <w:spacing w:before="120" w:after="120" w:line="360" w:lineRule="auto"/>
        <w:jc w:val="center"/>
        <w:rPr>
          <w:rFonts w:ascii="Times New Roman Bold" w:hAnsi="Times New Roman Bold"/>
          <w:b/>
          <w:bCs/>
          <w:spacing w:val="70"/>
          <w:kern w:val="3"/>
          <w:sz w:val="28"/>
          <w:szCs w:val="28"/>
          <w:lang w:eastAsia="bg-BG"/>
        </w:rPr>
      </w:pPr>
      <w:r w:rsidRPr="000A31C9">
        <w:rPr>
          <w:rFonts w:ascii="Times New Roman Bold" w:hAnsi="Times New Roman Bold"/>
          <w:b/>
          <w:bCs/>
          <w:spacing w:val="70"/>
          <w:kern w:val="3"/>
          <w:sz w:val="28"/>
          <w:szCs w:val="28"/>
          <w:lang w:eastAsia="bg-BG"/>
        </w:rPr>
        <w:t>ДОКЛАД</w:t>
      </w:r>
    </w:p>
    <w:p w14:paraId="26827A4C" w14:textId="3D707BD1" w:rsidR="009D43E2" w:rsidRPr="000A31C9" w:rsidRDefault="007A632B" w:rsidP="001A6DB6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mallCaps/>
          <w:sz w:val="24"/>
          <w:szCs w:val="24"/>
          <w:lang w:eastAsia="bg-BG"/>
        </w:rPr>
      </w:pPr>
      <w:r>
        <w:rPr>
          <w:rFonts w:ascii="Times New Roman" w:hAnsi="Times New Roman"/>
          <w:smallCaps/>
          <w:sz w:val="24"/>
          <w:szCs w:val="24"/>
          <w:lang w:eastAsia="bg-BG"/>
        </w:rPr>
        <w:t xml:space="preserve">от </w:t>
      </w:r>
      <w:r w:rsidR="003F55B7" w:rsidRPr="003F55B7">
        <w:rPr>
          <w:rFonts w:ascii="Times New Roman" w:hAnsi="Times New Roman"/>
          <w:smallCaps/>
          <w:sz w:val="24"/>
          <w:szCs w:val="24"/>
          <w:lang w:eastAsia="bg-BG"/>
        </w:rPr>
        <w:t>д-р Георги Тахов</w:t>
      </w:r>
      <w:r w:rsidR="00694BB1" w:rsidRPr="000A31C9">
        <w:rPr>
          <w:rFonts w:ascii="Times New Roman" w:hAnsi="Times New Roman"/>
          <w:smallCaps/>
          <w:sz w:val="24"/>
          <w:szCs w:val="24"/>
          <w:lang w:eastAsia="bg-BG"/>
        </w:rPr>
        <w:t xml:space="preserve"> – министър на земеделието</w:t>
      </w:r>
      <w:r>
        <w:rPr>
          <w:rFonts w:ascii="Times New Roman" w:hAnsi="Times New Roman"/>
          <w:smallCaps/>
          <w:sz w:val="24"/>
          <w:szCs w:val="24"/>
          <w:lang w:eastAsia="bg-BG"/>
        </w:rPr>
        <w:t xml:space="preserve"> и храните</w:t>
      </w:r>
    </w:p>
    <w:p w14:paraId="51838964" w14:textId="77777777" w:rsidR="00F44C06" w:rsidRPr="000A31C9" w:rsidRDefault="00F44C06" w:rsidP="001A6DB6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bg-BG"/>
        </w:rPr>
      </w:pPr>
    </w:p>
    <w:p w14:paraId="20FCD1C8" w14:textId="3E21E3A5" w:rsidR="009D43E2" w:rsidRPr="000A31C9" w:rsidRDefault="009D43E2" w:rsidP="001A6DB6">
      <w:pPr>
        <w:widowControl w:val="0"/>
        <w:autoSpaceDE w:val="0"/>
        <w:spacing w:after="0" w:line="360" w:lineRule="auto"/>
        <w:ind w:left="1077" w:hanging="1077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Относно</w:t>
      </w:r>
      <w:r w:rsidRPr="000A31C9">
        <w:rPr>
          <w:rFonts w:ascii="Times New Roman" w:hAnsi="Times New Roman"/>
          <w:b/>
          <w:sz w:val="24"/>
          <w:szCs w:val="24"/>
          <w:lang w:eastAsia="bg-BG"/>
        </w:rPr>
        <w:t>:</w:t>
      </w:r>
      <w:r w:rsidR="00694BB1" w:rsidRPr="000A31C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F2A52" w:rsidRPr="000A31C9">
        <w:rPr>
          <w:rFonts w:ascii="Times New Roman" w:hAnsi="Times New Roman"/>
          <w:sz w:val="24"/>
          <w:szCs w:val="24"/>
          <w:lang w:eastAsia="bg-BG"/>
        </w:rPr>
        <w:t xml:space="preserve">Проект </w:t>
      </w:r>
      <w:r w:rsidR="003F55B7" w:rsidRPr="003F55B7">
        <w:rPr>
          <w:rFonts w:ascii="Times New Roman" w:hAnsi="Times New Roman"/>
          <w:sz w:val="24"/>
          <w:szCs w:val="24"/>
          <w:lang w:eastAsia="bg-BG"/>
        </w:rPr>
        <w:t xml:space="preserve">на Постановление на Министерския съвет за изменение и допълнение на </w:t>
      </w:r>
      <w:r w:rsidR="0059424E">
        <w:rPr>
          <w:rFonts w:ascii="Times New Roman" w:hAnsi="Times New Roman"/>
          <w:sz w:val="24"/>
          <w:szCs w:val="24"/>
          <w:lang w:eastAsia="bg-BG"/>
        </w:rPr>
        <w:t xml:space="preserve">нормативни актове </w:t>
      </w:r>
      <w:r w:rsidR="00D5607E">
        <w:rPr>
          <w:rFonts w:ascii="Times New Roman" w:hAnsi="Times New Roman"/>
          <w:sz w:val="24"/>
          <w:szCs w:val="24"/>
          <w:lang w:eastAsia="bg-BG"/>
        </w:rPr>
        <w:t>на Министерския съвет</w:t>
      </w:r>
    </w:p>
    <w:p w14:paraId="3CC8EB24" w14:textId="6E54F817" w:rsidR="00400B96" w:rsidRPr="000A31C9" w:rsidRDefault="00400B96" w:rsidP="001A6DB6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bg-BG"/>
        </w:rPr>
      </w:pPr>
    </w:p>
    <w:p w14:paraId="4CBE6BFD" w14:textId="77777777" w:rsidR="00723727" w:rsidRPr="000A31C9" w:rsidRDefault="00723727" w:rsidP="001A6DB6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bg-BG"/>
        </w:rPr>
      </w:pPr>
    </w:p>
    <w:p w14:paraId="1BE9F524" w14:textId="77777777" w:rsidR="009D43E2" w:rsidRPr="000A31C9" w:rsidRDefault="009D43E2" w:rsidP="001A6DB6">
      <w:pPr>
        <w:widowControl w:val="0"/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ГОСПОДИН МИНИСТЪР-ПРЕДСЕДАТЕЛ,</w:t>
      </w:r>
    </w:p>
    <w:p w14:paraId="796E3101" w14:textId="009B11CB" w:rsidR="009D43E2" w:rsidRPr="000A31C9" w:rsidRDefault="009D43E2" w:rsidP="001A6DB6">
      <w:pPr>
        <w:widowControl w:val="0"/>
        <w:autoSpaceDE w:val="0"/>
        <w:spacing w:after="120" w:line="36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ГОСПОЖИ И ГОСПОДА МИНИСТРИ,</w:t>
      </w:r>
    </w:p>
    <w:p w14:paraId="301A150E" w14:textId="28109F28" w:rsidR="00363138" w:rsidRPr="000A31C9" w:rsidRDefault="009D43E2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31C9">
        <w:rPr>
          <w:rFonts w:ascii="Times New Roman" w:hAnsi="Times New Roman"/>
          <w:sz w:val="24"/>
          <w:szCs w:val="24"/>
          <w:lang w:eastAsia="bg-BG"/>
        </w:rPr>
        <w:t xml:space="preserve">На основание чл. 31, ал. 2 от Устройствения правилник на Министерския съвет и на неговата администрация внасям за разглеждане от Министерския съвет проект </w:t>
      </w:r>
      <w:r w:rsidR="003F55B7" w:rsidRPr="003F55B7">
        <w:rPr>
          <w:rFonts w:ascii="Times New Roman" w:hAnsi="Times New Roman"/>
          <w:sz w:val="24"/>
          <w:szCs w:val="24"/>
          <w:lang w:eastAsia="bg-BG"/>
        </w:rPr>
        <w:t xml:space="preserve">на Постановление на Министерския съвет за изменение и допълнение на </w:t>
      </w:r>
      <w:r w:rsidR="0059424E" w:rsidRPr="0059424E">
        <w:rPr>
          <w:rFonts w:ascii="Times New Roman" w:hAnsi="Times New Roman"/>
          <w:sz w:val="24"/>
          <w:szCs w:val="24"/>
          <w:lang w:eastAsia="bg-BG"/>
        </w:rPr>
        <w:t>нормативни актове на Министерския съвет</w:t>
      </w:r>
      <w:r w:rsidR="0059424E">
        <w:rPr>
          <w:rFonts w:ascii="Times New Roman" w:hAnsi="Times New Roman"/>
          <w:sz w:val="24"/>
          <w:szCs w:val="24"/>
          <w:lang w:eastAsia="bg-BG"/>
        </w:rPr>
        <w:t xml:space="preserve">. С постановлението се изменят </w:t>
      </w:r>
      <w:r w:rsidR="003F55B7" w:rsidRPr="003F55B7">
        <w:rPr>
          <w:rFonts w:ascii="Times New Roman" w:hAnsi="Times New Roman"/>
          <w:sz w:val="24"/>
          <w:szCs w:val="24"/>
          <w:lang w:eastAsia="bg-BG"/>
        </w:rPr>
        <w:t>Устройствения правилник на Министерството на земеделието и храните, приет с Постановление № 260 на Министерския съвет от 2019 г.</w:t>
      </w:r>
      <w:r w:rsidR="0059424E">
        <w:rPr>
          <w:rFonts w:ascii="Times New Roman" w:hAnsi="Times New Roman"/>
          <w:sz w:val="24"/>
          <w:szCs w:val="24"/>
          <w:lang w:eastAsia="bg-BG"/>
        </w:rPr>
        <w:t xml:space="preserve"> (Обн. ДВ. бр. 82 от 2019 г.) и</w:t>
      </w:r>
      <w:r w:rsidR="0059424E" w:rsidRPr="0059424E">
        <w:t xml:space="preserve"> </w:t>
      </w:r>
      <w:r w:rsidR="0059424E" w:rsidRPr="0059424E">
        <w:rPr>
          <w:rFonts w:ascii="Times New Roman" w:hAnsi="Times New Roman"/>
          <w:sz w:val="24"/>
          <w:szCs w:val="24"/>
          <w:lang w:eastAsia="bg-BG"/>
        </w:rPr>
        <w:t>Постановление № 125 на Министерския съвет от 2006 г. за приемане на Устройствен правилник на Министерството на земеделието и храни</w:t>
      </w:r>
      <w:r w:rsidR="0059424E">
        <w:rPr>
          <w:rFonts w:ascii="Times New Roman" w:hAnsi="Times New Roman"/>
          <w:sz w:val="24"/>
          <w:szCs w:val="24"/>
          <w:lang w:eastAsia="bg-BG"/>
        </w:rPr>
        <w:t>те (обн., ДВ, бр. 48 от 2006 г.), в</w:t>
      </w:r>
      <w:r w:rsidR="00BE0924">
        <w:rPr>
          <w:rFonts w:ascii="Times New Roman" w:hAnsi="Times New Roman"/>
          <w:sz w:val="24"/>
          <w:szCs w:val="24"/>
          <w:lang w:eastAsia="bg-BG"/>
        </w:rPr>
        <w:t xml:space="preserve"> което</w:t>
      </w:r>
      <w:r w:rsidR="0059424E">
        <w:rPr>
          <w:rFonts w:ascii="Times New Roman" w:hAnsi="Times New Roman"/>
          <w:sz w:val="24"/>
          <w:szCs w:val="24"/>
          <w:lang w:eastAsia="bg-BG"/>
        </w:rPr>
        <w:t xml:space="preserve"> в приложението е определена щатната численост на </w:t>
      </w:r>
      <w:r w:rsidR="0059424E" w:rsidRPr="0059424E">
        <w:rPr>
          <w:rFonts w:ascii="Times New Roman" w:hAnsi="Times New Roman"/>
          <w:sz w:val="24"/>
          <w:szCs w:val="24"/>
          <w:lang w:eastAsia="bg-BG"/>
        </w:rPr>
        <w:t>персонала във второстепенните разпоредители с бюджет към министъра на земеделието и храните</w:t>
      </w:r>
      <w:r w:rsidR="0059424E">
        <w:rPr>
          <w:rFonts w:ascii="Times New Roman" w:hAnsi="Times New Roman"/>
          <w:sz w:val="24"/>
          <w:szCs w:val="24"/>
          <w:lang w:eastAsia="bg-BG"/>
        </w:rPr>
        <w:t>.</w:t>
      </w:r>
    </w:p>
    <w:p w14:paraId="069BA99E" w14:textId="086549E4" w:rsidR="00400B96" w:rsidRPr="000A31C9" w:rsidRDefault="00400B96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12DEB39" w14:textId="26F26BBD" w:rsidR="008B40CA" w:rsidRPr="000A31C9" w:rsidRDefault="008B40CA" w:rsidP="00A30E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1C9">
        <w:rPr>
          <w:rFonts w:ascii="Times New Roman" w:hAnsi="Times New Roman"/>
          <w:b/>
          <w:sz w:val="24"/>
          <w:szCs w:val="24"/>
        </w:rPr>
        <w:lastRenderedPageBreak/>
        <w:t>Причини, които налагат приемането на акта</w:t>
      </w:r>
    </w:p>
    <w:p w14:paraId="1C2F2A9D" w14:textId="435E9E3B" w:rsidR="007A632B" w:rsidRDefault="0059424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9424E">
        <w:rPr>
          <w:rFonts w:ascii="Times New Roman" w:hAnsi="Times New Roman"/>
          <w:sz w:val="24"/>
          <w:szCs w:val="24"/>
        </w:rPr>
        <w:t xml:space="preserve"> Устройствения правилник на Министер</w:t>
      </w:r>
      <w:r>
        <w:rPr>
          <w:rFonts w:ascii="Times New Roman" w:hAnsi="Times New Roman"/>
          <w:sz w:val="24"/>
          <w:szCs w:val="24"/>
        </w:rPr>
        <w:t xml:space="preserve">ството на земеделието и храните е необходимо </w:t>
      </w:r>
      <w:r w:rsidR="0001041E" w:rsidRPr="0001041E">
        <w:rPr>
          <w:rFonts w:ascii="Times New Roman" w:hAnsi="Times New Roman"/>
          <w:sz w:val="24"/>
          <w:szCs w:val="24"/>
        </w:rPr>
        <w:t>уреждане на функциите на Управляващ орган на Стратегическия план за развитие на земеделието и селските райони на Република България за периода 2023 – 2027 г. и на Управляващ орган на Програмата за морско дело, рибарст</w:t>
      </w:r>
      <w:r w:rsidR="00754D44">
        <w:rPr>
          <w:rFonts w:ascii="Times New Roman" w:hAnsi="Times New Roman"/>
          <w:sz w:val="24"/>
          <w:szCs w:val="24"/>
        </w:rPr>
        <w:t>во и аквакултури 2021 – 2027 г.</w:t>
      </w:r>
    </w:p>
    <w:p w14:paraId="5EB16560" w14:textId="6195DEEF" w:rsidR="0001041E" w:rsidRPr="0001041E" w:rsidRDefault="0001041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>Държавите членки са длъжни да изпълняват стратегическите планове по Общата селскостопанска политика, одобрени от Комисията. Стратегическият план за развитието на земеделието и селските райони на Република България за периода 2023 – 2027 г. (Стратегическия план) е одобрен с решение на Европейската комисия и в съответствие с принципите за публичност и прозрачност е публикуван на: strategicheski_plan_2023-2027_8LjLWGr.pdf (government.bg).</w:t>
      </w:r>
    </w:p>
    <w:p w14:paraId="568AF488" w14:textId="24B592F3" w:rsidR="0001041E" w:rsidRPr="0001041E" w:rsidRDefault="0001041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 xml:space="preserve">Прилагането на Стратегическия план е осигурено чрез различни по ранг нормативни актове, като до настоящия момент в Устройствения правилник на Министерството </w:t>
      </w:r>
      <w:r w:rsidR="0069185E">
        <w:rPr>
          <w:rFonts w:ascii="Times New Roman" w:hAnsi="Times New Roman"/>
          <w:sz w:val="24"/>
          <w:szCs w:val="24"/>
        </w:rPr>
        <w:t>на земеделието и храните</w:t>
      </w:r>
      <w:r w:rsidRPr="0001041E">
        <w:rPr>
          <w:rFonts w:ascii="Times New Roman" w:hAnsi="Times New Roman"/>
          <w:sz w:val="24"/>
          <w:szCs w:val="24"/>
        </w:rPr>
        <w:t xml:space="preserve"> не са уредени функциите на Управляващ орган на Стратегическия план, определен с Решение № 97 на Министерския съвет от 2023 г. за определяне на Управляващия орган на Стратегическия план за развитието на земеделието и селските райони на Република България за периода 2023 – 2027 г. и за изменение на Решение № 712 на Министерския съвет от 2020 г. за определяне на структурите, отговорни за управлението, контрола, отчетността, координацията и одита на програмите, съфинансирани от Европейския фонд за регионално развитие, Европейския социален фонд+, Кохезионния фонд, Европейския фонд за морско дело, рибарство и аквакултури, Фонда за справедлив преход, Европейския фонд за гарантиране на земеделието, Европейския земеделски фонд за развитие на селските райони, фонд „Вътрешна сигурност”, фонд „Убежище и миграция“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– 2027 г., и програмите за сътрудничество, в които Република България участва за програмен период 2021 – 2027 г., изменено и допълнено с решения № 272 и № 519 на Министерския съвет от 2022 г.</w:t>
      </w:r>
    </w:p>
    <w:p w14:paraId="2BD3EB63" w14:textId="77777777" w:rsidR="0001041E" w:rsidRPr="0001041E" w:rsidRDefault="0001041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>Функциите на Управляващ орган на Стратегическия план за развитие на земеделието и селските райони на Република България за периода 2023 – 2027 г. се изпълняват от:</w:t>
      </w:r>
    </w:p>
    <w:p w14:paraId="7BF9F09B" w14:textId="77777777" w:rsidR="0001041E" w:rsidRPr="0001041E" w:rsidRDefault="0001041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lastRenderedPageBreak/>
        <w:t>а) дирекция „Директни плащания“ в Министерството на земеделието и храните по отношение на интервенциите под формата на директни плащания, финансирани от Европейският фонд за гарантиране на земеделието;</w:t>
      </w:r>
    </w:p>
    <w:p w14:paraId="3E905AA0" w14:textId="77777777" w:rsidR="0001041E" w:rsidRPr="0001041E" w:rsidRDefault="0001041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>б) дирекция „Развитие на селските райони“ в Министерството на земеделието и храните по отношение на интервенциите и техническа помощ, финансирани от Европейския земеделски фонд за развитие на селските райони;</w:t>
      </w:r>
    </w:p>
    <w:p w14:paraId="42F190C1" w14:textId="77777777" w:rsidR="0001041E" w:rsidRPr="0001041E" w:rsidRDefault="0001041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>в) дирекция „Пазарни мерки и организации на производители“ в Министерството на земеделието и храните по отношение на интервенциите в сектора на плодовете и зеленчуците, лозаро-винарския сектор и в сектора на млякото и млечните продукти по чл. 47, 58 и 67 от Регламент (ЕС) 2021/2115 на Европейския парламент и на Съвета от 2 декември 2021 г.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(ОВ, L 435/1 от 6 декември 2021 г.) (Регламент (ЕС) 2021/2115);</w:t>
      </w:r>
    </w:p>
    <w:p w14:paraId="484B13C7" w14:textId="77777777" w:rsidR="0001041E" w:rsidRPr="0001041E" w:rsidRDefault="0001041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>г) дирекция „Животновъдство“ в Министерството на земеделието и храните по отношение на интервенциите в сектора на пчеларството по чл. 55 от Регламент (ЕС) 2021/2115.</w:t>
      </w:r>
    </w:p>
    <w:p w14:paraId="0342A711" w14:textId="553D4205" w:rsidR="0001041E" w:rsidRDefault="0001041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>Функциите по чл. 123, параграф 2, букви „б“, „в“, „г“, „д“, „е“, „з“, „и“ и „к“ от Регламент (ЕС) 2021/2115, както и прилагането на инструментите за управление на риска в земеделието и подготовката на проекти за изменение на Стратегическия план се изпълняват съвместно от горепосочените дирекции.</w:t>
      </w:r>
    </w:p>
    <w:p w14:paraId="2A1AAE7B" w14:textId="1E546A58" w:rsidR="00470EE3" w:rsidRDefault="0069185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Изложеното по-горе налага по-</w:t>
      </w:r>
      <w:r w:rsidR="00470EE3">
        <w:rPr>
          <w:rFonts w:ascii="Times New Roman" w:hAnsi="Times New Roman"/>
          <w:sz w:val="24"/>
          <w:szCs w:val="24"/>
        </w:rPr>
        <w:t xml:space="preserve">съществени изменения във функциите на дирекция </w:t>
      </w:r>
      <w:r w:rsidR="00470EE3" w:rsidRPr="00470EE3">
        <w:rPr>
          <w:rFonts w:ascii="Times New Roman" w:hAnsi="Times New Roman"/>
          <w:sz w:val="24"/>
          <w:szCs w:val="24"/>
        </w:rPr>
        <w:t>„Директни плащания“</w:t>
      </w:r>
      <w:r w:rsidR="00470EE3">
        <w:rPr>
          <w:rFonts w:ascii="Times New Roman" w:hAnsi="Times New Roman"/>
          <w:sz w:val="24"/>
          <w:szCs w:val="24"/>
        </w:rPr>
        <w:t>,</w:t>
      </w:r>
      <w:r w:rsidR="00470EE3" w:rsidRPr="00470EE3">
        <w:t xml:space="preserve"> </w:t>
      </w:r>
      <w:r w:rsidR="00470EE3" w:rsidRPr="00470EE3">
        <w:rPr>
          <w:rFonts w:ascii="Times New Roman" w:hAnsi="Times New Roman"/>
          <w:sz w:val="24"/>
          <w:szCs w:val="24"/>
        </w:rPr>
        <w:t>дирекция „Животновъдство“</w:t>
      </w:r>
      <w:r w:rsidR="00470EE3">
        <w:rPr>
          <w:rFonts w:ascii="Times New Roman" w:hAnsi="Times New Roman"/>
          <w:sz w:val="24"/>
          <w:szCs w:val="24"/>
        </w:rPr>
        <w:t>,</w:t>
      </w:r>
      <w:r w:rsidR="00470EE3">
        <w:t xml:space="preserve"> </w:t>
      </w:r>
      <w:r w:rsidR="00470EE3" w:rsidRPr="00470EE3">
        <w:rPr>
          <w:rFonts w:ascii="Times New Roman" w:hAnsi="Times New Roman"/>
          <w:sz w:val="24"/>
          <w:szCs w:val="24"/>
        </w:rPr>
        <w:t>дирекция „Пазарни мерки и организации на производители“</w:t>
      </w:r>
      <w:r w:rsidR="00470EE3">
        <w:rPr>
          <w:rFonts w:ascii="Times New Roman" w:hAnsi="Times New Roman"/>
          <w:sz w:val="24"/>
          <w:szCs w:val="24"/>
        </w:rPr>
        <w:t xml:space="preserve"> и</w:t>
      </w:r>
      <w:r w:rsidR="00470EE3" w:rsidRPr="00470EE3">
        <w:t xml:space="preserve"> </w:t>
      </w:r>
      <w:r w:rsidR="00470EE3" w:rsidRPr="00470EE3">
        <w:rPr>
          <w:rFonts w:ascii="Times New Roman" w:hAnsi="Times New Roman"/>
          <w:sz w:val="24"/>
          <w:szCs w:val="24"/>
        </w:rPr>
        <w:t>дирекция „Развитие на селските райони“</w:t>
      </w:r>
      <w:r w:rsidR="00470EE3">
        <w:rPr>
          <w:rFonts w:ascii="Times New Roman" w:hAnsi="Times New Roman"/>
          <w:sz w:val="24"/>
          <w:szCs w:val="24"/>
        </w:rPr>
        <w:t>.</w:t>
      </w:r>
    </w:p>
    <w:p w14:paraId="048D3759" w14:textId="0A2BC2B1" w:rsidR="00BD2B27" w:rsidRPr="00BD2B27" w:rsidRDefault="00BD2B27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Допълнително </w:t>
      </w:r>
      <w:r w:rsidRPr="00BD2B27">
        <w:rPr>
          <w:rFonts w:ascii="Times New Roman" w:hAnsi="Times New Roman"/>
          <w:sz w:val="24"/>
          <w:szCs w:val="24"/>
        </w:rPr>
        <w:t>са направени изменения относно отпаднали задължения на дирекция „Пазарни мерки и организации на производители“, в съответствие със Закона за прилагане на Общата организация на пазарите на земеделск</w:t>
      </w:r>
      <w:r w:rsidR="00754D44">
        <w:rPr>
          <w:rFonts w:ascii="Times New Roman" w:hAnsi="Times New Roman"/>
          <w:sz w:val="24"/>
          <w:szCs w:val="24"/>
        </w:rPr>
        <w:t>и продукти на Европейския съюз.</w:t>
      </w:r>
    </w:p>
    <w:p w14:paraId="278067FE" w14:textId="38910E8D" w:rsidR="00BD2B27" w:rsidRDefault="00BD2B27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B27">
        <w:rPr>
          <w:rFonts w:ascii="Times New Roman" w:hAnsi="Times New Roman"/>
          <w:sz w:val="24"/>
          <w:szCs w:val="24"/>
        </w:rPr>
        <w:t xml:space="preserve">Съгласно решение на министрите на държавите членки на СТО се премахват експортните субсидии, в следствие на което с регламент (ЕС) 2021/2117 на Европейския парламент и на Съвета разпоредбите на Съюза относно възстановяванията при износ в Регламент (ЕС) № 1308/2013, са заличени, поради което текстовете са </w:t>
      </w:r>
      <w:r w:rsidRPr="00BD2B27">
        <w:rPr>
          <w:rFonts w:ascii="Times New Roman" w:hAnsi="Times New Roman"/>
          <w:sz w:val="24"/>
          <w:szCs w:val="24"/>
        </w:rPr>
        <w:lastRenderedPageBreak/>
        <w:t>прецизирани. Функциите, свързани с обследване на ветеринарни изисквания, правила за произход и други при износ, както и договарянето на образци на сертификати или разпоредби, свързани с вноса на селскостопански стоки в ЕС, не попадат в компетенциите на дирекцията, предвид което несъответствията са отстранени.“.</w:t>
      </w:r>
    </w:p>
    <w:p w14:paraId="2F0FEEA0" w14:textId="291C701B" w:rsidR="0001041E" w:rsidRPr="0001041E" w:rsidRDefault="0001041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>Дирекциите, изпълняващи функциите на Управляващ орган, се подпомагат от дирекция „Биологично производство“, дирекция „Растениевъдство“, дирекция „Държавни помощи и регулации“ и дирекция „Идентификация на земеделските парцели“ в Министерството на земеделието и храните.</w:t>
      </w:r>
      <w:r w:rsidR="00470EE3">
        <w:rPr>
          <w:rFonts w:ascii="Times New Roman" w:hAnsi="Times New Roman"/>
          <w:sz w:val="24"/>
          <w:szCs w:val="24"/>
        </w:rPr>
        <w:t xml:space="preserve"> В тази връзка към техните основни функции ще се направи и допълнение по отношение подпомагането на Управляващ</w:t>
      </w:r>
      <w:r w:rsidR="0059424E">
        <w:rPr>
          <w:rFonts w:ascii="Times New Roman" w:hAnsi="Times New Roman"/>
          <w:sz w:val="24"/>
          <w:szCs w:val="24"/>
        </w:rPr>
        <w:t>ия орган на Стратегическия план, включително технически изменения за прецизиране на разпоредби.</w:t>
      </w:r>
      <w:r w:rsidR="003168EF" w:rsidRPr="003168EF">
        <w:t xml:space="preserve"> </w:t>
      </w:r>
      <w:r w:rsidR="003168EF" w:rsidRPr="003168EF">
        <w:rPr>
          <w:rFonts w:ascii="Times New Roman" w:hAnsi="Times New Roman"/>
          <w:sz w:val="24"/>
          <w:szCs w:val="24"/>
        </w:rPr>
        <w:t>Числеността на дирекция „Растениевъдство“ във връзка с новите функции ще се увеличи с 3 щатни бройки.</w:t>
      </w:r>
    </w:p>
    <w:p w14:paraId="1142337E" w14:textId="649C92BB" w:rsidR="0001041E" w:rsidRPr="0001041E" w:rsidRDefault="0001041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>Програмата за морско дело, рибарство и аквакултури 2021 – 2027 е одобрена от Европейската комисия на 23 ноември 2023 г. Тя е разработена съгласно разпоредбите и изискванията на Регламент (ЕС) 2021/1060 на Европейския парламент и на Съвета от 24 юни 2021 година за установяване на общоприложимите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аквакултури,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 (OB L 231, 30.6.2021 г.) (Регламент (ЕС) 2021/1060) и Регламент (ЕС) 2021/1139 на Европейския парламент и на Съвета от 7 юли 2021 година за създаване на Европейския фонд за морско дело, рибарство и аквакултури и за изменение на Регламент (ЕС) 2017/1004 (OB L 247, 13.7.2021 г.).</w:t>
      </w:r>
    </w:p>
    <w:p w14:paraId="3CF9024E" w14:textId="272517D1" w:rsidR="0001041E" w:rsidRDefault="0001041E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 xml:space="preserve">Предоставянето на подкрепа от </w:t>
      </w:r>
      <w:r w:rsidR="001A3602" w:rsidRPr="001A3602">
        <w:rPr>
          <w:rFonts w:ascii="Times New Roman" w:hAnsi="Times New Roman"/>
          <w:sz w:val="24"/>
          <w:szCs w:val="24"/>
        </w:rPr>
        <w:t>Европейския фонд за морско дело, рибарство и аквакултури</w:t>
      </w:r>
      <w:r w:rsidRPr="0001041E">
        <w:rPr>
          <w:rFonts w:ascii="Times New Roman" w:hAnsi="Times New Roman"/>
          <w:sz w:val="24"/>
          <w:szCs w:val="24"/>
        </w:rPr>
        <w:t xml:space="preserve"> ще допринесе за постигането на целите на Съюза в областта на околната среда и смекчаването на последиците от изменението на климата и адаптирането към него, както и за изпълнението на Общата политика </w:t>
      </w:r>
      <w:r w:rsidR="001A3602">
        <w:rPr>
          <w:rFonts w:ascii="Times New Roman" w:hAnsi="Times New Roman"/>
          <w:sz w:val="24"/>
          <w:szCs w:val="24"/>
        </w:rPr>
        <w:t>в областта на рибарството</w:t>
      </w:r>
      <w:r w:rsidRPr="0001041E">
        <w:rPr>
          <w:rFonts w:ascii="Times New Roman" w:hAnsi="Times New Roman"/>
          <w:sz w:val="24"/>
          <w:szCs w:val="24"/>
        </w:rPr>
        <w:t xml:space="preserve"> и на морската политика на </w:t>
      </w:r>
      <w:r w:rsidR="00470EE3">
        <w:rPr>
          <w:rFonts w:ascii="Times New Roman" w:hAnsi="Times New Roman"/>
          <w:sz w:val="24"/>
          <w:szCs w:val="24"/>
        </w:rPr>
        <w:t>Съюза, а това  налага уреждането на спецификата</w:t>
      </w:r>
      <w:r w:rsidR="0069185E">
        <w:rPr>
          <w:rFonts w:ascii="Times New Roman" w:hAnsi="Times New Roman"/>
          <w:sz w:val="24"/>
          <w:szCs w:val="24"/>
        </w:rPr>
        <w:t xml:space="preserve"> на</w:t>
      </w:r>
      <w:r w:rsidR="00470EE3">
        <w:rPr>
          <w:rFonts w:ascii="Times New Roman" w:hAnsi="Times New Roman"/>
          <w:sz w:val="24"/>
          <w:szCs w:val="24"/>
        </w:rPr>
        <w:t xml:space="preserve"> функциите на дирекция „Морско дело и рибарство“.</w:t>
      </w:r>
    </w:p>
    <w:p w14:paraId="6B9E85B1" w14:textId="71D318C6" w:rsidR="00470EE3" w:rsidRDefault="00470EE3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допълнение се </w:t>
      </w:r>
      <w:r w:rsidR="00F22CAA">
        <w:rPr>
          <w:rFonts w:ascii="Times New Roman" w:hAnsi="Times New Roman"/>
          <w:sz w:val="24"/>
          <w:szCs w:val="24"/>
        </w:rPr>
        <w:t xml:space="preserve">създава нов раздел за служител </w:t>
      </w:r>
      <w:r w:rsidR="00F22CAA" w:rsidRPr="00F22CAA">
        <w:rPr>
          <w:rFonts w:ascii="Times New Roman" w:hAnsi="Times New Roman"/>
          <w:sz w:val="24"/>
          <w:szCs w:val="24"/>
        </w:rPr>
        <w:t>по мрежова и информационна сигурност</w:t>
      </w:r>
      <w:r w:rsidR="005A7236">
        <w:rPr>
          <w:rFonts w:ascii="Times New Roman" w:hAnsi="Times New Roman"/>
          <w:sz w:val="24"/>
          <w:szCs w:val="24"/>
        </w:rPr>
        <w:t>, а функциите на дирекция „Информационно и комуникационно обслужване се прецизират“.</w:t>
      </w:r>
    </w:p>
    <w:p w14:paraId="4A6A469C" w14:textId="5F935E50" w:rsidR="005861EB" w:rsidRPr="005861EB" w:rsidRDefault="005861EB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Направени са и технически изменения във функциите на дирекции </w:t>
      </w:r>
      <w:r w:rsidR="0059424E">
        <w:rPr>
          <w:rFonts w:ascii="Times New Roman" w:hAnsi="Times New Roman"/>
          <w:sz w:val="24"/>
          <w:szCs w:val="24"/>
        </w:rPr>
        <w:t xml:space="preserve">„Правни дейности и законодателство на Европейския съюз“, </w:t>
      </w:r>
      <w:r>
        <w:rPr>
          <w:rFonts w:ascii="Times New Roman" w:hAnsi="Times New Roman"/>
          <w:sz w:val="24"/>
          <w:szCs w:val="24"/>
        </w:rPr>
        <w:t xml:space="preserve">„Анализ и стратегическо </w:t>
      </w:r>
      <w:r>
        <w:rPr>
          <w:rFonts w:ascii="Times New Roman" w:hAnsi="Times New Roman"/>
          <w:sz w:val="24"/>
          <w:szCs w:val="24"/>
        </w:rPr>
        <w:lastRenderedPageBreak/>
        <w:t>планиране“ и „Европейска координация и международни отношения“.</w:t>
      </w:r>
      <w:r w:rsidR="007E6C99">
        <w:rPr>
          <w:rFonts w:ascii="Times New Roman" w:hAnsi="Times New Roman"/>
          <w:sz w:val="24"/>
          <w:szCs w:val="24"/>
        </w:rPr>
        <w:t xml:space="preserve"> О</w:t>
      </w:r>
      <w:r w:rsidR="00543B45">
        <w:rPr>
          <w:rFonts w:ascii="Times New Roman" w:hAnsi="Times New Roman"/>
          <w:sz w:val="24"/>
          <w:szCs w:val="24"/>
        </w:rPr>
        <w:t>т</w:t>
      </w:r>
      <w:r w:rsidR="007E6C99">
        <w:rPr>
          <w:rFonts w:ascii="Times New Roman" w:hAnsi="Times New Roman"/>
          <w:sz w:val="24"/>
          <w:szCs w:val="24"/>
        </w:rPr>
        <w:t xml:space="preserve"> функциите на дирекция „Хид</w:t>
      </w:r>
      <w:r w:rsidR="002F6BF2">
        <w:rPr>
          <w:rFonts w:ascii="Times New Roman" w:hAnsi="Times New Roman"/>
          <w:sz w:val="24"/>
          <w:szCs w:val="24"/>
        </w:rPr>
        <w:t>ромелиорации“ отпадат т. 6 и 13 поради промени в текстовете на Закона за водите.</w:t>
      </w:r>
      <w:r w:rsidR="007E6C99">
        <w:rPr>
          <w:rFonts w:ascii="Times New Roman" w:hAnsi="Times New Roman"/>
          <w:sz w:val="24"/>
          <w:szCs w:val="24"/>
        </w:rPr>
        <w:t xml:space="preserve"> Понятието „Националнен</w:t>
      </w:r>
      <w:r w:rsidR="007E6C99" w:rsidRPr="007E6C99">
        <w:rPr>
          <w:rFonts w:ascii="Times New Roman" w:hAnsi="Times New Roman"/>
          <w:sz w:val="24"/>
          <w:szCs w:val="24"/>
        </w:rPr>
        <w:t xml:space="preserve"> водностопански план</w:t>
      </w:r>
      <w:r w:rsidR="007E6C99">
        <w:rPr>
          <w:rFonts w:ascii="Times New Roman" w:hAnsi="Times New Roman"/>
          <w:sz w:val="24"/>
          <w:szCs w:val="24"/>
        </w:rPr>
        <w:t xml:space="preserve">“ и „водностопански планове“ в Закона за водите е заменено с „планове за управление на речните басейни“, а същите са от функционалната компетентност на Министерството на околната среда и водите, и басейновите дирекции. На следващо място </w:t>
      </w:r>
      <w:r w:rsidR="007E6C99" w:rsidRPr="007E6C99">
        <w:rPr>
          <w:rFonts w:ascii="Times New Roman" w:hAnsi="Times New Roman"/>
          <w:sz w:val="24"/>
          <w:szCs w:val="24"/>
        </w:rPr>
        <w:t>концесионната политика в областта на земеделието</w:t>
      </w:r>
      <w:r w:rsidR="007E6C99">
        <w:rPr>
          <w:rFonts w:ascii="Times New Roman" w:hAnsi="Times New Roman"/>
          <w:sz w:val="24"/>
          <w:szCs w:val="24"/>
        </w:rPr>
        <w:t xml:space="preserve"> се администрира от дирекция „Стопански дейности и инвестиции“ в Министер</w:t>
      </w:r>
      <w:r w:rsidR="002F6BF2">
        <w:rPr>
          <w:rFonts w:ascii="Times New Roman" w:hAnsi="Times New Roman"/>
          <w:sz w:val="24"/>
          <w:szCs w:val="24"/>
        </w:rPr>
        <w:t>ството на земеделието и храните, което налага прецизирането.</w:t>
      </w:r>
      <w:r w:rsidR="00543B45">
        <w:rPr>
          <w:rFonts w:ascii="Times New Roman" w:hAnsi="Times New Roman"/>
          <w:sz w:val="24"/>
          <w:szCs w:val="24"/>
        </w:rPr>
        <w:t xml:space="preserve"> Числеността на дирекция „Х</w:t>
      </w:r>
      <w:r w:rsidR="003B7AEB">
        <w:rPr>
          <w:rFonts w:ascii="Times New Roman" w:hAnsi="Times New Roman"/>
          <w:sz w:val="24"/>
          <w:szCs w:val="24"/>
        </w:rPr>
        <w:t>идромелиорации“ се увеличава със 7</w:t>
      </w:r>
      <w:r w:rsidR="00543B45">
        <w:rPr>
          <w:rFonts w:ascii="Times New Roman" w:hAnsi="Times New Roman"/>
          <w:sz w:val="24"/>
          <w:szCs w:val="24"/>
        </w:rPr>
        <w:t xml:space="preserve"> щатни бройки за подобряване организацията на работа по отношение капиталово строителство, проектиране, изграждане, ремонт и реконструкция на хидромелиоративни обекти и </w:t>
      </w:r>
      <w:r w:rsidR="002F6BF2">
        <w:rPr>
          <w:rFonts w:ascii="Times New Roman" w:hAnsi="Times New Roman"/>
          <w:sz w:val="24"/>
          <w:szCs w:val="24"/>
        </w:rPr>
        <w:t xml:space="preserve">необходимостта от </w:t>
      </w:r>
      <w:r w:rsidR="00543B45">
        <w:rPr>
          <w:rFonts w:ascii="Times New Roman" w:hAnsi="Times New Roman"/>
          <w:sz w:val="24"/>
          <w:szCs w:val="24"/>
        </w:rPr>
        <w:t xml:space="preserve">назначаване на </w:t>
      </w:r>
      <w:r w:rsidR="002F6BF2">
        <w:rPr>
          <w:rFonts w:ascii="Times New Roman" w:hAnsi="Times New Roman"/>
          <w:sz w:val="24"/>
          <w:szCs w:val="24"/>
        </w:rPr>
        <w:t xml:space="preserve">допълнителни </w:t>
      </w:r>
      <w:r w:rsidR="00543B45">
        <w:rPr>
          <w:rFonts w:ascii="Times New Roman" w:hAnsi="Times New Roman"/>
          <w:sz w:val="24"/>
          <w:szCs w:val="24"/>
        </w:rPr>
        <w:t xml:space="preserve">експерти </w:t>
      </w:r>
      <w:r w:rsidR="001E7C65">
        <w:rPr>
          <w:rFonts w:ascii="Times New Roman" w:hAnsi="Times New Roman"/>
          <w:sz w:val="24"/>
          <w:szCs w:val="24"/>
        </w:rPr>
        <w:t xml:space="preserve">в областта на </w:t>
      </w:r>
      <w:r w:rsidR="00543B45">
        <w:rPr>
          <w:rFonts w:ascii="Times New Roman" w:hAnsi="Times New Roman"/>
          <w:sz w:val="24"/>
          <w:szCs w:val="24"/>
        </w:rPr>
        <w:t>хидромелиоративно строителство. По отношение функциите на дирекция „Поземлени отношения и комасация“ се създава нова функция за проверката на регистрираните правни основания за ползване на земеделските земи.</w:t>
      </w:r>
      <w:r w:rsidR="00543B45" w:rsidRPr="00543B45">
        <w:t xml:space="preserve"> </w:t>
      </w:r>
      <w:r w:rsidR="00543B45" w:rsidRPr="00543B45">
        <w:rPr>
          <w:rFonts w:ascii="Times New Roman" w:hAnsi="Times New Roman"/>
          <w:sz w:val="24"/>
          <w:szCs w:val="24"/>
        </w:rPr>
        <w:t>Дирекция „Поземле</w:t>
      </w:r>
      <w:r w:rsidR="00543B45">
        <w:rPr>
          <w:rFonts w:ascii="Times New Roman" w:hAnsi="Times New Roman"/>
          <w:sz w:val="24"/>
          <w:szCs w:val="24"/>
        </w:rPr>
        <w:t xml:space="preserve">ни отношения и комасация“ </w:t>
      </w:r>
      <w:r w:rsidR="00543B45" w:rsidRPr="00543B45">
        <w:rPr>
          <w:rFonts w:ascii="Times New Roman" w:hAnsi="Times New Roman"/>
          <w:sz w:val="24"/>
          <w:szCs w:val="24"/>
        </w:rPr>
        <w:t>е пряко ангажирана с провеждането на кампания за по</w:t>
      </w:r>
      <w:r w:rsidR="006B7165">
        <w:rPr>
          <w:rFonts w:ascii="Times New Roman" w:hAnsi="Times New Roman"/>
          <w:sz w:val="24"/>
          <w:szCs w:val="24"/>
        </w:rPr>
        <w:t xml:space="preserve">дпомагане за директни плащания </w:t>
      </w:r>
      <w:r w:rsidR="00543B45" w:rsidRPr="00543B45">
        <w:rPr>
          <w:rFonts w:ascii="Times New Roman" w:hAnsi="Times New Roman"/>
          <w:sz w:val="24"/>
          <w:szCs w:val="24"/>
        </w:rPr>
        <w:t>като осигурява зареждането в ИСАК на ДФЗ – РА на проверени, обработени и обобщени  данни за правни основания за ползване на земеделски площи, регистрирани по реда на чл. 41 от Закона за подпомагане</w:t>
      </w:r>
      <w:r w:rsidR="00543B45">
        <w:rPr>
          <w:rFonts w:ascii="Times New Roman" w:hAnsi="Times New Roman"/>
          <w:sz w:val="24"/>
          <w:szCs w:val="24"/>
        </w:rPr>
        <w:t xml:space="preserve"> на земеделските производители. </w:t>
      </w:r>
      <w:r w:rsidR="00543B45" w:rsidRPr="00543B45">
        <w:rPr>
          <w:rFonts w:ascii="Times New Roman" w:hAnsi="Times New Roman"/>
          <w:sz w:val="24"/>
          <w:szCs w:val="24"/>
        </w:rPr>
        <w:t>За настоящата кампания на базата на заредените от дирекция ПОК правни основания за ползване на земеделски площи за интервенция Основно подпомагане на</w:t>
      </w:r>
      <w:r w:rsidR="00543B45">
        <w:rPr>
          <w:rFonts w:ascii="Times New Roman" w:hAnsi="Times New Roman"/>
          <w:sz w:val="24"/>
          <w:szCs w:val="24"/>
        </w:rPr>
        <w:t xml:space="preserve"> доходите за устойчивост </w:t>
      </w:r>
      <w:r w:rsidR="00543B45" w:rsidRPr="00543B45">
        <w:rPr>
          <w:rFonts w:ascii="Times New Roman" w:hAnsi="Times New Roman"/>
          <w:sz w:val="24"/>
          <w:szCs w:val="24"/>
        </w:rPr>
        <w:t>са подадени 53 490 броя заявления за площ от 3 851 233 ха, както 46 859 бр. заявления за площ от 46 859 ха по интервенция за Допълнително преразпределително подпомагане на д</w:t>
      </w:r>
      <w:r w:rsidR="00543B45">
        <w:rPr>
          <w:rFonts w:ascii="Times New Roman" w:hAnsi="Times New Roman"/>
          <w:sz w:val="24"/>
          <w:szCs w:val="24"/>
        </w:rPr>
        <w:t>оходите за устойчивост</w:t>
      </w:r>
      <w:r w:rsidR="00543B45" w:rsidRPr="00543B45">
        <w:rPr>
          <w:rFonts w:ascii="Times New Roman" w:hAnsi="Times New Roman"/>
          <w:sz w:val="24"/>
          <w:szCs w:val="24"/>
        </w:rPr>
        <w:t>. Данните са заредени на етапи за целия период на кампанията – първо основно степенувано зареждане и 5 допълващи зареждания за настъпили промени в данните спрямо предходното предаване.</w:t>
      </w:r>
    </w:p>
    <w:p w14:paraId="04CD4A1A" w14:textId="2443E674" w:rsidR="00470EE3" w:rsidRPr="00704A1E" w:rsidRDefault="00BE0924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E0924">
        <w:rPr>
          <w:rFonts w:ascii="Times New Roman" w:hAnsi="Times New Roman"/>
          <w:sz w:val="24"/>
          <w:szCs w:val="24"/>
        </w:rPr>
        <w:t>Постановление № 125 на Министерския съвет от 2006 г. за приемане на Устройствен правилник на Министерството на земеделието и храните</w:t>
      </w:r>
      <w:r w:rsidRPr="00BE0924">
        <w:t xml:space="preserve"> </w:t>
      </w:r>
      <w:r w:rsidRPr="00BE0924">
        <w:rPr>
          <w:rFonts w:ascii="Times New Roman" w:hAnsi="Times New Roman"/>
          <w:sz w:val="24"/>
          <w:szCs w:val="24"/>
        </w:rPr>
        <w:t>се намалява щатната численост на</w:t>
      </w:r>
      <w:r>
        <w:t xml:space="preserve"> </w:t>
      </w:r>
      <w:bookmarkStart w:id="0" w:name="_GoBack"/>
      <w:bookmarkEnd w:id="0"/>
      <w:r w:rsidRPr="00BE0924">
        <w:rPr>
          <w:rFonts w:ascii="Times New Roman" w:hAnsi="Times New Roman"/>
          <w:sz w:val="24"/>
          <w:szCs w:val="24"/>
        </w:rPr>
        <w:t>Национална служба за съвети в земеделието</w:t>
      </w:r>
      <w:r w:rsidR="00F265FD">
        <w:rPr>
          <w:rFonts w:ascii="Times New Roman" w:hAnsi="Times New Roman"/>
          <w:sz w:val="24"/>
          <w:szCs w:val="24"/>
        </w:rPr>
        <w:t xml:space="preserve"> с 5</w:t>
      </w:r>
      <w:r w:rsidR="00543B45">
        <w:rPr>
          <w:rFonts w:ascii="Times New Roman" w:hAnsi="Times New Roman"/>
          <w:sz w:val="24"/>
          <w:szCs w:val="24"/>
        </w:rPr>
        <w:t xml:space="preserve"> щатни бройки, за да се осигури 1 бройка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BE0924">
        <w:rPr>
          <w:rFonts w:ascii="Times New Roman" w:hAnsi="Times New Roman"/>
          <w:sz w:val="24"/>
          <w:szCs w:val="24"/>
        </w:rPr>
        <w:t>служител по мрежова и информационна сигурност</w:t>
      </w:r>
      <w:r w:rsidR="00FB0E96">
        <w:rPr>
          <w:rFonts w:ascii="Times New Roman" w:hAnsi="Times New Roman"/>
          <w:sz w:val="24"/>
          <w:szCs w:val="24"/>
        </w:rPr>
        <w:t xml:space="preserve"> и 4</w:t>
      </w:r>
      <w:r w:rsidR="00543B45">
        <w:rPr>
          <w:rFonts w:ascii="Times New Roman" w:hAnsi="Times New Roman"/>
          <w:sz w:val="24"/>
          <w:szCs w:val="24"/>
        </w:rPr>
        <w:t xml:space="preserve"> бройки за дирекция „Хидромелиорации“</w:t>
      </w:r>
      <w:r>
        <w:rPr>
          <w:rFonts w:ascii="Times New Roman" w:hAnsi="Times New Roman"/>
          <w:sz w:val="24"/>
          <w:szCs w:val="24"/>
        </w:rPr>
        <w:t>.</w:t>
      </w:r>
      <w:r w:rsidR="00FB0E96">
        <w:rPr>
          <w:rFonts w:ascii="Times New Roman" w:hAnsi="Times New Roman"/>
          <w:sz w:val="24"/>
          <w:szCs w:val="24"/>
        </w:rPr>
        <w:t xml:space="preserve"> Допълнителни 3</w:t>
      </w:r>
      <w:r w:rsidR="00543B45">
        <w:rPr>
          <w:rFonts w:ascii="Times New Roman" w:hAnsi="Times New Roman"/>
          <w:sz w:val="24"/>
          <w:szCs w:val="24"/>
        </w:rPr>
        <w:t xml:space="preserve"> щатни бройки </w:t>
      </w:r>
      <w:r w:rsidR="00FB0E96" w:rsidRPr="00FB0E96">
        <w:rPr>
          <w:rFonts w:ascii="Times New Roman" w:hAnsi="Times New Roman"/>
          <w:sz w:val="24"/>
          <w:szCs w:val="24"/>
        </w:rPr>
        <w:t>за дирекция „Хидромелиорации“</w:t>
      </w:r>
      <w:r w:rsidR="00FB0E96">
        <w:rPr>
          <w:rFonts w:ascii="Times New Roman" w:hAnsi="Times New Roman"/>
          <w:sz w:val="24"/>
          <w:szCs w:val="24"/>
        </w:rPr>
        <w:t xml:space="preserve"> </w:t>
      </w:r>
      <w:r w:rsidR="00543B45">
        <w:rPr>
          <w:rFonts w:ascii="Times New Roman" w:hAnsi="Times New Roman"/>
          <w:sz w:val="24"/>
          <w:szCs w:val="24"/>
        </w:rPr>
        <w:t>се осигуряват с намаляване численост</w:t>
      </w:r>
      <w:r w:rsidR="00FB0E96">
        <w:rPr>
          <w:rFonts w:ascii="Times New Roman" w:hAnsi="Times New Roman"/>
          <w:sz w:val="24"/>
          <w:szCs w:val="24"/>
        </w:rPr>
        <w:t>та</w:t>
      </w:r>
      <w:r w:rsidR="00543B45">
        <w:rPr>
          <w:rFonts w:ascii="Times New Roman" w:hAnsi="Times New Roman"/>
          <w:sz w:val="24"/>
          <w:szCs w:val="24"/>
        </w:rPr>
        <w:t xml:space="preserve"> на Центъра за оценка на риска по хранителната верига.</w:t>
      </w:r>
      <w:r w:rsidR="003168EF" w:rsidRPr="003168EF">
        <w:t xml:space="preserve"> </w:t>
      </w:r>
      <w:r w:rsidR="00704A1E" w:rsidRPr="00704A1E">
        <w:rPr>
          <w:rFonts w:ascii="Times New Roman" w:hAnsi="Times New Roman"/>
          <w:sz w:val="24"/>
          <w:szCs w:val="24"/>
        </w:rPr>
        <w:t xml:space="preserve">От Почивна база „Ведра“ – Витоша се осигуряват 2 щатни бройки и от Изпълнителна агенция по сортоизпитване, апробация и семеконтрол </w:t>
      </w:r>
      <w:r w:rsidR="00704A1E" w:rsidRPr="00704A1E">
        <w:rPr>
          <w:rFonts w:ascii="Times New Roman" w:hAnsi="Times New Roman"/>
          <w:sz w:val="24"/>
          <w:szCs w:val="24"/>
        </w:rPr>
        <w:lastRenderedPageBreak/>
        <w:t>1 щатна бройка, за да се увеличи с 3 бройки числеността на дирекция „Растениевъдство“.</w:t>
      </w:r>
    </w:p>
    <w:p w14:paraId="0FF3DB5E" w14:textId="77777777" w:rsidR="00783C14" w:rsidRPr="001A3602" w:rsidRDefault="00783C14" w:rsidP="00A30ED9">
      <w:pPr>
        <w:suppressAutoHyphens w:val="0"/>
        <w:autoSpaceDN/>
        <w:spacing w:after="0" w:line="36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A3602">
        <w:rPr>
          <w:rFonts w:ascii="Times New Roman" w:hAnsi="Times New Roman"/>
          <w:sz w:val="24"/>
          <w:szCs w:val="24"/>
        </w:rPr>
        <w:t>Проектът е включен в оперативната програма на Министерския съвет за периода април – юни 2025 г. и е предвиден за разглеждане на заседание на Министерския съвет през месец юни 2025 г.</w:t>
      </w:r>
    </w:p>
    <w:p w14:paraId="68159195" w14:textId="77777777" w:rsidR="00783C14" w:rsidRDefault="00783C14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1F8EB2" w14:textId="09145650" w:rsidR="009E2779" w:rsidRPr="000A31C9" w:rsidRDefault="008B40CA" w:rsidP="00A30ED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1C9">
        <w:rPr>
          <w:rFonts w:ascii="Times New Roman" w:hAnsi="Times New Roman"/>
          <w:b/>
          <w:sz w:val="24"/>
          <w:szCs w:val="24"/>
        </w:rPr>
        <w:t>Цели</w:t>
      </w:r>
    </w:p>
    <w:p w14:paraId="395A88B7" w14:textId="469A2EFC" w:rsidR="0001041E" w:rsidRPr="0001041E" w:rsidRDefault="0001041E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>Уреждане на функциите на Управляващия орган на Стратегическия план за развитие на земеделието и селските райони на Република България за периода 2023 – 2027 и на Управляващ орган на Програмата за морско дело, рибарство и аквакултури 2021 – 2027 г.</w:t>
      </w:r>
    </w:p>
    <w:p w14:paraId="4BD82203" w14:textId="2191D4A5" w:rsidR="00054ECC" w:rsidRDefault="0001041E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1E">
        <w:rPr>
          <w:rFonts w:ascii="Times New Roman" w:hAnsi="Times New Roman"/>
          <w:sz w:val="24"/>
          <w:szCs w:val="24"/>
        </w:rPr>
        <w:t>Осигуряване на ефективно функциониране на администрацията на министерството и подобряване организацията на работа на дирекциите, изпълняващи функциите на Управляващ орган на Стратегическия план и на подпомагащите дирекции и на Управляващ орган на Програмата за морско дело, рибарство и аквакултури 2021 – 2027 г.</w:t>
      </w:r>
    </w:p>
    <w:p w14:paraId="72977DA1" w14:textId="77777777" w:rsidR="00470EE3" w:rsidRPr="000A31C9" w:rsidRDefault="00470EE3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913918" w14:textId="36430257" w:rsidR="008B40CA" w:rsidRPr="003F55B7" w:rsidRDefault="008B40CA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55B7">
        <w:rPr>
          <w:rFonts w:ascii="Times New Roman" w:hAnsi="Times New Roman"/>
          <w:b/>
          <w:sz w:val="24"/>
          <w:szCs w:val="24"/>
        </w:rPr>
        <w:t>Финансови и други средства, необходими за прилагането на новата уредба</w:t>
      </w:r>
    </w:p>
    <w:p w14:paraId="67B0AFCD" w14:textId="486CC5E3" w:rsidR="00B25520" w:rsidRPr="00F44C06" w:rsidRDefault="00E85FF2" w:rsidP="00A30ED9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F44C06">
        <w:rPr>
          <w:rFonts w:ascii="Times New Roman" w:hAnsi="Times New Roman"/>
          <w:spacing w:val="2"/>
          <w:sz w:val="24"/>
          <w:szCs w:val="24"/>
        </w:rPr>
        <w:t>Към проект</w:t>
      </w:r>
      <w:r w:rsidR="00054ECC" w:rsidRPr="00F44C06">
        <w:rPr>
          <w:rFonts w:ascii="Times New Roman" w:hAnsi="Times New Roman"/>
          <w:spacing w:val="2"/>
          <w:sz w:val="24"/>
          <w:szCs w:val="24"/>
        </w:rPr>
        <w:t>а</w:t>
      </w:r>
      <w:r w:rsidR="00287C15" w:rsidRPr="00F44C0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44C06">
        <w:rPr>
          <w:rFonts w:ascii="Times New Roman" w:hAnsi="Times New Roman"/>
          <w:spacing w:val="2"/>
          <w:sz w:val="24"/>
          <w:szCs w:val="24"/>
        </w:rPr>
        <w:t xml:space="preserve">на </w:t>
      </w:r>
      <w:r w:rsidR="0028254E" w:rsidRPr="00F44C06">
        <w:rPr>
          <w:rFonts w:ascii="Times New Roman" w:hAnsi="Times New Roman"/>
          <w:spacing w:val="2"/>
          <w:sz w:val="24"/>
          <w:szCs w:val="24"/>
        </w:rPr>
        <w:t>постановлени</w:t>
      </w:r>
      <w:r w:rsidR="0072246E" w:rsidRPr="00F44C06">
        <w:rPr>
          <w:rFonts w:ascii="Times New Roman" w:hAnsi="Times New Roman"/>
          <w:spacing w:val="2"/>
          <w:sz w:val="24"/>
          <w:szCs w:val="24"/>
        </w:rPr>
        <w:t>е</w:t>
      </w:r>
      <w:r w:rsidRPr="00F44C0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54ECC" w:rsidRPr="00F44C06">
        <w:rPr>
          <w:rFonts w:ascii="Times New Roman" w:hAnsi="Times New Roman"/>
          <w:spacing w:val="2"/>
          <w:sz w:val="24"/>
          <w:szCs w:val="24"/>
        </w:rPr>
        <w:t>на Министерския съвет е приложен</w:t>
      </w:r>
      <w:r w:rsidR="00847233" w:rsidRPr="00F44C06">
        <w:rPr>
          <w:rFonts w:ascii="Times New Roman" w:hAnsi="Times New Roman"/>
          <w:spacing w:val="2"/>
          <w:sz w:val="24"/>
          <w:szCs w:val="24"/>
        </w:rPr>
        <w:t>а</w:t>
      </w:r>
      <w:r w:rsidR="00054ECC" w:rsidRPr="00F44C06">
        <w:rPr>
          <w:rFonts w:ascii="Times New Roman" w:hAnsi="Times New Roman"/>
          <w:spacing w:val="2"/>
          <w:sz w:val="24"/>
          <w:szCs w:val="24"/>
        </w:rPr>
        <w:t xml:space="preserve"> финансова обосновка</w:t>
      </w:r>
      <w:r w:rsidRPr="00F44C06">
        <w:rPr>
          <w:rFonts w:ascii="Times New Roman" w:hAnsi="Times New Roman"/>
          <w:spacing w:val="2"/>
          <w:sz w:val="24"/>
          <w:szCs w:val="24"/>
        </w:rPr>
        <w:t xml:space="preserve"> за актове, които не водят до въздействие върху държавния бюджет, съгласно чл. 35, ал. 1, т. 4, буква „б“ от Устройствения правилник на Министерския съв</w:t>
      </w:r>
      <w:r w:rsidR="003F55B7" w:rsidRPr="00F44C06">
        <w:rPr>
          <w:rFonts w:ascii="Times New Roman" w:hAnsi="Times New Roman"/>
          <w:spacing w:val="2"/>
          <w:sz w:val="24"/>
          <w:szCs w:val="24"/>
        </w:rPr>
        <w:t>ет и на неговата администрация.</w:t>
      </w:r>
    </w:p>
    <w:p w14:paraId="3C754D0D" w14:textId="58F12AB0" w:rsidR="00D75F48" w:rsidRPr="00F44C06" w:rsidRDefault="00D75F48" w:rsidP="00A30ED9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F44C06">
        <w:rPr>
          <w:rFonts w:ascii="Times New Roman" w:hAnsi="Times New Roman"/>
          <w:spacing w:val="2"/>
          <w:sz w:val="24"/>
          <w:szCs w:val="24"/>
        </w:rPr>
        <w:t>Проект</w:t>
      </w:r>
      <w:r w:rsidR="00AE3E01" w:rsidRPr="00F44C06">
        <w:rPr>
          <w:rFonts w:ascii="Times New Roman" w:hAnsi="Times New Roman"/>
          <w:spacing w:val="2"/>
          <w:sz w:val="24"/>
          <w:szCs w:val="24"/>
        </w:rPr>
        <w:t>ът</w:t>
      </w:r>
      <w:r w:rsidRPr="00F44C06">
        <w:rPr>
          <w:rFonts w:ascii="Times New Roman" w:hAnsi="Times New Roman"/>
          <w:spacing w:val="2"/>
          <w:sz w:val="24"/>
          <w:szCs w:val="24"/>
        </w:rPr>
        <w:t xml:space="preserve"> на акт не води до изменения в целевите стойности на показателите за изпълнени</w:t>
      </w:r>
      <w:r w:rsidR="003F55B7" w:rsidRPr="00F44C06">
        <w:rPr>
          <w:rFonts w:ascii="Times New Roman" w:hAnsi="Times New Roman"/>
          <w:spacing w:val="2"/>
          <w:sz w:val="24"/>
          <w:szCs w:val="24"/>
        </w:rPr>
        <w:t>е, в т.ч. ключовите индикатори.</w:t>
      </w:r>
    </w:p>
    <w:p w14:paraId="641405F1" w14:textId="0A5B7576" w:rsidR="00723727" w:rsidRPr="00F44C06" w:rsidRDefault="00D75F48" w:rsidP="00A30ED9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F44C06">
        <w:rPr>
          <w:rFonts w:ascii="Times New Roman" w:hAnsi="Times New Roman"/>
          <w:spacing w:val="2"/>
          <w:sz w:val="24"/>
          <w:szCs w:val="24"/>
        </w:rPr>
        <w:t>Предложеният проект на акт не води до въздействие върху държавния бюджет.</w:t>
      </w:r>
    </w:p>
    <w:p w14:paraId="71B5DE18" w14:textId="77777777" w:rsidR="0056345F" w:rsidRPr="000A31C9" w:rsidRDefault="0056345F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33D55B" w14:textId="7ABD5AD6" w:rsidR="008B40CA" w:rsidRPr="000A31C9" w:rsidRDefault="008B40CA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1C9">
        <w:rPr>
          <w:rFonts w:ascii="Times New Roman" w:hAnsi="Times New Roman"/>
          <w:b/>
          <w:sz w:val="24"/>
          <w:szCs w:val="24"/>
        </w:rPr>
        <w:t>Очаквани резултати от прилагането на акта</w:t>
      </w:r>
    </w:p>
    <w:p w14:paraId="21B1B966" w14:textId="242BACF9" w:rsidR="004341CE" w:rsidRPr="00F44C06" w:rsidRDefault="0001041E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F44C06">
        <w:rPr>
          <w:rFonts w:ascii="Times New Roman" w:hAnsi="Times New Roman"/>
          <w:spacing w:val="2"/>
          <w:sz w:val="24"/>
          <w:szCs w:val="24"/>
        </w:rPr>
        <w:t>Ще се уредят функциите на дирекциите от Управляващия орган на Стратегическия план: дирекция „Директни плащания“ „Развитие на селските райони“ „Пазарни мерки и организации на производители“ и „Животновъдств</w:t>
      </w:r>
      <w:r w:rsidR="008160BB" w:rsidRPr="00F44C06">
        <w:rPr>
          <w:rFonts w:ascii="Times New Roman" w:hAnsi="Times New Roman"/>
          <w:spacing w:val="2"/>
          <w:sz w:val="24"/>
          <w:szCs w:val="24"/>
        </w:rPr>
        <w:t>о“ и на подпомагащите дирекции:</w:t>
      </w:r>
      <w:r w:rsidRPr="00F44C06">
        <w:rPr>
          <w:rFonts w:ascii="Times New Roman" w:hAnsi="Times New Roman"/>
          <w:spacing w:val="2"/>
          <w:sz w:val="24"/>
          <w:szCs w:val="24"/>
        </w:rPr>
        <w:t xml:space="preserve"> „Биологично производство“, „Растениевъдство“, „Държавни </w:t>
      </w:r>
      <w:r w:rsidR="008160BB" w:rsidRPr="00F44C06">
        <w:rPr>
          <w:rFonts w:ascii="Times New Roman" w:hAnsi="Times New Roman"/>
          <w:spacing w:val="2"/>
          <w:sz w:val="24"/>
          <w:szCs w:val="24"/>
        </w:rPr>
        <w:t xml:space="preserve">помощи и регулации“ и </w:t>
      </w:r>
      <w:r w:rsidRPr="00F44C06">
        <w:rPr>
          <w:rFonts w:ascii="Times New Roman" w:hAnsi="Times New Roman"/>
          <w:spacing w:val="2"/>
          <w:sz w:val="24"/>
          <w:szCs w:val="24"/>
        </w:rPr>
        <w:t>„Идентификация на земеделските парцели“.</w:t>
      </w:r>
    </w:p>
    <w:p w14:paraId="353D25F1" w14:textId="77777777" w:rsidR="00FB0E96" w:rsidRDefault="0001041E" w:rsidP="00A30ED9">
      <w:pPr>
        <w:widowControl w:val="0"/>
        <w:autoSpaceDE w:val="0"/>
        <w:spacing w:after="0" w:line="360" w:lineRule="auto"/>
        <w:ind w:firstLine="709"/>
        <w:jc w:val="both"/>
      </w:pPr>
      <w:r w:rsidRPr="00F44C06">
        <w:rPr>
          <w:rFonts w:ascii="Times New Roman" w:hAnsi="Times New Roman"/>
          <w:spacing w:val="2"/>
          <w:sz w:val="24"/>
          <w:szCs w:val="24"/>
        </w:rPr>
        <w:t>Ще се уредят функциите на дирекция „Морско дело и рибарство“, като Управляващ орган на Програмата за морско дело, рибарство и аквакултури 2021 – 2027 г.</w:t>
      </w:r>
      <w:r w:rsidR="00FB0E96" w:rsidRPr="00FB0E96">
        <w:t xml:space="preserve"> </w:t>
      </w:r>
    </w:p>
    <w:p w14:paraId="3D6B1414" w14:textId="2070D86A" w:rsidR="0001041E" w:rsidRPr="0001041E" w:rsidRDefault="00FB0E96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FB0E96">
        <w:rPr>
          <w:rFonts w:ascii="Times New Roman" w:hAnsi="Times New Roman"/>
          <w:sz w:val="24"/>
          <w:szCs w:val="24"/>
        </w:rPr>
        <w:lastRenderedPageBreak/>
        <w:t xml:space="preserve">Ще се уредят функциите на </w:t>
      </w:r>
      <w:r w:rsidRPr="00FB0E96">
        <w:rPr>
          <w:rFonts w:ascii="Times New Roman" w:hAnsi="Times New Roman"/>
          <w:spacing w:val="2"/>
          <w:sz w:val="24"/>
          <w:szCs w:val="24"/>
        </w:rPr>
        <w:t>служител по мрежова и информационна сигурност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14:paraId="2203F17F" w14:textId="77777777" w:rsidR="00F44C06" w:rsidRPr="000A31C9" w:rsidRDefault="00F44C06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D614FD2" w14:textId="16BE8828" w:rsidR="008B40CA" w:rsidRPr="000A31C9" w:rsidRDefault="008B40CA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1C9">
        <w:rPr>
          <w:rFonts w:ascii="Times New Roman" w:hAnsi="Times New Roman"/>
          <w:b/>
          <w:sz w:val="24"/>
          <w:szCs w:val="24"/>
        </w:rPr>
        <w:t>Анализ за съответствие с правото на Европейския съюз</w:t>
      </w:r>
    </w:p>
    <w:p w14:paraId="69855634" w14:textId="4975276E" w:rsidR="00632D04" w:rsidRPr="000A31C9" w:rsidRDefault="00054ECC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проекта</w:t>
      </w:r>
      <w:r w:rsidR="0072246E">
        <w:rPr>
          <w:rFonts w:ascii="Times New Roman" w:hAnsi="Times New Roman"/>
          <w:sz w:val="24"/>
          <w:szCs w:val="24"/>
        </w:rPr>
        <w:t xml:space="preserve"> на постановление</w:t>
      </w:r>
      <w:r w:rsidR="00E71DF3" w:rsidRPr="000A31C9">
        <w:rPr>
          <w:rFonts w:ascii="Times New Roman" w:hAnsi="Times New Roman"/>
          <w:sz w:val="24"/>
          <w:szCs w:val="24"/>
        </w:rPr>
        <w:t xml:space="preserve"> не се транспонират</w:t>
      </w:r>
      <w:r w:rsidR="00B52F0D" w:rsidRPr="000A31C9">
        <w:rPr>
          <w:rFonts w:ascii="Times New Roman" w:hAnsi="Times New Roman"/>
          <w:sz w:val="24"/>
          <w:szCs w:val="24"/>
        </w:rPr>
        <w:t xml:space="preserve"> нормативни</w:t>
      </w:r>
      <w:r w:rsidR="00E71DF3" w:rsidRPr="000A31C9">
        <w:rPr>
          <w:rFonts w:ascii="Times New Roman" w:hAnsi="Times New Roman"/>
          <w:sz w:val="24"/>
          <w:szCs w:val="24"/>
        </w:rPr>
        <w:t xml:space="preserve">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14:paraId="2942F75C" w14:textId="77777777" w:rsidR="00754D44" w:rsidRPr="000A31C9" w:rsidRDefault="00754D44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93C863" w14:textId="74F6EB00" w:rsidR="008B40CA" w:rsidRPr="000A31C9" w:rsidRDefault="008B40CA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1C9">
        <w:rPr>
          <w:rFonts w:ascii="Times New Roman" w:hAnsi="Times New Roman"/>
          <w:b/>
          <w:sz w:val="24"/>
          <w:szCs w:val="24"/>
        </w:rPr>
        <w:t>Информация за проведените обществени консултации</w:t>
      </w:r>
    </w:p>
    <w:p w14:paraId="077B7C86" w14:textId="49141D4B" w:rsidR="009D43E2" w:rsidRPr="000A31C9" w:rsidRDefault="009D43E2" w:rsidP="00A30ED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По проекта на</w:t>
      </w:r>
      <w:r w:rsidR="00A86464" w:rsidRPr="000A31C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41F1C" w:rsidRPr="000A31C9">
        <w:rPr>
          <w:rFonts w:ascii="Times New Roman" w:hAnsi="Times New Roman"/>
          <w:sz w:val="24"/>
          <w:szCs w:val="24"/>
          <w:lang w:eastAsia="bg-BG"/>
        </w:rPr>
        <w:t xml:space="preserve">Постановление за </w:t>
      </w:r>
      <w:r w:rsidR="00054ECC">
        <w:rPr>
          <w:rFonts w:ascii="Times New Roman" w:hAnsi="Times New Roman"/>
          <w:sz w:val="24"/>
          <w:szCs w:val="24"/>
          <w:lang w:eastAsia="bg-BG"/>
        </w:rPr>
        <w:t xml:space="preserve">изменение и допълнение на нормативни актове на Министерския съвет </w:t>
      </w:r>
      <w:r w:rsidRPr="000A31C9">
        <w:rPr>
          <w:rFonts w:ascii="Times New Roman" w:hAnsi="Times New Roman"/>
          <w:sz w:val="24"/>
          <w:szCs w:val="24"/>
        </w:rPr>
        <w:t xml:space="preserve">са проведени обществени консултации съгласно </w:t>
      </w:r>
      <w:r w:rsidR="0068245B" w:rsidRPr="000A31C9">
        <w:rPr>
          <w:rFonts w:ascii="Times New Roman" w:hAnsi="Times New Roman"/>
          <w:sz w:val="24"/>
          <w:szCs w:val="24"/>
        </w:rPr>
        <w:br/>
      </w:r>
      <w:r w:rsidRPr="000A31C9">
        <w:rPr>
          <w:rFonts w:ascii="Times New Roman" w:hAnsi="Times New Roman"/>
          <w:sz w:val="24"/>
          <w:szCs w:val="24"/>
        </w:rPr>
        <w:t>чл. 26, ал. 3</w:t>
      </w:r>
      <w:r w:rsidR="008D00DC" w:rsidRPr="000A31C9">
        <w:rPr>
          <w:rFonts w:ascii="Times New Roman" w:hAnsi="Times New Roman"/>
          <w:sz w:val="24"/>
          <w:szCs w:val="24"/>
        </w:rPr>
        <w:t xml:space="preserve"> и 4</w:t>
      </w:r>
      <w:r w:rsidRPr="000A31C9">
        <w:rPr>
          <w:rFonts w:ascii="Times New Roman" w:hAnsi="Times New Roman"/>
          <w:sz w:val="24"/>
          <w:szCs w:val="24"/>
        </w:rPr>
        <w:t xml:space="preserve"> от Закона за нормативните актове, като</w:t>
      </w:r>
      <w:r w:rsidR="00B41F1C" w:rsidRPr="000A31C9">
        <w:rPr>
          <w:rFonts w:ascii="Times New Roman" w:hAnsi="Times New Roman"/>
          <w:sz w:val="24"/>
          <w:szCs w:val="24"/>
        </w:rPr>
        <w:t xml:space="preserve"> докладът</w:t>
      </w:r>
      <w:r w:rsidR="00B26BF0" w:rsidRPr="000A31C9">
        <w:rPr>
          <w:rFonts w:ascii="Times New Roman" w:hAnsi="Times New Roman"/>
          <w:sz w:val="24"/>
          <w:szCs w:val="24"/>
        </w:rPr>
        <w:t xml:space="preserve"> (мотивите)</w:t>
      </w:r>
      <w:r w:rsidR="002A121F" w:rsidRPr="000A31C9">
        <w:rPr>
          <w:rFonts w:ascii="Times New Roman" w:hAnsi="Times New Roman"/>
          <w:sz w:val="24"/>
          <w:szCs w:val="24"/>
        </w:rPr>
        <w:t>,</w:t>
      </w:r>
      <w:r w:rsidRPr="000A31C9">
        <w:rPr>
          <w:rFonts w:ascii="Times New Roman" w:hAnsi="Times New Roman"/>
          <w:sz w:val="24"/>
          <w:szCs w:val="24"/>
        </w:rPr>
        <w:t xml:space="preserve"> </w:t>
      </w:r>
      <w:r w:rsidR="00B41F1C" w:rsidRPr="000A31C9">
        <w:rPr>
          <w:rFonts w:ascii="Times New Roman" w:hAnsi="Times New Roman"/>
          <w:sz w:val="24"/>
          <w:szCs w:val="24"/>
        </w:rPr>
        <w:t>проектът на постановление</w:t>
      </w:r>
      <w:r w:rsidR="002A121F" w:rsidRPr="000A31C9">
        <w:rPr>
          <w:rFonts w:ascii="Times New Roman" w:hAnsi="Times New Roman"/>
          <w:sz w:val="24"/>
          <w:szCs w:val="24"/>
        </w:rPr>
        <w:t>,</w:t>
      </w:r>
      <w:r w:rsidRPr="000A31C9">
        <w:rPr>
          <w:rFonts w:ascii="Times New Roman" w:hAnsi="Times New Roman"/>
          <w:sz w:val="24"/>
          <w:szCs w:val="24"/>
        </w:rPr>
        <w:t xml:space="preserve"> </w:t>
      </w:r>
      <w:r w:rsidR="002A121F" w:rsidRPr="000A31C9">
        <w:rPr>
          <w:rFonts w:ascii="Times New Roman" w:hAnsi="Times New Roman"/>
          <w:sz w:val="24"/>
          <w:szCs w:val="24"/>
        </w:rPr>
        <w:t>частичната предварителна</w:t>
      </w:r>
      <w:r w:rsidRPr="000A31C9">
        <w:rPr>
          <w:rFonts w:ascii="Times New Roman" w:hAnsi="Times New Roman"/>
          <w:sz w:val="24"/>
          <w:szCs w:val="24"/>
        </w:rPr>
        <w:t xml:space="preserve"> оценка на въздействието и становището на дирекция </w:t>
      </w:r>
      <w:r w:rsidRPr="001A3602">
        <w:rPr>
          <w:rFonts w:ascii="Times New Roman" w:hAnsi="Times New Roman"/>
          <w:sz w:val="24"/>
          <w:szCs w:val="24"/>
        </w:rPr>
        <w:t>„</w:t>
      </w:r>
      <w:r w:rsidR="00754D44" w:rsidRPr="001A3602">
        <w:rPr>
          <w:rFonts w:ascii="Times New Roman" w:hAnsi="Times New Roman"/>
          <w:sz w:val="24"/>
          <w:szCs w:val="24"/>
        </w:rPr>
        <w:t>Координация и модернизация на администрацията</w:t>
      </w:r>
      <w:r w:rsidRPr="001A3602">
        <w:rPr>
          <w:rFonts w:ascii="Times New Roman" w:hAnsi="Times New Roman"/>
          <w:sz w:val="24"/>
          <w:szCs w:val="24"/>
        </w:rPr>
        <w:t>“</w:t>
      </w:r>
      <w:r w:rsidR="002A121F" w:rsidRPr="001A3602">
        <w:rPr>
          <w:rFonts w:ascii="Times New Roman" w:hAnsi="Times New Roman"/>
          <w:sz w:val="24"/>
          <w:szCs w:val="24"/>
        </w:rPr>
        <w:t xml:space="preserve"> </w:t>
      </w:r>
      <w:r w:rsidR="009D06BE" w:rsidRPr="000A31C9">
        <w:rPr>
          <w:rFonts w:ascii="Times New Roman" w:hAnsi="Times New Roman"/>
          <w:sz w:val="24"/>
          <w:szCs w:val="24"/>
        </w:rPr>
        <w:t>в</w:t>
      </w:r>
      <w:r w:rsidRPr="000A31C9">
        <w:rPr>
          <w:rFonts w:ascii="Times New Roman" w:hAnsi="Times New Roman"/>
          <w:sz w:val="24"/>
          <w:szCs w:val="24"/>
        </w:rPr>
        <w:t xml:space="preserve"> Министерския съвет по </w:t>
      </w:r>
      <w:r w:rsidR="002A121F" w:rsidRPr="000A31C9">
        <w:rPr>
          <w:rFonts w:ascii="Times New Roman" w:hAnsi="Times New Roman"/>
          <w:sz w:val="24"/>
          <w:szCs w:val="24"/>
        </w:rPr>
        <w:t xml:space="preserve">частичната предварителна </w:t>
      </w:r>
      <w:r w:rsidRPr="000A31C9">
        <w:rPr>
          <w:rFonts w:ascii="Times New Roman" w:hAnsi="Times New Roman"/>
          <w:sz w:val="24"/>
          <w:szCs w:val="24"/>
        </w:rPr>
        <w:t>оценка на въздействието са публикувани на интернет страницата на</w:t>
      </w:r>
      <w:r w:rsidR="009D06BE" w:rsidRPr="000A31C9">
        <w:rPr>
          <w:rFonts w:ascii="Times New Roman" w:hAnsi="Times New Roman"/>
          <w:sz w:val="24"/>
          <w:szCs w:val="24"/>
        </w:rPr>
        <w:t xml:space="preserve"> Министерството на земеделието</w:t>
      </w:r>
      <w:r w:rsidR="00054ECC">
        <w:rPr>
          <w:rFonts w:ascii="Times New Roman" w:hAnsi="Times New Roman"/>
          <w:sz w:val="24"/>
          <w:szCs w:val="24"/>
        </w:rPr>
        <w:t xml:space="preserve"> и храните</w:t>
      </w:r>
      <w:r w:rsidR="009D06BE" w:rsidRPr="000A31C9">
        <w:rPr>
          <w:rFonts w:ascii="Times New Roman" w:hAnsi="Times New Roman"/>
          <w:sz w:val="24"/>
          <w:szCs w:val="24"/>
        </w:rPr>
        <w:t xml:space="preserve"> </w:t>
      </w:r>
      <w:r w:rsidRPr="000A31C9">
        <w:rPr>
          <w:rFonts w:ascii="Times New Roman" w:hAnsi="Times New Roman"/>
          <w:sz w:val="24"/>
          <w:szCs w:val="24"/>
        </w:rPr>
        <w:t xml:space="preserve">и на Портала за обществени консултации, със срок за </w:t>
      </w:r>
      <w:r w:rsidR="00C81771" w:rsidRPr="000A31C9">
        <w:rPr>
          <w:rFonts w:ascii="Times New Roman" w:hAnsi="Times New Roman"/>
          <w:sz w:val="24"/>
          <w:szCs w:val="24"/>
        </w:rPr>
        <w:t xml:space="preserve">предложения и становища </w:t>
      </w:r>
      <w:r w:rsidR="00B41F1C" w:rsidRPr="000A31C9">
        <w:rPr>
          <w:rFonts w:ascii="Times New Roman" w:hAnsi="Times New Roman"/>
          <w:sz w:val="24"/>
          <w:szCs w:val="24"/>
        </w:rPr>
        <w:t>30</w:t>
      </w:r>
      <w:r w:rsidR="00200074" w:rsidRPr="000A31C9">
        <w:rPr>
          <w:rFonts w:ascii="Times New Roman" w:hAnsi="Times New Roman"/>
          <w:sz w:val="24"/>
          <w:szCs w:val="24"/>
        </w:rPr>
        <w:t xml:space="preserve"> дни.</w:t>
      </w:r>
    </w:p>
    <w:p w14:paraId="44DDFC77" w14:textId="30EFBA27" w:rsidR="0068245B" w:rsidRPr="000A31C9" w:rsidRDefault="0068245B" w:rsidP="00A30ED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 xml:space="preserve">В </w:t>
      </w:r>
      <w:r w:rsidR="00BD061E">
        <w:rPr>
          <w:rFonts w:ascii="Times New Roman" w:hAnsi="Times New Roman"/>
          <w:sz w:val="24"/>
          <w:szCs w:val="24"/>
        </w:rPr>
        <w:t>изпълнение на</w:t>
      </w:r>
      <w:r w:rsidRPr="000A31C9">
        <w:rPr>
          <w:rFonts w:ascii="Times New Roman" w:hAnsi="Times New Roman"/>
          <w:sz w:val="24"/>
          <w:szCs w:val="24"/>
        </w:rPr>
        <w:t xml:space="preserve"> чл. 26, ал. 5 от Закона за нормативните актове справката за отразяване на постъпилите предложения и становища от обществена</w:t>
      </w:r>
      <w:r w:rsidR="0072246E">
        <w:rPr>
          <w:rFonts w:ascii="Times New Roman" w:hAnsi="Times New Roman"/>
          <w:sz w:val="24"/>
          <w:szCs w:val="24"/>
        </w:rPr>
        <w:t>та</w:t>
      </w:r>
      <w:r w:rsidRPr="000A31C9">
        <w:rPr>
          <w:rFonts w:ascii="Times New Roman" w:hAnsi="Times New Roman"/>
          <w:sz w:val="24"/>
          <w:szCs w:val="24"/>
        </w:rPr>
        <w:t xml:space="preserve"> консултация, заедно с обосновка за неприетите предложения е публикувана на интернет страницата на Министерството на земеделието</w:t>
      </w:r>
      <w:r w:rsidR="00054ECC">
        <w:rPr>
          <w:rFonts w:ascii="Times New Roman" w:hAnsi="Times New Roman"/>
          <w:sz w:val="24"/>
          <w:szCs w:val="24"/>
        </w:rPr>
        <w:t xml:space="preserve"> и храните</w:t>
      </w:r>
      <w:r w:rsidRPr="000A31C9">
        <w:rPr>
          <w:rFonts w:ascii="Times New Roman" w:hAnsi="Times New Roman"/>
          <w:sz w:val="24"/>
          <w:szCs w:val="24"/>
        </w:rPr>
        <w:t xml:space="preserve"> и на Пор</w:t>
      </w:r>
      <w:r w:rsidR="0072246E">
        <w:rPr>
          <w:rFonts w:ascii="Times New Roman" w:hAnsi="Times New Roman"/>
          <w:sz w:val="24"/>
          <w:szCs w:val="24"/>
        </w:rPr>
        <w:t>тала за обществени консултации.</w:t>
      </w:r>
    </w:p>
    <w:p w14:paraId="3C79245A" w14:textId="77777777" w:rsidR="00DE646A" w:rsidRDefault="00DE646A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50CFDF" w14:textId="35811525" w:rsidR="009D43E2" w:rsidRDefault="009D43E2" w:rsidP="00A30E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Документите по проек</w:t>
      </w:r>
      <w:r w:rsidRPr="00054ECC">
        <w:rPr>
          <w:rFonts w:ascii="Times New Roman" w:hAnsi="Times New Roman"/>
          <w:sz w:val="24"/>
          <w:szCs w:val="24"/>
        </w:rPr>
        <w:t>т</w:t>
      </w:r>
      <w:r w:rsidR="00054ECC" w:rsidRPr="00054ECC">
        <w:rPr>
          <w:rFonts w:ascii="Times New Roman" w:hAnsi="Times New Roman"/>
          <w:sz w:val="24"/>
          <w:szCs w:val="24"/>
        </w:rPr>
        <w:t>а</w:t>
      </w:r>
      <w:r w:rsidRPr="000A31C9">
        <w:rPr>
          <w:rFonts w:ascii="Times New Roman" w:hAnsi="Times New Roman"/>
          <w:sz w:val="24"/>
          <w:szCs w:val="24"/>
        </w:rPr>
        <w:t xml:space="preserve"> на </w:t>
      </w:r>
      <w:r w:rsidR="00054ECC">
        <w:rPr>
          <w:rFonts w:ascii="Times New Roman" w:hAnsi="Times New Roman"/>
          <w:sz w:val="24"/>
          <w:szCs w:val="24"/>
        </w:rPr>
        <w:t>постановление</w:t>
      </w:r>
      <w:r w:rsidRPr="000A31C9">
        <w:rPr>
          <w:rFonts w:ascii="Times New Roman" w:hAnsi="Times New Roman"/>
          <w:sz w:val="24"/>
          <w:szCs w:val="24"/>
        </w:rPr>
        <w:t xml:space="preserve"> на Министерския съвет са съгласувани по реда на чл. 32 от Устройствения правилник на Министерския съвет и на неговата администрация. Направените целесъобразни бележки и предложения са отразени.</w:t>
      </w:r>
    </w:p>
    <w:p w14:paraId="25E91D26" w14:textId="77777777" w:rsidR="00DE646A" w:rsidRPr="000A31C9" w:rsidRDefault="00DE646A" w:rsidP="00A30E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686E3D" w14:textId="72169C37" w:rsidR="009D43E2" w:rsidRPr="000A31C9" w:rsidRDefault="009D43E2" w:rsidP="00DE646A">
      <w:pPr>
        <w:widowControl w:val="0"/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ГОСПОДИН МИНИСТЪР-ПРЕДСЕДАТЕЛ,</w:t>
      </w:r>
    </w:p>
    <w:p w14:paraId="425A09F4" w14:textId="4DE3A0A0" w:rsidR="009D43E2" w:rsidRDefault="009D43E2" w:rsidP="00DE646A">
      <w:pPr>
        <w:widowControl w:val="0"/>
        <w:autoSpaceDE w:val="0"/>
        <w:spacing w:after="120" w:line="36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ГОСПОЖИ И ГОСПОДА МИНИСТРИ,</w:t>
      </w:r>
    </w:p>
    <w:p w14:paraId="133CAFC8" w14:textId="427D9F2B" w:rsidR="009D43E2" w:rsidRDefault="009D43E2" w:rsidP="003F55B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A31C9">
        <w:rPr>
          <w:rFonts w:ascii="Times New Roman" w:hAnsi="Times New Roman"/>
          <w:iCs/>
          <w:sz w:val="24"/>
          <w:szCs w:val="24"/>
        </w:rPr>
        <w:t xml:space="preserve">Във връзка с гореизложеното и на основание </w:t>
      </w:r>
      <w:r w:rsidR="00C81771" w:rsidRPr="000A31C9">
        <w:rPr>
          <w:rFonts w:ascii="Times New Roman" w:hAnsi="Times New Roman"/>
          <w:sz w:val="24"/>
          <w:szCs w:val="24"/>
          <w:lang w:eastAsia="bg-BG"/>
        </w:rPr>
        <w:t xml:space="preserve">чл. 8, ал. </w:t>
      </w:r>
      <w:r w:rsidR="00B41F1C" w:rsidRPr="000A31C9">
        <w:rPr>
          <w:rFonts w:ascii="Times New Roman" w:hAnsi="Times New Roman"/>
          <w:sz w:val="24"/>
          <w:szCs w:val="24"/>
          <w:lang w:eastAsia="bg-BG"/>
        </w:rPr>
        <w:t>2</w:t>
      </w:r>
      <w:r w:rsidRPr="000A31C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0A31C9">
        <w:rPr>
          <w:rFonts w:ascii="Times New Roman" w:hAnsi="Times New Roman"/>
          <w:iCs/>
          <w:sz w:val="24"/>
          <w:szCs w:val="24"/>
        </w:rPr>
        <w:t>от Устройствения правилник на Министерския съвет и на</w:t>
      </w:r>
      <w:r w:rsidRPr="0072246E">
        <w:rPr>
          <w:rFonts w:ascii="Times New Roman" w:hAnsi="Times New Roman"/>
          <w:iCs/>
          <w:sz w:val="24"/>
          <w:szCs w:val="24"/>
        </w:rPr>
        <w:t xml:space="preserve"> </w:t>
      </w:r>
      <w:r w:rsidRPr="000A31C9">
        <w:rPr>
          <w:rFonts w:ascii="Times New Roman" w:hAnsi="Times New Roman"/>
          <w:iCs/>
          <w:sz w:val="24"/>
          <w:szCs w:val="24"/>
        </w:rPr>
        <w:t>неговата администрация предлагам Министерският съвет да при</w:t>
      </w:r>
      <w:r w:rsidR="00054ECC">
        <w:rPr>
          <w:rFonts w:ascii="Times New Roman" w:hAnsi="Times New Roman"/>
          <w:iCs/>
          <w:sz w:val="24"/>
          <w:szCs w:val="24"/>
        </w:rPr>
        <w:t>еме приложения</w:t>
      </w:r>
      <w:r w:rsidR="00B41F1C" w:rsidRPr="000A31C9">
        <w:rPr>
          <w:rFonts w:ascii="Times New Roman" w:hAnsi="Times New Roman"/>
          <w:iCs/>
          <w:sz w:val="24"/>
          <w:szCs w:val="24"/>
        </w:rPr>
        <w:t xml:space="preserve"> проект</w:t>
      </w:r>
      <w:r w:rsidR="00054ECC">
        <w:rPr>
          <w:rFonts w:ascii="Times New Roman" w:hAnsi="Times New Roman"/>
          <w:iCs/>
          <w:sz w:val="24"/>
          <w:szCs w:val="24"/>
        </w:rPr>
        <w:t xml:space="preserve"> на постановление</w:t>
      </w:r>
      <w:r w:rsidRPr="000A31C9">
        <w:rPr>
          <w:rFonts w:ascii="Times New Roman" w:hAnsi="Times New Roman"/>
          <w:iCs/>
          <w:sz w:val="24"/>
          <w:szCs w:val="24"/>
        </w:rPr>
        <w:t>.</w:t>
      </w:r>
    </w:p>
    <w:p w14:paraId="74422E19" w14:textId="77777777" w:rsidR="00DE646A" w:rsidRDefault="00DE646A" w:rsidP="003F55B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08"/>
        <w:gridCol w:w="6946"/>
      </w:tblGrid>
      <w:tr w:rsidR="009D43E2" w:rsidRPr="000A31C9" w14:paraId="7B4A94C9" w14:textId="77777777" w:rsidTr="00DE646A">
        <w:tc>
          <w:tcPr>
            <w:tcW w:w="1708" w:type="dxa"/>
          </w:tcPr>
          <w:p w14:paraId="1A3052D7" w14:textId="5D14EDDD" w:rsidR="009D43E2" w:rsidRPr="000A31C9" w:rsidRDefault="0072246E" w:rsidP="00DE646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1C9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</w:t>
            </w:r>
            <w:r w:rsidR="009D43E2" w:rsidRPr="000A31C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14:paraId="130701D1" w14:textId="798E3C14" w:rsidR="009D43E2" w:rsidRPr="000A31C9" w:rsidRDefault="0072246E" w:rsidP="00DE646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="003F55B7" w:rsidRPr="003F55B7">
              <w:rPr>
                <w:rFonts w:ascii="Times New Roman" w:hAnsi="Times New Roman" w:cs="Times New Roman"/>
              </w:rPr>
              <w:t xml:space="preserve">на Постановление на Министерския съвет за изменение и допълнение на </w:t>
            </w:r>
            <w:r w:rsidR="00BE0924">
              <w:rPr>
                <w:rFonts w:ascii="Times New Roman" w:hAnsi="Times New Roman" w:cs="Times New Roman"/>
              </w:rPr>
              <w:t xml:space="preserve">нормативни актове на </w:t>
            </w:r>
            <w:r w:rsidR="003F55B7" w:rsidRPr="003F55B7">
              <w:rPr>
                <w:rFonts w:ascii="Times New Roman" w:hAnsi="Times New Roman" w:cs="Times New Roman"/>
              </w:rPr>
              <w:t>Министерския съвет</w:t>
            </w:r>
            <w:r w:rsidR="00847233">
              <w:rPr>
                <w:rFonts w:ascii="Times New Roman" w:hAnsi="Times New Roman" w:cs="Times New Roman"/>
              </w:rPr>
              <w:t>;</w:t>
            </w:r>
          </w:p>
          <w:p w14:paraId="5F9BC980" w14:textId="73B2C06A" w:rsidR="009D43E2" w:rsidRPr="000A31C9" w:rsidRDefault="009D43E2" w:rsidP="00DE646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lastRenderedPageBreak/>
              <w:t>Частична предвар</w:t>
            </w:r>
            <w:r w:rsidR="0072246E">
              <w:rPr>
                <w:rFonts w:ascii="Times New Roman" w:hAnsi="Times New Roman" w:cs="Times New Roman"/>
              </w:rPr>
              <w:t>ителна оценка на въздействието;</w:t>
            </w:r>
          </w:p>
          <w:p w14:paraId="768E1BDF" w14:textId="0937FCE0" w:rsidR="009D43E2" w:rsidRPr="000A31C9" w:rsidRDefault="009D43E2" w:rsidP="00DE646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DE646A">
              <w:rPr>
                <w:rFonts w:ascii="Times New Roman" w:hAnsi="Times New Roman" w:cs="Times New Roman"/>
              </w:rPr>
              <w:t>Становище</w:t>
            </w:r>
            <w:r w:rsidRPr="000A31C9">
              <w:rPr>
                <w:rFonts w:ascii="Times New Roman" w:hAnsi="Times New Roman" w:cs="Times New Roman"/>
                <w:spacing w:val="-8"/>
              </w:rPr>
              <w:t xml:space="preserve"> на дирекция </w:t>
            </w:r>
            <w:r w:rsidRPr="001A3602">
              <w:rPr>
                <w:rFonts w:ascii="Times New Roman" w:hAnsi="Times New Roman" w:cs="Times New Roman"/>
                <w:spacing w:val="-8"/>
              </w:rPr>
              <w:t>„</w:t>
            </w:r>
            <w:r w:rsidR="00754D44" w:rsidRPr="001A3602">
              <w:rPr>
                <w:rFonts w:ascii="Times New Roman" w:hAnsi="Times New Roman"/>
              </w:rPr>
              <w:t>Координация и модернизация на администрацията</w:t>
            </w:r>
            <w:r w:rsidR="002A121F" w:rsidRPr="001A3602">
              <w:rPr>
                <w:rFonts w:ascii="Times New Roman" w:hAnsi="Times New Roman" w:cs="Times New Roman"/>
              </w:rPr>
              <w:t xml:space="preserve">“ </w:t>
            </w:r>
            <w:r w:rsidR="00C87452" w:rsidRPr="001A3602">
              <w:rPr>
                <w:rFonts w:ascii="Times New Roman" w:hAnsi="Times New Roman" w:cs="Times New Roman"/>
              </w:rPr>
              <w:t>в</w:t>
            </w:r>
            <w:r w:rsidR="002A121F" w:rsidRPr="000A31C9">
              <w:rPr>
                <w:rFonts w:ascii="Times New Roman" w:hAnsi="Times New Roman" w:cs="Times New Roman"/>
              </w:rPr>
              <w:t xml:space="preserve"> Министерския съвет</w:t>
            </w:r>
            <w:r w:rsidRPr="000A31C9">
              <w:rPr>
                <w:rFonts w:ascii="Times New Roman" w:hAnsi="Times New Roman" w:cs="Times New Roman"/>
              </w:rPr>
              <w:t>;</w:t>
            </w:r>
          </w:p>
          <w:p w14:paraId="44D03B30" w14:textId="332BBF78" w:rsidR="00AC5B19" w:rsidRPr="000A31C9" w:rsidRDefault="00AC5B19" w:rsidP="00DE646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Финансова обосновка;</w:t>
            </w:r>
          </w:p>
          <w:p w14:paraId="33E93DA3" w14:textId="06102255" w:rsidR="009D43E2" w:rsidRPr="000A31C9" w:rsidRDefault="009D43E2" w:rsidP="00DE646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Сп</w:t>
            </w:r>
            <w:r w:rsidR="00AC5B19" w:rsidRPr="000A31C9">
              <w:rPr>
                <w:rFonts w:ascii="Times New Roman" w:hAnsi="Times New Roman" w:cs="Times New Roman"/>
              </w:rPr>
              <w:t>равка за отразяване на постъпилите</w:t>
            </w:r>
            <w:r w:rsidRPr="000A31C9">
              <w:rPr>
                <w:rFonts w:ascii="Times New Roman" w:hAnsi="Times New Roman" w:cs="Times New Roman"/>
              </w:rPr>
              <w:t xml:space="preserve"> </w:t>
            </w:r>
            <w:r w:rsidR="00AC5B19" w:rsidRPr="000A31C9">
              <w:rPr>
                <w:rFonts w:ascii="Times New Roman" w:hAnsi="Times New Roman" w:cs="Times New Roman"/>
              </w:rPr>
              <w:t>по реда на чл. 32</w:t>
            </w:r>
            <w:r w:rsidR="00DE72EE" w:rsidRPr="000A31C9">
              <w:rPr>
                <w:rFonts w:ascii="Times New Roman" w:hAnsi="Times New Roman" w:cs="Times New Roman"/>
              </w:rPr>
              <w:t xml:space="preserve"> – </w:t>
            </w:r>
            <w:r w:rsidR="00AC5B19" w:rsidRPr="000A31C9">
              <w:rPr>
                <w:rFonts w:ascii="Times New Roman" w:hAnsi="Times New Roman" w:cs="Times New Roman"/>
              </w:rPr>
              <w:t>34 от У</w:t>
            </w:r>
            <w:r w:rsidR="000E738A">
              <w:rPr>
                <w:rFonts w:ascii="Times New Roman" w:hAnsi="Times New Roman" w:cs="Times New Roman"/>
              </w:rPr>
              <w:t>стройствения правилник на Министерския съвет и на неговата администрация</w:t>
            </w:r>
            <w:r w:rsidR="00276CD7">
              <w:rPr>
                <w:rFonts w:ascii="Times New Roman" w:hAnsi="Times New Roman" w:cs="Times New Roman"/>
              </w:rPr>
              <w:t xml:space="preserve"> становища</w:t>
            </w:r>
            <w:r w:rsidRPr="000A31C9">
              <w:rPr>
                <w:rFonts w:ascii="Times New Roman" w:hAnsi="Times New Roman" w:cs="Times New Roman"/>
              </w:rPr>
              <w:t>;</w:t>
            </w:r>
          </w:p>
          <w:p w14:paraId="15EE6950" w14:textId="39DDD798" w:rsidR="009D43E2" w:rsidRDefault="00AC5B19" w:rsidP="00DE646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Постъпил</w:t>
            </w:r>
            <w:r w:rsidR="00871A13" w:rsidRPr="000A31C9">
              <w:rPr>
                <w:rFonts w:ascii="Times New Roman" w:hAnsi="Times New Roman" w:cs="Times New Roman"/>
              </w:rPr>
              <w:t>и</w:t>
            </w:r>
            <w:r w:rsidR="009D43E2" w:rsidRPr="000A31C9">
              <w:rPr>
                <w:rFonts w:ascii="Times New Roman" w:hAnsi="Times New Roman" w:cs="Times New Roman"/>
              </w:rPr>
              <w:t xml:space="preserve"> становища;</w:t>
            </w:r>
          </w:p>
          <w:p w14:paraId="496996B5" w14:textId="77777777" w:rsidR="0072246E" w:rsidRPr="00E70540" w:rsidRDefault="0072246E" w:rsidP="00DE646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E70540">
              <w:rPr>
                <w:rFonts w:ascii="Times New Roman" w:hAnsi="Times New Roman" w:cs="Times New Roman"/>
              </w:rPr>
              <w:t>Справка за отразяване на постъпилите предложения и становища от обществената консултация, заедно с обосновка за неприетите предложения;</w:t>
            </w:r>
          </w:p>
          <w:p w14:paraId="0EA4B9AA" w14:textId="24D98A16" w:rsidR="0072246E" w:rsidRPr="00E70540" w:rsidRDefault="0072246E" w:rsidP="00DE646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E70540">
              <w:rPr>
                <w:rFonts w:ascii="Times New Roman" w:hAnsi="Times New Roman" w:cs="Times New Roman"/>
              </w:rPr>
              <w:t>Постъпили предложения и становища от обществената консултация;</w:t>
            </w:r>
          </w:p>
          <w:p w14:paraId="661629B3" w14:textId="77777777" w:rsidR="009D43E2" w:rsidRPr="000A31C9" w:rsidRDefault="009D43E2" w:rsidP="00DE646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Проект на съобщение за сре</w:t>
            </w:r>
            <w:r w:rsidR="00871A13" w:rsidRPr="000A31C9">
              <w:rPr>
                <w:rFonts w:ascii="Times New Roman" w:hAnsi="Times New Roman" w:cs="Times New Roman"/>
              </w:rPr>
              <w:t>дствата за масово осведомяване.</w:t>
            </w:r>
          </w:p>
        </w:tc>
      </w:tr>
    </w:tbl>
    <w:p w14:paraId="182619DA" w14:textId="77777777" w:rsidR="00DE646A" w:rsidRPr="00DE646A" w:rsidRDefault="00DE646A" w:rsidP="00DE646A">
      <w:pPr>
        <w:widowControl w:val="0"/>
        <w:autoSpaceDE w:val="0"/>
        <w:spacing w:after="0" w:line="360" w:lineRule="auto"/>
        <w:rPr>
          <w:rFonts w:ascii="Times New Roman" w:hAnsi="Times New Roman"/>
          <w:bCs/>
          <w:caps/>
          <w:sz w:val="24"/>
          <w:szCs w:val="24"/>
          <w:lang w:eastAsia="bg-BG"/>
        </w:rPr>
      </w:pPr>
    </w:p>
    <w:p w14:paraId="60A1E1B8" w14:textId="0E1BF041" w:rsidR="00DE646A" w:rsidRDefault="00DE646A" w:rsidP="00DE646A">
      <w:pPr>
        <w:widowControl w:val="0"/>
        <w:autoSpaceDE w:val="0"/>
        <w:spacing w:after="0" w:line="360" w:lineRule="auto"/>
        <w:rPr>
          <w:rFonts w:ascii="Times New Roman" w:hAnsi="Times New Roman"/>
          <w:bCs/>
          <w:caps/>
          <w:sz w:val="24"/>
          <w:szCs w:val="24"/>
          <w:lang w:eastAsia="bg-BG"/>
        </w:rPr>
      </w:pPr>
    </w:p>
    <w:p w14:paraId="60DC9A32" w14:textId="77777777" w:rsidR="00524FE7" w:rsidRDefault="00524FE7" w:rsidP="00DE646A">
      <w:pPr>
        <w:widowControl w:val="0"/>
        <w:autoSpaceDE w:val="0"/>
        <w:spacing w:after="0" w:line="360" w:lineRule="auto"/>
        <w:rPr>
          <w:rFonts w:ascii="Times New Roman" w:hAnsi="Times New Roman"/>
          <w:bCs/>
          <w:caps/>
          <w:sz w:val="24"/>
          <w:szCs w:val="24"/>
          <w:lang w:eastAsia="bg-BG"/>
        </w:rPr>
      </w:pPr>
    </w:p>
    <w:p w14:paraId="0F76267B" w14:textId="77777777" w:rsidR="00754D44" w:rsidRPr="00841976" w:rsidRDefault="00704A1E" w:rsidP="00754D44">
      <w:pPr>
        <w:widowControl w:val="0"/>
        <w:spacing w:line="360" w:lineRule="auto"/>
        <w:contextualSpacing/>
        <w:jc w:val="both"/>
        <w:textAlignment w:val="auto"/>
        <w:rPr>
          <w:rFonts w:ascii="Verdana" w:hAnsi="Verdana"/>
          <w:iCs/>
          <w:smallCaps/>
          <w:noProof/>
        </w:rPr>
      </w:pPr>
      <w:r>
        <w:rPr>
          <w:rFonts w:ascii="Times New Roman" w:hAnsi="Times New Roman"/>
          <w:sz w:val="24"/>
          <w:szCs w:val="24"/>
          <w:lang w:eastAsia="bg-BG"/>
        </w:rPr>
        <w:pict w14:anchorId="30D8FD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9" o:title=""/>
            <o:lock v:ext="edit" ungrouping="t" rotation="t" cropping="t" verticies="t" text="t" grouping="t"/>
            <o:signatureline v:ext="edit" id="{27157209-5654-4FCC-8E6C-E5C9206DD022}" provid="{00000000-0000-0000-0000-000000000000}" o:suggestedsigner="Д-Р ГЕОРГИ ТАХОВ" o:suggestedsigner2="Министър" issignatureline="t"/>
          </v:shape>
        </w:pict>
      </w:r>
    </w:p>
    <w:sectPr w:rsidR="00754D44" w:rsidRPr="00841976" w:rsidSect="00847233">
      <w:footerReference w:type="default" r:id="rId10"/>
      <w:headerReference w:type="first" r:id="rId11"/>
      <w:pgSz w:w="11906" w:h="16838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880E" w14:textId="77777777" w:rsidR="00E9412A" w:rsidRDefault="00E9412A">
      <w:pPr>
        <w:spacing w:after="0" w:line="240" w:lineRule="auto"/>
      </w:pPr>
      <w:r>
        <w:separator/>
      </w:r>
    </w:p>
  </w:endnote>
  <w:endnote w:type="continuationSeparator" w:id="0">
    <w:p w14:paraId="79626C4B" w14:textId="77777777" w:rsidR="00E9412A" w:rsidRDefault="00E9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7341" w14:textId="603823EF" w:rsidR="009D43E2" w:rsidRPr="004A6585" w:rsidRDefault="009D43E2" w:rsidP="00B41E8E">
    <w:pPr>
      <w:pStyle w:val="Footer"/>
      <w:spacing w:after="0"/>
      <w:jc w:val="right"/>
      <w:rPr>
        <w:rFonts w:ascii="Times New Roman" w:hAnsi="Times New Roman"/>
        <w:sz w:val="20"/>
        <w:szCs w:val="20"/>
      </w:rPr>
    </w:pPr>
    <w:r w:rsidRPr="004A6585">
      <w:rPr>
        <w:rFonts w:ascii="Times New Roman" w:hAnsi="Times New Roman"/>
        <w:sz w:val="20"/>
        <w:szCs w:val="20"/>
      </w:rPr>
      <w:fldChar w:fldCharType="begin"/>
    </w:r>
    <w:r w:rsidRPr="004A6585">
      <w:rPr>
        <w:rFonts w:ascii="Times New Roman" w:hAnsi="Times New Roman"/>
        <w:sz w:val="20"/>
        <w:szCs w:val="20"/>
      </w:rPr>
      <w:instrText xml:space="preserve"> PAGE   \* MERGEFORMAT </w:instrText>
    </w:r>
    <w:r w:rsidRPr="004A6585">
      <w:rPr>
        <w:rFonts w:ascii="Times New Roman" w:hAnsi="Times New Roman"/>
        <w:sz w:val="20"/>
        <w:szCs w:val="20"/>
      </w:rPr>
      <w:fldChar w:fldCharType="separate"/>
    </w:r>
    <w:r w:rsidR="00704A1E">
      <w:rPr>
        <w:rFonts w:ascii="Times New Roman" w:hAnsi="Times New Roman"/>
        <w:noProof/>
        <w:sz w:val="20"/>
        <w:szCs w:val="20"/>
      </w:rPr>
      <w:t>7</w:t>
    </w:r>
    <w:r w:rsidRPr="004A6585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BE35" w14:textId="77777777" w:rsidR="00E9412A" w:rsidRDefault="00E941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F8702A" w14:textId="77777777" w:rsidR="00E9412A" w:rsidRDefault="00E9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BCA62" w14:textId="77777777" w:rsidR="0042215A" w:rsidRPr="0042215A" w:rsidRDefault="0042215A" w:rsidP="0042215A">
    <w:pPr>
      <w:tabs>
        <w:tab w:val="center" w:pos="4320"/>
        <w:tab w:val="right" w:pos="8640"/>
      </w:tabs>
      <w:suppressAutoHyphens w:val="0"/>
      <w:overflowPunct w:val="0"/>
      <w:autoSpaceDE w:val="0"/>
      <w:adjustRightInd w:val="0"/>
      <w:spacing w:after="0" w:line="259" w:lineRule="auto"/>
      <w:jc w:val="right"/>
      <w:rPr>
        <w:rFonts w:ascii="Times New Roman" w:eastAsiaTheme="minorHAnsi" w:hAnsi="Times New Roman"/>
      </w:rPr>
    </w:pPr>
    <w:r w:rsidRPr="0042215A">
      <w:rPr>
        <w:rFonts w:ascii="Times New Roman" w:eastAsiaTheme="minorHAnsi" w:hAnsi="Times New Roman"/>
      </w:rPr>
      <w:t>Класификация на информацията:</w:t>
    </w:r>
  </w:p>
  <w:p w14:paraId="6B8FCE11" w14:textId="0C23F453" w:rsidR="0042215A" w:rsidRDefault="0042215A" w:rsidP="00F44C06">
    <w:pPr>
      <w:tabs>
        <w:tab w:val="center" w:pos="4703"/>
        <w:tab w:val="right" w:pos="9406"/>
      </w:tabs>
      <w:suppressAutoHyphens w:val="0"/>
      <w:autoSpaceDN/>
      <w:spacing w:after="0" w:line="240" w:lineRule="auto"/>
      <w:jc w:val="right"/>
      <w:textAlignment w:val="auto"/>
      <w:rPr>
        <w:rFonts w:ascii="Times New Roman" w:eastAsiaTheme="minorHAnsi" w:hAnsi="Times New Roman"/>
      </w:rPr>
    </w:pPr>
    <w:r w:rsidRPr="0042215A">
      <w:rPr>
        <w:rFonts w:ascii="Times New Roman" w:eastAsiaTheme="minorHAnsi" w:hAnsi="Times New Roman"/>
      </w:rPr>
      <w:t>Ниво 1, TLP-WHITE</w:t>
    </w:r>
  </w:p>
  <w:p w14:paraId="5A60C561" w14:textId="77777777" w:rsidR="00F44C06" w:rsidRDefault="00F44C06" w:rsidP="00F44C06">
    <w:pPr>
      <w:tabs>
        <w:tab w:val="center" w:pos="4703"/>
        <w:tab w:val="right" w:pos="9406"/>
      </w:tabs>
      <w:suppressAutoHyphens w:val="0"/>
      <w:autoSpaceDN/>
      <w:spacing w:after="0" w:line="240" w:lineRule="auto"/>
      <w:jc w:val="right"/>
      <w:textAlignment w:val="auto"/>
      <w:rPr>
        <w:rFonts w:ascii="Times New Roman" w:eastAsiaTheme="minorHAnsi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58B"/>
    <w:multiLevelType w:val="hybridMultilevel"/>
    <w:tmpl w:val="82ACA4B4"/>
    <w:lvl w:ilvl="0" w:tplc="5238870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31" w:hanging="360"/>
      </w:pPr>
    </w:lvl>
    <w:lvl w:ilvl="2" w:tplc="0402001B" w:tentative="1">
      <w:start w:val="1"/>
      <w:numFmt w:val="lowerRoman"/>
      <w:lvlText w:val="%3."/>
      <w:lvlJc w:val="right"/>
      <w:pPr>
        <w:ind w:left="2451" w:hanging="180"/>
      </w:pPr>
    </w:lvl>
    <w:lvl w:ilvl="3" w:tplc="0402000F" w:tentative="1">
      <w:start w:val="1"/>
      <w:numFmt w:val="decimal"/>
      <w:lvlText w:val="%4."/>
      <w:lvlJc w:val="left"/>
      <w:pPr>
        <w:ind w:left="3171" w:hanging="360"/>
      </w:pPr>
    </w:lvl>
    <w:lvl w:ilvl="4" w:tplc="04020019" w:tentative="1">
      <w:start w:val="1"/>
      <w:numFmt w:val="lowerLetter"/>
      <w:lvlText w:val="%5."/>
      <w:lvlJc w:val="left"/>
      <w:pPr>
        <w:ind w:left="3891" w:hanging="360"/>
      </w:pPr>
    </w:lvl>
    <w:lvl w:ilvl="5" w:tplc="0402001B" w:tentative="1">
      <w:start w:val="1"/>
      <w:numFmt w:val="lowerRoman"/>
      <w:lvlText w:val="%6."/>
      <w:lvlJc w:val="right"/>
      <w:pPr>
        <w:ind w:left="4611" w:hanging="180"/>
      </w:pPr>
    </w:lvl>
    <w:lvl w:ilvl="6" w:tplc="0402000F" w:tentative="1">
      <w:start w:val="1"/>
      <w:numFmt w:val="decimal"/>
      <w:lvlText w:val="%7."/>
      <w:lvlJc w:val="left"/>
      <w:pPr>
        <w:ind w:left="5331" w:hanging="360"/>
      </w:pPr>
    </w:lvl>
    <w:lvl w:ilvl="7" w:tplc="04020019" w:tentative="1">
      <w:start w:val="1"/>
      <w:numFmt w:val="lowerLetter"/>
      <w:lvlText w:val="%8."/>
      <w:lvlJc w:val="left"/>
      <w:pPr>
        <w:ind w:left="6051" w:hanging="360"/>
      </w:pPr>
    </w:lvl>
    <w:lvl w:ilvl="8" w:tplc="040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AC307CF"/>
    <w:multiLevelType w:val="hybridMultilevel"/>
    <w:tmpl w:val="2ED29028"/>
    <w:lvl w:ilvl="0" w:tplc="6664A5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4FC3F13"/>
    <w:multiLevelType w:val="hybridMultilevel"/>
    <w:tmpl w:val="37900936"/>
    <w:lvl w:ilvl="0" w:tplc="BF46662C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5CC6108"/>
    <w:multiLevelType w:val="hybridMultilevel"/>
    <w:tmpl w:val="0FC204FE"/>
    <w:lvl w:ilvl="0" w:tplc="CEFC48FA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31" w:hanging="360"/>
      </w:pPr>
    </w:lvl>
    <w:lvl w:ilvl="2" w:tplc="0402001B" w:tentative="1">
      <w:start w:val="1"/>
      <w:numFmt w:val="lowerRoman"/>
      <w:lvlText w:val="%3."/>
      <w:lvlJc w:val="right"/>
      <w:pPr>
        <w:ind w:left="2451" w:hanging="180"/>
      </w:pPr>
    </w:lvl>
    <w:lvl w:ilvl="3" w:tplc="0402000F" w:tentative="1">
      <w:start w:val="1"/>
      <w:numFmt w:val="decimal"/>
      <w:lvlText w:val="%4."/>
      <w:lvlJc w:val="left"/>
      <w:pPr>
        <w:ind w:left="3171" w:hanging="360"/>
      </w:pPr>
    </w:lvl>
    <w:lvl w:ilvl="4" w:tplc="04020019" w:tentative="1">
      <w:start w:val="1"/>
      <w:numFmt w:val="lowerLetter"/>
      <w:lvlText w:val="%5."/>
      <w:lvlJc w:val="left"/>
      <w:pPr>
        <w:ind w:left="3891" w:hanging="360"/>
      </w:pPr>
    </w:lvl>
    <w:lvl w:ilvl="5" w:tplc="0402001B" w:tentative="1">
      <w:start w:val="1"/>
      <w:numFmt w:val="lowerRoman"/>
      <w:lvlText w:val="%6."/>
      <w:lvlJc w:val="right"/>
      <w:pPr>
        <w:ind w:left="4611" w:hanging="180"/>
      </w:pPr>
    </w:lvl>
    <w:lvl w:ilvl="6" w:tplc="0402000F" w:tentative="1">
      <w:start w:val="1"/>
      <w:numFmt w:val="decimal"/>
      <w:lvlText w:val="%7."/>
      <w:lvlJc w:val="left"/>
      <w:pPr>
        <w:ind w:left="5331" w:hanging="360"/>
      </w:pPr>
    </w:lvl>
    <w:lvl w:ilvl="7" w:tplc="04020019" w:tentative="1">
      <w:start w:val="1"/>
      <w:numFmt w:val="lowerLetter"/>
      <w:lvlText w:val="%8."/>
      <w:lvlJc w:val="left"/>
      <w:pPr>
        <w:ind w:left="6051" w:hanging="360"/>
      </w:pPr>
    </w:lvl>
    <w:lvl w:ilvl="8" w:tplc="040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 w15:restartNumberingAfterBreak="0">
    <w:nsid w:val="3C972EC6"/>
    <w:multiLevelType w:val="hybridMultilevel"/>
    <w:tmpl w:val="B144FBE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1C4021"/>
    <w:multiLevelType w:val="hybridMultilevel"/>
    <w:tmpl w:val="4AF2AFEC"/>
    <w:lvl w:ilvl="0" w:tplc="50CCF3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0046C85"/>
    <w:multiLevelType w:val="hybridMultilevel"/>
    <w:tmpl w:val="914C96F0"/>
    <w:lvl w:ilvl="0" w:tplc="DBD86B5E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31" w:hanging="360"/>
      </w:pPr>
    </w:lvl>
    <w:lvl w:ilvl="2" w:tplc="0402001B" w:tentative="1">
      <w:start w:val="1"/>
      <w:numFmt w:val="lowerRoman"/>
      <w:lvlText w:val="%3."/>
      <w:lvlJc w:val="right"/>
      <w:pPr>
        <w:ind w:left="2451" w:hanging="180"/>
      </w:pPr>
    </w:lvl>
    <w:lvl w:ilvl="3" w:tplc="0402000F" w:tentative="1">
      <w:start w:val="1"/>
      <w:numFmt w:val="decimal"/>
      <w:lvlText w:val="%4."/>
      <w:lvlJc w:val="left"/>
      <w:pPr>
        <w:ind w:left="3171" w:hanging="360"/>
      </w:pPr>
    </w:lvl>
    <w:lvl w:ilvl="4" w:tplc="04020019" w:tentative="1">
      <w:start w:val="1"/>
      <w:numFmt w:val="lowerLetter"/>
      <w:lvlText w:val="%5."/>
      <w:lvlJc w:val="left"/>
      <w:pPr>
        <w:ind w:left="3891" w:hanging="360"/>
      </w:pPr>
    </w:lvl>
    <w:lvl w:ilvl="5" w:tplc="0402001B" w:tentative="1">
      <w:start w:val="1"/>
      <w:numFmt w:val="lowerRoman"/>
      <w:lvlText w:val="%6."/>
      <w:lvlJc w:val="right"/>
      <w:pPr>
        <w:ind w:left="4611" w:hanging="180"/>
      </w:pPr>
    </w:lvl>
    <w:lvl w:ilvl="6" w:tplc="0402000F" w:tentative="1">
      <w:start w:val="1"/>
      <w:numFmt w:val="decimal"/>
      <w:lvlText w:val="%7."/>
      <w:lvlJc w:val="left"/>
      <w:pPr>
        <w:ind w:left="5331" w:hanging="360"/>
      </w:pPr>
    </w:lvl>
    <w:lvl w:ilvl="7" w:tplc="04020019" w:tentative="1">
      <w:start w:val="1"/>
      <w:numFmt w:val="lowerLetter"/>
      <w:lvlText w:val="%8."/>
      <w:lvlJc w:val="left"/>
      <w:pPr>
        <w:ind w:left="6051" w:hanging="360"/>
      </w:pPr>
    </w:lvl>
    <w:lvl w:ilvl="8" w:tplc="040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7" w15:restartNumberingAfterBreak="0">
    <w:nsid w:val="5F7F6798"/>
    <w:multiLevelType w:val="hybridMultilevel"/>
    <w:tmpl w:val="FD30E65C"/>
    <w:lvl w:ilvl="0" w:tplc="E4284F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29E0F1A"/>
    <w:multiLevelType w:val="hybridMultilevel"/>
    <w:tmpl w:val="CC2EB9B4"/>
    <w:lvl w:ilvl="0" w:tplc="12FEFA1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6475328F"/>
    <w:multiLevelType w:val="multilevel"/>
    <w:tmpl w:val="01BA8C20"/>
    <w:lvl w:ilvl="0">
      <w:start w:val="1"/>
      <w:numFmt w:val="bullet"/>
      <w:suff w:val="space"/>
      <w:lvlText w:val="-"/>
      <w:lvlJc w:val="left"/>
      <w:pPr>
        <w:ind w:left="1021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86F2D2D"/>
    <w:multiLevelType w:val="hybridMultilevel"/>
    <w:tmpl w:val="460EEFCE"/>
    <w:lvl w:ilvl="0" w:tplc="5804F6F4">
      <w:start w:val="1"/>
      <w:numFmt w:val="decimal"/>
      <w:lvlText w:val="%1."/>
      <w:lvlJc w:val="left"/>
      <w:pPr>
        <w:ind w:left="124" w:hanging="382"/>
        <w:jc w:val="right"/>
      </w:pPr>
      <w:rPr>
        <w:rFonts w:ascii="Liberation Serif" w:eastAsia="Liberation Serif" w:hAnsi="Liberation Serif" w:cs="Liberation Serif" w:hint="default"/>
        <w:color w:val="auto"/>
        <w:spacing w:val="-17"/>
        <w:w w:val="100"/>
        <w:sz w:val="24"/>
        <w:szCs w:val="24"/>
        <w:lang w:val="bg-BG" w:eastAsia="en-US" w:bidi="ar-SA"/>
      </w:rPr>
    </w:lvl>
    <w:lvl w:ilvl="1" w:tplc="1D9C4D24">
      <w:numFmt w:val="bullet"/>
      <w:lvlText w:val="•"/>
      <w:lvlJc w:val="left"/>
      <w:pPr>
        <w:ind w:left="1030" w:hanging="382"/>
      </w:pPr>
      <w:rPr>
        <w:rFonts w:hint="default"/>
        <w:lang w:val="bg-BG" w:eastAsia="en-US" w:bidi="ar-SA"/>
      </w:rPr>
    </w:lvl>
    <w:lvl w:ilvl="2" w:tplc="B532AFF8">
      <w:numFmt w:val="bullet"/>
      <w:lvlText w:val="•"/>
      <w:lvlJc w:val="left"/>
      <w:pPr>
        <w:ind w:left="1941" w:hanging="382"/>
      </w:pPr>
      <w:rPr>
        <w:rFonts w:hint="default"/>
        <w:lang w:val="bg-BG" w:eastAsia="en-US" w:bidi="ar-SA"/>
      </w:rPr>
    </w:lvl>
    <w:lvl w:ilvl="3" w:tplc="6EC8811C">
      <w:numFmt w:val="bullet"/>
      <w:lvlText w:val="•"/>
      <w:lvlJc w:val="left"/>
      <w:pPr>
        <w:ind w:left="2851" w:hanging="382"/>
      </w:pPr>
      <w:rPr>
        <w:rFonts w:hint="default"/>
        <w:lang w:val="bg-BG" w:eastAsia="en-US" w:bidi="ar-SA"/>
      </w:rPr>
    </w:lvl>
    <w:lvl w:ilvl="4" w:tplc="9CC239F2">
      <w:numFmt w:val="bullet"/>
      <w:lvlText w:val="•"/>
      <w:lvlJc w:val="left"/>
      <w:pPr>
        <w:ind w:left="3762" w:hanging="382"/>
      </w:pPr>
      <w:rPr>
        <w:rFonts w:hint="default"/>
        <w:lang w:val="bg-BG" w:eastAsia="en-US" w:bidi="ar-SA"/>
      </w:rPr>
    </w:lvl>
    <w:lvl w:ilvl="5" w:tplc="40CC5CA0">
      <w:numFmt w:val="bullet"/>
      <w:lvlText w:val="•"/>
      <w:lvlJc w:val="left"/>
      <w:pPr>
        <w:ind w:left="4673" w:hanging="382"/>
      </w:pPr>
      <w:rPr>
        <w:rFonts w:hint="default"/>
        <w:lang w:val="bg-BG" w:eastAsia="en-US" w:bidi="ar-SA"/>
      </w:rPr>
    </w:lvl>
    <w:lvl w:ilvl="6" w:tplc="E6E8EC60">
      <w:numFmt w:val="bullet"/>
      <w:lvlText w:val="•"/>
      <w:lvlJc w:val="left"/>
      <w:pPr>
        <w:ind w:left="5583" w:hanging="382"/>
      </w:pPr>
      <w:rPr>
        <w:rFonts w:hint="default"/>
        <w:lang w:val="bg-BG" w:eastAsia="en-US" w:bidi="ar-SA"/>
      </w:rPr>
    </w:lvl>
    <w:lvl w:ilvl="7" w:tplc="9DCAF490">
      <w:numFmt w:val="bullet"/>
      <w:lvlText w:val="•"/>
      <w:lvlJc w:val="left"/>
      <w:pPr>
        <w:ind w:left="6494" w:hanging="382"/>
      </w:pPr>
      <w:rPr>
        <w:rFonts w:hint="default"/>
        <w:lang w:val="bg-BG" w:eastAsia="en-US" w:bidi="ar-SA"/>
      </w:rPr>
    </w:lvl>
    <w:lvl w:ilvl="8" w:tplc="F9AE4C52">
      <w:numFmt w:val="bullet"/>
      <w:lvlText w:val="•"/>
      <w:lvlJc w:val="left"/>
      <w:pPr>
        <w:ind w:left="7404" w:hanging="382"/>
      </w:pPr>
      <w:rPr>
        <w:rFonts w:hint="default"/>
        <w:lang w:val="bg-BG" w:eastAsia="en-US" w:bidi="ar-SA"/>
      </w:rPr>
    </w:lvl>
  </w:abstractNum>
  <w:abstractNum w:abstractNumId="12" w15:restartNumberingAfterBreak="0">
    <w:nsid w:val="6D8260B3"/>
    <w:multiLevelType w:val="hybridMultilevel"/>
    <w:tmpl w:val="DD5CCE90"/>
    <w:lvl w:ilvl="0" w:tplc="EE2CD1D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74400321"/>
    <w:multiLevelType w:val="multilevel"/>
    <w:tmpl w:val="F37C9550"/>
    <w:lvl w:ilvl="0">
      <w:start w:val="1"/>
      <w:numFmt w:val="bullet"/>
      <w:suff w:val="space"/>
      <w:lvlText w:val="-"/>
      <w:lvlJc w:val="left"/>
      <w:pPr>
        <w:ind w:left="108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D303F4"/>
    <w:multiLevelType w:val="hybridMultilevel"/>
    <w:tmpl w:val="8826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2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D7"/>
    <w:rsid w:val="0000514B"/>
    <w:rsid w:val="000070A9"/>
    <w:rsid w:val="0001041E"/>
    <w:rsid w:val="000135AA"/>
    <w:rsid w:val="0001550A"/>
    <w:rsid w:val="000219D2"/>
    <w:rsid w:val="00023243"/>
    <w:rsid w:val="00024029"/>
    <w:rsid w:val="00025B3E"/>
    <w:rsid w:val="00031E55"/>
    <w:rsid w:val="000320FE"/>
    <w:rsid w:val="0003281D"/>
    <w:rsid w:val="00033BE2"/>
    <w:rsid w:val="000357B6"/>
    <w:rsid w:val="00036729"/>
    <w:rsid w:val="000375FE"/>
    <w:rsid w:val="000377BC"/>
    <w:rsid w:val="0004025E"/>
    <w:rsid w:val="000414C9"/>
    <w:rsid w:val="0004529B"/>
    <w:rsid w:val="000546E4"/>
    <w:rsid w:val="00054ECC"/>
    <w:rsid w:val="00063B0C"/>
    <w:rsid w:val="00075C23"/>
    <w:rsid w:val="00076023"/>
    <w:rsid w:val="00080D59"/>
    <w:rsid w:val="000A24A4"/>
    <w:rsid w:val="000A31C9"/>
    <w:rsid w:val="000B1802"/>
    <w:rsid w:val="000C0202"/>
    <w:rsid w:val="000C0252"/>
    <w:rsid w:val="000D2448"/>
    <w:rsid w:val="000D4698"/>
    <w:rsid w:val="000D525A"/>
    <w:rsid w:val="000E738A"/>
    <w:rsid w:val="000F0CB3"/>
    <w:rsid w:val="000F5610"/>
    <w:rsid w:val="0010594D"/>
    <w:rsid w:val="00114424"/>
    <w:rsid w:val="001149B7"/>
    <w:rsid w:val="0012664E"/>
    <w:rsid w:val="0012768D"/>
    <w:rsid w:val="00127BA6"/>
    <w:rsid w:val="00127BCD"/>
    <w:rsid w:val="00132C87"/>
    <w:rsid w:val="001378C0"/>
    <w:rsid w:val="001437A6"/>
    <w:rsid w:val="00147940"/>
    <w:rsid w:val="00150FCB"/>
    <w:rsid w:val="00161111"/>
    <w:rsid w:val="00165780"/>
    <w:rsid w:val="001741B2"/>
    <w:rsid w:val="001867BA"/>
    <w:rsid w:val="001868F4"/>
    <w:rsid w:val="00194883"/>
    <w:rsid w:val="001A00F1"/>
    <w:rsid w:val="001A0268"/>
    <w:rsid w:val="001A3602"/>
    <w:rsid w:val="001A3A46"/>
    <w:rsid w:val="001A6DB6"/>
    <w:rsid w:val="001B3FD2"/>
    <w:rsid w:val="001B5CED"/>
    <w:rsid w:val="001B6049"/>
    <w:rsid w:val="001D44F8"/>
    <w:rsid w:val="001D6F06"/>
    <w:rsid w:val="001E55F1"/>
    <w:rsid w:val="001E6D26"/>
    <w:rsid w:val="001E7C65"/>
    <w:rsid w:val="001F077F"/>
    <w:rsid w:val="00200074"/>
    <w:rsid w:val="00205C56"/>
    <w:rsid w:val="0021298B"/>
    <w:rsid w:val="002132F2"/>
    <w:rsid w:val="00215237"/>
    <w:rsid w:val="00220251"/>
    <w:rsid w:val="002312A6"/>
    <w:rsid w:val="002426B9"/>
    <w:rsid w:val="00242E13"/>
    <w:rsid w:val="002464C3"/>
    <w:rsid w:val="00266427"/>
    <w:rsid w:val="00266B8C"/>
    <w:rsid w:val="00276CD7"/>
    <w:rsid w:val="002808E4"/>
    <w:rsid w:val="0028254E"/>
    <w:rsid w:val="00287C15"/>
    <w:rsid w:val="00291E32"/>
    <w:rsid w:val="00293F32"/>
    <w:rsid w:val="00295FEE"/>
    <w:rsid w:val="002965FC"/>
    <w:rsid w:val="002A121F"/>
    <w:rsid w:val="002A1E3F"/>
    <w:rsid w:val="002A46B4"/>
    <w:rsid w:val="002A5F69"/>
    <w:rsid w:val="002A78F5"/>
    <w:rsid w:val="002B0998"/>
    <w:rsid w:val="002B1751"/>
    <w:rsid w:val="002B46EF"/>
    <w:rsid w:val="002B53EF"/>
    <w:rsid w:val="002C26B8"/>
    <w:rsid w:val="002C396F"/>
    <w:rsid w:val="002C4B69"/>
    <w:rsid w:val="002C6CFA"/>
    <w:rsid w:val="002C7653"/>
    <w:rsid w:val="002D0991"/>
    <w:rsid w:val="002D102A"/>
    <w:rsid w:val="002E4162"/>
    <w:rsid w:val="002E6347"/>
    <w:rsid w:val="002F6BF2"/>
    <w:rsid w:val="00302C10"/>
    <w:rsid w:val="00307084"/>
    <w:rsid w:val="00307D58"/>
    <w:rsid w:val="00314146"/>
    <w:rsid w:val="003168EF"/>
    <w:rsid w:val="00323B5D"/>
    <w:rsid w:val="00325FE4"/>
    <w:rsid w:val="00330888"/>
    <w:rsid w:val="003333E9"/>
    <w:rsid w:val="0034408B"/>
    <w:rsid w:val="003517B8"/>
    <w:rsid w:val="00352788"/>
    <w:rsid w:val="00354B10"/>
    <w:rsid w:val="00363138"/>
    <w:rsid w:val="00363FAC"/>
    <w:rsid w:val="00365BFE"/>
    <w:rsid w:val="00375BE6"/>
    <w:rsid w:val="0038096A"/>
    <w:rsid w:val="00385682"/>
    <w:rsid w:val="0038568B"/>
    <w:rsid w:val="003917BE"/>
    <w:rsid w:val="003A5FFD"/>
    <w:rsid w:val="003B0D34"/>
    <w:rsid w:val="003B54B2"/>
    <w:rsid w:val="003B7AEB"/>
    <w:rsid w:val="003C7B51"/>
    <w:rsid w:val="003D5217"/>
    <w:rsid w:val="003E0758"/>
    <w:rsid w:val="003E10AE"/>
    <w:rsid w:val="003E36BE"/>
    <w:rsid w:val="003E6F80"/>
    <w:rsid w:val="003E758B"/>
    <w:rsid w:val="003F3F30"/>
    <w:rsid w:val="003F55B7"/>
    <w:rsid w:val="003F5D7A"/>
    <w:rsid w:val="00400B96"/>
    <w:rsid w:val="00403008"/>
    <w:rsid w:val="00403656"/>
    <w:rsid w:val="0040556B"/>
    <w:rsid w:val="00405F6F"/>
    <w:rsid w:val="0041302A"/>
    <w:rsid w:val="004209E3"/>
    <w:rsid w:val="0042215A"/>
    <w:rsid w:val="004234D0"/>
    <w:rsid w:val="004234D4"/>
    <w:rsid w:val="00423A79"/>
    <w:rsid w:val="00423F93"/>
    <w:rsid w:val="00425D99"/>
    <w:rsid w:val="004341CE"/>
    <w:rsid w:val="0043563A"/>
    <w:rsid w:val="00436058"/>
    <w:rsid w:val="00446890"/>
    <w:rsid w:val="00447D32"/>
    <w:rsid w:val="00453B4B"/>
    <w:rsid w:val="00461569"/>
    <w:rsid w:val="004622CA"/>
    <w:rsid w:val="004628B6"/>
    <w:rsid w:val="0046518C"/>
    <w:rsid w:val="00465EB5"/>
    <w:rsid w:val="00470507"/>
    <w:rsid w:val="00470EE3"/>
    <w:rsid w:val="00472C3D"/>
    <w:rsid w:val="004834E8"/>
    <w:rsid w:val="004838B8"/>
    <w:rsid w:val="00487404"/>
    <w:rsid w:val="00491BF1"/>
    <w:rsid w:val="004976F2"/>
    <w:rsid w:val="004A6585"/>
    <w:rsid w:val="004B3623"/>
    <w:rsid w:val="004B5E36"/>
    <w:rsid w:val="004C114C"/>
    <w:rsid w:val="004D01A0"/>
    <w:rsid w:val="004D20D1"/>
    <w:rsid w:val="004D30D4"/>
    <w:rsid w:val="004E063F"/>
    <w:rsid w:val="004E3087"/>
    <w:rsid w:val="004F2F66"/>
    <w:rsid w:val="004F4495"/>
    <w:rsid w:val="004F54D5"/>
    <w:rsid w:val="004F5F73"/>
    <w:rsid w:val="00501659"/>
    <w:rsid w:val="005107B2"/>
    <w:rsid w:val="00515C83"/>
    <w:rsid w:val="005228FE"/>
    <w:rsid w:val="00522D58"/>
    <w:rsid w:val="00524FE7"/>
    <w:rsid w:val="00530191"/>
    <w:rsid w:val="00530987"/>
    <w:rsid w:val="00532FCB"/>
    <w:rsid w:val="005374EE"/>
    <w:rsid w:val="00537BC5"/>
    <w:rsid w:val="00543B45"/>
    <w:rsid w:val="0055118E"/>
    <w:rsid w:val="00552DA7"/>
    <w:rsid w:val="0055326C"/>
    <w:rsid w:val="0056345F"/>
    <w:rsid w:val="00565195"/>
    <w:rsid w:val="005729BF"/>
    <w:rsid w:val="00580916"/>
    <w:rsid w:val="005823EF"/>
    <w:rsid w:val="005852E4"/>
    <w:rsid w:val="005861EB"/>
    <w:rsid w:val="00590DB9"/>
    <w:rsid w:val="00592E21"/>
    <w:rsid w:val="00594115"/>
    <w:rsid w:val="0059424E"/>
    <w:rsid w:val="005A7236"/>
    <w:rsid w:val="005B44B8"/>
    <w:rsid w:val="005B689E"/>
    <w:rsid w:val="005C261F"/>
    <w:rsid w:val="005C3EFC"/>
    <w:rsid w:val="005C4495"/>
    <w:rsid w:val="005E108D"/>
    <w:rsid w:val="005E7ABB"/>
    <w:rsid w:val="005F2A52"/>
    <w:rsid w:val="005F3815"/>
    <w:rsid w:val="0060232C"/>
    <w:rsid w:val="00607857"/>
    <w:rsid w:val="006103F1"/>
    <w:rsid w:val="006172E4"/>
    <w:rsid w:val="00617AA7"/>
    <w:rsid w:val="00625ED3"/>
    <w:rsid w:val="00632D04"/>
    <w:rsid w:val="00633F7F"/>
    <w:rsid w:val="00641ED8"/>
    <w:rsid w:val="00647075"/>
    <w:rsid w:val="0065580A"/>
    <w:rsid w:val="006609ED"/>
    <w:rsid w:val="00664485"/>
    <w:rsid w:val="00665576"/>
    <w:rsid w:val="00670EF1"/>
    <w:rsid w:val="00672C9C"/>
    <w:rsid w:val="0068245B"/>
    <w:rsid w:val="0069185E"/>
    <w:rsid w:val="006928B5"/>
    <w:rsid w:val="006936BB"/>
    <w:rsid w:val="0069479A"/>
    <w:rsid w:val="00694BB1"/>
    <w:rsid w:val="0069507B"/>
    <w:rsid w:val="006A5F5E"/>
    <w:rsid w:val="006A69F1"/>
    <w:rsid w:val="006B12C7"/>
    <w:rsid w:val="006B2F8F"/>
    <w:rsid w:val="006B454A"/>
    <w:rsid w:val="006B7165"/>
    <w:rsid w:val="006C4412"/>
    <w:rsid w:val="006D2BB6"/>
    <w:rsid w:val="006E2552"/>
    <w:rsid w:val="006E266B"/>
    <w:rsid w:val="00704A1E"/>
    <w:rsid w:val="00712AE0"/>
    <w:rsid w:val="0072246E"/>
    <w:rsid w:val="00723727"/>
    <w:rsid w:val="007258B2"/>
    <w:rsid w:val="00733702"/>
    <w:rsid w:val="00734301"/>
    <w:rsid w:val="00741FB5"/>
    <w:rsid w:val="007429F5"/>
    <w:rsid w:val="00754D44"/>
    <w:rsid w:val="00755099"/>
    <w:rsid w:val="0076238F"/>
    <w:rsid w:val="00774D94"/>
    <w:rsid w:val="007821F4"/>
    <w:rsid w:val="00782E69"/>
    <w:rsid w:val="00783C14"/>
    <w:rsid w:val="0079074A"/>
    <w:rsid w:val="007A2B9D"/>
    <w:rsid w:val="007A632B"/>
    <w:rsid w:val="007B294F"/>
    <w:rsid w:val="007C5021"/>
    <w:rsid w:val="007C6FF6"/>
    <w:rsid w:val="007D19C7"/>
    <w:rsid w:val="007D3B54"/>
    <w:rsid w:val="007D57F3"/>
    <w:rsid w:val="007E6C99"/>
    <w:rsid w:val="007F2CA7"/>
    <w:rsid w:val="007F63F5"/>
    <w:rsid w:val="007F6D1D"/>
    <w:rsid w:val="007F7DA2"/>
    <w:rsid w:val="00807CE8"/>
    <w:rsid w:val="0081117D"/>
    <w:rsid w:val="008160BB"/>
    <w:rsid w:val="0082088D"/>
    <w:rsid w:val="00822A89"/>
    <w:rsid w:val="00830970"/>
    <w:rsid w:val="00833909"/>
    <w:rsid w:val="00847233"/>
    <w:rsid w:val="008479C9"/>
    <w:rsid w:val="00853E9E"/>
    <w:rsid w:val="008626C2"/>
    <w:rsid w:val="00871A13"/>
    <w:rsid w:val="0087229D"/>
    <w:rsid w:val="008823E0"/>
    <w:rsid w:val="008824C7"/>
    <w:rsid w:val="00892681"/>
    <w:rsid w:val="00892E75"/>
    <w:rsid w:val="008936F8"/>
    <w:rsid w:val="008945DD"/>
    <w:rsid w:val="00897B8E"/>
    <w:rsid w:val="008A2B96"/>
    <w:rsid w:val="008A5C82"/>
    <w:rsid w:val="008B40CA"/>
    <w:rsid w:val="008B5726"/>
    <w:rsid w:val="008B5F8D"/>
    <w:rsid w:val="008B6F4B"/>
    <w:rsid w:val="008D00DC"/>
    <w:rsid w:val="008D0360"/>
    <w:rsid w:val="008D57F8"/>
    <w:rsid w:val="008D732C"/>
    <w:rsid w:val="008D79B9"/>
    <w:rsid w:val="008E26FC"/>
    <w:rsid w:val="008F0C69"/>
    <w:rsid w:val="008F2308"/>
    <w:rsid w:val="008F3131"/>
    <w:rsid w:val="008F653F"/>
    <w:rsid w:val="00910A3A"/>
    <w:rsid w:val="00913F49"/>
    <w:rsid w:val="00914D71"/>
    <w:rsid w:val="00915839"/>
    <w:rsid w:val="0092358F"/>
    <w:rsid w:val="00934FFA"/>
    <w:rsid w:val="00936C97"/>
    <w:rsid w:val="00945FAF"/>
    <w:rsid w:val="00951333"/>
    <w:rsid w:val="00955993"/>
    <w:rsid w:val="00960041"/>
    <w:rsid w:val="00967D02"/>
    <w:rsid w:val="009700E8"/>
    <w:rsid w:val="00973AB1"/>
    <w:rsid w:val="00980542"/>
    <w:rsid w:val="0098720E"/>
    <w:rsid w:val="0099610D"/>
    <w:rsid w:val="009A2C3E"/>
    <w:rsid w:val="009A4128"/>
    <w:rsid w:val="009C4BB9"/>
    <w:rsid w:val="009D06BE"/>
    <w:rsid w:val="009D26F7"/>
    <w:rsid w:val="009D43E2"/>
    <w:rsid w:val="009D6A58"/>
    <w:rsid w:val="009D7612"/>
    <w:rsid w:val="009E18B2"/>
    <w:rsid w:val="009E2779"/>
    <w:rsid w:val="009E61A2"/>
    <w:rsid w:val="009E7E69"/>
    <w:rsid w:val="009F6320"/>
    <w:rsid w:val="009F6346"/>
    <w:rsid w:val="00A04495"/>
    <w:rsid w:val="00A06303"/>
    <w:rsid w:val="00A06501"/>
    <w:rsid w:val="00A125E5"/>
    <w:rsid w:val="00A2606C"/>
    <w:rsid w:val="00A261AC"/>
    <w:rsid w:val="00A276F0"/>
    <w:rsid w:val="00A30ED9"/>
    <w:rsid w:val="00A33556"/>
    <w:rsid w:val="00A4756E"/>
    <w:rsid w:val="00A556A4"/>
    <w:rsid w:val="00A713CC"/>
    <w:rsid w:val="00A86464"/>
    <w:rsid w:val="00A9004A"/>
    <w:rsid w:val="00A92E76"/>
    <w:rsid w:val="00AA022A"/>
    <w:rsid w:val="00AB060C"/>
    <w:rsid w:val="00AB1D45"/>
    <w:rsid w:val="00AC5B19"/>
    <w:rsid w:val="00AD2386"/>
    <w:rsid w:val="00AD5320"/>
    <w:rsid w:val="00AD7102"/>
    <w:rsid w:val="00AE35E4"/>
    <w:rsid w:val="00AE3E01"/>
    <w:rsid w:val="00AE75C5"/>
    <w:rsid w:val="00AF4609"/>
    <w:rsid w:val="00AF7933"/>
    <w:rsid w:val="00AF7C41"/>
    <w:rsid w:val="00B05D94"/>
    <w:rsid w:val="00B07593"/>
    <w:rsid w:val="00B0776B"/>
    <w:rsid w:val="00B13D75"/>
    <w:rsid w:val="00B16B0F"/>
    <w:rsid w:val="00B214E0"/>
    <w:rsid w:val="00B25520"/>
    <w:rsid w:val="00B25E28"/>
    <w:rsid w:val="00B26BF0"/>
    <w:rsid w:val="00B30C77"/>
    <w:rsid w:val="00B32147"/>
    <w:rsid w:val="00B3598C"/>
    <w:rsid w:val="00B37ACA"/>
    <w:rsid w:val="00B41E8E"/>
    <w:rsid w:val="00B41F1C"/>
    <w:rsid w:val="00B42B45"/>
    <w:rsid w:val="00B4647B"/>
    <w:rsid w:val="00B5141A"/>
    <w:rsid w:val="00B516E4"/>
    <w:rsid w:val="00B51E58"/>
    <w:rsid w:val="00B52F0D"/>
    <w:rsid w:val="00B53E52"/>
    <w:rsid w:val="00B56494"/>
    <w:rsid w:val="00B61D8F"/>
    <w:rsid w:val="00B621E0"/>
    <w:rsid w:val="00B636C9"/>
    <w:rsid w:val="00B65097"/>
    <w:rsid w:val="00B82CCE"/>
    <w:rsid w:val="00B85059"/>
    <w:rsid w:val="00B86AE5"/>
    <w:rsid w:val="00B95BA8"/>
    <w:rsid w:val="00BA1EDA"/>
    <w:rsid w:val="00BA3526"/>
    <w:rsid w:val="00BA3F53"/>
    <w:rsid w:val="00BB22B7"/>
    <w:rsid w:val="00BB6CE4"/>
    <w:rsid w:val="00BC116E"/>
    <w:rsid w:val="00BC4CE9"/>
    <w:rsid w:val="00BC5A30"/>
    <w:rsid w:val="00BC7134"/>
    <w:rsid w:val="00BD061E"/>
    <w:rsid w:val="00BD2B27"/>
    <w:rsid w:val="00BD3F13"/>
    <w:rsid w:val="00BE0924"/>
    <w:rsid w:val="00BE5619"/>
    <w:rsid w:val="00BF0F29"/>
    <w:rsid w:val="00C03458"/>
    <w:rsid w:val="00C055FD"/>
    <w:rsid w:val="00C1406C"/>
    <w:rsid w:val="00C26E85"/>
    <w:rsid w:val="00C31623"/>
    <w:rsid w:val="00C35934"/>
    <w:rsid w:val="00C403B4"/>
    <w:rsid w:val="00C4214B"/>
    <w:rsid w:val="00C44067"/>
    <w:rsid w:val="00C45EB7"/>
    <w:rsid w:val="00C516C9"/>
    <w:rsid w:val="00C55EFE"/>
    <w:rsid w:val="00C57BE9"/>
    <w:rsid w:val="00C6277E"/>
    <w:rsid w:val="00C81771"/>
    <w:rsid w:val="00C82B32"/>
    <w:rsid w:val="00C87452"/>
    <w:rsid w:val="00C93180"/>
    <w:rsid w:val="00C94122"/>
    <w:rsid w:val="00C960E1"/>
    <w:rsid w:val="00C97943"/>
    <w:rsid w:val="00CA2DF0"/>
    <w:rsid w:val="00CA6B9F"/>
    <w:rsid w:val="00CB0AA2"/>
    <w:rsid w:val="00CC2982"/>
    <w:rsid w:val="00CD6219"/>
    <w:rsid w:val="00CE2796"/>
    <w:rsid w:val="00CE615D"/>
    <w:rsid w:val="00CE6A54"/>
    <w:rsid w:val="00CF2209"/>
    <w:rsid w:val="00D003C9"/>
    <w:rsid w:val="00D018AA"/>
    <w:rsid w:val="00D02D4F"/>
    <w:rsid w:val="00D03651"/>
    <w:rsid w:val="00D056C0"/>
    <w:rsid w:val="00D11D01"/>
    <w:rsid w:val="00D12F40"/>
    <w:rsid w:val="00D226D1"/>
    <w:rsid w:val="00D27EE8"/>
    <w:rsid w:val="00D33E5D"/>
    <w:rsid w:val="00D347F6"/>
    <w:rsid w:val="00D3549A"/>
    <w:rsid w:val="00D40C08"/>
    <w:rsid w:val="00D47697"/>
    <w:rsid w:val="00D55899"/>
    <w:rsid w:val="00D5607E"/>
    <w:rsid w:val="00D616E2"/>
    <w:rsid w:val="00D61D55"/>
    <w:rsid w:val="00D61EE6"/>
    <w:rsid w:val="00D63414"/>
    <w:rsid w:val="00D75F48"/>
    <w:rsid w:val="00D76AAF"/>
    <w:rsid w:val="00D83276"/>
    <w:rsid w:val="00D83B7B"/>
    <w:rsid w:val="00DA2C1E"/>
    <w:rsid w:val="00DA4581"/>
    <w:rsid w:val="00DB2680"/>
    <w:rsid w:val="00DB31C3"/>
    <w:rsid w:val="00DC40BD"/>
    <w:rsid w:val="00DD3C0D"/>
    <w:rsid w:val="00DD4DC2"/>
    <w:rsid w:val="00DD59A4"/>
    <w:rsid w:val="00DD7A34"/>
    <w:rsid w:val="00DE27FA"/>
    <w:rsid w:val="00DE646A"/>
    <w:rsid w:val="00DE72EE"/>
    <w:rsid w:val="00DF36A6"/>
    <w:rsid w:val="00E10FA0"/>
    <w:rsid w:val="00E272C4"/>
    <w:rsid w:val="00E31FEF"/>
    <w:rsid w:val="00E353FD"/>
    <w:rsid w:val="00E532C0"/>
    <w:rsid w:val="00E57A72"/>
    <w:rsid w:val="00E6142E"/>
    <w:rsid w:val="00E65335"/>
    <w:rsid w:val="00E66989"/>
    <w:rsid w:val="00E66B62"/>
    <w:rsid w:val="00E66C0E"/>
    <w:rsid w:val="00E70540"/>
    <w:rsid w:val="00E71DF3"/>
    <w:rsid w:val="00E80436"/>
    <w:rsid w:val="00E838AE"/>
    <w:rsid w:val="00E85FF2"/>
    <w:rsid w:val="00E9412A"/>
    <w:rsid w:val="00EA6B52"/>
    <w:rsid w:val="00EA70C7"/>
    <w:rsid w:val="00EC0D3E"/>
    <w:rsid w:val="00EC4CD7"/>
    <w:rsid w:val="00EC6C86"/>
    <w:rsid w:val="00ED400B"/>
    <w:rsid w:val="00ED4080"/>
    <w:rsid w:val="00EF4662"/>
    <w:rsid w:val="00EF5ECD"/>
    <w:rsid w:val="00F00B2B"/>
    <w:rsid w:val="00F02ECC"/>
    <w:rsid w:val="00F04F52"/>
    <w:rsid w:val="00F1350F"/>
    <w:rsid w:val="00F22CAA"/>
    <w:rsid w:val="00F265FD"/>
    <w:rsid w:val="00F30028"/>
    <w:rsid w:val="00F328D2"/>
    <w:rsid w:val="00F44C06"/>
    <w:rsid w:val="00F507A4"/>
    <w:rsid w:val="00F50E40"/>
    <w:rsid w:val="00F6681B"/>
    <w:rsid w:val="00F70B34"/>
    <w:rsid w:val="00F77488"/>
    <w:rsid w:val="00F819E0"/>
    <w:rsid w:val="00F827C0"/>
    <w:rsid w:val="00F90319"/>
    <w:rsid w:val="00FB0E96"/>
    <w:rsid w:val="00FB5D62"/>
    <w:rsid w:val="00FB7EDD"/>
    <w:rsid w:val="00FC15BF"/>
    <w:rsid w:val="00FC3284"/>
    <w:rsid w:val="00FC6FDF"/>
    <w:rsid w:val="00FE1551"/>
    <w:rsid w:val="00FE530E"/>
    <w:rsid w:val="00FE53C8"/>
    <w:rsid w:val="00FF4E4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0C56B0"/>
  <w15:docId w15:val="{F51F58EE-61CF-4F2F-A7BE-717DEFDA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F1C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нак Знак3"/>
    <w:basedOn w:val="Normal"/>
    <w:uiPriority w:val="99"/>
    <w:rsid w:val="009E18B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oc-ti">
    <w:name w:val="doc-ti"/>
    <w:basedOn w:val="Normal"/>
    <w:uiPriority w:val="99"/>
    <w:rsid w:val="009E18B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uiPriority w:val="99"/>
    <w:rsid w:val="009E18B2"/>
  </w:style>
  <w:style w:type="paragraph" w:styleId="BalloonText">
    <w:name w:val="Balloon Text"/>
    <w:basedOn w:val="Normal"/>
    <w:link w:val="BalloonTextChar"/>
    <w:uiPriority w:val="99"/>
    <w:semiHidden/>
    <w:rsid w:val="008B5726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8B5726"/>
    <w:rPr>
      <w:rFonts w:ascii="Tahoma" w:hAnsi="Tahoma" w:cs="Times New Roman"/>
      <w:sz w:val="16"/>
      <w:lang w:val="bg-BG"/>
    </w:rPr>
  </w:style>
  <w:style w:type="character" w:styleId="Strong">
    <w:name w:val="Strong"/>
    <w:uiPriority w:val="99"/>
    <w:qFormat/>
    <w:rsid w:val="00063B0C"/>
    <w:rPr>
      <w:rFonts w:cs="Times New Roman"/>
      <w:b/>
    </w:rPr>
  </w:style>
  <w:style w:type="table" w:styleId="TableGrid">
    <w:name w:val="Table Grid"/>
    <w:basedOn w:val="TableNormal"/>
    <w:uiPriority w:val="99"/>
    <w:rsid w:val="0049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41E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B41E8E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B41E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B41E8E"/>
    <w:rPr>
      <w:rFonts w:cs="Times New Roman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64485"/>
    <w:pPr>
      <w:widowControl w:val="0"/>
      <w:suppressAutoHyphens w:val="0"/>
      <w:autoSpaceDE w:val="0"/>
      <w:adjustRightInd w:val="0"/>
      <w:spacing w:after="0" w:line="240" w:lineRule="auto"/>
      <w:ind w:left="720"/>
      <w:contextualSpacing/>
      <w:textAlignment w:val="auto"/>
    </w:pPr>
    <w:rPr>
      <w:rFonts w:ascii="Verdana" w:eastAsia="Times New Roman" w:hAnsi="Verdana" w:cs="Verdana"/>
      <w:sz w:val="24"/>
      <w:szCs w:val="24"/>
      <w:lang w:eastAsia="bg-BG"/>
    </w:rPr>
  </w:style>
  <w:style w:type="character" w:styleId="CommentReference">
    <w:name w:val="annotation reference"/>
    <w:uiPriority w:val="99"/>
    <w:semiHidden/>
    <w:unhideWhenUsed/>
    <w:rsid w:val="004B3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62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36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6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3623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04529B"/>
    <w:pPr>
      <w:widowControl w:val="0"/>
      <w:suppressAutoHyphens w:val="0"/>
      <w:autoSpaceDE w:val="0"/>
      <w:spacing w:after="0" w:line="240" w:lineRule="auto"/>
      <w:ind w:left="124"/>
      <w:textAlignment w:val="auto"/>
    </w:pPr>
    <w:rPr>
      <w:rFonts w:ascii="Liberation Serif" w:eastAsia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rekar\AppData\Local\Microsoft\Windows\INetCache\&#1055;&#1088;&#1080;&#1083;&#1086;&#1078;&#1077;&#1085;&#1080;&#1077;-%20&#1076;&#1086;&#1082;&#1083;&#1072;&#1076;-27-04-2016&#1075;-&#1079;&#1074;&#1089;&#108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614F-871E-4F8A-A17C-B42BA422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Приложение- доклад-27-04-2016г-звсн</Template>
  <TotalTime>824</TotalTime>
  <Pages>1</Pages>
  <Words>2337</Words>
  <Characters>13327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M. Vasileva</dc:creator>
  <cp:keywords/>
  <cp:lastModifiedBy>Diana Fileva</cp:lastModifiedBy>
  <cp:revision>138</cp:revision>
  <cp:lastPrinted>2019-08-06T06:46:00Z</cp:lastPrinted>
  <dcterms:created xsi:type="dcterms:W3CDTF">2020-10-05T09:26:00Z</dcterms:created>
  <dcterms:modified xsi:type="dcterms:W3CDTF">2025-05-08T10:16:00Z</dcterms:modified>
</cp:coreProperties>
</file>