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27" w:rsidRPr="00060156" w:rsidRDefault="00DB0876" w:rsidP="00397694">
      <w:pPr>
        <w:pStyle w:val="Header"/>
        <w:jc w:val="center"/>
        <w:rPr>
          <w:lang w:val="bg-BG"/>
        </w:rPr>
      </w:pPr>
      <w:r>
        <w:rPr>
          <w:rFonts w:ascii="Timok" w:hAnsi="Timok"/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30FD31AA" wp14:editId="7C672743">
            <wp:simplePos x="0" y="0"/>
            <wp:positionH relativeFrom="column">
              <wp:posOffset>2368550</wp:posOffset>
            </wp:positionH>
            <wp:positionV relativeFrom="paragraph">
              <wp:posOffset>-108585</wp:posOffset>
            </wp:positionV>
            <wp:extent cx="1095375" cy="1087755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227" w:rsidRPr="00060156" w:rsidRDefault="00BC4227" w:rsidP="00397694">
      <w:pPr>
        <w:pStyle w:val="Header"/>
        <w:jc w:val="center"/>
        <w:rPr>
          <w:lang w:val="bg-BG"/>
        </w:rPr>
      </w:pPr>
    </w:p>
    <w:p w:rsidR="00BC4227" w:rsidRPr="00060156" w:rsidRDefault="00BC4227" w:rsidP="00397694">
      <w:pPr>
        <w:pStyle w:val="Header"/>
        <w:jc w:val="center"/>
        <w:rPr>
          <w:lang w:val="bg-BG"/>
        </w:rPr>
      </w:pPr>
    </w:p>
    <w:p w:rsidR="00BC4227" w:rsidRPr="00060156" w:rsidRDefault="00BC4227" w:rsidP="00397694">
      <w:pPr>
        <w:pStyle w:val="Header"/>
        <w:jc w:val="center"/>
        <w:rPr>
          <w:lang w:val="bg-BG"/>
        </w:rPr>
      </w:pPr>
    </w:p>
    <w:p w:rsidR="00BC4227" w:rsidRDefault="00BC4227" w:rsidP="00397694">
      <w:pPr>
        <w:pStyle w:val="Heading1"/>
        <w:rPr>
          <w:rFonts w:asciiTheme="minorHAnsi" w:hAnsiTheme="minorHAnsi"/>
        </w:rPr>
      </w:pPr>
    </w:p>
    <w:p w:rsidR="00397694" w:rsidRDefault="00397694" w:rsidP="00397694">
      <w:pPr>
        <w:jc w:val="center"/>
        <w:rPr>
          <w:lang w:val="bg-BG"/>
        </w:rPr>
      </w:pPr>
    </w:p>
    <w:p w:rsidR="00397694" w:rsidRPr="00397694" w:rsidRDefault="00397694" w:rsidP="00397694">
      <w:pPr>
        <w:jc w:val="center"/>
        <w:rPr>
          <w:lang w:val="bg-BG"/>
        </w:rPr>
      </w:pPr>
    </w:p>
    <w:p w:rsidR="00BC4227" w:rsidRPr="00060156" w:rsidRDefault="00BC4227" w:rsidP="00C70E2E">
      <w:pPr>
        <w:pStyle w:val="Heading1"/>
        <w:rPr>
          <w:rFonts w:ascii="Verdana" w:hAnsi="Verdana"/>
          <w:b w:val="0"/>
          <w:spacing w:val="40"/>
          <w:szCs w:val="28"/>
        </w:rPr>
      </w:pPr>
      <w:r w:rsidRPr="00060156">
        <w:rPr>
          <w:rFonts w:ascii="Verdana" w:hAnsi="Verdana"/>
          <w:b w:val="0"/>
          <w:spacing w:val="40"/>
          <w:szCs w:val="28"/>
        </w:rPr>
        <w:t>РЕПУБЛИКА БЪЛГАРИЯ</w:t>
      </w:r>
    </w:p>
    <w:p w:rsidR="00BC4227" w:rsidRPr="00690594" w:rsidRDefault="00BC4227" w:rsidP="007F6114">
      <w:pPr>
        <w:pBdr>
          <w:bottom w:val="single" w:sz="4" w:space="1" w:color="auto"/>
        </w:pBdr>
        <w:jc w:val="center"/>
        <w:rPr>
          <w:rFonts w:ascii="Verdana" w:hAnsi="Verdana"/>
          <w:spacing w:val="40"/>
          <w:sz w:val="26"/>
          <w:szCs w:val="26"/>
          <w:lang w:val="ru-RU"/>
        </w:rPr>
      </w:pPr>
      <w:r w:rsidRPr="0014656A">
        <w:rPr>
          <w:rFonts w:ascii="Verdana" w:hAnsi="Verdana"/>
          <w:spacing w:val="40"/>
          <w:sz w:val="26"/>
          <w:szCs w:val="26"/>
          <w:lang w:val="bg-BG"/>
        </w:rPr>
        <w:t>Министър на земеделието</w:t>
      </w:r>
      <w:r w:rsidR="00236ED7">
        <w:rPr>
          <w:rFonts w:ascii="Verdana" w:hAnsi="Verdana"/>
          <w:spacing w:val="40"/>
          <w:sz w:val="26"/>
          <w:szCs w:val="26"/>
          <w:lang w:val="bg-BG"/>
        </w:rPr>
        <w:t xml:space="preserve"> и</w:t>
      </w:r>
      <w:r w:rsidRPr="0014656A">
        <w:rPr>
          <w:rFonts w:ascii="Verdana" w:hAnsi="Verdana"/>
          <w:spacing w:val="40"/>
          <w:sz w:val="26"/>
          <w:szCs w:val="26"/>
          <w:lang w:val="bg-BG"/>
        </w:rPr>
        <w:t xml:space="preserve"> храните</w:t>
      </w:r>
      <w:r w:rsidR="0049796B" w:rsidRPr="0014656A">
        <w:rPr>
          <w:rFonts w:ascii="Verdana" w:hAnsi="Verdana"/>
          <w:spacing w:val="40"/>
          <w:sz w:val="26"/>
          <w:szCs w:val="26"/>
          <w:lang w:val="bg-BG"/>
        </w:rPr>
        <w:t xml:space="preserve"> </w:t>
      </w:r>
    </w:p>
    <w:p w:rsidR="00DB0876" w:rsidRDefault="00DB0876" w:rsidP="00DB0876">
      <w:pPr>
        <w:spacing w:line="360" w:lineRule="auto"/>
        <w:rPr>
          <w:rFonts w:ascii="Verdana" w:hAnsi="Verdana"/>
          <w:b/>
          <w:lang w:val="bg-BG"/>
        </w:rPr>
      </w:pPr>
    </w:p>
    <w:p w:rsidR="00397694" w:rsidRPr="00060156" w:rsidRDefault="00397694" w:rsidP="00DB0876">
      <w:pPr>
        <w:spacing w:line="360" w:lineRule="auto"/>
        <w:rPr>
          <w:rFonts w:ascii="Verdana" w:hAnsi="Verdana"/>
          <w:b/>
          <w:lang w:val="bg-BG"/>
        </w:rPr>
      </w:pP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ДО</w:t>
      </w: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МИНИСТЕРСКИЯ СЪВЕТ</w:t>
      </w:r>
    </w:p>
    <w:p w:rsidR="0080306D" w:rsidRPr="00690594" w:rsidRDefault="0080306D" w:rsidP="00DB0876">
      <w:pPr>
        <w:spacing w:line="360" w:lineRule="auto"/>
        <w:rPr>
          <w:rFonts w:ascii="Verdana" w:hAnsi="Verdana"/>
          <w:b/>
          <w:lang w:val="ru-RU"/>
        </w:rPr>
      </w:pPr>
      <w:r w:rsidRPr="00060156">
        <w:rPr>
          <w:rFonts w:ascii="Verdana" w:hAnsi="Verdana"/>
          <w:b/>
          <w:lang w:val="bg-BG"/>
        </w:rPr>
        <w:t>НА РЕПУБЛИКА БЪЛГАРИЯ</w:t>
      </w:r>
    </w:p>
    <w:p w:rsidR="00120D81" w:rsidRDefault="00120D81" w:rsidP="00DB0876">
      <w:pPr>
        <w:spacing w:line="360" w:lineRule="auto"/>
        <w:rPr>
          <w:rFonts w:ascii="Verdana" w:hAnsi="Verdana"/>
          <w:b/>
          <w:lang w:val="ru-RU"/>
        </w:rPr>
      </w:pPr>
    </w:p>
    <w:p w:rsidR="00397694" w:rsidRPr="00690594" w:rsidRDefault="00397694" w:rsidP="00DB0876">
      <w:pPr>
        <w:spacing w:line="360" w:lineRule="auto"/>
        <w:rPr>
          <w:rFonts w:ascii="Verdana" w:hAnsi="Verdana"/>
          <w:b/>
          <w:lang w:val="ru-RU"/>
        </w:rPr>
      </w:pPr>
    </w:p>
    <w:p w:rsidR="007F6114" w:rsidRPr="00060156" w:rsidRDefault="007F6114" w:rsidP="00DB0876">
      <w:pPr>
        <w:spacing w:line="360" w:lineRule="auto"/>
        <w:rPr>
          <w:rFonts w:ascii="Verdana" w:hAnsi="Verdana"/>
          <w:b/>
          <w:lang w:val="bg-BG"/>
        </w:rPr>
      </w:pPr>
    </w:p>
    <w:p w:rsidR="0080306D" w:rsidRPr="00060156" w:rsidRDefault="0080306D" w:rsidP="00DB0876">
      <w:pPr>
        <w:pStyle w:val="Heading1"/>
        <w:spacing w:line="360" w:lineRule="auto"/>
        <w:rPr>
          <w:rFonts w:ascii="Verdana" w:hAnsi="Verdana"/>
          <w:sz w:val="24"/>
          <w:szCs w:val="24"/>
        </w:rPr>
      </w:pPr>
      <w:r w:rsidRPr="00060156">
        <w:rPr>
          <w:rFonts w:ascii="Verdana" w:hAnsi="Verdana"/>
          <w:sz w:val="24"/>
          <w:szCs w:val="24"/>
        </w:rPr>
        <w:t>Д О К Л А Д</w:t>
      </w:r>
    </w:p>
    <w:p w:rsidR="004E235F" w:rsidRPr="0014656A" w:rsidRDefault="004E235F" w:rsidP="00DB087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4656A">
        <w:rPr>
          <w:rFonts w:ascii="Verdana" w:hAnsi="Verdana"/>
          <w:b/>
          <w:lang w:val="bg-BG"/>
        </w:rPr>
        <w:t xml:space="preserve">от </w:t>
      </w:r>
      <w:r w:rsidR="00236ED7">
        <w:rPr>
          <w:rFonts w:ascii="Verdana" w:hAnsi="Verdana"/>
          <w:b/>
          <w:lang w:val="bg-BG"/>
        </w:rPr>
        <w:t xml:space="preserve">д-р Георги </w:t>
      </w:r>
      <w:proofErr w:type="spellStart"/>
      <w:r w:rsidR="00236ED7">
        <w:rPr>
          <w:rFonts w:ascii="Verdana" w:hAnsi="Verdana"/>
          <w:b/>
          <w:lang w:val="bg-BG"/>
        </w:rPr>
        <w:t>Тахов</w:t>
      </w:r>
      <w:proofErr w:type="spellEnd"/>
      <w:r w:rsidRPr="0014656A">
        <w:rPr>
          <w:rFonts w:ascii="Verdana" w:hAnsi="Verdana"/>
          <w:b/>
          <w:lang w:val="bg-BG"/>
        </w:rPr>
        <w:t xml:space="preserve"> – министър на земеделието</w:t>
      </w:r>
      <w:r w:rsidR="00236ED7">
        <w:rPr>
          <w:rFonts w:ascii="Verdana" w:hAnsi="Verdana"/>
          <w:b/>
          <w:lang w:val="bg-BG"/>
        </w:rPr>
        <w:t xml:space="preserve"> и</w:t>
      </w:r>
      <w:r w:rsidRPr="0014656A">
        <w:rPr>
          <w:rFonts w:ascii="Verdana" w:hAnsi="Verdana"/>
          <w:b/>
          <w:lang w:val="bg-BG"/>
        </w:rPr>
        <w:t xml:space="preserve"> храните</w:t>
      </w:r>
    </w:p>
    <w:p w:rsidR="00397694" w:rsidRDefault="00397694" w:rsidP="00DB0876">
      <w:pPr>
        <w:spacing w:line="360" w:lineRule="auto"/>
        <w:rPr>
          <w:rFonts w:ascii="Verdana" w:hAnsi="Verdana"/>
          <w:lang w:val="bg-BG"/>
        </w:rPr>
      </w:pPr>
    </w:p>
    <w:p w:rsidR="00397694" w:rsidRDefault="00397694" w:rsidP="00DB0876">
      <w:pPr>
        <w:spacing w:line="360" w:lineRule="auto"/>
        <w:rPr>
          <w:rFonts w:ascii="Verdana" w:hAnsi="Verdana"/>
          <w:lang w:val="bg-BG"/>
        </w:rPr>
      </w:pPr>
    </w:p>
    <w:p w:rsidR="007A6584" w:rsidRPr="00120D81" w:rsidRDefault="00C70E2E" w:rsidP="00DB0876">
      <w:pPr>
        <w:spacing w:line="360" w:lineRule="auto"/>
        <w:ind w:left="1276" w:hanging="1276"/>
        <w:jc w:val="both"/>
        <w:rPr>
          <w:rFonts w:ascii="Verdana" w:hAnsi="Verdana"/>
          <w:spacing w:val="-4"/>
          <w:lang w:val="bg-BG"/>
        </w:rPr>
      </w:pPr>
      <w:r w:rsidRPr="00060156">
        <w:rPr>
          <w:rFonts w:ascii="Verdana" w:hAnsi="Verdana"/>
          <w:b/>
          <w:lang w:val="bg-BG"/>
        </w:rPr>
        <w:t>Относно</w:t>
      </w:r>
      <w:r w:rsidR="0080306D" w:rsidRPr="00DB0876">
        <w:rPr>
          <w:rFonts w:ascii="Verdana" w:hAnsi="Verdana"/>
          <w:b/>
          <w:lang w:val="bg-BG"/>
        </w:rPr>
        <w:t>:</w:t>
      </w:r>
      <w:r w:rsidR="0080306D" w:rsidRPr="00060156">
        <w:rPr>
          <w:rFonts w:ascii="Verdana" w:hAnsi="Verdana"/>
          <w:lang w:val="bg-BG"/>
        </w:rPr>
        <w:t xml:space="preserve"> </w:t>
      </w:r>
      <w:r w:rsidR="0080306D" w:rsidRPr="00120D81">
        <w:rPr>
          <w:rFonts w:ascii="Verdana" w:hAnsi="Verdana"/>
          <w:spacing w:val="-4"/>
          <w:lang w:val="bg-BG"/>
        </w:rPr>
        <w:t>Проект на</w:t>
      </w:r>
      <w:r w:rsidRPr="00120D81">
        <w:rPr>
          <w:rFonts w:ascii="Verdana" w:hAnsi="Verdana"/>
          <w:spacing w:val="-4"/>
          <w:lang w:val="bg-BG"/>
        </w:rPr>
        <w:t xml:space="preserve"> </w:t>
      </w:r>
      <w:r w:rsidR="00BE3604" w:rsidRPr="00120D81">
        <w:rPr>
          <w:rFonts w:ascii="Verdana" w:hAnsi="Verdana"/>
          <w:spacing w:val="-4"/>
          <w:lang w:val="bg-BG"/>
        </w:rPr>
        <w:t>Постановление</w:t>
      </w:r>
      <w:r w:rsidR="00EE22D8" w:rsidRPr="00120D81">
        <w:rPr>
          <w:rFonts w:ascii="Verdana" w:hAnsi="Verdana"/>
          <w:spacing w:val="-4"/>
          <w:lang w:val="bg-BG"/>
        </w:rPr>
        <w:t xml:space="preserve"> на Министерския съвет</w:t>
      </w:r>
      <w:r w:rsidR="00BE3604" w:rsidRPr="00120D81">
        <w:rPr>
          <w:rFonts w:ascii="Verdana" w:hAnsi="Verdana"/>
          <w:spacing w:val="-4"/>
          <w:lang w:val="bg-BG"/>
        </w:rPr>
        <w:t xml:space="preserve"> за </w:t>
      </w:r>
      <w:r w:rsidR="0028735C">
        <w:rPr>
          <w:rFonts w:ascii="Verdana" w:hAnsi="Verdana"/>
          <w:spacing w:val="-4"/>
          <w:lang w:val="bg-BG"/>
        </w:rPr>
        <w:t>измене</w:t>
      </w:r>
      <w:r w:rsidR="009D248D">
        <w:rPr>
          <w:rFonts w:ascii="Verdana" w:hAnsi="Verdana"/>
          <w:spacing w:val="-4"/>
          <w:lang w:val="bg-BG"/>
        </w:rPr>
        <w:t>ние</w:t>
      </w:r>
      <w:r w:rsidR="00636229" w:rsidRPr="00120D81">
        <w:rPr>
          <w:rFonts w:ascii="Verdana" w:hAnsi="Verdana"/>
          <w:spacing w:val="-4"/>
          <w:lang w:val="bg-BG"/>
        </w:rPr>
        <w:t xml:space="preserve"> на</w:t>
      </w:r>
      <w:r w:rsidR="007A6584" w:rsidRPr="00120D81">
        <w:rPr>
          <w:rFonts w:ascii="Verdana" w:hAnsi="Verdana"/>
          <w:spacing w:val="-4"/>
          <w:lang w:val="bg-BG"/>
        </w:rPr>
        <w:t xml:space="preserve"> Постановление № 343 </w:t>
      </w:r>
      <w:r w:rsidR="0092311E" w:rsidRPr="00120D81">
        <w:rPr>
          <w:rFonts w:ascii="Verdana" w:hAnsi="Verdana"/>
          <w:spacing w:val="-4"/>
          <w:lang w:val="bg-BG"/>
        </w:rPr>
        <w:t>н</w:t>
      </w:r>
      <w:r w:rsidR="004214AB">
        <w:rPr>
          <w:rFonts w:ascii="Verdana" w:hAnsi="Verdana"/>
          <w:spacing w:val="-4"/>
          <w:lang w:val="bg-BG"/>
        </w:rPr>
        <w:t>а Министерския съвет от 2011 г.</w:t>
      </w:r>
      <w:r w:rsidR="0092311E" w:rsidRPr="00120D81">
        <w:rPr>
          <w:rFonts w:ascii="Verdana" w:hAnsi="Verdana"/>
          <w:spacing w:val="-4"/>
          <w:lang w:val="bg-BG"/>
        </w:rPr>
        <w:t xml:space="preserve"> за определяне размера на частта от продажната цена на дървесината и недъ</w:t>
      </w:r>
      <w:r w:rsidR="005B7ACC">
        <w:rPr>
          <w:rFonts w:ascii="Verdana" w:hAnsi="Verdana"/>
          <w:spacing w:val="-4"/>
          <w:lang w:val="bg-BG"/>
        </w:rPr>
        <w:t xml:space="preserve">рвесните горски продукти по чл. </w:t>
      </w:r>
      <w:r w:rsidR="0092311E" w:rsidRPr="00120D81">
        <w:rPr>
          <w:rFonts w:ascii="Verdana" w:hAnsi="Verdana"/>
          <w:spacing w:val="-4"/>
          <w:lang w:val="bg-BG"/>
        </w:rPr>
        <w:t xml:space="preserve">179, ал. 1 от Закона за горите </w:t>
      </w:r>
      <w:r w:rsidR="007A6584" w:rsidRPr="00120D81">
        <w:rPr>
          <w:rFonts w:ascii="Verdana" w:hAnsi="Verdana"/>
          <w:spacing w:val="-4"/>
          <w:lang w:val="bg-BG"/>
        </w:rPr>
        <w:t>(обн.</w:t>
      </w:r>
      <w:r w:rsidR="0092311E" w:rsidRPr="00120D81">
        <w:rPr>
          <w:rFonts w:ascii="Verdana" w:hAnsi="Verdana"/>
          <w:spacing w:val="-4"/>
          <w:lang w:val="bg-BG"/>
        </w:rPr>
        <w:t>,</w:t>
      </w:r>
      <w:r w:rsidR="007A6584" w:rsidRPr="00120D81">
        <w:rPr>
          <w:rFonts w:ascii="Verdana" w:hAnsi="Verdana"/>
          <w:spacing w:val="-4"/>
          <w:lang w:val="bg-BG"/>
        </w:rPr>
        <w:t xml:space="preserve"> ДВ</w:t>
      </w:r>
      <w:r w:rsidR="004214AB">
        <w:rPr>
          <w:rFonts w:ascii="Verdana" w:hAnsi="Verdana"/>
          <w:spacing w:val="-4"/>
          <w:lang w:val="bg-BG"/>
        </w:rPr>
        <w:t>,</w:t>
      </w:r>
      <w:r w:rsidR="0092311E" w:rsidRPr="00120D81">
        <w:rPr>
          <w:rFonts w:ascii="Verdana" w:hAnsi="Verdana"/>
          <w:spacing w:val="-4"/>
          <w:lang w:val="bg-BG"/>
        </w:rPr>
        <w:t xml:space="preserve"> б</w:t>
      </w:r>
      <w:r w:rsidR="007A6584" w:rsidRPr="00120D81">
        <w:rPr>
          <w:rFonts w:ascii="Verdana" w:hAnsi="Verdana"/>
          <w:spacing w:val="-4"/>
          <w:lang w:val="bg-BG"/>
        </w:rPr>
        <w:t>р. 102 от 2011 г.</w:t>
      </w:r>
      <w:r w:rsidR="0092311E" w:rsidRPr="00120D81">
        <w:rPr>
          <w:rFonts w:ascii="Verdana" w:hAnsi="Verdana"/>
          <w:spacing w:val="-4"/>
          <w:lang w:val="bg-BG"/>
        </w:rPr>
        <w:t>;</w:t>
      </w:r>
      <w:r w:rsidR="00641A08" w:rsidRPr="00120D81">
        <w:rPr>
          <w:rFonts w:ascii="Verdana" w:hAnsi="Verdana"/>
          <w:spacing w:val="-4"/>
          <w:lang w:val="bg-BG"/>
        </w:rPr>
        <w:t xml:space="preserve"> </w:t>
      </w:r>
      <w:r w:rsidR="00120D81">
        <w:rPr>
          <w:rFonts w:ascii="Verdana" w:hAnsi="Verdana"/>
          <w:spacing w:val="-4"/>
          <w:lang w:val="bg-BG"/>
        </w:rPr>
        <w:t xml:space="preserve">изм. и </w:t>
      </w:r>
      <w:r w:rsidR="00E65A1B" w:rsidRPr="00120D81">
        <w:rPr>
          <w:rFonts w:ascii="Verdana" w:hAnsi="Verdana"/>
          <w:spacing w:val="-4"/>
          <w:lang w:val="bg-BG"/>
        </w:rPr>
        <w:t>доп</w:t>
      </w:r>
      <w:r w:rsidR="00636229" w:rsidRPr="00120D81">
        <w:rPr>
          <w:rFonts w:ascii="Verdana" w:hAnsi="Verdana"/>
          <w:bCs/>
          <w:spacing w:val="-4"/>
          <w:lang w:val="bg-BG"/>
        </w:rPr>
        <w:t>.</w:t>
      </w:r>
      <w:r w:rsidR="00120D81">
        <w:rPr>
          <w:rFonts w:ascii="Verdana" w:hAnsi="Verdana"/>
          <w:bCs/>
          <w:spacing w:val="-4"/>
          <w:lang w:val="bg-BG"/>
        </w:rPr>
        <w:t>,</w:t>
      </w:r>
      <w:r w:rsidR="00636229" w:rsidRPr="00120D81">
        <w:rPr>
          <w:rFonts w:ascii="Verdana" w:hAnsi="Verdana"/>
          <w:bCs/>
          <w:spacing w:val="-4"/>
          <w:lang w:val="bg-BG"/>
        </w:rPr>
        <w:t xml:space="preserve"> </w:t>
      </w:r>
      <w:r w:rsidR="00641A08" w:rsidRPr="00120D81">
        <w:rPr>
          <w:rFonts w:ascii="Verdana" w:hAnsi="Verdana"/>
          <w:bCs/>
          <w:spacing w:val="-4"/>
          <w:lang w:val="bg-BG"/>
        </w:rPr>
        <w:t>бр.</w:t>
      </w:r>
      <w:r w:rsidR="005B7ACC">
        <w:rPr>
          <w:rFonts w:ascii="Verdana" w:hAnsi="Verdana"/>
          <w:bCs/>
          <w:spacing w:val="-4"/>
          <w:lang w:val="bg-BG"/>
        </w:rPr>
        <w:t xml:space="preserve"> </w:t>
      </w:r>
      <w:r w:rsidR="00641A08" w:rsidRPr="00120D81">
        <w:rPr>
          <w:rFonts w:ascii="Verdana" w:hAnsi="Verdana"/>
          <w:bCs/>
          <w:spacing w:val="-4"/>
          <w:lang w:val="bg-BG"/>
        </w:rPr>
        <w:t>9 от 2014 г.</w:t>
      </w:r>
      <w:r w:rsidR="00BD5E65">
        <w:rPr>
          <w:rFonts w:ascii="Verdana" w:hAnsi="Verdana"/>
          <w:bCs/>
          <w:spacing w:val="-4"/>
          <w:lang w:val="bg-BG"/>
        </w:rPr>
        <w:t>,</w:t>
      </w:r>
      <w:r w:rsidR="00120D81">
        <w:rPr>
          <w:rFonts w:ascii="Verdana" w:hAnsi="Verdana"/>
          <w:bCs/>
          <w:spacing w:val="-4"/>
          <w:lang w:val="bg-BG"/>
        </w:rPr>
        <w:t xml:space="preserve"> </w:t>
      </w:r>
      <w:r w:rsidR="0049796B" w:rsidRPr="00120D81">
        <w:rPr>
          <w:rFonts w:ascii="Verdana" w:hAnsi="Verdana"/>
          <w:bCs/>
          <w:spacing w:val="-4"/>
          <w:lang w:val="bg-BG"/>
        </w:rPr>
        <w:t>бр. 31 от 2015 г.</w:t>
      </w:r>
      <w:r w:rsidR="006A0469">
        <w:rPr>
          <w:rFonts w:ascii="Verdana" w:hAnsi="Verdana"/>
          <w:bCs/>
          <w:spacing w:val="-4"/>
          <w:lang w:val="bg-BG"/>
        </w:rPr>
        <w:t>,</w:t>
      </w:r>
      <w:r w:rsidR="004214AB">
        <w:rPr>
          <w:rFonts w:ascii="Verdana" w:hAnsi="Verdana"/>
          <w:bCs/>
          <w:spacing w:val="-4"/>
          <w:lang w:val="bg-BG"/>
        </w:rPr>
        <w:t xml:space="preserve"> </w:t>
      </w:r>
      <w:r w:rsidR="006E5661" w:rsidRPr="00120D81">
        <w:rPr>
          <w:rFonts w:ascii="Verdana" w:hAnsi="Verdana"/>
          <w:bCs/>
          <w:spacing w:val="-4"/>
          <w:lang w:val="bg-BG"/>
        </w:rPr>
        <w:t>бр.</w:t>
      </w:r>
      <w:r w:rsidR="005536B1" w:rsidRPr="00120D81">
        <w:rPr>
          <w:rFonts w:ascii="Verdana" w:hAnsi="Verdana"/>
          <w:bCs/>
          <w:spacing w:val="-4"/>
          <w:lang w:val="ru-RU"/>
        </w:rPr>
        <w:t xml:space="preserve"> 78</w:t>
      </w:r>
      <w:r w:rsidR="006E5661" w:rsidRPr="00120D81">
        <w:rPr>
          <w:rFonts w:ascii="Verdana" w:hAnsi="Verdana"/>
          <w:bCs/>
          <w:spacing w:val="-4"/>
          <w:lang w:val="bg-BG"/>
        </w:rPr>
        <w:t xml:space="preserve"> от 2017 г.</w:t>
      </w:r>
      <w:r w:rsidR="005B7ACC">
        <w:rPr>
          <w:rFonts w:ascii="Verdana" w:hAnsi="Verdana"/>
          <w:bCs/>
          <w:spacing w:val="-4"/>
          <w:lang w:val="bg-BG"/>
        </w:rPr>
        <w:t xml:space="preserve">, бр. </w:t>
      </w:r>
      <w:r w:rsidR="006A0469" w:rsidRPr="006A0469">
        <w:rPr>
          <w:rFonts w:ascii="Verdana" w:hAnsi="Verdana"/>
          <w:bCs/>
          <w:spacing w:val="-4"/>
          <w:lang w:val="bg-BG"/>
        </w:rPr>
        <w:t>19</w:t>
      </w:r>
      <w:r w:rsidR="00236ED7">
        <w:rPr>
          <w:rFonts w:ascii="Verdana" w:hAnsi="Verdana"/>
          <w:bCs/>
          <w:spacing w:val="-4"/>
          <w:lang w:val="bg-BG"/>
        </w:rPr>
        <w:t xml:space="preserve"> и бр. 60 от 2020 г.</w:t>
      </w:r>
      <w:r w:rsidR="008B6F46">
        <w:rPr>
          <w:rFonts w:ascii="Verdana" w:hAnsi="Verdana"/>
          <w:bCs/>
          <w:spacing w:val="-4"/>
          <w:lang w:val="en-US"/>
        </w:rPr>
        <w:t>;</w:t>
      </w:r>
      <w:r w:rsidR="00370542">
        <w:rPr>
          <w:rFonts w:ascii="Verdana" w:hAnsi="Verdana"/>
          <w:bCs/>
          <w:spacing w:val="-4"/>
          <w:lang w:val="bg-BG"/>
        </w:rPr>
        <w:t xml:space="preserve"> доп.</w:t>
      </w:r>
      <w:r w:rsidR="005B7ACC">
        <w:rPr>
          <w:rFonts w:ascii="Verdana" w:hAnsi="Verdana"/>
          <w:bCs/>
          <w:spacing w:val="-4"/>
          <w:lang w:val="bg-BG"/>
        </w:rPr>
        <w:t>,</w:t>
      </w:r>
      <w:r w:rsidR="00370542">
        <w:rPr>
          <w:rFonts w:ascii="Verdana" w:hAnsi="Verdana"/>
          <w:bCs/>
          <w:spacing w:val="-4"/>
          <w:lang w:val="bg-BG"/>
        </w:rPr>
        <w:t xml:space="preserve"> бр. 108 от 2024 г.</w:t>
      </w:r>
      <w:r w:rsidR="00641A08" w:rsidRPr="00120D81">
        <w:rPr>
          <w:rFonts w:ascii="Verdana" w:hAnsi="Verdana"/>
          <w:spacing w:val="-4"/>
          <w:lang w:val="bg-BG"/>
        </w:rPr>
        <w:t>)</w:t>
      </w:r>
    </w:p>
    <w:p w:rsidR="00CA30F7" w:rsidRDefault="00CA30F7" w:rsidP="00DB0876">
      <w:pPr>
        <w:spacing w:line="360" w:lineRule="auto"/>
        <w:rPr>
          <w:rFonts w:ascii="Verdana" w:hAnsi="Verdana"/>
          <w:lang w:val="ru-RU"/>
        </w:rPr>
      </w:pPr>
    </w:p>
    <w:p w:rsidR="00397694" w:rsidRDefault="00397694" w:rsidP="00DB0876">
      <w:pPr>
        <w:spacing w:line="360" w:lineRule="auto"/>
        <w:rPr>
          <w:rFonts w:ascii="Verdana" w:hAnsi="Verdana"/>
          <w:lang w:val="ru-RU"/>
        </w:rPr>
      </w:pP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ГОСПОДИН МИНИСТЪР-ПРЕДСЕДАТЕЛ,</w:t>
      </w:r>
    </w:p>
    <w:p w:rsidR="0080306D" w:rsidRDefault="0080306D" w:rsidP="00DB0876">
      <w:pPr>
        <w:spacing w:after="120"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ГОСПОЖИ И ГОСПОДА МИНИСТРИ,</w:t>
      </w:r>
    </w:p>
    <w:p w:rsidR="006A0469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проект на Постановление на Министерския съвет за </w:t>
      </w:r>
      <w:r w:rsidR="00370542">
        <w:rPr>
          <w:rFonts w:ascii="Verdana" w:hAnsi="Verdana"/>
          <w:lang w:val="bg-BG"/>
        </w:rPr>
        <w:t>измене</w:t>
      </w:r>
      <w:r w:rsidR="009D248D">
        <w:rPr>
          <w:rFonts w:ascii="Verdana" w:hAnsi="Verdana"/>
          <w:lang w:val="bg-BG"/>
        </w:rPr>
        <w:t>ни</w:t>
      </w:r>
      <w:r w:rsidRPr="006A0469">
        <w:rPr>
          <w:rFonts w:ascii="Verdana" w:hAnsi="Verdana"/>
          <w:lang w:val="bg-BG"/>
        </w:rPr>
        <w:t>е на Постановление № 343 на Министерския съвет от 2011 г. за определяне размера на частта от продажната цена на дървесината и недървесните горски продукти по чл. 179, ал. 1 от Закона за горите.</w:t>
      </w:r>
    </w:p>
    <w:p w:rsidR="008938A4" w:rsidRDefault="008938A4" w:rsidP="008938A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8938A4" w:rsidRPr="00D042F7" w:rsidRDefault="008938A4" w:rsidP="008938A4">
      <w:pPr>
        <w:ind w:firstLine="709"/>
        <w:jc w:val="both"/>
        <w:rPr>
          <w:rFonts w:ascii="Verdana" w:hAnsi="Verdana"/>
          <w:lang w:val="bg-BG"/>
        </w:rPr>
      </w:pPr>
      <w:r w:rsidRPr="00D042F7">
        <w:rPr>
          <w:rFonts w:ascii="Verdana" w:hAnsi="Verdana"/>
          <w:b/>
          <w:lang w:val="bg-BG"/>
        </w:rPr>
        <w:t>Причини, които налагат приемането на акта</w:t>
      </w:r>
    </w:p>
    <w:p w:rsidR="00370542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D042F7">
        <w:rPr>
          <w:rFonts w:ascii="Verdana" w:hAnsi="Verdana"/>
          <w:lang w:val="bg-BG"/>
        </w:rPr>
        <w:t xml:space="preserve">Постановление № 343 на Министерския съвет от 2011 г. за определяне размера на частта от продажната цена на дървесината и недървесните горски продукти по </w:t>
      </w:r>
      <w:r w:rsidR="005B7ACC" w:rsidRPr="00D042F7">
        <w:rPr>
          <w:rFonts w:ascii="Verdana" w:hAnsi="Verdana"/>
          <w:lang w:val="bg-BG"/>
        </w:rPr>
        <w:br/>
      </w:r>
      <w:r w:rsidRPr="00D042F7">
        <w:rPr>
          <w:rFonts w:ascii="Verdana" w:hAnsi="Verdana"/>
          <w:lang w:val="bg-BG"/>
        </w:rPr>
        <w:t xml:space="preserve">чл. 179, ал. 1 от Закона за горите (ПМС № 343 от 2011 г.) последователно е допълвано и изменяно през 2014 г., 2015 г., 2017 г. и </w:t>
      </w:r>
      <w:r w:rsidR="00236ED7" w:rsidRPr="00D042F7">
        <w:rPr>
          <w:rFonts w:ascii="Verdana" w:hAnsi="Verdana"/>
          <w:lang w:val="bg-BG"/>
        </w:rPr>
        <w:t>двукратно</w:t>
      </w:r>
      <w:r w:rsidRPr="00D042F7">
        <w:rPr>
          <w:rFonts w:ascii="Verdana" w:hAnsi="Verdana"/>
          <w:lang w:val="bg-BG"/>
        </w:rPr>
        <w:t xml:space="preserve"> през 2020 г. </w:t>
      </w:r>
      <w:r w:rsidR="00370542" w:rsidRPr="00D042F7">
        <w:rPr>
          <w:rFonts w:ascii="Verdana" w:hAnsi="Verdana"/>
          <w:lang w:val="bg-BG"/>
        </w:rPr>
        <w:t xml:space="preserve">С </w:t>
      </w:r>
      <w:r w:rsidR="005B7ACC" w:rsidRPr="00D042F7">
        <w:rPr>
          <w:rFonts w:ascii="Verdana" w:hAnsi="Verdana"/>
          <w:lang w:val="bg-BG"/>
        </w:rPr>
        <w:t xml:space="preserve">Постановление </w:t>
      </w:r>
      <w:r w:rsidR="00370542" w:rsidRPr="00D042F7">
        <w:rPr>
          <w:rFonts w:ascii="Verdana" w:hAnsi="Verdana"/>
          <w:lang w:val="bg-BG"/>
        </w:rPr>
        <w:t>№</w:t>
      </w:r>
      <w:r w:rsidR="005B7ACC" w:rsidRPr="00D042F7">
        <w:rPr>
          <w:rFonts w:ascii="Verdana" w:hAnsi="Verdana"/>
          <w:lang w:val="bg-BG"/>
        </w:rPr>
        <w:t xml:space="preserve"> </w:t>
      </w:r>
      <w:r w:rsidR="00370542" w:rsidRPr="00D042F7">
        <w:rPr>
          <w:rFonts w:ascii="Verdana" w:hAnsi="Verdana"/>
          <w:lang w:val="bg-BG"/>
        </w:rPr>
        <w:t xml:space="preserve">473 </w:t>
      </w:r>
      <w:r w:rsidR="005B7ACC" w:rsidRPr="00D042F7">
        <w:rPr>
          <w:rFonts w:ascii="Verdana" w:hAnsi="Verdana"/>
          <w:lang w:val="bg-BG"/>
        </w:rPr>
        <w:t xml:space="preserve">на Министерския съвет от </w:t>
      </w:r>
      <w:r w:rsidR="005B7ACC">
        <w:rPr>
          <w:rFonts w:ascii="Verdana" w:hAnsi="Verdana"/>
          <w:lang w:val="bg-BG"/>
        </w:rPr>
        <w:t>2024 г. п</w:t>
      </w:r>
      <w:r w:rsidR="00370542">
        <w:rPr>
          <w:rFonts w:ascii="Verdana" w:hAnsi="Verdana"/>
          <w:lang w:val="bg-BG"/>
        </w:rPr>
        <w:t xml:space="preserve">остановлението е допълнено, като е </w:t>
      </w:r>
      <w:r w:rsidR="00370542">
        <w:rPr>
          <w:rFonts w:ascii="Verdana" w:hAnsi="Verdana"/>
          <w:lang w:val="bg-BG"/>
        </w:rPr>
        <w:lastRenderedPageBreak/>
        <w:t xml:space="preserve">създадена временна разпоредба </w:t>
      </w:r>
      <w:r w:rsidR="008B6F46">
        <w:rPr>
          <w:rFonts w:ascii="Verdana" w:hAnsi="Verdana"/>
          <w:lang w:val="bg-BG"/>
        </w:rPr>
        <w:t>–</w:t>
      </w:r>
      <w:r w:rsidR="00370542">
        <w:rPr>
          <w:rFonts w:ascii="Verdana" w:hAnsi="Verdana"/>
          <w:lang w:val="bg-BG"/>
        </w:rPr>
        <w:t xml:space="preserve"> §</w:t>
      </w:r>
      <w:r w:rsidR="005B7ACC">
        <w:rPr>
          <w:rFonts w:ascii="Verdana" w:hAnsi="Verdana"/>
          <w:lang w:val="bg-BG"/>
        </w:rPr>
        <w:t xml:space="preserve"> </w:t>
      </w:r>
      <w:r w:rsidR="00370542">
        <w:rPr>
          <w:rFonts w:ascii="Verdana" w:hAnsi="Verdana"/>
          <w:lang w:val="bg-BG"/>
        </w:rPr>
        <w:t xml:space="preserve">3а, в </w:t>
      </w:r>
      <w:r w:rsidR="000F55B3">
        <w:rPr>
          <w:rFonts w:ascii="Verdana" w:hAnsi="Verdana"/>
          <w:lang w:val="bg-BG"/>
        </w:rPr>
        <w:t xml:space="preserve">Преходните и заключителните </w:t>
      </w:r>
      <w:r w:rsidR="00370542">
        <w:rPr>
          <w:rFonts w:ascii="Verdana" w:hAnsi="Verdana"/>
          <w:lang w:val="bg-BG"/>
        </w:rPr>
        <w:t xml:space="preserve">разпоредби, със срок на действие 6 месеца, от 01.10.2024 г. до 31.03.2025 г., в който период </w:t>
      </w:r>
      <w:r w:rsidRPr="006A0469">
        <w:rPr>
          <w:rFonts w:ascii="Verdana" w:hAnsi="Verdana"/>
          <w:lang w:val="bg-BG"/>
        </w:rPr>
        <w:t xml:space="preserve">размерът на отчисленията към фонд „Инвестиции в горите” </w:t>
      </w:r>
      <w:r w:rsidR="00370542">
        <w:rPr>
          <w:rFonts w:ascii="Verdana" w:hAnsi="Verdana"/>
          <w:lang w:val="bg-BG"/>
        </w:rPr>
        <w:t xml:space="preserve">се намалява от 2 лв., 4 лв. и 5 лв. за куб. м </w:t>
      </w:r>
      <w:r w:rsidR="00370542" w:rsidRPr="006A0469">
        <w:rPr>
          <w:rFonts w:ascii="Verdana" w:hAnsi="Verdana"/>
          <w:lang w:val="bg-BG"/>
        </w:rPr>
        <w:t xml:space="preserve">незасегнатата от повреди </w:t>
      </w:r>
      <w:r w:rsidR="00370542">
        <w:rPr>
          <w:rFonts w:ascii="Verdana" w:hAnsi="Verdana"/>
          <w:lang w:val="bg-BG"/>
        </w:rPr>
        <w:t xml:space="preserve">дървесина на 1 лв. за куб. м дървесина, а за „Южноцентрално държавно предприятие“ – от 8 лв. за куб. м на 4 лв./куб. м. </w:t>
      </w:r>
    </w:p>
    <w:p w:rsidR="00236ED7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Настоящото предложение касае</w:t>
      </w:r>
      <w:r w:rsidR="00370542">
        <w:rPr>
          <w:rFonts w:ascii="Verdana" w:hAnsi="Verdana"/>
          <w:lang w:val="bg-BG"/>
        </w:rPr>
        <w:t xml:space="preserve"> удължаване на периода на</w:t>
      </w:r>
      <w:r w:rsidRPr="006A0469">
        <w:rPr>
          <w:rFonts w:ascii="Verdana" w:hAnsi="Verdana"/>
          <w:lang w:val="bg-BG"/>
        </w:rPr>
        <w:t xml:space="preserve"> </w:t>
      </w:r>
      <w:r w:rsidR="00370542">
        <w:rPr>
          <w:rFonts w:ascii="Verdana" w:hAnsi="Verdana"/>
          <w:lang w:val="bg-BG"/>
        </w:rPr>
        <w:t>действие на §</w:t>
      </w:r>
      <w:r w:rsidR="005B7ACC">
        <w:rPr>
          <w:rFonts w:ascii="Verdana" w:hAnsi="Verdana"/>
          <w:lang w:val="bg-BG"/>
        </w:rPr>
        <w:t xml:space="preserve"> </w:t>
      </w:r>
      <w:r w:rsidR="00370542">
        <w:rPr>
          <w:rFonts w:ascii="Verdana" w:hAnsi="Verdana"/>
          <w:lang w:val="bg-BG"/>
        </w:rPr>
        <w:t xml:space="preserve">3а до края на 2025 г. и </w:t>
      </w:r>
      <w:r w:rsidRPr="006A0469">
        <w:rPr>
          <w:rFonts w:ascii="Verdana" w:hAnsi="Verdana"/>
          <w:lang w:val="bg-BG"/>
        </w:rPr>
        <w:t xml:space="preserve">промяна на отчисленията при продажбата на дървесина, внасяни </w:t>
      </w:r>
      <w:r w:rsidR="00D95F42" w:rsidRPr="006A0469">
        <w:rPr>
          <w:rFonts w:ascii="Verdana" w:hAnsi="Verdana"/>
          <w:lang w:val="bg-BG"/>
        </w:rPr>
        <w:t xml:space="preserve">от </w:t>
      </w:r>
      <w:r w:rsidR="00236ED7">
        <w:rPr>
          <w:rFonts w:ascii="Verdana" w:hAnsi="Verdana"/>
          <w:lang w:val="bg-BG"/>
        </w:rPr>
        <w:t>„</w:t>
      </w:r>
      <w:r w:rsidR="00370542">
        <w:rPr>
          <w:rFonts w:ascii="Verdana" w:hAnsi="Verdana"/>
          <w:lang w:val="bg-BG"/>
        </w:rPr>
        <w:t xml:space="preserve">Южноцентрално държавно предприятие“ от 4 лв. за куб. </w:t>
      </w:r>
      <w:r w:rsidR="00C233CD">
        <w:rPr>
          <w:rFonts w:ascii="Verdana" w:hAnsi="Verdana"/>
          <w:lang w:val="bg-BG"/>
        </w:rPr>
        <w:t>м</w:t>
      </w:r>
      <w:r w:rsidR="002926FC">
        <w:rPr>
          <w:rFonts w:ascii="Verdana" w:hAnsi="Verdana"/>
          <w:lang w:val="bg-BG"/>
        </w:rPr>
        <w:t xml:space="preserve"> дървесина на 1 лв. за куб. </w:t>
      </w:r>
      <w:r w:rsidR="00C233CD">
        <w:rPr>
          <w:rFonts w:ascii="Verdana" w:hAnsi="Verdana"/>
          <w:lang w:val="bg-BG"/>
        </w:rPr>
        <w:t>м дървесина.</w:t>
      </w:r>
    </w:p>
    <w:p w:rsidR="006A0469" w:rsidRPr="006A0469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Предлаган</w:t>
      </w:r>
      <w:r w:rsidR="00C233CD">
        <w:rPr>
          <w:rFonts w:ascii="Verdana" w:hAnsi="Verdana"/>
          <w:lang w:val="bg-BG"/>
        </w:rPr>
        <w:t xml:space="preserve">ата </w:t>
      </w:r>
      <w:r w:rsidRPr="006A0469">
        <w:rPr>
          <w:rFonts w:ascii="Verdana" w:hAnsi="Verdana"/>
          <w:lang w:val="bg-BG"/>
        </w:rPr>
        <w:t>промяна е свързана с</w:t>
      </w:r>
      <w:r w:rsidR="00C233CD">
        <w:rPr>
          <w:rFonts w:ascii="Verdana" w:hAnsi="Verdana"/>
          <w:lang w:val="bg-BG"/>
        </w:rPr>
        <w:t xml:space="preserve"> продължаващото</w:t>
      </w:r>
      <w:r w:rsidR="00D95F42">
        <w:rPr>
          <w:rFonts w:ascii="Verdana" w:hAnsi="Verdana"/>
          <w:lang w:val="bg-BG"/>
        </w:rPr>
        <w:t xml:space="preserve"> </w:t>
      </w:r>
      <w:r w:rsidRPr="006A0469">
        <w:rPr>
          <w:rFonts w:ascii="Verdana" w:hAnsi="Verdana"/>
          <w:lang w:val="bg-BG"/>
        </w:rPr>
        <w:t xml:space="preserve">понижаване на цените на дървесината през настоящата </w:t>
      </w:r>
      <w:r w:rsidR="00D95F42">
        <w:rPr>
          <w:rFonts w:ascii="Verdana" w:hAnsi="Verdana"/>
          <w:lang w:val="bg-BG"/>
        </w:rPr>
        <w:t>202</w:t>
      </w:r>
      <w:r w:rsidR="00C233CD">
        <w:rPr>
          <w:rFonts w:ascii="Verdana" w:hAnsi="Verdana"/>
          <w:lang w:val="bg-BG"/>
        </w:rPr>
        <w:t>5</w:t>
      </w:r>
      <w:r w:rsidR="00D95F42">
        <w:rPr>
          <w:rFonts w:ascii="Verdana" w:hAnsi="Verdana"/>
          <w:lang w:val="bg-BG"/>
        </w:rPr>
        <w:t xml:space="preserve"> </w:t>
      </w:r>
      <w:r w:rsidRPr="006A0469">
        <w:rPr>
          <w:rFonts w:ascii="Verdana" w:hAnsi="Verdana"/>
          <w:lang w:val="bg-BG"/>
        </w:rPr>
        <w:t>г</w:t>
      </w:r>
      <w:r w:rsidR="00C233CD">
        <w:rPr>
          <w:rFonts w:ascii="Verdana" w:hAnsi="Verdana"/>
          <w:lang w:val="bg-BG"/>
        </w:rPr>
        <w:t>.</w:t>
      </w:r>
      <w:r w:rsidRPr="006A0469">
        <w:rPr>
          <w:rFonts w:ascii="Verdana" w:hAnsi="Verdana"/>
          <w:lang w:val="bg-BG"/>
        </w:rPr>
        <w:t xml:space="preserve"> вследствие </w:t>
      </w:r>
      <w:r w:rsidR="002633E3">
        <w:rPr>
          <w:rFonts w:ascii="Verdana" w:hAnsi="Verdana"/>
          <w:lang w:val="bg-BG"/>
        </w:rPr>
        <w:t>на</w:t>
      </w:r>
      <w:r w:rsidRPr="006A0469">
        <w:rPr>
          <w:rFonts w:ascii="Verdana" w:hAnsi="Verdana"/>
          <w:lang w:val="bg-BG"/>
        </w:rPr>
        <w:t xml:space="preserve"> комплексни причини – влиянието на европейските пазари на продуктите от дърв</w:t>
      </w:r>
      <w:r w:rsidR="00C233CD">
        <w:rPr>
          <w:rFonts w:ascii="Verdana" w:hAnsi="Verdana"/>
          <w:lang w:val="bg-BG"/>
        </w:rPr>
        <w:t>есина, намаленото потребление</w:t>
      </w:r>
      <w:r w:rsidRPr="006A0469">
        <w:rPr>
          <w:rFonts w:ascii="Verdana" w:hAnsi="Verdana"/>
          <w:lang w:val="bg-BG"/>
        </w:rPr>
        <w:t xml:space="preserve"> </w:t>
      </w:r>
      <w:r w:rsidR="00D95F42">
        <w:rPr>
          <w:rFonts w:ascii="Verdana" w:hAnsi="Verdana"/>
          <w:lang w:val="bg-BG"/>
        </w:rPr>
        <w:t>на</w:t>
      </w:r>
      <w:r w:rsidR="0052576A">
        <w:rPr>
          <w:rFonts w:ascii="Verdana" w:hAnsi="Verdana"/>
          <w:lang w:val="bg-BG"/>
        </w:rPr>
        <w:t xml:space="preserve"> дърва</w:t>
      </w:r>
      <w:r w:rsidR="002633E3">
        <w:rPr>
          <w:rFonts w:ascii="Verdana" w:hAnsi="Verdana"/>
          <w:lang w:val="bg-BG"/>
        </w:rPr>
        <w:t>та</w:t>
      </w:r>
      <w:r w:rsidR="0052576A">
        <w:rPr>
          <w:rFonts w:ascii="Verdana" w:hAnsi="Verdana"/>
          <w:lang w:val="bg-BG"/>
        </w:rPr>
        <w:t xml:space="preserve"> за огрев от физически лиц</w:t>
      </w:r>
      <w:r w:rsidR="00D95F42">
        <w:rPr>
          <w:rFonts w:ascii="Verdana" w:hAnsi="Verdana"/>
          <w:lang w:val="bg-BG"/>
        </w:rPr>
        <w:t>а за лични нужди</w:t>
      </w:r>
      <w:r w:rsidR="002633E3">
        <w:rPr>
          <w:rFonts w:ascii="Verdana" w:hAnsi="Verdana"/>
          <w:lang w:val="bg-BG"/>
        </w:rPr>
        <w:t xml:space="preserve"> в страната</w:t>
      </w:r>
      <w:r w:rsidR="00C233CD">
        <w:rPr>
          <w:rFonts w:ascii="Verdana" w:hAnsi="Verdana"/>
          <w:lang w:val="bg-BG"/>
        </w:rPr>
        <w:t>, както и спирането на работа на един от големите заводи за преработка на дървесина в гр. Стамболийски</w:t>
      </w:r>
      <w:r w:rsidRPr="006A0469">
        <w:rPr>
          <w:rFonts w:ascii="Verdana" w:hAnsi="Verdana"/>
          <w:lang w:val="bg-BG"/>
        </w:rPr>
        <w:t xml:space="preserve">. </w:t>
      </w:r>
      <w:r w:rsidR="00CF3D1D" w:rsidRPr="006A0469">
        <w:rPr>
          <w:rFonts w:ascii="Verdana" w:hAnsi="Verdana"/>
          <w:lang w:val="bg-BG"/>
        </w:rPr>
        <w:t xml:space="preserve">Това обстоятелство рефлектира </w:t>
      </w:r>
      <w:r w:rsidR="009D248D">
        <w:rPr>
          <w:rFonts w:ascii="Verdana" w:hAnsi="Verdana"/>
          <w:lang w:val="bg-BG"/>
        </w:rPr>
        <w:t xml:space="preserve">директно и </w:t>
      </w:r>
      <w:r w:rsidR="00CF3D1D" w:rsidRPr="006A0469">
        <w:rPr>
          <w:rFonts w:ascii="Verdana" w:hAnsi="Verdana"/>
          <w:lang w:val="bg-BG"/>
        </w:rPr>
        <w:t xml:space="preserve">осезаемо върху държавните предприятия по чл. 163 от Закона за горите, на които е предоставено управлението на горските територии – държавна собственост, и които осъществяват продажбата на дървесината, добита от тях. </w:t>
      </w:r>
      <w:r w:rsidRPr="006A0469">
        <w:rPr>
          <w:rFonts w:ascii="Verdana" w:hAnsi="Verdana"/>
          <w:lang w:val="bg-BG"/>
        </w:rPr>
        <w:t xml:space="preserve">За </w:t>
      </w:r>
      <w:r w:rsidR="00C233CD">
        <w:rPr>
          <w:rFonts w:ascii="Verdana" w:hAnsi="Verdana"/>
          <w:lang w:val="bg-BG"/>
        </w:rPr>
        <w:t xml:space="preserve">първите два месеца на </w:t>
      </w:r>
      <w:r w:rsidR="00D95F42">
        <w:rPr>
          <w:rFonts w:ascii="Verdana" w:hAnsi="Verdana"/>
          <w:lang w:val="bg-BG"/>
        </w:rPr>
        <w:t>202</w:t>
      </w:r>
      <w:r w:rsidR="00C233CD">
        <w:rPr>
          <w:rFonts w:ascii="Verdana" w:hAnsi="Verdana"/>
          <w:lang w:val="bg-BG"/>
        </w:rPr>
        <w:t>5</w:t>
      </w:r>
      <w:r w:rsidRPr="006A0469">
        <w:rPr>
          <w:rFonts w:ascii="Verdana" w:hAnsi="Verdana"/>
          <w:lang w:val="bg-BG"/>
        </w:rPr>
        <w:t xml:space="preserve"> г. отч</w:t>
      </w:r>
      <w:r w:rsidR="009D248D">
        <w:rPr>
          <w:rFonts w:ascii="Verdana" w:hAnsi="Verdana"/>
          <w:lang w:val="bg-BG"/>
        </w:rPr>
        <w:t>етеният</w:t>
      </w:r>
      <w:r w:rsidRPr="006A0469">
        <w:rPr>
          <w:rFonts w:ascii="Verdana" w:hAnsi="Verdana"/>
          <w:lang w:val="bg-BG"/>
        </w:rPr>
        <w:t xml:space="preserve"> спад при продажбите на дървесина</w:t>
      </w:r>
      <w:r w:rsidR="009D248D">
        <w:rPr>
          <w:rFonts w:ascii="Verdana" w:hAnsi="Verdana"/>
          <w:lang w:val="bg-BG"/>
        </w:rPr>
        <w:t xml:space="preserve"> </w:t>
      </w:r>
      <w:r w:rsidR="002633E3">
        <w:rPr>
          <w:rFonts w:ascii="Verdana" w:hAnsi="Verdana"/>
          <w:lang w:val="bg-BG"/>
        </w:rPr>
        <w:t xml:space="preserve">от </w:t>
      </w:r>
      <w:r w:rsidR="002633E3" w:rsidRPr="006A0469">
        <w:rPr>
          <w:rFonts w:ascii="Verdana" w:hAnsi="Verdana"/>
          <w:lang w:val="bg-BG"/>
        </w:rPr>
        <w:t xml:space="preserve">шестте държавни предприятия </w:t>
      </w:r>
      <w:r w:rsidR="009D248D">
        <w:rPr>
          <w:rFonts w:ascii="Verdana" w:hAnsi="Verdana"/>
          <w:lang w:val="bg-BG"/>
        </w:rPr>
        <w:t>е</w:t>
      </w:r>
      <w:r w:rsidRPr="006A0469">
        <w:rPr>
          <w:rFonts w:ascii="Verdana" w:hAnsi="Verdana"/>
          <w:lang w:val="bg-BG"/>
        </w:rPr>
        <w:t xml:space="preserve"> в размер на </w:t>
      </w:r>
      <w:r w:rsidR="00774DC5">
        <w:rPr>
          <w:rFonts w:ascii="Verdana" w:hAnsi="Verdana"/>
          <w:lang w:val="bg-BG"/>
        </w:rPr>
        <w:t>1</w:t>
      </w:r>
      <w:r w:rsidR="00C233CD">
        <w:rPr>
          <w:rFonts w:ascii="Verdana" w:hAnsi="Verdana"/>
          <w:lang w:val="bg-BG"/>
        </w:rPr>
        <w:t>5</w:t>
      </w:r>
      <w:r w:rsidRPr="006A0469">
        <w:rPr>
          <w:rFonts w:ascii="Verdana" w:hAnsi="Verdana"/>
          <w:lang w:val="bg-BG"/>
        </w:rPr>
        <w:t xml:space="preserve">% спрямо </w:t>
      </w:r>
      <w:r w:rsidR="00C233CD">
        <w:rPr>
          <w:rFonts w:ascii="Verdana" w:hAnsi="Verdana"/>
          <w:lang w:val="bg-BG"/>
        </w:rPr>
        <w:t xml:space="preserve">същия период на </w:t>
      </w:r>
      <w:r w:rsidR="00774DC5">
        <w:rPr>
          <w:rFonts w:ascii="Verdana" w:hAnsi="Verdana"/>
          <w:lang w:val="bg-BG"/>
        </w:rPr>
        <w:t>202</w:t>
      </w:r>
      <w:r w:rsidR="00C233CD">
        <w:rPr>
          <w:rFonts w:ascii="Verdana" w:hAnsi="Verdana"/>
          <w:lang w:val="bg-BG"/>
        </w:rPr>
        <w:t>4</w:t>
      </w:r>
      <w:r w:rsidR="00774DC5">
        <w:rPr>
          <w:rFonts w:ascii="Verdana" w:hAnsi="Verdana"/>
          <w:lang w:val="bg-BG"/>
        </w:rPr>
        <w:t xml:space="preserve"> г</w:t>
      </w:r>
      <w:r w:rsidRPr="006A0469">
        <w:rPr>
          <w:rFonts w:ascii="Verdana" w:hAnsi="Verdana"/>
          <w:lang w:val="bg-BG"/>
        </w:rPr>
        <w:t xml:space="preserve">. </w:t>
      </w:r>
      <w:r w:rsidR="00774DC5">
        <w:rPr>
          <w:rFonts w:ascii="Verdana" w:hAnsi="Verdana"/>
          <w:lang w:val="bg-BG"/>
        </w:rPr>
        <w:t xml:space="preserve">Намаленият добив и реализация на дървесината, добивана от държавните гори, в съчетание с намалението и на продажните цени на дървесината </w:t>
      </w:r>
      <w:r w:rsidR="00CF3D1D">
        <w:rPr>
          <w:rFonts w:ascii="Verdana" w:hAnsi="Verdana"/>
          <w:lang w:val="bg-BG"/>
        </w:rPr>
        <w:t>през 2024 г.</w:t>
      </w:r>
      <w:r w:rsidR="00C233CD">
        <w:rPr>
          <w:rFonts w:ascii="Verdana" w:hAnsi="Verdana"/>
          <w:lang w:val="bg-BG"/>
        </w:rPr>
        <w:t>- 2025 г.</w:t>
      </w:r>
      <w:r w:rsidR="00CF3D1D">
        <w:rPr>
          <w:rFonts w:ascii="Verdana" w:hAnsi="Verdana"/>
          <w:lang w:val="bg-BG"/>
        </w:rPr>
        <w:t xml:space="preserve"> влоши </w:t>
      </w:r>
      <w:r w:rsidR="009D248D">
        <w:rPr>
          <w:rFonts w:ascii="Verdana" w:hAnsi="Verdana"/>
          <w:lang w:val="bg-BG"/>
        </w:rPr>
        <w:t xml:space="preserve">в значителна степен </w:t>
      </w:r>
      <w:r w:rsidR="00CF3D1D">
        <w:rPr>
          <w:rFonts w:ascii="Verdana" w:hAnsi="Verdana"/>
          <w:lang w:val="bg-BG"/>
        </w:rPr>
        <w:t>финансо</w:t>
      </w:r>
      <w:r w:rsidR="00F2050E">
        <w:rPr>
          <w:rFonts w:ascii="Verdana" w:hAnsi="Verdana"/>
          <w:lang w:val="bg-BG"/>
        </w:rPr>
        <w:t>во предприятията.</w:t>
      </w:r>
      <w:r w:rsidR="00CF3D1D">
        <w:rPr>
          <w:rFonts w:ascii="Verdana" w:hAnsi="Verdana"/>
          <w:lang w:val="bg-BG"/>
        </w:rPr>
        <w:t xml:space="preserve"> </w:t>
      </w:r>
      <w:r w:rsidR="009D248D">
        <w:rPr>
          <w:rFonts w:ascii="Verdana" w:hAnsi="Verdana"/>
          <w:lang w:val="bg-BG"/>
        </w:rPr>
        <w:t>К</w:t>
      </w:r>
      <w:r w:rsidR="009D248D" w:rsidRPr="00F2050E">
        <w:rPr>
          <w:rFonts w:ascii="Verdana" w:hAnsi="Verdana"/>
          <w:lang w:val="bg-BG"/>
        </w:rPr>
        <w:t xml:space="preserve">ъм </w:t>
      </w:r>
      <w:r w:rsidR="000F55B3">
        <w:rPr>
          <w:rFonts w:ascii="Verdana" w:hAnsi="Verdana"/>
          <w:lang w:val="bg-BG"/>
        </w:rPr>
        <w:t>28.</w:t>
      </w:r>
      <w:r w:rsidR="009D248D" w:rsidRPr="00F2050E">
        <w:rPr>
          <w:rFonts w:ascii="Verdana" w:hAnsi="Verdana"/>
          <w:lang w:val="bg-BG"/>
        </w:rPr>
        <w:t>0</w:t>
      </w:r>
      <w:r w:rsidR="000F55B3">
        <w:rPr>
          <w:rFonts w:ascii="Verdana" w:hAnsi="Verdana"/>
          <w:lang w:val="bg-BG"/>
        </w:rPr>
        <w:t>2</w:t>
      </w:r>
      <w:r w:rsidR="009D248D" w:rsidRPr="00F2050E">
        <w:rPr>
          <w:rFonts w:ascii="Verdana" w:hAnsi="Verdana"/>
          <w:lang w:val="bg-BG"/>
        </w:rPr>
        <w:t>.202</w:t>
      </w:r>
      <w:r w:rsidR="000F55B3">
        <w:rPr>
          <w:rFonts w:ascii="Verdana" w:hAnsi="Verdana"/>
          <w:lang w:val="bg-BG"/>
        </w:rPr>
        <w:t>5</w:t>
      </w:r>
      <w:r w:rsidR="009D248D" w:rsidRPr="00F2050E">
        <w:rPr>
          <w:rFonts w:ascii="Verdana" w:hAnsi="Verdana"/>
          <w:lang w:val="bg-BG"/>
        </w:rPr>
        <w:t xml:space="preserve"> г. </w:t>
      </w:r>
      <w:r w:rsidR="000F55B3">
        <w:rPr>
          <w:rFonts w:ascii="Verdana" w:hAnsi="Verdana"/>
          <w:lang w:val="bg-BG"/>
        </w:rPr>
        <w:t>и</w:t>
      </w:r>
      <w:r w:rsidR="00F2050E" w:rsidRPr="00F2050E">
        <w:rPr>
          <w:rFonts w:ascii="Verdana" w:hAnsi="Verdana"/>
          <w:lang w:val="bg-BG"/>
        </w:rPr>
        <w:t xml:space="preserve"> шестте държавни предприятия отчитат междинен финансов резултат загуба в общ </w:t>
      </w:r>
      <w:r w:rsidR="00F2050E" w:rsidRPr="00937186">
        <w:rPr>
          <w:rFonts w:ascii="Verdana" w:hAnsi="Verdana"/>
          <w:lang w:val="bg-BG"/>
        </w:rPr>
        <w:t xml:space="preserve">размер, надхвърлящ </w:t>
      </w:r>
      <w:r w:rsidR="00681487" w:rsidRPr="00937186">
        <w:rPr>
          <w:rFonts w:ascii="Verdana" w:hAnsi="Verdana"/>
          <w:lang w:val="bg-BG"/>
        </w:rPr>
        <w:t>1</w:t>
      </w:r>
      <w:r w:rsidR="002926FC" w:rsidRPr="00937186">
        <w:rPr>
          <w:rFonts w:ascii="Verdana" w:hAnsi="Verdana"/>
          <w:lang w:val="bg-BG"/>
        </w:rPr>
        <w:t>3</w:t>
      </w:r>
      <w:r w:rsidR="00F2050E" w:rsidRPr="00937186">
        <w:rPr>
          <w:rFonts w:ascii="Verdana" w:hAnsi="Verdana"/>
          <w:lang w:val="bg-BG"/>
        </w:rPr>
        <w:t xml:space="preserve"> млн. лева. </w:t>
      </w:r>
      <w:r w:rsidR="009D248D" w:rsidRPr="00937186">
        <w:rPr>
          <w:rFonts w:ascii="Verdana" w:hAnsi="Verdana"/>
          <w:lang w:val="bg-BG"/>
        </w:rPr>
        <w:t>Липсата на</w:t>
      </w:r>
      <w:r w:rsidR="00F2050E" w:rsidRPr="00937186">
        <w:rPr>
          <w:rFonts w:ascii="Verdana" w:hAnsi="Verdana"/>
          <w:lang w:val="bg-BG"/>
        </w:rPr>
        <w:t xml:space="preserve"> индикации </w:t>
      </w:r>
      <w:r w:rsidR="002633E3" w:rsidRPr="00937186">
        <w:rPr>
          <w:rFonts w:ascii="Verdana" w:hAnsi="Verdana"/>
          <w:lang w:val="bg-BG"/>
        </w:rPr>
        <w:t>през</w:t>
      </w:r>
      <w:r w:rsidR="00F2050E" w:rsidRPr="00937186">
        <w:rPr>
          <w:rFonts w:ascii="Verdana" w:hAnsi="Verdana"/>
          <w:lang w:val="bg-BG"/>
        </w:rPr>
        <w:t xml:space="preserve"> последните месеци за </w:t>
      </w:r>
      <w:r w:rsidR="00F2050E" w:rsidRPr="00F2050E">
        <w:rPr>
          <w:rFonts w:ascii="Verdana" w:hAnsi="Verdana"/>
          <w:lang w:val="bg-BG"/>
        </w:rPr>
        <w:t xml:space="preserve">подобрение на търсенето на дървесина в страната обуславя необходимостта </w:t>
      </w:r>
      <w:r w:rsidR="009D248D">
        <w:rPr>
          <w:rFonts w:ascii="Verdana" w:hAnsi="Verdana"/>
          <w:lang w:val="bg-BG"/>
        </w:rPr>
        <w:t>от предприемането на</w:t>
      </w:r>
      <w:r w:rsidR="00F2050E" w:rsidRPr="00F2050E">
        <w:rPr>
          <w:rFonts w:ascii="Verdana" w:hAnsi="Verdana"/>
          <w:lang w:val="bg-BG"/>
        </w:rPr>
        <w:t xml:space="preserve"> </w:t>
      </w:r>
      <w:r w:rsidR="002633E3">
        <w:rPr>
          <w:rFonts w:ascii="Verdana" w:hAnsi="Verdana"/>
          <w:lang w:val="bg-BG"/>
        </w:rPr>
        <w:t>допълнителни</w:t>
      </w:r>
      <w:r w:rsidR="00F2050E" w:rsidRPr="00F2050E">
        <w:rPr>
          <w:rFonts w:ascii="Verdana" w:hAnsi="Verdana"/>
          <w:lang w:val="bg-BG"/>
        </w:rPr>
        <w:t xml:space="preserve"> административни действия за облекчаване </w:t>
      </w:r>
      <w:r w:rsidR="00F2050E" w:rsidRPr="008938A4">
        <w:rPr>
          <w:rFonts w:ascii="Verdana" w:hAnsi="Verdana"/>
          <w:spacing w:val="-2"/>
          <w:lang w:val="bg-BG"/>
        </w:rPr>
        <w:t>изпълнението на дейностите на държавните горски предприятия през 2025 г.</w:t>
      </w:r>
      <w:r w:rsidR="00CF3D1D" w:rsidRPr="00F2050E">
        <w:rPr>
          <w:rFonts w:ascii="Verdana" w:hAnsi="Verdana"/>
          <w:lang w:val="bg-BG"/>
        </w:rPr>
        <w:t xml:space="preserve"> </w:t>
      </w:r>
      <w:r w:rsidR="009D248D">
        <w:rPr>
          <w:rFonts w:ascii="Verdana" w:hAnsi="Verdana"/>
          <w:lang w:val="bg-BG"/>
        </w:rPr>
        <w:t>Финансово з</w:t>
      </w:r>
      <w:r w:rsidRPr="006A0469">
        <w:rPr>
          <w:rFonts w:ascii="Verdana" w:hAnsi="Verdana"/>
          <w:lang w:val="bg-BG"/>
        </w:rPr>
        <w:t xml:space="preserve">атруднено е изпълнението на планираните за годината горскостопански, ловностопански и други дейности, включително и издръжката на работещите в предприятията и техните териториални поделения. </w:t>
      </w:r>
    </w:p>
    <w:p w:rsidR="004B1D2B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Едно удачно решение е </w:t>
      </w:r>
      <w:r w:rsidR="00C233CD" w:rsidRPr="006A0469">
        <w:rPr>
          <w:rFonts w:ascii="Verdana" w:hAnsi="Verdana"/>
          <w:lang w:val="bg-BG"/>
        </w:rPr>
        <w:t>намален</w:t>
      </w:r>
      <w:r w:rsidR="00C233CD">
        <w:rPr>
          <w:rFonts w:ascii="Verdana" w:hAnsi="Verdana"/>
          <w:lang w:val="bg-BG"/>
        </w:rPr>
        <w:t>ият в края на 2024 г.</w:t>
      </w:r>
      <w:r w:rsidR="00C233CD" w:rsidRPr="006A0469">
        <w:rPr>
          <w:rFonts w:ascii="Verdana" w:hAnsi="Verdana"/>
          <w:lang w:val="bg-BG"/>
        </w:rPr>
        <w:t xml:space="preserve"> размер на отчисленията, които предприятията правят за фонд „Инвестиции в горите“ при продажбата на дървесина</w:t>
      </w:r>
      <w:r w:rsidR="002926FC">
        <w:rPr>
          <w:rFonts w:ascii="Verdana" w:hAnsi="Verdana"/>
          <w:lang w:val="bg-BG"/>
        </w:rPr>
        <w:t>,</w:t>
      </w:r>
      <w:r w:rsidR="00C233CD">
        <w:rPr>
          <w:rFonts w:ascii="Verdana" w:hAnsi="Verdana"/>
          <w:lang w:val="bg-BG"/>
        </w:rPr>
        <w:t xml:space="preserve"> да се прилага до края на 2025 г., което ще позволи освобо</w:t>
      </w:r>
      <w:r w:rsidR="00C233CD" w:rsidRPr="006A0469">
        <w:rPr>
          <w:rFonts w:ascii="Verdana" w:hAnsi="Verdana"/>
          <w:lang w:val="bg-BG"/>
        </w:rPr>
        <w:t xml:space="preserve">ждаване на </w:t>
      </w:r>
      <w:r w:rsidR="00681487">
        <w:rPr>
          <w:rFonts w:ascii="Verdana" w:hAnsi="Verdana"/>
          <w:lang w:val="bg-BG"/>
        </w:rPr>
        <w:t xml:space="preserve">допълнителни </w:t>
      </w:r>
      <w:r w:rsidR="00C233CD" w:rsidRPr="006A0469">
        <w:rPr>
          <w:rFonts w:ascii="Verdana" w:hAnsi="Verdana"/>
          <w:lang w:val="bg-BG"/>
        </w:rPr>
        <w:t>оперативни средства на предприяти</w:t>
      </w:r>
      <w:r w:rsidR="00C233CD">
        <w:rPr>
          <w:rFonts w:ascii="Verdana" w:hAnsi="Verdana"/>
          <w:lang w:val="bg-BG"/>
        </w:rPr>
        <w:t>ята</w:t>
      </w:r>
      <w:r w:rsidR="00681487">
        <w:rPr>
          <w:rFonts w:ascii="Verdana" w:hAnsi="Verdana"/>
          <w:lang w:val="bg-BG"/>
        </w:rPr>
        <w:t>,</w:t>
      </w:r>
      <w:r w:rsidR="00C233CD" w:rsidRPr="006A0469">
        <w:rPr>
          <w:rFonts w:ascii="Verdana" w:hAnsi="Verdana"/>
          <w:lang w:val="bg-BG"/>
        </w:rPr>
        <w:t xml:space="preserve"> именно за обезпечаване на посочените дейности и разходи.</w:t>
      </w:r>
    </w:p>
    <w:p w:rsidR="005243A6" w:rsidRDefault="004B1D2B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 xml:space="preserve">В тази връзка, предлагам да бъде направено </w:t>
      </w:r>
      <w:r w:rsidR="00C233CD">
        <w:rPr>
          <w:rFonts w:ascii="Verdana" w:hAnsi="Verdana"/>
          <w:lang w:val="bg-BG"/>
        </w:rPr>
        <w:t>изменение</w:t>
      </w:r>
      <w:r w:rsidRPr="006A0469">
        <w:rPr>
          <w:rFonts w:ascii="Verdana" w:hAnsi="Verdana"/>
          <w:lang w:val="bg-BG"/>
        </w:rPr>
        <w:t xml:space="preserve"> в </w:t>
      </w:r>
      <w:r w:rsidR="00C233CD">
        <w:rPr>
          <w:rFonts w:ascii="Verdana" w:hAnsi="Verdana"/>
          <w:lang w:val="bg-BG"/>
        </w:rPr>
        <w:t>§</w:t>
      </w:r>
      <w:r w:rsidR="008938A4">
        <w:rPr>
          <w:rFonts w:ascii="Verdana" w:hAnsi="Verdana"/>
          <w:lang w:val="bg-BG"/>
        </w:rPr>
        <w:t xml:space="preserve"> </w:t>
      </w:r>
      <w:r w:rsidR="00C233CD">
        <w:rPr>
          <w:rFonts w:ascii="Verdana" w:hAnsi="Verdana"/>
          <w:lang w:val="bg-BG"/>
        </w:rPr>
        <w:t xml:space="preserve">3а от </w:t>
      </w:r>
      <w:r w:rsidR="000F55B3" w:rsidRPr="000F55B3">
        <w:rPr>
          <w:rFonts w:ascii="Verdana" w:hAnsi="Verdana"/>
          <w:lang w:val="bg-BG"/>
        </w:rPr>
        <w:t>Преходните и заключителните</w:t>
      </w:r>
      <w:r w:rsidR="00C233CD">
        <w:rPr>
          <w:rFonts w:ascii="Verdana" w:hAnsi="Verdana"/>
          <w:lang w:val="bg-BG"/>
        </w:rPr>
        <w:t xml:space="preserve"> разпоредби н</w:t>
      </w:r>
      <w:r>
        <w:rPr>
          <w:rFonts w:ascii="Verdana" w:hAnsi="Verdana"/>
          <w:lang w:val="bg-BG"/>
        </w:rPr>
        <w:t>а</w:t>
      </w:r>
      <w:r w:rsidRPr="006A0469">
        <w:rPr>
          <w:rFonts w:ascii="Verdana" w:hAnsi="Verdana"/>
          <w:lang w:val="bg-BG"/>
        </w:rPr>
        <w:t xml:space="preserve"> Постановление № 343 на Министерския съвет от</w:t>
      </w:r>
      <w:r w:rsidR="008938A4">
        <w:rPr>
          <w:rFonts w:ascii="Verdana" w:hAnsi="Verdana"/>
          <w:lang w:val="bg-BG"/>
        </w:rPr>
        <w:t xml:space="preserve"> 2011 </w:t>
      </w:r>
      <w:r>
        <w:rPr>
          <w:rFonts w:ascii="Verdana" w:hAnsi="Verdana"/>
          <w:lang w:val="bg-BG"/>
        </w:rPr>
        <w:t xml:space="preserve">г., </w:t>
      </w:r>
      <w:r w:rsidR="00C233CD">
        <w:rPr>
          <w:rFonts w:ascii="Verdana" w:hAnsi="Verdana"/>
          <w:lang w:val="bg-BG"/>
        </w:rPr>
        <w:t xml:space="preserve">като </w:t>
      </w:r>
      <w:r w:rsidR="000F55B3">
        <w:rPr>
          <w:rFonts w:ascii="Verdana" w:hAnsi="Verdana"/>
          <w:lang w:val="bg-BG"/>
        </w:rPr>
        <w:t xml:space="preserve">датата </w:t>
      </w:r>
      <w:r>
        <w:rPr>
          <w:rFonts w:ascii="Verdana" w:hAnsi="Verdana"/>
          <w:lang w:val="bg-BG"/>
        </w:rPr>
        <w:t>3</w:t>
      </w:r>
      <w:r w:rsidR="00826851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.0</w:t>
      </w:r>
      <w:r w:rsidR="00826851">
        <w:rPr>
          <w:rFonts w:ascii="Verdana" w:hAnsi="Verdana"/>
          <w:lang w:val="bg-BG"/>
        </w:rPr>
        <w:t>3</w:t>
      </w:r>
      <w:r>
        <w:rPr>
          <w:rFonts w:ascii="Verdana" w:hAnsi="Verdana"/>
          <w:lang w:val="bg-BG"/>
        </w:rPr>
        <w:t xml:space="preserve">.2025 г. се </w:t>
      </w:r>
      <w:r w:rsidR="00C233CD">
        <w:rPr>
          <w:rFonts w:ascii="Verdana" w:hAnsi="Verdana"/>
          <w:lang w:val="bg-BG"/>
        </w:rPr>
        <w:t xml:space="preserve">замени с </w:t>
      </w:r>
      <w:r w:rsidR="000F55B3">
        <w:rPr>
          <w:rFonts w:ascii="Verdana" w:hAnsi="Verdana"/>
          <w:lang w:val="bg-BG"/>
        </w:rPr>
        <w:t xml:space="preserve">31.12.2025 г., а </w:t>
      </w:r>
      <w:r w:rsidR="00826851">
        <w:rPr>
          <w:rFonts w:ascii="Verdana" w:hAnsi="Verdana"/>
          <w:lang w:val="bg-BG"/>
        </w:rPr>
        <w:t>размер</w:t>
      </w:r>
      <w:r w:rsidR="000F55B3">
        <w:rPr>
          <w:rFonts w:ascii="Verdana" w:hAnsi="Verdana"/>
          <w:lang w:val="bg-BG"/>
        </w:rPr>
        <w:t>ът</w:t>
      </w:r>
      <w:r w:rsidR="0082685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</w:t>
      </w:r>
      <w:r w:rsidR="000F55B3">
        <w:rPr>
          <w:rFonts w:ascii="Verdana" w:hAnsi="Verdana"/>
          <w:lang w:val="bg-BG"/>
        </w:rPr>
        <w:t>„</w:t>
      </w:r>
      <w:proofErr w:type="spellStart"/>
      <w:r w:rsidRPr="002C500C">
        <w:rPr>
          <w:rFonts w:ascii="Verdana" w:hAnsi="Verdana"/>
          <w:lang w:val="bg-BG"/>
        </w:rPr>
        <w:t>Южноце</w:t>
      </w:r>
      <w:r>
        <w:rPr>
          <w:rFonts w:ascii="Verdana" w:hAnsi="Verdana"/>
          <w:lang w:val="bg-BG"/>
        </w:rPr>
        <w:t>нтрално</w:t>
      </w:r>
      <w:proofErr w:type="spellEnd"/>
      <w:r>
        <w:rPr>
          <w:rFonts w:ascii="Verdana" w:hAnsi="Verdana"/>
          <w:lang w:val="bg-BG"/>
        </w:rPr>
        <w:t xml:space="preserve"> държавно предприятие</w:t>
      </w:r>
      <w:r w:rsidR="000F55B3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  <w:r w:rsidR="000F55B3">
        <w:rPr>
          <w:rFonts w:ascii="Verdana" w:hAnsi="Verdana"/>
          <w:lang w:val="bg-BG"/>
        </w:rPr>
        <w:t>от</w:t>
      </w:r>
      <w:r>
        <w:rPr>
          <w:rFonts w:ascii="Verdana" w:hAnsi="Verdana"/>
          <w:lang w:val="bg-BG"/>
        </w:rPr>
        <w:t xml:space="preserve"> 4</w:t>
      </w:r>
      <w:r w:rsidRPr="002C500C">
        <w:rPr>
          <w:rFonts w:ascii="Verdana" w:hAnsi="Verdana"/>
          <w:lang w:val="bg-BG"/>
        </w:rPr>
        <w:t xml:space="preserve"> лв. за куб. м</w:t>
      </w:r>
      <w:r w:rsidR="000F55B3">
        <w:rPr>
          <w:rFonts w:ascii="Verdana" w:hAnsi="Verdana"/>
          <w:lang w:val="bg-BG"/>
        </w:rPr>
        <w:t xml:space="preserve"> се </w:t>
      </w:r>
      <w:r w:rsidR="00D24346">
        <w:rPr>
          <w:rFonts w:ascii="Verdana" w:hAnsi="Verdana"/>
          <w:lang w:val="bg-BG"/>
        </w:rPr>
        <w:t>намали на</w:t>
      </w:r>
      <w:r w:rsidR="000F55B3">
        <w:rPr>
          <w:rFonts w:ascii="Verdana" w:hAnsi="Verdana"/>
          <w:lang w:val="bg-BG"/>
        </w:rPr>
        <w:t xml:space="preserve"> 1 лв. за куб. м</w:t>
      </w:r>
      <w:r w:rsidRPr="002C500C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1487">
        <w:rPr>
          <w:rFonts w:ascii="Verdana" w:hAnsi="Verdana"/>
          <w:lang w:val="bg-BG"/>
        </w:rPr>
        <w:t xml:space="preserve">Икономическият ефект за държавните предприятия на тази мярка се оценява на около </w:t>
      </w:r>
      <w:r w:rsidR="00681487" w:rsidRPr="00681487">
        <w:rPr>
          <w:rFonts w:ascii="Verdana" w:hAnsi="Verdana"/>
          <w:lang w:val="bg-BG"/>
        </w:rPr>
        <w:t>11 млн</w:t>
      </w:r>
      <w:r w:rsidR="00576523">
        <w:rPr>
          <w:rFonts w:ascii="Verdana" w:hAnsi="Verdana"/>
          <w:lang w:val="bg-BG"/>
        </w:rPr>
        <w:t>.</w:t>
      </w:r>
      <w:r w:rsidR="00681487" w:rsidRPr="00681487">
        <w:rPr>
          <w:rFonts w:ascii="Verdana" w:hAnsi="Verdana"/>
          <w:lang w:val="bg-BG"/>
        </w:rPr>
        <w:t xml:space="preserve"> лв</w:t>
      </w:r>
      <w:r w:rsidR="00576523">
        <w:rPr>
          <w:rFonts w:ascii="Verdana" w:hAnsi="Verdana"/>
          <w:lang w:val="bg-BG"/>
        </w:rPr>
        <w:t>.</w:t>
      </w:r>
      <w:r w:rsidR="00681487">
        <w:rPr>
          <w:rFonts w:ascii="Verdana" w:hAnsi="Verdana"/>
          <w:lang w:val="bg-BG"/>
        </w:rPr>
        <w:t xml:space="preserve"> </w:t>
      </w:r>
      <w:r w:rsidR="00681487">
        <w:rPr>
          <w:rFonts w:ascii="Verdana" w:hAnsi="Verdana"/>
          <w:lang w:val="bg-BG"/>
        </w:rPr>
        <w:lastRenderedPageBreak/>
        <w:t xml:space="preserve">допълнителни оперативни средства за обезпечаване на неотложни </w:t>
      </w:r>
      <w:r w:rsidR="004058DF">
        <w:rPr>
          <w:rFonts w:ascii="Verdana" w:hAnsi="Verdana"/>
          <w:lang w:val="bg-BG"/>
        </w:rPr>
        <w:t>дейности на предприятията.</w:t>
      </w:r>
    </w:p>
    <w:p w:rsidR="008938A4" w:rsidRPr="002C500C" w:rsidRDefault="008938A4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938A4" w:rsidRPr="00D042F7" w:rsidRDefault="008938A4" w:rsidP="008938A4">
      <w:pPr>
        <w:ind w:firstLine="709"/>
        <w:jc w:val="both"/>
        <w:rPr>
          <w:rFonts w:ascii="Verdana" w:hAnsi="Verdana"/>
          <w:b/>
          <w:lang w:val="bg-BG"/>
        </w:rPr>
      </w:pPr>
      <w:r w:rsidRPr="00D042F7">
        <w:rPr>
          <w:rFonts w:ascii="Verdana" w:hAnsi="Verdana"/>
          <w:b/>
          <w:lang w:val="bg-BG"/>
        </w:rPr>
        <w:t>Цели</w:t>
      </w:r>
    </w:p>
    <w:p w:rsidR="00D24346" w:rsidRDefault="006A0469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D042F7">
        <w:rPr>
          <w:rFonts w:ascii="Verdana" w:hAnsi="Verdana"/>
          <w:lang w:val="bg-BG"/>
        </w:rPr>
        <w:t xml:space="preserve">С приемането на проекта се </w:t>
      </w:r>
      <w:r w:rsidR="00CC017B" w:rsidRPr="00D042F7">
        <w:rPr>
          <w:rFonts w:ascii="Verdana" w:hAnsi="Verdana"/>
          <w:lang w:val="bg-BG"/>
        </w:rPr>
        <w:t>цели</w:t>
      </w:r>
      <w:r w:rsidR="00D24346">
        <w:rPr>
          <w:rFonts w:ascii="Verdana" w:hAnsi="Verdana"/>
          <w:lang w:val="bg-BG"/>
        </w:rPr>
        <w:t>:</w:t>
      </w:r>
      <w:r w:rsidR="00CC017B" w:rsidRPr="00D042F7">
        <w:rPr>
          <w:rFonts w:ascii="Verdana" w:hAnsi="Verdana"/>
          <w:lang w:val="bg-BG"/>
        </w:rPr>
        <w:t xml:space="preserve"> </w:t>
      </w:r>
    </w:p>
    <w:p w:rsidR="00D24346" w:rsidRPr="00D24346" w:rsidRDefault="00D24346" w:rsidP="00D24346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D24346">
        <w:rPr>
          <w:rFonts w:ascii="Verdana" w:hAnsi="Verdana"/>
          <w:lang w:val="bg-BG"/>
        </w:rPr>
        <w:t xml:space="preserve">1. Намаление на размера на отчисленията от продажната цена на дървесината за фонд „Инвестиции в горите“, които предприятията правят при продажбата на дървесина, за периода 01.04.2025 – 31.12.2025 г.; </w:t>
      </w:r>
    </w:p>
    <w:p w:rsidR="00D24346" w:rsidRDefault="00D24346" w:rsidP="00D24346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 w:rsidRPr="00D24346">
        <w:rPr>
          <w:rFonts w:ascii="Verdana" w:hAnsi="Verdana"/>
          <w:lang w:val="bg-BG"/>
        </w:rPr>
        <w:t>2. Осигуряване на допълнителни оперативни парични средства на държавните предприятия в очакван размер около 11 млн. лв., за изпълнението на дейностите по опазването на горските територии, на планираните ловностопански дейности, както и на горскостопанските дейности, които се обезпечават от стопанската им дейност, а не от фонд „Инвестиции в горите“. Не на последно място, държавните предприятия ще се стабилизират финансово и ще се осигурят необходимите средства за издръжката на работещите в предприятията и техните териториални поделения, които са потърпевши от кризата в пазара на дървесина в страната.</w:t>
      </w:r>
    </w:p>
    <w:p w:rsidR="006A0469" w:rsidRDefault="00D24346" w:rsidP="006A0469">
      <w:pPr>
        <w:spacing w:before="120"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</w:t>
      </w:r>
      <w:r w:rsidR="00CC017B">
        <w:rPr>
          <w:rFonts w:ascii="Verdana" w:hAnsi="Verdana"/>
          <w:lang w:val="bg-BG"/>
        </w:rPr>
        <w:t>аздрав</w:t>
      </w:r>
      <w:r>
        <w:rPr>
          <w:rFonts w:ascii="Verdana" w:hAnsi="Verdana"/>
          <w:lang w:val="bg-BG"/>
        </w:rPr>
        <w:t>яването на</w:t>
      </w:r>
      <w:r w:rsidR="00CC017B">
        <w:rPr>
          <w:rFonts w:ascii="Verdana" w:hAnsi="Verdana"/>
          <w:lang w:val="bg-BG"/>
        </w:rPr>
        <w:t xml:space="preserve"> финансовата стабилност</w:t>
      </w:r>
      <w:r w:rsidR="002556E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на държавните предприятия по Закона за горите </w:t>
      </w:r>
      <w:r w:rsidR="002556EC">
        <w:rPr>
          <w:rFonts w:ascii="Verdana" w:hAnsi="Verdana"/>
          <w:lang w:val="bg-BG"/>
        </w:rPr>
        <w:t>през 2025 г.</w:t>
      </w:r>
      <w:r w:rsidR="006A0469" w:rsidRPr="006A0469">
        <w:rPr>
          <w:rFonts w:ascii="Verdana" w:hAnsi="Verdana"/>
          <w:lang w:val="bg-BG"/>
        </w:rPr>
        <w:t xml:space="preserve"> е от съществено значение за поддържането на доброто здравословно състояние на горите и опазването на горските ресурси. </w:t>
      </w:r>
      <w:r w:rsidR="00A54CA4" w:rsidRPr="00A54CA4">
        <w:rPr>
          <w:rFonts w:ascii="Verdana" w:hAnsi="Verdana"/>
          <w:lang w:val="bg-BG"/>
        </w:rPr>
        <w:t>Очакванията на Министерството на земеделието и храните, респективно на държавните предприятия по Закона за горите, са при подобряване на пазарната конюнктура и търсене на непреработена дървесина в страната и включително от държави-членки на Европейския съюз и съседни на България държави, с които страната има подписани двустранни споразумения за икономическо сътрудничество, реализ</w:t>
      </w:r>
      <w:r>
        <w:rPr>
          <w:rFonts w:ascii="Verdana" w:hAnsi="Verdana"/>
          <w:lang w:val="bg-BG"/>
        </w:rPr>
        <w:t xml:space="preserve">ацията на </w:t>
      </w:r>
      <w:r w:rsidR="00A54CA4" w:rsidRPr="00A54CA4">
        <w:rPr>
          <w:rFonts w:ascii="Verdana" w:hAnsi="Verdana"/>
          <w:lang w:val="bg-BG"/>
        </w:rPr>
        <w:t xml:space="preserve">дървесина от държавните гори, предоставени за управление на предприятията, да </w:t>
      </w:r>
      <w:r>
        <w:rPr>
          <w:rFonts w:ascii="Verdana" w:hAnsi="Verdana"/>
          <w:lang w:val="bg-BG"/>
        </w:rPr>
        <w:t>се възстанови и</w:t>
      </w:r>
      <w:r w:rsidR="00A54CA4" w:rsidRPr="00A54CA4">
        <w:rPr>
          <w:rFonts w:ascii="Verdana" w:hAnsi="Verdana"/>
          <w:lang w:val="bg-BG"/>
        </w:rPr>
        <w:t xml:space="preserve"> възвърне приходите от дейността им до обичайните нива от 2021 и 2022 г. При реализиране на тези очаквания за подобрение на финансовата стабилност на държавните предприятия по Закона за горите автоматично, от 01.0</w:t>
      </w:r>
      <w:r w:rsidR="000F55B3">
        <w:rPr>
          <w:rFonts w:ascii="Verdana" w:hAnsi="Verdana"/>
          <w:lang w:val="bg-BG"/>
        </w:rPr>
        <w:t>1</w:t>
      </w:r>
      <w:r w:rsidR="00A54CA4" w:rsidRPr="00A54CA4">
        <w:rPr>
          <w:rFonts w:ascii="Verdana" w:hAnsi="Verdana"/>
          <w:lang w:val="bg-BG"/>
        </w:rPr>
        <w:t>.202</w:t>
      </w:r>
      <w:r w:rsidR="000F55B3">
        <w:rPr>
          <w:rFonts w:ascii="Verdana" w:hAnsi="Verdana"/>
          <w:lang w:val="bg-BG"/>
        </w:rPr>
        <w:t>6</w:t>
      </w:r>
      <w:r w:rsidR="00A54CA4" w:rsidRPr="00A54CA4">
        <w:rPr>
          <w:rFonts w:ascii="Verdana" w:hAnsi="Verdana"/>
          <w:lang w:val="bg-BG"/>
        </w:rPr>
        <w:t xml:space="preserve"> г. ще се възстанови размера на частта от продажната цена на дървесината, която предприятията внасят във фонд „Инвестиции в горите“, прилагана през последните 4 години, без да се налага последващо изменение на нормативния акт. </w:t>
      </w:r>
      <w:r w:rsidR="006A0469" w:rsidRPr="006A0469">
        <w:rPr>
          <w:rFonts w:ascii="Verdana" w:hAnsi="Verdana"/>
          <w:lang w:val="bg-BG"/>
        </w:rPr>
        <w:t xml:space="preserve">Проектът няма да окаже въздействие върху </w:t>
      </w:r>
      <w:proofErr w:type="spellStart"/>
      <w:r w:rsidR="006A0469" w:rsidRPr="006A0469">
        <w:rPr>
          <w:rFonts w:ascii="Verdana" w:hAnsi="Verdana"/>
          <w:lang w:val="bg-BG"/>
        </w:rPr>
        <w:t>микро</w:t>
      </w:r>
      <w:proofErr w:type="spellEnd"/>
      <w:r w:rsidR="006A0469" w:rsidRPr="006A0469">
        <w:rPr>
          <w:rFonts w:ascii="Verdana" w:hAnsi="Verdana"/>
          <w:lang w:val="bg-BG"/>
        </w:rPr>
        <w:t xml:space="preserve">, малки и средни предприятия. </w:t>
      </w:r>
    </w:p>
    <w:p w:rsidR="00D24346" w:rsidRDefault="00D24346" w:rsidP="008938A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8938A4" w:rsidRPr="00D042F7" w:rsidRDefault="008938A4" w:rsidP="008938A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042F7">
        <w:rPr>
          <w:rFonts w:ascii="Verdana" w:hAnsi="Verdana"/>
          <w:b/>
          <w:lang w:val="bg-BG"/>
        </w:rPr>
        <w:t>Очаквани резултати от прилагането на акта</w:t>
      </w:r>
    </w:p>
    <w:p w:rsidR="008938A4" w:rsidRDefault="002C6F53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C6F53">
        <w:rPr>
          <w:rFonts w:ascii="Verdana" w:hAnsi="Verdana"/>
          <w:lang w:val="bg-BG"/>
        </w:rPr>
        <w:t xml:space="preserve">Тази мярка ще позволи предприятията да оперират с повече собствени финансови средства и подобрят отчетените към момента отрицателни финансови резултати от дейността си поради намаленото търсене и продължаващото чувствително понижение на цените, на които се търгува дървесината през настоящата 2025 г. Държавните предприятия по Закона за горите ще бъдат допълнително </w:t>
      </w:r>
      <w:r w:rsidRPr="002C6F53">
        <w:rPr>
          <w:rFonts w:ascii="Verdana" w:hAnsi="Verdana"/>
          <w:lang w:val="bg-BG"/>
        </w:rPr>
        <w:lastRenderedPageBreak/>
        <w:t>финансово стабилизирани чрез увеличаване на собствените им оперативни средства в очакван размер около 1</w:t>
      </w:r>
      <w:r w:rsidR="00D24346">
        <w:rPr>
          <w:rFonts w:ascii="Verdana" w:hAnsi="Verdana"/>
          <w:lang w:val="bg-BG"/>
        </w:rPr>
        <w:t>1</w:t>
      </w:r>
      <w:r w:rsidRPr="002C6F53">
        <w:rPr>
          <w:rFonts w:ascii="Verdana" w:hAnsi="Verdana"/>
          <w:lang w:val="bg-BG"/>
        </w:rPr>
        <w:t xml:space="preserve"> млн. лв. об</w:t>
      </w:r>
      <w:r w:rsidR="00937186">
        <w:rPr>
          <w:rFonts w:ascii="Verdana" w:hAnsi="Verdana"/>
          <w:lang w:val="bg-BG"/>
        </w:rPr>
        <w:t xml:space="preserve">що за шестте предприятия, чрез </w:t>
      </w:r>
      <w:r w:rsidRPr="002C6F53">
        <w:rPr>
          <w:rFonts w:ascii="Verdana" w:hAnsi="Verdana"/>
          <w:lang w:val="bg-BG"/>
        </w:rPr>
        <w:t>намаляване на размера на отчисленията към собствените им фондове „Инвестиции в горите“ за срок от 9 месеца, считано от 01.04.2025 г. до 31.12.2025 г.</w:t>
      </w:r>
    </w:p>
    <w:p w:rsidR="002C6F53" w:rsidRPr="002C6F53" w:rsidRDefault="002C6F53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938A4" w:rsidRPr="00D042F7" w:rsidRDefault="008938A4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042F7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  <w:r w:rsidRPr="00D042F7">
        <w:rPr>
          <w:rFonts w:ascii="Verdana" w:hAnsi="Verdana"/>
          <w:lang w:val="bg-BG"/>
        </w:rPr>
        <w:t xml:space="preserve"> </w:t>
      </w:r>
    </w:p>
    <w:p w:rsidR="008938A4" w:rsidRPr="00D042F7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042F7">
        <w:rPr>
          <w:rFonts w:ascii="Verdana" w:hAnsi="Verdana"/>
          <w:lang w:val="bg-BG"/>
        </w:rPr>
        <w:t xml:space="preserve">Предложеният проект на акт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 </w:t>
      </w:r>
    </w:p>
    <w:p w:rsidR="006A0469" w:rsidRPr="00D042F7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D042F7">
        <w:rPr>
          <w:rFonts w:ascii="Verdana" w:hAnsi="Verdana"/>
          <w:lang w:val="bg-BG"/>
        </w:rPr>
        <w:t xml:space="preserve">За приемането на акта не са необходими допълнителни разходи/трансфери/други плащания по </w:t>
      </w:r>
      <w:r w:rsidR="00CC017B" w:rsidRPr="00D042F7">
        <w:rPr>
          <w:rFonts w:ascii="Verdana" w:hAnsi="Verdana"/>
          <w:lang w:val="bg-BG"/>
        </w:rPr>
        <w:t>бюджета</w:t>
      </w:r>
      <w:r w:rsidRPr="00D042F7">
        <w:rPr>
          <w:rFonts w:ascii="Verdana" w:hAnsi="Verdana"/>
          <w:lang w:val="bg-BG"/>
        </w:rPr>
        <w:t xml:space="preserve"> на Министерството на земеделието</w:t>
      </w:r>
      <w:r w:rsidR="005243A6" w:rsidRPr="00D042F7">
        <w:rPr>
          <w:rFonts w:ascii="Verdana" w:hAnsi="Verdana"/>
          <w:lang w:val="bg-BG"/>
        </w:rPr>
        <w:t xml:space="preserve"> и</w:t>
      </w:r>
      <w:r w:rsidRPr="00D042F7">
        <w:rPr>
          <w:rFonts w:ascii="Verdana" w:hAnsi="Verdana"/>
          <w:lang w:val="bg-BG"/>
        </w:rPr>
        <w:t xml:space="preserve"> храните.</w:t>
      </w:r>
    </w:p>
    <w:p w:rsidR="006078FC" w:rsidRPr="00D042F7" w:rsidRDefault="006078FC" w:rsidP="006078FC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textAlignment w:val="baseline"/>
        <w:rPr>
          <w:rFonts w:ascii="Verdana" w:hAnsi="Verdana"/>
          <w:lang w:val="bg-BG"/>
        </w:rPr>
      </w:pPr>
      <w:r w:rsidRPr="00D042F7">
        <w:rPr>
          <w:rFonts w:ascii="Verdana" w:hAnsi="Verdana"/>
          <w:lang w:val="bg-BG"/>
        </w:rPr>
        <w:t>Проектът на акт не води до изменения в целевите стойности на показателите за изпълнение по програми, в това число и ключовите индикатори.</w:t>
      </w:r>
    </w:p>
    <w:p w:rsidR="008938A4" w:rsidRPr="00D042F7" w:rsidRDefault="008938A4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8938A4" w:rsidRPr="00D042F7" w:rsidRDefault="008938A4" w:rsidP="008938A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D042F7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:rsidR="006A0469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6A0469">
        <w:rPr>
          <w:rFonts w:ascii="Verdana" w:hAnsi="Verdana"/>
          <w:lang w:val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E31829" w:rsidRDefault="00E31829" w:rsidP="008938A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8938A4" w:rsidRPr="00F22BA6" w:rsidRDefault="008938A4" w:rsidP="008938A4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F22BA6">
        <w:rPr>
          <w:rFonts w:ascii="Verdana" w:hAnsi="Verdana"/>
          <w:b/>
          <w:lang w:val="bg-BG"/>
        </w:rPr>
        <w:t>Информация за проведените обществени консултации</w:t>
      </w:r>
    </w:p>
    <w:p w:rsidR="00CC017B" w:rsidRPr="00F22BA6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F22BA6">
        <w:rPr>
          <w:rFonts w:ascii="Verdana" w:hAnsi="Verdana"/>
          <w:lang w:val="bg-BG"/>
        </w:rPr>
        <w:t>Съгласно чл. 26, ал. 3 и 4 от Закона за нормативните актове проектът на постановление, докладът (мотивите) към него, частичната предварителна оценка на въздействието и становището на дирекция „</w:t>
      </w:r>
      <w:r w:rsidR="00E31829" w:rsidRPr="00E31829">
        <w:rPr>
          <w:rFonts w:ascii="Verdana" w:hAnsi="Verdana"/>
          <w:lang w:val="bg-BG"/>
        </w:rPr>
        <w:t>Координация и модернизация на администрацията</w:t>
      </w:r>
      <w:r w:rsidRPr="00F22BA6">
        <w:rPr>
          <w:rFonts w:ascii="Verdana" w:hAnsi="Verdana"/>
          <w:lang w:val="bg-BG"/>
        </w:rPr>
        <w:t>“ в администрацията на Министерския съвет са публикувани на интернет страницата на Министерството на земеделието</w:t>
      </w:r>
      <w:r w:rsidR="00937186">
        <w:rPr>
          <w:rFonts w:ascii="Verdana" w:hAnsi="Verdana"/>
          <w:lang w:val="en-US"/>
        </w:rPr>
        <w:t xml:space="preserve"> </w:t>
      </w:r>
      <w:r w:rsidR="00937186">
        <w:rPr>
          <w:rFonts w:ascii="Verdana" w:hAnsi="Verdana"/>
          <w:lang w:val="bg-BG"/>
        </w:rPr>
        <w:t>и</w:t>
      </w:r>
      <w:r w:rsidRPr="00F22BA6">
        <w:rPr>
          <w:rFonts w:ascii="Verdana" w:hAnsi="Verdana"/>
          <w:lang w:val="bg-BG"/>
        </w:rPr>
        <w:t xml:space="preserve"> храните и на Портала за обществени консултации със срок за предложения и становища </w:t>
      </w:r>
      <w:r w:rsidR="00F90E8E" w:rsidRPr="00F22BA6">
        <w:rPr>
          <w:rFonts w:ascii="Verdana" w:hAnsi="Verdana"/>
          <w:lang w:val="bg-BG"/>
        </w:rPr>
        <w:t>30</w:t>
      </w:r>
      <w:r w:rsidRPr="00F22BA6">
        <w:rPr>
          <w:rFonts w:ascii="Verdana" w:hAnsi="Verdana"/>
          <w:lang w:val="bg-BG"/>
        </w:rPr>
        <w:t xml:space="preserve"> дни. </w:t>
      </w:r>
    </w:p>
    <w:p w:rsidR="006A0469" w:rsidRPr="00F22BA6" w:rsidRDefault="006A0469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F22BA6">
        <w:rPr>
          <w:rFonts w:ascii="Verdana" w:hAnsi="Verdana"/>
          <w:lang w:val="bg-BG"/>
        </w:rPr>
        <w:t>В съответствие с чл. 26, ал. 5 от Закона за нормативните актове, справката за постъпилите предложения и становища, заедно с обосновка за неприетите предложения в резултат на проведената обществена консултация, е публикувана на интернет страницата на Министерството на земеделието</w:t>
      </w:r>
      <w:r w:rsidR="00E72B68" w:rsidRPr="00F22BA6">
        <w:rPr>
          <w:rFonts w:ascii="Verdana" w:hAnsi="Verdana"/>
          <w:lang w:val="bg-BG"/>
        </w:rPr>
        <w:t xml:space="preserve"> и</w:t>
      </w:r>
      <w:r w:rsidRPr="00F22BA6">
        <w:rPr>
          <w:rFonts w:ascii="Verdana" w:hAnsi="Verdana"/>
          <w:lang w:val="bg-BG"/>
        </w:rPr>
        <w:t xml:space="preserve"> храните и на Портала за обществени консултации.</w:t>
      </w:r>
    </w:p>
    <w:p w:rsidR="00186D74" w:rsidRPr="00F22BA6" w:rsidRDefault="00186D74" w:rsidP="008938A4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E94391" w:rsidRPr="00F22BA6" w:rsidRDefault="006A0469" w:rsidP="00397694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F22BA6">
        <w:rPr>
          <w:rFonts w:ascii="Verdana" w:hAnsi="Verdana"/>
          <w:lang w:val="bg-BG"/>
        </w:rPr>
        <w:t xml:space="preserve">Проектът на Постановление на Министерския съвет за </w:t>
      </w:r>
      <w:r w:rsidR="000F55B3" w:rsidRPr="00F22BA6">
        <w:rPr>
          <w:rFonts w:ascii="Verdana" w:hAnsi="Verdana"/>
          <w:lang w:val="bg-BG"/>
        </w:rPr>
        <w:t>измен</w:t>
      </w:r>
      <w:r w:rsidR="00E72B68" w:rsidRPr="00F22BA6">
        <w:rPr>
          <w:rFonts w:ascii="Verdana" w:hAnsi="Verdana"/>
          <w:lang w:val="bg-BG"/>
        </w:rPr>
        <w:t>ение</w:t>
      </w:r>
      <w:r w:rsidRPr="00F22BA6">
        <w:rPr>
          <w:rFonts w:ascii="Verdana" w:hAnsi="Verdana"/>
          <w:lang w:val="bg-BG"/>
        </w:rPr>
        <w:t xml:space="preserve"> на Постановление № 343 </w:t>
      </w:r>
      <w:r w:rsidR="00AF6811" w:rsidRPr="00F22BA6">
        <w:rPr>
          <w:rFonts w:ascii="Verdana" w:hAnsi="Verdana"/>
          <w:lang w:val="bg-BG"/>
        </w:rPr>
        <w:t xml:space="preserve">на Министерския съвет </w:t>
      </w:r>
      <w:r w:rsidRPr="00F22BA6">
        <w:rPr>
          <w:rFonts w:ascii="Verdana" w:hAnsi="Verdana"/>
          <w:lang w:val="bg-BG"/>
        </w:rPr>
        <w:t>от 2011 г. 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</w:t>
      </w:r>
      <w:r w:rsidR="0080306D" w:rsidRPr="00F22BA6">
        <w:rPr>
          <w:rFonts w:ascii="Verdana" w:hAnsi="Verdana"/>
          <w:lang w:val="bg-BG"/>
        </w:rPr>
        <w:t xml:space="preserve"> </w:t>
      </w:r>
    </w:p>
    <w:p w:rsidR="00DB0876" w:rsidRPr="00060156" w:rsidRDefault="00DB0876" w:rsidP="00DB0876">
      <w:pPr>
        <w:spacing w:before="120" w:line="360" w:lineRule="auto"/>
        <w:jc w:val="both"/>
        <w:rPr>
          <w:rFonts w:ascii="Verdana" w:hAnsi="Verdana"/>
          <w:b/>
          <w:lang w:val="bg-BG"/>
        </w:rPr>
      </w:pP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lastRenderedPageBreak/>
        <w:t>УВАЖАЕМИ ГОСПОДИН МИНИСТЪР-ПРЕДСЕДАТЕЛ,</w:t>
      </w:r>
    </w:p>
    <w:p w:rsidR="0080306D" w:rsidRPr="00060156" w:rsidRDefault="0080306D" w:rsidP="00DB0876">
      <w:pPr>
        <w:spacing w:line="360" w:lineRule="auto"/>
        <w:rPr>
          <w:rFonts w:ascii="Verdana" w:hAnsi="Verdana"/>
          <w:b/>
          <w:lang w:val="bg-BG"/>
        </w:rPr>
      </w:pPr>
      <w:r w:rsidRPr="00060156">
        <w:rPr>
          <w:rFonts w:ascii="Verdana" w:hAnsi="Verdana"/>
          <w:b/>
          <w:lang w:val="bg-BG"/>
        </w:rPr>
        <w:t>УВАЖАЕМИ ГОСПОЖИ И ГОСПОДА МИНИСТРИ,</w:t>
      </w:r>
    </w:p>
    <w:p w:rsidR="00CC1DD9" w:rsidRDefault="009F3B32" w:rsidP="00DB0876">
      <w:pPr>
        <w:pStyle w:val="BodyText"/>
        <w:spacing w:before="120" w:line="360" w:lineRule="auto"/>
        <w:ind w:firstLine="720"/>
        <w:rPr>
          <w:rFonts w:ascii="Verdana" w:hAnsi="Verdana"/>
          <w:b w:val="0"/>
          <w:sz w:val="20"/>
        </w:rPr>
      </w:pPr>
      <w:r w:rsidRPr="00060156">
        <w:rPr>
          <w:rFonts w:ascii="Verdana" w:hAnsi="Verdana"/>
          <w:b w:val="0"/>
          <w:sz w:val="20"/>
        </w:rPr>
        <w:t xml:space="preserve">Във връзка с гореизложеното и на основание </w:t>
      </w:r>
      <w:r w:rsidR="005B5A9E" w:rsidRPr="00060156">
        <w:rPr>
          <w:rFonts w:ascii="Verdana" w:hAnsi="Verdana"/>
          <w:b w:val="0"/>
          <w:sz w:val="20"/>
        </w:rPr>
        <w:t>чл. 8</w:t>
      </w:r>
      <w:r w:rsidR="00CC1DD9" w:rsidRPr="00060156">
        <w:rPr>
          <w:rFonts w:ascii="Verdana" w:hAnsi="Verdana"/>
          <w:b w:val="0"/>
          <w:sz w:val="20"/>
        </w:rPr>
        <w:t xml:space="preserve"> </w:t>
      </w:r>
      <w:r w:rsidR="00B316DE" w:rsidRPr="00060156">
        <w:rPr>
          <w:rFonts w:ascii="Verdana" w:hAnsi="Verdana"/>
          <w:b w:val="0"/>
          <w:sz w:val="20"/>
        </w:rPr>
        <w:t>от Устройствения правилник на Министерския съвет и</w:t>
      </w:r>
      <w:r w:rsidR="00F90104" w:rsidRPr="00060156">
        <w:rPr>
          <w:rFonts w:ascii="Verdana" w:hAnsi="Verdana"/>
          <w:b w:val="0"/>
          <w:sz w:val="20"/>
        </w:rPr>
        <w:t xml:space="preserve"> на</w:t>
      </w:r>
      <w:r w:rsidR="00B316DE" w:rsidRPr="00060156">
        <w:rPr>
          <w:rFonts w:ascii="Verdana" w:hAnsi="Verdana"/>
          <w:b w:val="0"/>
          <w:sz w:val="20"/>
        </w:rPr>
        <w:t xml:space="preserve"> неговата администрация</w:t>
      </w:r>
      <w:r w:rsidR="005B23FB">
        <w:rPr>
          <w:rFonts w:ascii="Verdana" w:hAnsi="Verdana"/>
          <w:b w:val="0"/>
          <w:sz w:val="20"/>
        </w:rPr>
        <w:t>,</w:t>
      </w:r>
      <w:r w:rsidR="007F437C" w:rsidRPr="00060156">
        <w:rPr>
          <w:rFonts w:ascii="Verdana" w:hAnsi="Verdana"/>
          <w:b w:val="0"/>
          <w:sz w:val="20"/>
        </w:rPr>
        <w:t xml:space="preserve"> </w:t>
      </w:r>
      <w:r w:rsidRPr="00060156">
        <w:rPr>
          <w:rFonts w:ascii="Verdana" w:hAnsi="Verdana"/>
          <w:b w:val="0"/>
          <w:sz w:val="20"/>
        </w:rPr>
        <w:t xml:space="preserve">предлагам Министерският съвет да приеме приложения проект на </w:t>
      </w:r>
      <w:r w:rsidR="008F74F7" w:rsidRPr="00060156">
        <w:rPr>
          <w:rFonts w:ascii="Verdana" w:hAnsi="Verdana"/>
          <w:b w:val="0"/>
          <w:sz w:val="20"/>
        </w:rPr>
        <w:t xml:space="preserve">Постановление за </w:t>
      </w:r>
      <w:r w:rsidR="00F90E8E">
        <w:rPr>
          <w:rFonts w:ascii="Verdana" w:hAnsi="Verdana"/>
          <w:b w:val="0"/>
          <w:sz w:val="20"/>
        </w:rPr>
        <w:t>допълн</w:t>
      </w:r>
      <w:r w:rsidR="009F4625">
        <w:rPr>
          <w:rFonts w:ascii="Verdana" w:hAnsi="Verdana"/>
          <w:b w:val="0"/>
          <w:sz w:val="20"/>
        </w:rPr>
        <w:t>ение</w:t>
      </w:r>
      <w:r w:rsidR="008F74F7" w:rsidRPr="00060156">
        <w:rPr>
          <w:rFonts w:ascii="Verdana" w:hAnsi="Verdana"/>
          <w:b w:val="0"/>
          <w:sz w:val="20"/>
        </w:rPr>
        <w:t xml:space="preserve"> на </w:t>
      </w:r>
      <w:r w:rsidR="00682E06" w:rsidRPr="005536B1">
        <w:rPr>
          <w:rFonts w:ascii="Verdana" w:hAnsi="Verdana"/>
          <w:b w:val="0"/>
          <w:sz w:val="20"/>
          <w:lang w:val="ru-RU"/>
        </w:rPr>
        <w:t xml:space="preserve">Постановление </w:t>
      </w:r>
      <w:r w:rsidR="00E31829">
        <w:rPr>
          <w:rFonts w:ascii="Verdana" w:hAnsi="Verdana"/>
          <w:b w:val="0"/>
          <w:sz w:val="20"/>
          <w:lang w:val="ru-RU"/>
        </w:rPr>
        <w:br/>
      </w:r>
      <w:r w:rsidR="00682E06" w:rsidRPr="005536B1">
        <w:rPr>
          <w:rFonts w:ascii="Verdana" w:hAnsi="Verdana"/>
          <w:b w:val="0"/>
          <w:sz w:val="20"/>
          <w:lang w:val="ru-RU"/>
        </w:rPr>
        <w:t xml:space="preserve">№ 343 на Министерския съвет от 2011 г. </w:t>
      </w:r>
      <w:r w:rsidR="00DE200D" w:rsidRPr="00060156">
        <w:rPr>
          <w:rFonts w:ascii="Verdana" w:hAnsi="Verdana"/>
          <w:b w:val="0"/>
          <w:sz w:val="20"/>
        </w:rPr>
        <w:t>за определяне размера на частта от продажната цена на дървесината и недървесните горски продукти по чл.</w:t>
      </w:r>
      <w:r w:rsidR="008B6F46">
        <w:rPr>
          <w:rFonts w:ascii="Verdana" w:hAnsi="Verdana"/>
          <w:b w:val="0"/>
          <w:sz w:val="20"/>
        </w:rPr>
        <w:t xml:space="preserve"> </w:t>
      </w:r>
      <w:r w:rsidR="00DE200D" w:rsidRPr="00060156">
        <w:rPr>
          <w:rFonts w:ascii="Verdana" w:hAnsi="Verdana"/>
          <w:b w:val="0"/>
          <w:sz w:val="20"/>
        </w:rPr>
        <w:t>179, ал. 1 от Закона за горите</w:t>
      </w:r>
      <w:r w:rsidR="00FD410A" w:rsidRPr="00547EA3">
        <w:rPr>
          <w:rFonts w:ascii="Verdana" w:hAnsi="Verdana"/>
          <w:b w:val="0"/>
          <w:sz w:val="20"/>
        </w:rPr>
        <w:t>.</w:t>
      </w:r>
    </w:p>
    <w:p w:rsidR="00397694" w:rsidRPr="00547EA3" w:rsidRDefault="00397694" w:rsidP="00DB0876">
      <w:pPr>
        <w:pStyle w:val="BodyText"/>
        <w:spacing w:before="120" w:line="360" w:lineRule="auto"/>
        <w:ind w:firstLine="720"/>
        <w:rPr>
          <w:rFonts w:ascii="Verdana" w:hAnsi="Verdana"/>
          <w:b w:val="0"/>
          <w:sz w:val="20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5B23FB" w:rsidRPr="00370542" w:rsidTr="00575D0B">
        <w:tc>
          <w:tcPr>
            <w:tcW w:w="1781" w:type="dxa"/>
            <w:hideMark/>
          </w:tcPr>
          <w:p w:rsidR="005B23FB" w:rsidRPr="005B23FB" w:rsidRDefault="005B23FB" w:rsidP="00DB0876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/>
                <w:bCs/>
                <w:lang w:val="bg-BG" w:eastAsia="en-US"/>
              </w:rPr>
            </w:pPr>
            <w:proofErr w:type="spellStart"/>
            <w:r w:rsidRPr="005B23FB">
              <w:rPr>
                <w:rFonts w:ascii="Verdana" w:hAnsi="Verdana"/>
                <w:b/>
                <w:bCs/>
                <w:lang w:val="bg-BG" w:eastAsia="en-US"/>
              </w:rPr>
              <w:t>Приложениe</w:t>
            </w:r>
            <w:proofErr w:type="spellEnd"/>
            <w:r w:rsidRPr="005B23FB">
              <w:rPr>
                <w:rFonts w:ascii="Verdana" w:hAnsi="Verdana"/>
                <w:b/>
                <w:bCs/>
                <w:lang w:val="bg-BG" w:eastAsia="en-US"/>
              </w:rPr>
              <w:t xml:space="preserve">: </w:t>
            </w:r>
          </w:p>
        </w:tc>
        <w:tc>
          <w:tcPr>
            <w:tcW w:w="6731" w:type="dxa"/>
            <w:hideMark/>
          </w:tcPr>
          <w:p w:rsidR="005B23FB" w:rsidRPr="005B23FB" w:rsidRDefault="005B23FB" w:rsidP="003976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 xml:space="preserve">Проект на Постановление на Министерския съвет; </w:t>
            </w:r>
          </w:p>
          <w:p w:rsidR="005B23FB" w:rsidRPr="005B23FB" w:rsidRDefault="005B23FB" w:rsidP="003976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 xml:space="preserve">Частична предварителна оценка на въздействието; </w:t>
            </w:r>
          </w:p>
          <w:p w:rsidR="005B23FB" w:rsidRPr="005B23FB" w:rsidRDefault="005B23FB" w:rsidP="00E3182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Становище на дирекция „</w:t>
            </w:r>
            <w:r w:rsidR="00E31829" w:rsidRPr="00E31829">
              <w:rPr>
                <w:rFonts w:ascii="Verdana" w:hAnsi="Verdana"/>
                <w:lang w:val="bg-BG" w:eastAsia="en-US"/>
              </w:rPr>
              <w:t>Координация и модернизация на администрацията</w:t>
            </w:r>
            <w:r w:rsidRPr="005B23FB">
              <w:rPr>
                <w:rFonts w:ascii="Verdana" w:hAnsi="Verdana"/>
                <w:lang w:val="bg-BG" w:eastAsia="en-US"/>
              </w:rPr>
              <w:t>“ на Министерския съвет;</w:t>
            </w:r>
          </w:p>
          <w:p w:rsidR="005B23FB" w:rsidRPr="005B23FB" w:rsidRDefault="005B23FB" w:rsidP="003976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Финансова обосновка;</w:t>
            </w:r>
          </w:p>
          <w:p w:rsidR="005B23FB" w:rsidRPr="005B23FB" w:rsidRDefault="005B23FB" w:rsidP="003976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Справка за отразяване на постъпилите становища;</w:t>
            </w:r>
          </w:p>
          <w:p w:rsidR="005B23FB" w:rsidRDefault="005B23FB" w:rsidP="003976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Постъпили становища;</w:t>
            </w:r>
          </w:p>
          <w:p w:rsidR="00397694" w:rsidRPr="00F22BA6" w:rsidRDefault="00397694" w:rsidP="003976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lang w:val="bg-BG" w:eastAsia="en-US"/>
              </w:rPr>
            </w:pPr>
            <w:r w:rsidRPr="00397694">
              <w:rPr>
                <w:rFonts w:ascii="Verdana" w:hAnsi="Verdana"/>
                <w:lang w:val="bg-BG" w:eastAsia="en-US"/>
              </w:rPr>
              <w:t xml:space="preserve">Справка за отразяване на постъпилите предложения и становища от обществената консултация, заедно с </w:t>
            </w:r>
            <w:r w:rsidRPr="00F22BA6">
              <w:rPr>
                <w:rFonts w:ascii="Verdana" w:hAnsi="Verdana"/>
                <w:lang w:val="bg-BG" w:eastAsia="en-US"/>
              </w:rPr>
              <w:t>обосновка за неприетите предложения;</w:t>
            </w:r>
          </w:p>
          <w:p w:rsidR="00397694" w:rsidRPr="00F22BA6" w:rsidRDefault="00397694" w:rsidP="003976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lang w:val="bg-BG" w:eastAsia="en-US"/>
              </w:rPr>
            </w:pPr>
            <w:r w:rsidRPr="00F22BA6">
              <w:rPr>
                <w:rFonts w:ascii="Verdana" w:hAnsi="Verdana"/>
                <w:lang w:val="bg-BG" w:eastAsia="en-US"/>
              </w:rPr>
              <w:t>Предложения и становища, постъпили от проведената обществената консултация.</w:t>
            </w:r>
          </w:p>
          <w:p w:rsidR="005B23FB" w:rsidRPr="005B23FB" w:rsidRDefault="005B23FB" w:rsidP="003976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lang w:val="bg-BG" w:eastAsia="en-US"/>
              </w:rPr>
            </w:pPr>
            <w:r w:rsidRPr="005B23FB">
              <w:rPr>
                <w:rFonts w:ascii="Verdana" w:hAnsi="Verdana"/>
                <w:lang w:val="bg-BG" w:eastAsia="en-US"/>
              </w:rPr>
              <w:t>Проект на съобщение за средствата за масово осведомяване.</w:t>
            </w:r>
          </w:p>
        </w:tc>
      </w:tr>
    </w:tbl>
    <w:p w:rsidR="005B23FB" w:rsidRDefault="005B23FB" w:rsidP="00DB0876">
      <w:pPr>
        <w:spacing w:line="360" w:lineRule="auto"/>
        <w:jc w:val="both"/>
        <w:rPr>
          <w:rFonts w:ascii="Verdana" w:hAnsi="Verdana"/>
          <w:lang w:val="bg-BG"/>
        </w:rPr>
      </w:pPr>
    </w:p>
    <w:p w:rsidR="00397694" w:rsidRDefault="00397694" w:rsidP="00DB0876">
      <w:pPr>
        <w:spacing w:line="360" w:lineRule="auto"/>
        <w:jc w:val="both"/>
        <w:rPr>
          <w:rFonts w:ascii="Verdana" w:hAnsi="Verdana"/>
          <w:lang w:val="bg-BG"/>
        </w:rPr>
      </w:pPr>
    </w:p>
    <w:p w:rsidR="00397694" w:rsidRDefault="0043709F" w:rsidP="00060156">
      <w:pPr>
        <w:rPr>
          <w:rFonts w:ascii="Verdana" w:hAnsi="Verdana"/>
          <w:smallCaps/>
          <w:sz w:val="18"/>
          <w:szCs w:val="18"/>
          <w:lang w:val="bg-BG"/>
        </w:rPr>
      </w:pPr>
      <w:r>
        <w:rPr>
          <w:rFonts w:ascii="Verdana" w:hAnsi="Verdana"/>
          <w:smallCaps/>
          <w:sz w:val="18"/>
          <w:szCs w:val="18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09D9A5D-1311-464A-B9C8-A360ECCA503A}" provid="{00000000-0000-0000-0000-000000000000}" o:suggestedsigner="Д-Р ГЕОРГИ ТАХОВ " o:suggestedsigner2="Министър" issignatureline="t"/>
          </v:shape>
        </w:pict>
      </w:r>
    </w:p>
    <w:p w:rsidR="001F4C66" w:rsidRPr="00E31829" w:rsidRDefault="001F4C66" w:rsidP="001F4C66">
      <w:pPr>
        <w:pStyle w:val="Footer"/>
        <w:tabs>
          <w:tab w:val="left" w:pos="7230"/>
          <w:tab w:val="left" w:pos="7655"/>
        </w:tabs>
        <w:spacing w:line="216" w:lineRule="auto"/>
        <w:rPr>
          <w:rFonts w:ascii="Verdana" w:hAnsi="Verdana"/>
          <w:strike/>
          <w:noProof/>
          <w:color w:val="FF0000"/>
          <w:sz w:val="16"/>
          <w:szCs w:val="16"/>
          <w:lang w:val="bg-BG"/>
        </w:rPr>
      </w:pPr>
      <w:bookmarkStart w:id="0" w:name="_GoBack"/>
      <w:bookmarkEnd w:id="0"/>
    </w:p>
    <w:sectPr w:rsidR="001F4C66" w:rsidRPr="00E31829" w:rsidSect="00937186">
      <w:footerReference w:type="even" r:id="rId10"/>
      <w:footerReference w:type="default" r:id="rId11"/>
      <w:headerReference w:type="first" r:id="rId12"/>
      <w:pgSz w:w="11906" w:h="16838" w:code="9"/>
      <w:pgMar w:top="1134" w:right="1134" w:bottom="567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9F" w:rsidRDefault="0043709F">
      <w:r>
        <w:separator/>
      </w:r>
    </w:p>
  </w:endnote>
  <w:endnote w:type="continuationSeparator" w:id="0">
    <w:p w:rsidR="0043709F" w:rsidRDefault="0043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08" w:rsidRPr="0040150C" w:rsidRDefault="00641A08" w:rsidP="0040150C">
    <w:pPr>
      <w:pStyle w:val="Footer"/>
      <w:framePr w:wrap="around" w:vAnchor="text" w:hAnchor="page" w:x="1685" w:y="-299"/>
      <w:rPr>
        <w:rStyle w:val="PageNumber"/>
        <w:rFonts w:ascii="Verdana" w:hAnsi="Verdana"/>
        <w:sz w:val="16"/>
        <w:szCs w:val="16"/>
      </w:rPr>
    </w:pPr>
    <w:r w:rsidRPr="0040150C">
      <w:rPr>
        <w:rStyle w:val="PageNumber"/>
        <w:rFonts w:ascii="Verdana" w:hAnsi="Verdana"/>
        <w:sz w:val="16"/>
        <w:szCs w:val="16"/>
      </w:rPr>
      <w:fldChar w:fldCharType="begin"/>
    </w:r>
    <w:r w:rsidRPr="0040150C">
      <w:rPr>
        <w:rStyle w:val="PageNumber"/>
        <w:rFonts w:ascii="Verdana" w:hAnsi="Verdana"/>
        <w:sz w:val="16"/>
        <w:szCs w:val="16"/>
      </w:rPr>
      <w:instrText xml:space="preserve">PAGE  </w:instrText>
    </w:r>
    <w:r w:rsidRPr="0040150C">
      <w:rPr>
        <w:rStyle w:val="PageNumber"/>
        <w:rFonts w:ascii="Verdana" w:hAnsi="Verdana"/>
        <w:sz w:val="16"/>
        <w:szCs w:val="16"/>
      </w:rPr>
      <w:fldChar w:fldCharType="separate"/>
    </w:r>
    <w:r w:rsidR="004475FE">
      <w:rPr>
        <w:rStyle w:val="PageNumber"/>
        <w:rFonts w:ascii="Verdana" w:hAnsi="Verdana"/>
        <w:noProof/>
        <w:sz w:val="16"/>
        <w:szCs w:val="16"/>
      </w:rPr>
      <w:t>2</w:t>
    </w:r>
    <w:r w:rsidRPr="0040150C">
      <w:rPr>
        <w:rStyle w:val="PageNumber"/>
        <w:rFonts w:ascii="Verdana" w:hAnsi="Verdana"/>
        <w:sz w:val="16"/>
        <w:szCs w:val="16"/>
      </w:rPr>
      <w:fldChar w:fldCharType="end"/>
    </w:r>
  </w:p>
  <w:p w:rsidR="00E4507F" w:rsidRPr="00E4507F" w:rsidRDefault="00E4507F" w:rsidP="00641A08">
    <w:pPr>
      <w:pStyle w:val="Footer"/>
      <w:ind w:left="8306" w:right="360" w:firstLine="360"/>
      <w:rPr>
        <w:rFonts w:ascii="Verdana" w:hAnsi="Verdana"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5452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40150C" w:rsidRPr="006A0469" w:rsidRDefault="00690594" w:rsidP="00DB0876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A0469">
          <w:rPr>
            <w:rFonts w:ascii="Verdana" w:hAnsi="Verdana"/>
            <w:sz w:val="16"/>
            <w:szCs w:val="16"/>
          </w:rPr>
          <w:fldChar w:fldCharType="begin"/>
        </w:r>
        <w:r w:rsidRPr="006A046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A0469">
          <w:rPr>
            <w:rFonts w:ascii="Verdana" w:hAnsi="Verdana"/>
            <w:sz w:val="16"/>
            <w:szCs w:val="16"/>
          </w:rPr>
          <w:fldChar w:fldCharType="separate"/>
        </w:r>
        <w:r w:rsidR="00AB3827">
          <w:rPr>
            <w:rFonts w:ascii="Verdana" w:hAnsi="Verdana"/>
            <w:noProof/>
            <w:sz w:val="16"/>
            <w:szCs w:val="16"/>
          </w:rPr>
          <w:t>4</w:t>
        </w:r>
        <w:r w:rsidRPr="006A0469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9F" w:rsidRDefault="0043709F">
      <w:r>
        <w:separator/>
      </w:r>
    </w:p>
  </w:footnote>
  <w:footnote w:type="continuationSeparator" w:id="0">
    <w:p w:rsidR="0043709F" w:rsidRDefault="0043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CC" w:rsidRPr="00397694" w:rsidRDefault="005B7ACC" w:rsidP="005B7ACC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397694">
      <w:rPr>
        <w:rFonts w:ascii="Verdana" w:hAnsi="Verdana"/>
        <w:sz w:val="16"/>
        <w:szCs w:val="16"/>
        <w:lang w:val="bg-BG"/>
      </w:rPr>
      <w:t>Класификация на информацията:</w:t>
    </w:r>
  </w:p>
  <w:p w:rsidR="005B7ACC" w:rsidRPr="00397694" w:rsidRDefault="005B7ACC" w:rsidP="005B7ACC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val="en-US"/>
      </w:rPr>
    </w:pPr>
    <w:r w:rsidRPr="00397694">
      <w:rPr>
        <w:rFonts w:ascii="Verdana" w:hAnsi="Verdana"/>
        <w:bCs/>
        <w:sz w:val="16"/>
        <w:szCs w:val="16"/>
        <w:lang w:val="bg-BG"/>
      </w:rPr>
      <w:t>Ниво 0, TLP-</w:t>
    </w:r>
    <w:r w:rsidRPr="00397694">
      <w:rPr>
        <w:rFonts w:ascii="Verdana" w:hAnsi="Verdana"/>
        <w:bCs/>
        <w:sz w:val="16"/>
        <w:szCs w:val="16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AF"/>
    <w:rsid w:val="000151EC"/>
    <w:rsid w:val="0002095B"/>
    <w:rsid w:val="00023AB1"/>
    <w:rsid w:val="00027A50"/>
    <w:rsid w:val="00041FC8"/>
    <w:rsid w:val="00056258"/>
    <w:rsid w:val="00060156"/>
    <w:rsid w:val="00061164"/>
    <w:rsid w:val="00062B7F"/>
    <w:rsid w:val="00065171"/>
    <w:rsid w:val="00076B14"/>
    <w:rsid w:val="00081853"/>
    <w:rsid w:val="00082404"/>
    <w:rsid w:val="00090F9C"/>
    <w:rsid w:val="00093EEC"/>
    <w:rsid w:val="00094823"/>
    <w:rsid w:val="000967CD"/>
    <w:rsid w:val="000A6241"/>
    <w:rsid w:val="000D1083"/>
    <w:rsid w:val="000D3638"/>
    <w:rsid w:val="000F0880"/>
    <w:rsid w:val="000F55B3"/>
    <w:rsid w:val="00102F18"/>
    <w:rsid w:val="00112876"/>
    <w:rsid w:val="001154BF"/>
    <w:rsid w:val="00116A70"/>
    <w:rsid w:val="00120D81"/>
    <w:rsid w:val="0013712E"/>
    <w:rsid w:val="0014318B"/>
    <w:rsid w:val="00144308"/>
    <w:rsid w:val="0014656A"/>
    <w:rsid w:val="00160014"/>
    <w:rsid w:val="00161D6F"/>
    <w:rsid w:val="0016543F"/>
    <w:rsid w:val="00175659"/>
    <w:rsid w:val="00184F6F"/>
    <w:rsid w:val="00186796"/>
    <w:rsid w:val="00186D74"/>
    <w:rsid w:val="001A4388"/>
    <w:rsid w:val="001B7CB5"/>
    <w:rsid w:val="001C68C9"/>
    <w:rsid w:val="001D2E59"/>
    <w:rsid w:val="001D7B4C"/>
    <w:rsid w:val="001E3578"/>
    <w:rsid w:val="001F4C66"/>
    <w:rsid w:val="00204531"/>
    <w:rsid w:val="00206008"/>
    <w:rsid w:val="00206838"/>
    <w:rsid w:val="00215386"/>
    <w:rsid w:val="002224B7"/>
    <w:rsid w:val="00226768"/>
    <w:rsid w:val="002311CB"/>
    <w:rsid w:val="00233D50"/>
    <w:rsid w:val="00236ED7"/>
    <w:rsid w:val="00250EDB"/>
    <w:rsid w:val="00253255"/>
    <w:rsid w:val="002556EC"/>
    <w:rsid w:val="00262D28"/>
    <w:rsid w:val="002633E3"/>
    <w:rsid w:val="002740B7"/>
    <w:rsid w:val="00281F79"/>
    <w:rsid w:val="002838A3"/>
    <w:rsid w:val="0028735C"/>
    <w:rsid w:val="002926FC"/>
    <w:rsid w:val="002B27B2"/>
    <w:rsid w:val="002C04D2"/>
    <w:rsid w:val="002C13C5"/>
    <w:rsid w:val="002C1E28"/>
    <w:rsid w:val="002C34C3"/>
    <w:rsid w:val="002C6F53"/>
    <w:rsid w:val="002D6198"/>
    <w:rsid w:val="002F018D"/>
    <w:rsid w:val="00305432"/>
    <w:rsid w:val="00312C7D"/>
    <w:rsid w:val="00324A6C"/>
    <w:rsid w:val="0032759C"/>
    <w:rsid w:val="00337FF7"/>
    <w:rsid w:val="00340E41"/>
    <w:rsid w:val="00344C45"/>
    <w:rsid w:val="003543B2"/>
    <w:rsid w:val="00354D92"/>
    <w:rsid w:val="00365432"/>
    <w:rsid w:val="00370542"/>
    <w:rsid w:val="00380A36"/>
    <w:rsid w:val="00392583"/>
    <w:rsid w:val="00395FF6"/>
    <w:rsid w:val="00397694"/>
    <w:rsid w:val="003A09DB"/>
    <w:rsid w:val="003A0E9A"/>
    <w:rsid w:val="003C218D"/>
    <w:rsid w:val="003D0C0B"/>
    <w:rsid w:val="003E2AED"/>
    <w:rsid w:val="003E5AC6"/>
    <w:rsid w:val="003F6704"/>
    <w:rsid w:val="0040150C"/>
    <w:rsid w:val="00401E43"/>
    <w:rsid w:val="00405493"/>
    <w:rsid w:val="004058DF"/>
    <w:rsid w:val="004214AB"/>
    <w:rsid w:val="00422898"/>
    <w:rsid w:val="0042318D"/>
    <w:rsid w:val="004319D5"/>
    <w:rsid w:val="0043709F"/>
    <w:rsid w:val="00441E08"/>
    <w:rsid w:val="004475FE"/>
    <w:rsid w:val="004578A6"/>
    <w:rsid w:val="00466544"/>
    <w:rsid w:val="00474E7F"/>
    <w:rsid w:val="0047582D"/>
    <w:rsid w:val="00476630"/>
    <w:rsid w:val="00477925"/>
    <w:rsid w:val="00477B9D"/>
    <w:rsid w:val="004904F2"/>
    <w:rsid w:val="0049796B"/>
    <w:rsid w:val="004B1D2B"/>
    <w:rsid w:val="004E235F"/>
    <w:rsid w:val="004E4F73"/>
    <w:rsid w:val="004E7504"/>
    <w:rsid w:val="004F42F8"/>
    <w:rsid w:val="004F7B3F"/>
    <w:rsid w:val="005045DE"/>
    <w:rsid w:val="005054F4"/>
    <w:rsid w:val="00517699"/>
    <w:rsid w:val="005216A4"/>
    <w:rsid w:val="00522425"/>
    <w:rsid w:val="00522E64"/>
    <w:rsid w:val="00522F6B"/>
    <w:rsid w:val="005243A6"/>
    <w:rsid w:val="0052576A"/>
    <w:rsid w:val="00527423"/>
    <w:rsid w:val="0053073B"/>
    <w:rsid w:val="005307E2"/>
    <w:rsid w:val="0054007A"/>
    <w:rsid w:val="0054063E"/>
    <w:rsid w:val="00544A5E"/>
    <w:rsid w:val="005454FC"/>
    <w:rsid w:val="00547EA3"/>
    <w:rsid w:val="005536B1"/>
    <w:rsid w:val="00553CCC"/>
    <w:rsid w:val="00566BBD"/>
    <w:rsid w:val="00576523"/>
    <w:rsid w:val="00577A1C"/>
    <w:rsid w:val="0058430B"/>
    <w:rsid w:val="00597D5A"/>
    <w:rsid w:val="005B0E3D"/>
    <w:rsid w:val="005B23FB"/>
    <w:rsid w:val="005B5A9E"/>
    <w:rsid w:val="005B7ACC"/>
    <w:rsid w:val="005D7A49"/>
    <w:rsid w:val="005E0256"/>
    <w:rsid w:val="005E7759"/>
    <w:rsid w:val="00604FB0"/>
    <w:rsid w:val="006078FC"/>
    <w:rsid w:val="006141CD"/>
    <w:rsid w:val="00620409"/>
    <w:rsid w:val="00627ECB"/>
    <w:rsid w:val="00631597"/>
    <w:rsid w:val="00635709"/>
    <w:rsid w:val="00636229"/>
    <w:rsid w:val="00641A08"/>
    <w:rsid w:val="00657417"/>
    <w:rsid w:val="006579C5"/>
    <w:rsid w:val="00670E3E"/>
    <w:rsid w:val="00672AAF"/>
    <w:rsid w:val="0067676D"/>
    <w:rsid w:val="00677A9E"/>
    <w:rsid w:val="00681487"/>
    <w:rsid w:val="00682E06"/>
    <w:rsid w:val="00690525"/>
    <w:rsid w:val="00690594"/>
    <w:rsid w:val="00695BEA"/>
    <w:rsid w:val="006A0469"/>
    <w:rsid w:val="006A1BB6"/>
    <w:rsid w:val="006C7EAF"/>
    <w:rsid w:val="006D0C89"/>
    <w:rsid w:val="006D132C"/>
    <w:rsid w:val="006E5661"/>
    <w:rsid w:val="006E7053"/>
    <w:rsid w:val="00704E02"/>
    <w:rsid w:val="00712EAC"/>
    <w:rsid w:val="007178A8"/>
    <w:rsid w:val="007216F7"/>
    <w:rsid w:val="00721B69"/>
    <w:rsid w:val="00723E8A"/>
    <w:rsid w:val="00730113"/>
    <w:rsid w:val="00736DFD"/>
    <w:rsid w:val="00750567"/>
    <w:rsid w:val="007555C0"/>
    <w:rsid w:val="00772999"/>
    <w:rsid w:val="00774DC5"/>
    <w:rsid w:val="00774DF9"/>
    <w:rsid w:val="00781327"/>
    <w:rsid w:val="007A6584"/>
    <w:rsid w:val="007B5AB4"/>
    <w:rsid w:val="007C05FA"/>
    <w:rsid w:val="007C09DE"/>
    <w:rsid w:val="007E571A"/>
    <w:rsid w:val="007E68DD"/>
    <w:rsid w:val="007F171A"/>
    <w:rsid w:val="007F437C"/>
    <w:rsid w:val="007F6114"/>
    <w:rsid w:val="007F6E38"/>
    <w:rsid w:val="0080306D"/>
    <w:rsid w:val="00812221"/>
    <w:rsid w:val="00822844"/>
    <w:rsid w:val="008234A1"/>
    <w:rsid w:val="00824771"/>
    <w:rsid w:val="00826851"/>
    <w:rsid w:val="008401DE"/>
    <w:rsid w:val="00846041"/>
    <w:rsid w:val="00850991"/>
    <w:rsid w:val="00857FB8"/>
    <w:rsid w:val="00862AC3"/>
    <w:rsid w:val="00863F15"/>
    <w:rsid w:val="008822D9"/>
    <w:rsid w:val="00890FAC"/>
    <w:rsid w:val="008938A4"/>
    <w:rsid w:val="008A1CD3"/>
    <w:rsid w:val="008A672E"/>
    <w:rsid w:val="008B225E"/>
    <w:rsid w:val="008B6F46"/>
    <w:rsid w:val="008C527B"/>
    <w:rsid w:val="008D156D"/>
    <w:rsid w:val="008D1A50"/>
    <w:rsid w:val="008D3D40"/>
    <w:rsid w:val="008D4629"/>
    <w:rsid w:val="008E19C2"/>
    <w:rsid w:val="008E6E05"/>
    <w:rsid w:val="008F74F7"/>
    <w:rsid w:val="00905E03"/>
    <w:rsid w:val="0091551C"/>
    <w:rsid w:val="00916493"/>
    <w:rsid w:val="0092311E"/>
    <w:rsid w:val="00930545"/>
    <w:rsid w:val="00931210"/>
    <w:rsid w:val="00937186"/>
    <w:rsid w:val="00941336"/>
    <w:rsid w:val="0094623E"/>
    <w:rsid w:val="00953163"/>
    <w:rsid w:val="00964530"/>
    <w:rsid w:val="0096708B"/>
    <w:rsid w:val="009747CF"/>
    <w:rsid w:val="00985464"/>
    <w:rsid w:val="009A0EE1"/>
    <w:rsid w:val="009A512E"/>
    <w:rsid w:val="009A6450"/>
    <w:rsid w:val="009B4D05"/>
    <w:rsid w:val="009C2A30"/>
    <w:rsid w:val="009C596E"/>
    <w:rsid w:val="009D1FA7"/>
    <w:rsid w:val="009D248D"/>
    <w:rsid w:val="009D4652"/>
    <w:rsid w:val="009D5469"/>
    <w:rsid w:val="009D6C61"/>
    <w:rsid w:val="009E5777"/>
    <w:rsid w:val="009F380C"/>
    <w:rsid w:val="009F3B32"/>
    <w:rsid w:val="009F4625"/>
    <w:rsid w:val="00A06F6E"/>
    <w:rsid w:val="00A1146F"/>
    <w:rsid w:val="00A14812"/>
    <w:rsid w:val="00A2172C"/>
    <w:rsid w:val="00A317CF"/>
    <w:rsid w:val="00A54CA4"/>
    <w:rsid w:val="00A703C4"/>
    <w:rsid w:val="00A923AD"/>
    <w:rsid w:val="00A953B2"/>
    <w:rsid w:val="00AB12DE"/>
    <w:rsid w:val="00AB3827"/>
    <w:rsid w:val="00AB53BF"/>
    <w:rsid w:val="00AC1D83"/>
    <w:rsid w:val="00AD4989"/>
    <w:rsid w:val="00AD5977"/>
    <w:rsid w:val="00AD7E32"/>
    <w:rsid w:val="00AE383D"/>
    <w:rsid w:val="00AE4890"/>
    <w:rsid w:val="00AF6811"/>
    <w:rsid w:val="00B110F7"/>
    <w:rsid w:val="00B113E6"/>
    <w:rsid w:val="00B115F0"/>
    <w:rsid w:val="00B11EEB"/>
    <w:rsid w:val="00B13B9E"/>
    <w:rsid w:val="00B176C2"/>
    <w:rsid w:val="00B2419A"/>
    <w:rsid w:val="00B3090A"/>
    <w:rsid w:val="00B316DE"/>
    <w:rsid w:val="00B43ACE"/>
    <w:rsid w:val="00B44B90"/>
    <w:rsid w:val="00B55EAE"/>
    <w:rsid w:val="00B56FA7"/>
    <w:rsid w:val="00B66C04"/>
    <w:rsid w:val="00B8051D"/>
    <w:rsid w:val="00B80FE5"/>
    <w:rsid w:val="00B85A30"/>
    <w:rsid w:val="00BA04A2"/>
    <w:rsid w:val="00BA0E17"/>
    <w:rsid w:val="00BA228A"/>
    <w:rsid w:val="00BA4315"/>
    <w:rsid w:val="00BB7358"/>
    <w:rsid w:val="00BC4227"/>
    <w:rsid w:val="00BC7C8F"/>
    <w:rsid w:val="00BD5E65"/>
    <w:rsid w:val="00BD698F"/>
    <w:rsid w:val="00BE3604"/>
    <w:rsid w:val="00BF1DCF"/>
    <w:rsid w:val="00C05497"/>
    <w:rsid w:val="00C1653B"/>
    <w:rsid w:val="00C1656A"/>
    <w:rsid w:val="00C233CD"/>
    <w:rsid w:val="00C33F7E"/>
    <w:rsid w:val="00C35E3E"/>
    <w:rsid w:val="00C427C4"/>
    <w:rsid w:val="00C4648E"/>
    <w:rsid w:val="00C501C3"/>
    <w:rsid w:val="00C50D2E"/>
    <w:rsid w:val="00C637D2"/>
    <w:rsid w:val="00C70E2E"/>
    <w:rsid w:val="00C7235A"/>
    <w:rsid w:val="00C92026"/>
    <w:rsid w:val="00CA30F7"/>
    <w:rsid w:val="00CA63CE"/>
    <w:rsid w:val="00CA67DB"/>
    <w:rsid w:val="00CA79AB"/>
    <w:rsid w:val="00CB4424"/>
    <w:rsid w:val="00CC017B"/>
    <w:rsid w:val="00CC0B4F"/>
    <w:rsid w:val="00CC1DD9"/>
    <w:rsid w:val="00CC38DC"/>
    <w:rsid w:val="00CC7855"/>
    <w:rsid w:val="00CD442C"/>
    <w:rsid w:val="00CF0BB8"/>
    <w:rsid w:val="00CF3A29"/>
    <w:rsid w:val="00CF3D1D"/>
    <w:rsid w:val="00D042F7"/>
    <w:rsid w:val="00D10B0F"/>
    <w:rsid w:val="00D1778D"/>
    <w:rsid w:val="00D24346"/>
    <w:rsid w:val="00D35655"/>
    <w:rsid w:val="00D407C0"/>
    <w:rsid w:val="00D538D3"/>
    <w:rsid w:val="00D6125C"/>
    <w:rsid w:val="00D706AF"/>
    <w:rsid w:val="00D756CE"/>
    <w:rsid w:val="00D82F31"/>
    <w:rsid w:val="00D86418"/>
    <w:rsid w:val="00D95F42"/>
    <w:rsid w:val="00DB0876"/>
    <w:rsid w:val="00DB63ED"/>
    <w:rsid w:val="00DD0EF5"/>
    <w:rsid w:val="00DD2727"/>
    <w:rsid w:val="00DD5A3D"/>
    <w:rsid w:val="00DE0995"/>
    <w:rsid w:val="00DE200D"/>
    <w:rsid w:val="00DF59F8"/>
    <w:rsid w:val="00E02719"/>
    <w:rsid w:val="00E0769F"/>
    <w:rsid w:val="00E2785D"/>
    <w:rsid w:val="00E31829"/>
    <w:rsid w:val="00E42DD0"/>
    <w:rsid w:val="00E44620"/>
    <w:rsid w:val="00E4507F"/>
    <w:rsid w:val="00E51C3D"/>
    <w:rsid w:val="00E57E85"/>
    <w:rsid w:val="00E641ED"/>
    <w:rsid w:val="00E65A1B"/>
    <w:rsid w:val="00E72B68"/>
    <w:rsid w:val="00E732EF"/>
    <w:rsid w:val="00E77D49"/>
    <w:rsid w:val="00E909C3"/>
    <w:rsid w:val="00E94391"/>
    <w:rsid w:val="00EA6690"/>
    <w:rsid w:val="00EB2AFB"/>
    <w:rsid w:val="00EC06A1"/>
    <w:rsid w:val="00EC08D4"/>
    <w:rsid w:val="00EC235F"/>
    <w:rsid w:val="00EE22D8"/>
    <w:rsid w:val="00EF009F"/>
    <w:rsid w:val="00EF46B3"/>
    <w:rsid w:val="00F01E62"/>
    <w:rsid w:val="00F1225F"/>
    <w:rsid w:val="00F12A46"/>
    <w:rsid w:val="00F2050E"/>
    <w:rsid w:val="00F22BA6"/>
    <w:rsid w:val="00F23788"/>
    <w:rsid w:val="00F23931"/>
    <w:rsid w:val="00F24B68"/>
    <w:rsid w:val="00F30FEA"/>
    <w:rsid w:val="00F32473"/>
    <w:rsid w:val="00F44AFB"/>
    <w:rsid w:val="00F5010F"/>
    <w:rsid w:val="00F5545C"/>
    <w:rsid w:val="00F65E02"/>
    <w:rsid w:val="00F75F4E"/>
    <w:rsid w:val="00F83065"/>
    <w:rsid w:val="00F847EF"/>
    <w:rsid w:val="00F90104"/>
    <w:rsid w:val="00F90E8E"/>
    <w:rsid w:val="00F93600"/>
    <w:rsid w:val="00FB0CC6"/>
    <w:rsid w:val="00FB1D16"/>
    <w:rsid w:val="00FC65A7"/>
    <w:rsid w:val="00FC66C1"/>
    <w:rsid w:val="00FD410A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4B3A10-7580-4A89-9687-AB8A6902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14"/>
    <w:rPr>
      <w:lang w:val="en-AU" w:eastAsia="bg-BG"/>
    </w:rPr>
  </w:style>
  <w:style w:type="paragraph" w:styleId="Heading1">
    <w:name w:val="heading 1"/>
    <w:basedOn w:val="Normal"/>
    <w:next w:val="Normal"/>
    <w:qFormat/>
    <w:rsid w:val="00750567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qFormat/>
    <w:rsid w:val="007505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0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C7855"/>
    <w:pPr>
      <w:tabs>
        <w:tab w:val="center" w:pos="4153"/>
        <w:tab w:val="right" w:pos="8306"/>
      </w:tabs>
    </w:pPr>
    <w:rPr>
      <w:lang w:val="en-GB"/>
    </w:rPr>
  </w:style>
  <w:style w:type="paragraph" w:styleId="BodyText">
    <w:name w:val="Body Text"/>
    <w:basedOn w:val="Normal"/>
    <w:rsid w:val="00750567"/>
    <w:pPr>
      <w:jc w:val="both"/>
    </w:pPr>
    <w:rPr>
      <w:b/>
      <w:sz w:val="28"/>
      <w:lang w:val="bg-BG"/>
    </w:rPr>
  </w:style>
  <w:style w:type="paragraph" w:styleId="BodyText2">
    <w:name w:val="Body Text 2"/>
    <w:basedOn w:val="Normal"/>
    <w:rsid w:val="00750567"/>
    <w:pPr>
      <w:jc w:val="center"/>
    </w:pPr>
    <w:rPr>
      <w:b/>
      <w:sz w:val="28"/>
      <w:lang w:val="bg-BG"/>
    </w:rPr>
  </w:style>
  <w:style w:type="paragraph" w:customStyle="1" w:styleId="a">
    <w:name w:val="Знак Знак"/>
    <w:basedOn w:val="Normal"/>
    <w:rsid w:val="00B113E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8D3D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3D40"/>
  </w:style>
  <w:style w:type="paragraph" w:styleId="BodyTextIndent2">
    <w:name w:val="Body Text Indent 2"/>
    <w:basedOn w:val="Normal"/>
    <w:rsid w:val="0080306D"/>
    <w:pPr>
      <w:spacing w:after="120" w:line="480" w:lineRule="auto"/>
      <w:ind w:left="283"/>
    </w:pPr>
  </w:style>
  <w:style w:type="paragraph" w:styleId="DocumentMap">
    <w:name w:val="Document Map"/>
    <w:basedOn w:val="Normal"/>
    <w:semiHidden/>
    <w:rsid w:val="009B4D05"/>
    <w:pPr>
      <w:shd w:val="clear" w:color="auto" w:fill="000080"/>
    </w:pPr>
    <w:rPr>
      <w:rFonts w:ascii="Tahoma" w:hAnsi="Tahoma" w:cs="Tahoma"/>
    </w:rPr>
  </w:style>
  <w:style w:type="paragraph" w:customStyle="1" w:styleId="1">
    <w:name w:val="Знак Знак1"/>
    <w:basedOn w:val="Normal"/>
    <w:rsid w:val="00BA0E17"/>
    <w:rPr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905E03"/>
    <w:rPr>
      <w:rFonts w:ascii="Tahoma" w:hAnsi="Tahoma" w:cs="Tahoma"/>
      <w:sz w:val="16"/>
      <w:szCs w:val="16"/>
    </w:rPr>
  </w:style>
  <w:style w:type="paragraph" w:customStyle="1" w:styleId="1CharChar">
    <w:name w:val="Знак Знак1 Char Char Знак Знак"/>
    <w:basedOn w:val="Normal"/>
    <w:rsid w:val="00781327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1154BF"/>
    <w:rPr>
      <w:lang w:val="en-AU" w:eastAsia="bg-BG" w:bidi="ar-SA"/>
    </w:rPr>
  </w:style>
  <w:style w:type="paragraph" w:styleId="ListParagraph">
    <w:name w:val="List Paragraph"/>
    <w:basedOn w:val="Normal"/>
    <w:uiPriority w:val="34"/>
    <w:qFormat/>
    <w:rsid w:val="007F6114"/>
    <w:pPr>
      <w:ind w:left="720"/>
      <w:contextualSpacing/>
    </w:pPr>
  </w:style>
  <w:style w:type="paragraph" w:customStyle="1" w:styleId="Default">
    <w:name w:val="Default"/>
    <w:rsid w:val="005243A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CC64-2106-4C71-80BF-CF652F42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mzg</Company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KGalabova</dc:creator>
  <cp:lastModifiedBy>Kristiana Pavlova</cp:lastModifiedBy>
  <cp:revision>21</cp:revision>
  <cp:lastPrinted>2025-03-21T13:01:00Z</cp:lastPrinted>
  <dcterms:created xsi:type="dcterms:W3CDTF">2025-03-20T21:55:00Z</dcterms:created>
  <dcterms:modified xsi:type="dcterms:W3CDTF">2025-04-15T13:18:00Z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Вътрешни правила</vt:lpwstr>
  </property>
  <property fmtid="{D5CDD505-2E9C-101B-9397-08002B2CF9AE}" pid="3" name="ContentType">
    <vt:lpwstr>Документ</vt:lpwstr>
  </property>
</Properties>
</file>