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426C10" w14:textId="087A0E11" w:rsidR="00524454" w:rsidRPr="008A0956" w:rsidRDefault="00D15807" w:rsidP="008A0956">
      <w:pPr>
        <w:spacing w:after="160" w:line="240" w:lineRule="auto"/>
        <w:ind w:left="453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</w:pPr>
      <w:r w:rsidRPr="008A0956">
        <w:rPr>
          <w:rFonts w:ascii="Times New Roman" w:eastAsia="Times New Roman" w:hAnsi="Times New Roman" w:cs="Times New Roman"/>
          <w:bCs/>
          <w:sz w:val="24"/>
          <w:szCs w:val="24"/>
          <w:lang w:val="bg-BG"/>
        </w:rPr>
        <w:t xml:space="preserve">Приложение към </w:t>
      </w:r>
      <w:r w:rsidRPr="00D15807">
        <w:rPr>
          <w:rFonts w:ascii="Times New Roman" w:hAnsi="Times New Roman"/>
          <w:sz w:val="24"/>
          <w:szCs w:val="24"/>
          <w:lang w:val="bg-BG"/>
        </w:rPr>
        <w:t>Заповед № РД 09-173 от 21.02.2018 г., изменена и допълнена със Заповед № РД 09-512 от 27.04.2022 г., Заповед № РД 09-1105 от 23.10.2023 г.</w:t>
      </w:r>
      <w:r w:rsidR="00054F2C">
        <w:rPr>
          <w:rFonts w:ascii="Times New Roman" w:hAnsi="Times New Roman"/>
          <w:sz w:val="24"/>
          <w:szCs w:val="24"/>
          <w:lang w:val="bg-BG"/>
        </w:rPr>
        <w:t xml:space="preserve">, </w:t>
      </w:r>
      <w:r w:rsidRPr="00D15807">
        <w:rPr>
          <w:rFonts w:ascii="Times New Roman" w:hAnsi="Times New Roman"/>
          <w:sz w:val="24"/>
          <w:szCs w:val="24"/>
          <w:lang w:val="bg-BG"/>
        </w:rPr>
        <w:t xml:space="preserve">Заповед </w:t>
      </w:r>
      <w:r w:rsidR="008A0956">
        <w:rPr>
          <w:rFonts w:ascii="Times New Roman" w:hAnsi="Times New Roman"/>
          <w:sz w:val="24"/>
          <w:szCs w:val="24"/>
          <w:lang w:val="bg-BG"/>
        </w:rPr>
        <w:t>№ РД 09-532 от 17.05.2024 г.</w:t>
      </w:r>
      <w:r w:rsidR="00054F2C">
        <w:rPr>
          <w:rFonts w:ascii="Times New Roman" w:hAnsi="Times New Roman"/>
          <w:sz w:val="24"/>
          <w:szCs w:val="24"/>
          <w:lang w:val="bg-BG"/>
        </w:rPr>
        <w:t xml:space="preserve"> и Заповед № РД09-786/12.07.2024 г. </w:t>
      </w:r>
    </w:p>
    <w:p w14:paraId="3B3853C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color w:val="0000FF"/>
          <w:sz w:val="28"/>
          <w:szCs w:val="24"/>
          <w:lang w:val="bg-BG"/>
        </w:rPr>
      </w:pPr>
    </w:p>
    <w:p w14:paraId="7AF34C23" w14:textId="77777777" w:rsidR="00524454" w:rsidRPr="00131A47" w:rsidRDefault="00524454" w:rsidP="00524454">
      <w:pPr>
        <w:keepNext/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overflowPunct w:val="0"/>
        <w:autoSpaceDE w:val="0"/>
        <w:autoSpaceDN w:val="0"/>
        <w:adjustRightInd w:val="0"/>
        <w:spacing w:before="240" w:after="60" w:line="360" w:lineRule="auto"/>
        <w:jc w:val="center"/>
        <w:textAlignment w:val="baseline"/>
        <w:outlineLvl w:val="3"/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Toc152490271"/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bg-BG" w:eastAsia="bg-BG"/>
        </w:rPr>
        <w:drawing>
          <wp:anchor distT="0" distB="0" distL="114300" distR="114300" simplePos="0" relativeHeight="251660288" behindDoc="0" locked="0" layoutInCell="1" allowOverlap="1" wp14:anchorId="716E02B7" wp14:editId="246B0F9B">
            <wp:simplePos x="0" y="0"/>
            <wp:positionH relativeFrom="column">
              <wp:posOffset>4800600</wp:posOffset>
            </wp:positionH>
            <wp:positionV relativeFrom="paragraph">
              <wp:posOffset>87630</wp:posOffset>
            </wp:positionV>
            <wp:extent cx="1257300" cy="101346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1A47">
        <w:rPr>
          <w:rFonts w:ascii="Times New Roman" w:eastAsia="Times New Roman" w:hAnsi="Times New Roman" w:cs="Times New Roman"/>
          <w:bCs/>
          <w:noProof/>
          <w:sz w:val="28"/>
          <w:szCs w:val="24"/>
          <w:lang w:val="bg-BG" w:eastAsia="bg-BG"/>
        </w:rPr>
        <w:drawing>
          <wp:anchor distT="0" distB="0" distL="114300" distR="114300" simplePos="0" relativeHeight="251659264" behindDoc="0" locked="0" layoutInCell="1" allowOverlap="1" wp14:anchorId="3A428127" wp14:editId="246198D3">
            <wp:simplePos x="0" y="0"/>
            <wp:positionH relativeFrom="column">
              <wp:posOffset>114300</wp:posOffset>
            </wp:positionH>
            <wp:positionV relativeFrom="paragraph">
              <wp:posOffset>120650</wp:posOffset>
            </wp:positionV>
            <wp:extent cx="1371600" cy="91440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</w:t>
      </w:r>
      <w:r w:rsidRPr="00131A47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val="bg-BG" w:eastAsia="bg-BG"/>
        </w:rPr>
        <w:drawing>
          <wp:inline distT="0" distB="0" distL="0" distR="0" wp14:anchorId="4F30A075" wp14:editId="17887F20">
            <wp:extent cx="1648460" cy="669925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846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31A47">
        <w:rPr>
          <w:rFonts w:ascii="Times New Roman" w:eastAsia="Times New Roman" w:hAnsi="Times New Roman" w:cs="Times New Roman"/>
          <w:bCs/>
          <w:sz w:val="28"/>
          <w:szCs w:val="24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</w:t>
      </w:r>
    </w:p>
    <w:p w14:paraId="62BCE029" w14:textId="77777777" w:rsidR="00524454" w:rsidRPr="00131A47" w:rsidRDefault="00524454" w:rsidP="00524454">
      <w:pPr>
        <w:pBdr>
          <w:top w:val="dashDotStroked" w:sz="24" w:space="25" w:color="auto"/>
          <w:left w:val="dashDotStroked" w:sz="24" w:space="4" w:color="auto"/>
          <w:bottom w:val="dashDotStroked" w:sz="24" w:space="0" w:color="auto"/>
          <w:right w:val="dashDotStroked" w:sz="24" w:space="31" w:color="auto"/>
        </w:pBdr>
        <w:shd w:val="pct10" w:color="000000" w:fill="FFFFFF"/>
        <w:spacing w:after="0" w:line="360" w:lineRule="auto"/>
        <w:rPr>
          <w:rFonts w:ascii="Times New Roman" w:eastAsia="Times New Roman" w:hAnsi="Times New Roman" w:cs="Times New Roman"/>
          <w:b/>
          <w:sz w:val="32"/>
          <w:szCs w:val="32"/>
          <w:lang w:val="bg-BG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2F07212" w14:textId="77777777" w:rsidR="00524454" w:rsidRPr="00131A47" w:rsidRDefault="00524454" w:rsidP="00524454">
      <w:pPr>
        <w:spacing w:after="160" w:line="240" w:lineRule="auto"/>
        <w:ind w:left="7788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5D54C29A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val="bg-BG"/>
        </w:rPr>
      </w:pPr>
    </w:p>
    <w:p w14:paraId="17BA724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66BEE096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3BACFAE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70BE2358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495EDEB4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УСЛОВИЯ ЗА ИЗПЪЛНЕНИЕ </w:t>
      </w:r>
    </w:p>
    <w:p w14:paraId="5792836B" w14:textId="77777777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</w:p>
    <w:p w14:paraId="2AC88C85" w14:textId="0D5B7122" w:rsidR="00524454" w:rsidRPr="00131A47" w:rsidRDefault="00524454" w:rsidP="00524454">
      <w:pPr>
        <w:spacing w:after="16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</w:pP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НА БЮДЖЕТНИ ЛИНИИ ПО МЯРКА 20 „ТЕХНИЧЕСКА ПОМОЩ“ 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ОТ </w:t>
      </w:r>
      <w:r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>ПРОГРАМА ЗА РАЗВИТИЕ НА СЕЛСКИТЕ РАЙОНИ ЗА ПЕРИОДА 2014-2020</w:t>
      </w:r>
      <w:r w:rsidR="001D69CE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г.</w:t>
      </w:r>
      <w:r w:rsidR="007345FF" w:rsidRPr="00131A47">
        <w:rPr>
          <w:rFonts w:ascii="Times New Roman" w:eastAsia="Times New Roman" w:hAnsi="Times New Roman" w:cs="Times New Roman"/>
          <w:b/>
          <w:bCs/>
          <w:sz w:val="32"/>
          <w:szCs w:val="32"/>
          <w:lang w:val="bg-BG"/>
        </w:rPr>
        <w:t xml:space="preserve"> (ПРСР 2014 – 2020 г.)</w:t>
      </w:r>
    </w:p>
    <w:p w14:paraId="6AC38C5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AEB4D54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0026F0C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86B0FFA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E50C3E3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1B779BAE" w14:textId="77777777" w:rsidR="00524454" w:rsidRPr="00131A47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</w:p>
    <w:p w14:paraId="569C2F3C" w14:textId="77777777" w:rsidR="00524454" w:rsidRPr="00654EA9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54EA9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Европейският земеделски фонд за развитие на селските райони</w:t>
      </w:r>
    </w:p>
    <w:p w14:paraId="40CD0682" w14:textId="77777777" w:rsidR="00524454" w:rsidRPr="00654EA9" w:rsidRDefault="00524454" w:rsidP="00524454">
      <w:pPr>
        <w:tabs>
          <w:tab w:val="center" w:pos="4536"/>
          <w:tab w:val="right" w:pos="9781"/>
        </w:tabs>
        <w:spacing w:after="0" w:line="360" w:lineRule="auto"/>
        <w:ind w:left="-567" w:right="-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</w:pPr>
      <w:r w:rsidRPr="00654EA9">
        <w:rPr>
          <w:rFonts w:ascii="Times New Roman" w:eastAsia="Times New Roman" w:hAnsi="Times New Roman" w:cs="Times New Roman"/>
          <w:b/>
          <w:bCs/>
          <w:sz w:val="24"/>
          <w:szCs w:val="24"/>
          <w:lang w:val="bg-BG" w:eastAsia="bg-BG"/>
        </w:rPr>
        <w:t>Европа инвестира в селските райони</w:t>
      </w:r>
    </w:p>
    <w:p w14:paraId="147F90C8" w14:textId="77777777" w:rsidR="00524454" w:rsidRPr="00654EA9" w:rsidRDefault="00524454" w:rsidP="00524454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69C41B1A" w14:textId="77777777" w:rsidR="00524454" w:rsidRPr="00654EA9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1" w:name="_Toc504657805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t>А. Финансово изпълнение на проектите и плащане:</w:t>
      </w:r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24454" w:rsidRPr="00654EA9" w14:paraId="132C0C5B" w14:textId="77777777" w:rsidTr="0011572A">
        <w:tc>
          <w:tcPr>
            <w:tcW w:w="9212" w:type="dxa"/>
            <w:shd w:val="clear" w:color="auto" w:fill="auto"/>
          </w:tcPr>
          <w:p w14:paraId="23509BA0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bookmarkStart w:id="2" w:name="_Toc256000087"/>
          </w:p>
          <w:p w14:paraId="666F012B" w14:textId="2B4D204D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Финансовата помощ се изплаща от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Държавен фонд „Земеделие“ – Разплащателна агенция (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след извършване на цялата подпомагана дейност. Финансовата помощ може да се извършва и чрез междинни плащания за одобрена обособена част от подпомаганата дейност, след като бъде извършена и приета по съответния ред, когато естеството на дейността позволява и това е предвидено в договора за изпълнение и заявлението за кандидатстване. </w:t>
            </w:r>
          </w:p>
          <w:p w14:paraId="4B8CC9BA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Междинни плащания са допустими: </w:t>
            </w:r>
          </w:p>
          <w:p w14:paraId="7323CF1E" w14:textId="77777777" w:rsidR="00524454" w:rsidRPr="00654EA9" w:rsidRDefault="00524454" w:rsidP="00DC2292">
            <w:pPr>
              <w:numPr>
                <w:ilvl w:val="2"/>
                <w:numId w:val="1"/>
              </w:numPr>
              <w:tabs>
                <w:tab w:val="clear" w:pos="2160"/>
                <w:tab w:val="num" w:pos="198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три пъти за периода на изпълнение на дейностите: </w:t>
            </w:r>
          </w:p>
          <w:p w14:paraId="3FCD96FA" w14:textId="6ADA5E70" w:rsidR="00524454" w:rsidRPr="00654EA9" w:rsidRDefault="00524454" w:rsidP="00DC2292">
            <w:pPr>
              <w:pStyle w:val="ListParagraph"/>
              <w:numPr>
                <w:ilvl w:val="1"/>
                <w:numId w:val="8"/>
              </w:num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които се изпълняват по реда на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Закона за обществените поръчки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4D25D002" w14:textId="2DA662C2" w:rsidR="00524454" w:rsidRPr="00654EA9" w:rsidRDefault="00524454" w:rsidP="00DC2292">
            <w:pPr>
              <w:pStyle w:val="ListParagraph"/>
              <w:numPr>
                <w:ilvl w:val="1"/>
                <w:numId w:val="8"/>
              </w:numPr>
              <w:tabs>
                <w:tab w:val="num" w:pos="851"/>
              </w:tabs>
              <w:autoSpaceDE w:val="0"/>
              <w:autoSpaceDN w:val="0"/>
              <w:adjustRightInd w:val="0"/>
              <w:spacing w:after="0" w:line="240" w:lineRule="auto"/>
              <w:ind w:left="426"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дейности, за които е необходимо използване на услуги на физически и/или юридически лица, се сключват договори за изпълнение на съответната услуга между Министерството на земеделието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храните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(МЗХ)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или ДФЗ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</w:t>
            </w:r>
            <w:r w:rsidR="00DC229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 физическите/юридическите лица; преди сключването на договорите от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МЗХ или ДФЗ-РА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те се предоставят за съгласуване съгласно установения в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МЗХ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или ДФЗ-РА, вътрешен ред; </w:t>
            </w:r>
          </w:p>
          <w:p w14:paraId="3EA9B8BD" w14:textId="77777777" w:rsidR="00524454" w:rsidRPr="00654EA9" w:rsidRDefault="00524454" w:rsidP="00DC2292">
            <w:pPr>
              <w:numPr>
                <w:ilvl w:val="2"/>
                <w:numId w:val="1"/>
              </w:numPr>
              <w:tabs>
                <w:tab w:val="clear" w:pos="2160"/>
                <w:tab w:val="num" w:pos="198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до 5 пъти за договори с период на изпълнение над една година; </w:t>
            </w:r>
          </w:p>
          <w:p w14:paraId="1021069A" w14:textId="6A872DA9" w:rsidR="00524454" w:rsidRPr="00654EA9" w:rsidRDefault="00524454" w:rsidP="00DC2292">
            <w:pPr>
              <w:numPr>
                <w:ilvl w:val="2"/>
                <w:numId w:val="1"/>
              </w:numPr>
              <w:tabs>
                <w:tab w:val="clear" w:pos="2160"/>
                <w:tab w:val="num" w:pos="1985"/>
              </w:tabs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ежемесечно за дейностите: </w:t>
            </w:r>
          </w:p>
          <w:p w14:paraId="5E06F08D" w14:textId="674BD782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командироване в страната и/или в чужбина в областта на развитието на селските райони; </w:t>
            </w:r>
          </w:p>
          <w:p w14:paraId="4B472A50" w14:textId="79295195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основни месечни заплати, дължимите данъци, осигуровки, обезщетения и възнаграждения за платен отпуск на щатния персонал на ДФЗ-РА и МЗХ, изпълняващи функции, пряко свързани с управлението (в т. ч. управлението на прилагането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СПРЗС</w:t>
            </w:r>
            <w:r w:rsidR="00A7637D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в Централно управление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(ЦУ)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на ДФЗ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-РА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), наблюдението, оценката и контрола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2E22E3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СПРЗСР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042F17C8" w14:textId="475403A9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за участие в комисии за определяне на изпълнител на обществени поръчки за доставки или услуги, както и комисии за оценка и избор на проекти, се прилага създадената вътрешноведомствена организация в МЗХ, съответно в ДФЗ–РА;</w:t>
            </w:r>
          </w:p>
          <w:p w14:paraId="1DB00988" w14:textId="3FA55943" w:rsidR="00524454" w:rsidRPr="00654EA9" w:rsidRDefault="002E22E3" w:rsidP="00DC2292">
            <w:pPr>
              <w:pStyle w:val="ListParagraph"/>
              <w:numPr>
                <w:ilvl w:val="1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hanging="142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допълнително възнаграждение с непостоянен характер и дължимите осигуровки и данъци въз основа на постигнати резултати на щатния персонал на ДФЗ-РА и МЗХ, изпълняващ функции, пряко свързани с управлението (в т.ч. управлението на прилагането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СПРЗСР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в ЦУ на ДФЗ), наблюдението, оценката и контрола на ПРСР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и/или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СПРЗСР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се изплаща до четири пъти годишно при условията и по реда на </w:t>
            </w:r>
            <w:r w:rsidR="00DC229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В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ътрешните правила за заплатите в МЗХ или ДФЗ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-РА</w:t>
            </w:r>
            <w:r w:rsidR="00524454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; </w:t>
            </w:r>
          </w:p>
          <w:p w14:paraId="5F797D12" w14:textId="487A4EA6" w:rsidR="00524454" w:rsidRDefault="00524454" w:rsidP="00DC22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разходите за възнаграждения, вкл. дължимите данъци, осигуровки, обезщетения и платен отпуск на допълнителен персонал, необходим с оглед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увеличаване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капацитета на администрацията, ангажирана в управлението, изпълнението, контрола, наблюдението и оценката на ПРСР 2014 - 2020 г. </w:t>
            </w:r>
            <w:r w:rsidR="002C211F" w:rsidRPr="002C211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и/или СПРЗСР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към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Управляващия орган на ПРСР 2014 – 2020 г. (УО)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и ДФЗ - РА, се изплащат ежемесечно.</w:t>
            </w:r>
          </w:p>
          <w:p w14:paraId="71F5C217" w14:textId="48F01755" w:rsidR="00A03286" w:rsidRPr="00654EA9" w:rsidRDefault="00A03286" w:rsidP="00DC2292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допълнително възнаграждение с непостоянен характер и дължимите осигуровки и данъци въз основа на постигнати резултати на допълнителния персонал</w:t>
            </w:r>
            <w:r w:rsidR="00DC2292" w:rsidRPr="00DC2292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 нает по реда на ПМС № 209 от 10 август 2015 г.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изпълняващ функции, пряко свързани с 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lastRenderedPageBreak/>
              <w:t xml:space="preserve">управлението (в т.ч. управлението на прилагането на ПРСР </w:t>
            </w:r>
            <w:r w:rsidR="002C211F" w:rsidRPr="002C211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и/или СПРЗСР 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в ЦУ на ДФЗ), наблюдениет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о, оценката и контрола на ПРСР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 се изплаща до четири пъти годишно при условията и по реда на вътрешните правила за заплатите в МЗ</w:t>
            </w:r>
            <w:r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Х</w:t>
            </w:r>
            <w:r w:rsidRPr="00A03286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или ДФЗ.</w:t>
            </w:r>
          </w:p>
          <w:p w14:paraId="52BFF5C0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2943BB44" w14:textId="0A360521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Плащания на разходи на бенефициентите по мярка 20 „Техническа помощ“ на ПРСР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2014 – 2020 г.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се извършват от Дирекция „Финансова“ към </w:t>
            </w:r>
            <w:r w:rsidR="007345FF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ДФЗ-РА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. </w:t>
            </w:r>
          </w:p>
          <w:p w14:paraId="2673E47D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trike/>
                <w:sz w:val="24"/>
                <w:lang w:val="bg-BG" w:eastAsia="en-GB"/>
              </w:rPr>
            </w:pPr>
          </w:p>
          <w:p w14:paraId="47115F82" w14:textId="204E8DA1" w:rsidR="00524454" w:rsidRPr="008A0956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В случай на дейности,</w:t>
            </w:r>
            <w:r w:rsidRPr="002C211F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за които е предвидено да се изпълняват по реда на ЗОП</w:t>
            </w:r>
            <w:r w:rsidR="002E22E3" w:rsidRPr="002C211F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,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бенефициентът (</w:t>
            </w:r>
            <w:r w:rsidR="002E22E3"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</w:t>
            </w:r>
            <w:r w:rsidR="00A03286"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Х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/ДФ „Земеделие“) или упълномощено от него длъжностно лице, подава </w:t>
            </w:r>
            <w:r w:rsidR="00EC3C72" w:rsidRPr="002C211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искане за </w:t>
            </w:r>
            <w:r w:rsidRPr="002C211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междинно и/или окончателно плащане, ведно с  междинни и/или окончателни технически и финансови отчети и всички приложими документи съгласно Приложение 1, в срок 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не по-късно от </w:t>
            </w:r>
            <w:r w:rsidRPr="002C211F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 xml:space="preserve">25 </w:t>
            </w:r>
            <w:r w:rsidRPr="008A0956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>работни дни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след датата на </w:t>
            </w:r>
            <w:r w:rsidR="00FF4815"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приемо-предавателния протокол за </w:t>
            </w:r>
            <w:r w:rsidRPr="008A095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одобрение на изпълнението на цялата дейност или на част от нея.</w:t>
            </w:r>
          </w:p>
          <w:p w14:paraId="0089DEBD" w14:textId="77777777" w:rsidR="004D343E" w:rsidRPr="00654EA9" w:rsidRDefault="004D343E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</w:pPr>
          </w:p>
          <w:p w14:paraId="4432AA56" w14:textId="17A15DDD" w:rsidR="00AD1A98" w:rsidRPr="00654EA9" w:rsidRDefault="00524454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Искането за плащане за дейности, за които не е предвидено да се изпълняват по реда на ЗОП, се подава от </w:t>
            </w:r>
            <w:r w:rsidRPr="00654EA9">
              <w:rPr>
                <w:rFonts w:ascii="Times New Roman" w:eastAsia="Times New Roman" w:hAnsi="Times New Roman" w:cs="Times New Roman"/>
                <w:b/>
                <w:sz w:val="24"/>
                <w:lang w:val="bg-BG" w:eastAsia="en-GB"/>
              </w:rPr>
              <w:t>1-во до 15-о число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 съответния месец. </w:t>
            </w:r>
          </w:p>
          <w:p w14:paraId="249A966B" w14:textId="08641DA6" w:rsidR="0067002C" w:rsidRPr="00654EA9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03D218AA" w14:textId="00505224" w:rsidR="0067002C" w:rsidRPr="00981101" w:rsidRDefault="0067002C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Извършените разходи по одобрената бюджетна линия се отчита</w:t>
            </w:r>
            <w:r w:rsidR="007C6E90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т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най-късно в срок от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: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6B023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18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месеца след приключване на съответната година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-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при бюджетни линии</w:t>
            </w:r>
            <w:r w:rsidR="007047D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със срок за изпълнение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повече от една година и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ли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6B023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12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месеца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след приключване на бюджетната линия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-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при бюджетни линии </w:t>
            </w:r>
            <w:r w:rsidR="007047D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със срок за изпълнение</w:t>
            </w:r>
            <w:r w:rsidR="005F422B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една година</w:t>
            </w:r>
            <w:r w:rsidR="001D581A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, но не по-късно от </w:t>
            </w:r>
            <w:r w:rsidR="00981101">
              <w:rPr>
                <w:rFonts w:ascii="Times New Roman" w:eastAsia="Times New Roman" w:hAnsi="Times New Roman" w:cs="Times New Roman"/>
                <w:sz w:val="24"/>
                <w:lang w:val="en-US" w:eastAsia="en-GB"/>
              </w:rPr>
              <w:t xml:space="preserve"> </w:t>
            </w:r>
            <w:bookmarkStart w:id="3" w:name="_GoBack"/>
            <w:r w:rsidR="00981101">
              <w:rPr>
                <w:rFonts w:ascii="Times New Roman" w:eastAsia="Times New Roman" w:hAnsi="Times New Roman" w:cs="Times New Roman"/>
                <w:sz w:val="24"/>
                <w:lang w:val="en-US" w:eastAsia="en-GB"/>
              </w:rPr>
              <w:t>1</w:t>
            </w:r>
            <w:r w:rsidR="00F33ED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5</w:t>
            </w:r>
            <w:r w:rsidR="00981101">
              <w:rPr>
                <w:rFonts w:ascii="Times New Roman" w:eastAsia="Times New Roman" w:hAnsi="Times New Roman" w:cs="Times New Roman"/>
                <w:sz w:val="24"/>
                <w:lang w:val="en-US" w:eastAsia="en-GB"/>
              </w:rPr>
              <w:t xml:space="preserve"> </w:t>
            </w:r>
            <w:r w:rsidR="00F33ED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октомври</w:t>
            </w:r>
            <w:r w:rsidR="00F33ED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981101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2025 г. </w:t>
            </w:r>
            <w:bookmarkEnd w:id="3"/>
          </w:p>
          <w:p w14:paraId="66BD8F7D" w14:textId="77777777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1136A972" w14:textId="65E559ED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Разходите за дейностите по подточка 1.2., 3.1. и 3.3., по които ползвател е </w:t>
            </w:r>
            <w:r w:rsidR="002E22E3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</w:t>
            </w:r>
            <w:r w:rsidR="00A03286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Х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, се изплащат от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МЗХ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по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ред, </w:t>
            </w:r>
            <w:r w:rsidR="00507A08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утвърден</w:t>
            </w:r>
            <w:r w:rsidR="00131A47" w:rsidRPr="00654EA9">
              <w:rPr>
                <w:rFonts w:ascii="Times New Roman" w:eastAsia="Times New Roman" w:hAnsi="Times New Roman" w:cs="Times New Roman"/>
                <w:sz w:val="24"/>
                <w:lang w:val="en-US" w:eastAsia="en-GB"/>
              </w:rPr>
              <w:t xml:space="preserve"> </w:t>
            </w:r>
            <w:r w:rsidR="00EC3C72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със заповед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министъра на земеделието</w:t>
            </w:r>
            <w:r w:rsidR="00DC2292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храните и след представяне и одобрение на отчет от съответното лице за извършената дейност, както и/или разходооправдателни документи.</w:t>
            </w:r>
          </w:p>
          <w:p w14:paraId="790F37A1" w14:textId="77777777" w:rsidR="00AD1A98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</w:p>
          <w:p w14:paraId="57D604B0" w14:textId="24141ED9" w:rsidR="00524454" w:rsidRPr="00654EA9" w:rsidRDefault="00AD1A98" w:rsidP="00AD1A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Разходите за дейности по подточка 1.2., 3.1.</w:t>
            </w:r>
            <w:r w:rsidR="00507A08"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>и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en-GB"/>
              </w:rPr>
              <w:t xml:space="preserve"> 3.3., по които ползвател е ДФЗ-РА, се изплащат от ДФЗ-РА, по ред, одобрен от изпълнителния директор на ДФЗ-РА, и след представяне на отчет от съответното лице за извършената дейност, както и/или разходооправдателни документи.</w:t>
            </w:r>
          </w:p>
          <w:p w14:paraId="4EC29267" w14:textId="77777777" w:rsidR="00524454" w:rsidRPr="00654EA9" w:rsidRDefault="00524454" w:rsidP="0052445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</w:p>
          <w:p w14:paraId="6A8ED259" w14:textId="77777777" w:rsidR="008A0956" w:rsidRDefault="00524454" w:rsidP="008A0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По мярка 20 „Техническа помощ” се извършва re-performance, </w:t>
            </w:r>
            <w:r w:rsidR="00F60E29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представляващ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проверка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за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спазването на условията за предоставяне на помощта, включително сключването на договорите, съгласно Глава I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Разплащателни агенции и други органи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,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чл.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1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„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Условия за акредитиране на разплащателните агенции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“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от 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Делегиран регламент (ЕС) № 907/2014 на Комисията от 11 март 2014 година за допълнение на Регламент (ЕС) № 1306/2013 на Европейския парламент и на Съвета във връзка с разплащателните агенции и други органи, финансовото управление, уравняването на сметки, обезпеченията и използването на еврото (OB L 255, 28.8.2014 г.)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.</w:t>
            </w:r>
            <w:r w:rsidR="006D79F1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Конкретните проверки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свързани с re-performance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са имплементирани в контролните листа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приложими за мярката.</w:t>
            </w:r>
            <w:r w:rsidRPr="00654EA9">
              <w:rPr>
                <w:rFonts w:ascii="TimesNewRomanUnicode" w:eastAsia="Times New Roman" w:hAnsi="TimesNewRomanUnicode" w:cs="TimesNewRomanUnicode"/>
                <w:sz w:val="24"/>
                <w:lang w:val="bg-BG" w:eastAsia="en-GB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Проверката за съответствие с критериите за финансиране на заявки, съдържащи дейности, обект на обществена поръчка</w:t>
            </w:r>
            <w:r w:rsidR="00E55B6F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включва проверка на представената със заявката за плащане документация съгласно ЗОП в зависимост от вида на проведената обществена поръчка за избор на изпълнител. При заявки за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lastRenderedPageBreak/>
              <w:t xml:space="preserve">плащане, съдържащи дейности обект на обществена поръчка, при извършване на проверката за съответствие с критериите за финансиране се извършва и проверка на процедурата за отпускане на помощи, както и тяхното съответствие с </w:t>
            </w:r>
            <w:r w:rsidR="00594C7E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приложимите актове на Европейския съюз</w:t>
            </w:r>
            <w:r w:rsidR="009F39FD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(ЕС)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. </w:t>
            </w:r>
            <w:bookmarkEnd w:id="2"/>
          </w:p>
          <w:p w14:paraId="2633E877" w14:textId="04289C31" w:rsidR="008A0956" w:rsidRPr="00654EA9" w:rsidRDefault="008A0956" w:rsidP="008A09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Ползвателите на помощта съхраняват копия на всички документи (където е приложимо в оригинал), за срок от пет години от датата на извършване на окончателното плащане на финансовата помощ по съответната бюджетна линия.</w:t>
            </w:r>
          </w:p>
          <w:p w14:paraId="19775CB3" w14:textId="5AFBC8A9" w:rsidR="003E6874" w:rsidRPr="00654EA9" w:rsidRDefault="008A0956" w:rsidP="008A0956">
            <w:pPr>
              <w:spacing w:line="240" w:lineRule="auto"/>
              <w:jc w:val="both"/>
              <w:textAlignment w:val="baseline"/>
              <w:rPr>
                <w:rFonts w:ascii="Calibri" w:eastAsia="Times New Roman" w:hAnsi="Calibri" w:cs="Times New Roman"/>
                <w:lang w:val="bg-BG" w:eastAsia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МЗХ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/ДФ „Земеделие“ на основание чл.</w:t>
            </w:r>
            <w:r w:rsidR="00C577F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47, ал.</w:t>
            </w:r>
            <w:r w:rsidR="00C577F5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3 от ЗУСЕФ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>СУ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en-GB"/>
              </w:rPr>
              <w:t xml:space="preserve"> извършват </w:t>
            </w:r>
            <w:r w:rsidRPr="00654EA9">
              <w:rPr>
                <w:rFonts w:ascii="Times New Roman" w:eastAsia="Times New Roman" w:hAnsi="Times New Roman" w:cs="Times New Roman"/>
                <w:sz w:val="24"/>
                <w:szCs w:val="24"/>
                <w:lang w:val="bg-BG" w:eastAsia="bg-BG"/>
              </w:rPr>
              <w:t>ежегодно актуализиране на финансовия план за всички одобрени бюджетни линии въз основа на извършена оценка на изпълнението или при настъпили обстоятелства, които водят до промяна на необходимия финансов ресурс, подкрепено с обосновка или доказателства за настъпилите обстоятелства.</w:t>
            </w:r>
          </w:p>
        </w:tc>
      </w:tr>
    </w:tbl>
    <w:p w14:paraId="69A8D612" w14:textId="77777777" w:rsidR="00524454" w:rsidRPr="00654EA9" w:rsidRDefault="00524454" w:rsidP="00524454">
      <w:pPr>
        <w:keepNext/>
        <w:keepLines/>
        <w:spacing w:before="480" w:after="0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4" w:name="_Toc504657806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Б. Мерки за информиране и публичност:</w:t>
      </w:r>
      <w:bookmarkEnd w:id="4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24454" w:rsidRPr="00654EA9" w14:paraId="7AD28AC6" w14:textId="77777777" w:rsidTr="0011572A">
        <w:tc>
          <w:tcPr>
            <w:tcW w:w="9212" w:type="dxa"/>
            <w:shd w:val="clear" w:color="auto" w:fill="auto"/>
          </w:tcPr>
          <w:p w14:paraId="09A05D28" w14:textId="021A63EE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Публичността за дейностите, които не са обект на обществена поръчка, се осъществява, като ежегодно до 30 април УО публикува на електронната страница на ПРСР 2014 - 2020 г. следната информация за всеки одобрен проект по мярка "Техническа помощ" от ПРСР (2014 - 2020 г.) за предходната финансова година:</w:t>
            </w:r>
          </w:p>
          <w:p w14:paraId="68227C21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наименование на ползвателя на помощта;</w:t>
            </w:r>
          </w:p>
          <w:p w14:paraId="0E00EB76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вид на подпомаганите дейности и наименование на проекта;</w:t>
            </w:r>
          </w:p>
          <w:p w14:paraId="5455CFCE" w14:textId="77777777" w:rsidR="00524454" w:rsidRPr="00654EA9" w:rsidRDefault="00524454" w:rsidP="0052445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общ размер на одобрената финансова помощ за периода;</w:t>
            </w:r>
          </w:p>
          <w:p w14:paraId="145ACCAA" w14:textId="0BD00744" w:rsidR="002C211F" w:rsidRPr="004454C6" w:rsidRDefault="00E07C60" w:rsidP="004454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препращане </w:t>
            </w:r>
            <w:r w:rsidR="00524454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към електронната страница, където е публикуван резултатът от дейността, когато това е възможно.</w:t>
            </w:r>
            <w:r w:rsidR="004454C6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="002C211F" w:rsidRPr="004454C6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За дейности, свързани с подготовка и изпълнение на СПРЗСР, публичността за дейностите се осъществява и на електронната страница на Стратегическия план за развитие на земеделието и селските райони за периода 2023-2027 г</w:t>
            </w:r>
            <w:r w:rsidR="008A0956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</w:t>
            </w:r>
            <w:r w:rsidR="002C211F" w:rsidRPr="004454C6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</w:p>
          <w:p w14:paraId="78A527DD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72F7399A" w14:textId="32F022CE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Публичността за дейностите, които са обект на обществена поръчка, се осъществява чрез прилагане на разпоредбите на </w:t>
            </w:r>
            <w:r w:rsidR="00E07C6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ЗОП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Вътрешните правила за поддържане на профила на купувача</w:t>
            </w:r>
            <w:r w:rsidR="00E07C6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утвърдени със Заповед № РД 09-861 от 12.11.2015 г. на министъра на земеделието и храните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</w:t>
            </w:r>
          </w:p>
          <w:p w14:paraId="1169AD94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E34B825" w14:textId="26E7264D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Публикациите-книжки, брошури, листовки, списания, вестници и други, и постерите за мерки и дейности, съфинансирани от </w:t>
            </w:r>
            <w:r w:rsidR="008D6F8F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Европейския земеделски фонд за развитие на селските райони (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ЕЗФРСР</w:t>
            </w:r>
            <w:r w:rsidR="008D6F8F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)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, съдържат на заглавната си страница ясна индикация за участието на </w:t>
            </w:r>
            <w:r w:rsidR="009F39FD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ЕС, както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и неговата емблема. В публикациите се съдържа информация за органа, отговорен за съдържанието на информацията, както и за УО, отговорни за прилагане на помощта от ЕЗФРСР. Изискването се прилага и за информацията, разпространявана чрез електронни средства/медии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- уебсайтове, бази данни за потенциални участници или като аудио-визуален материал.</w:t>
            </w:r>
          </w:p>
          <w:p w14:paraId="678931D0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1548F89E" w14:textId="1B64EB58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Електронните страници, които съдържат информация за ПРСР 2014-2020 г./ЕЗФРСР, трябва да: </w:t>
            </w:r>
          </w:p>
          <w:p w14:paraId="2B768923" w14:textId="77777777" w:rsidR="00524454" w:rsidRPr="00654EA9" w:rsidRDefault="00524454" w:rsidP="008A0956">
            <w:pPr>
              <w:numPr>
                <w:ilvl w:val="1"/>
                <w:numId w:val="3"/>
              </w:numPr>
              <w:tabs>
                <w:tab w:val="clear" w:pos="1440"/>
                <w:tab w:val="num" w:pos="1134"/>
              </w:tabs>
              <w:spacing w:after="0" w:line="240" w:lineRule="auto"/>
              <w:ind w:left="1134" w:hanging="414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информират за приноса на ЕЗФРСР най-малко на заглавната си страница;</w:t>
            </w:r>
          </w:p>
          <w:p w14:paraId="7D77BEFB" w14:textId="77777777" w:rsidR="00524454" w:rsidRPr="00654EA9" w:rsidRDefault="00524454" w:rsidP="008A0956">
            <w:pPr>
              <w:numPr>
                <w:ilvl w:val="1"/>
                <w:numId w:val="3"/>
              </w:numPr>
              <w:tabs>
                <w:tab w:val="clear" w:pos="1440"/>
                <w:tab w:val="num" w:pos="1134"/>
              </w:tabs>
              <w:spacing w:after="0" w:line="240" w:lineRule="auto"/>
              <w:ind w:left="1134" w:hanging="414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включват препратка към електронната страница на Европейската комисия, отнасяща се до ЕЗФРСР.</w:t>
            </w:r>
          </w:p>
          <w:p w14:paraId="23E8D364" w14:textId="77777777" w:rsidR="00654EA9" w:rsidRDefault="00654EA9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</w:p>
          <w:p w14:paraId="2A3C9421" w14:textId="77777777" w:rsidR="00524454" w:rsidRPr="00654EA9" w:rsidRDefault="00524454" w:rsidP="0052445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lastRenderedPageBreak/>
              <w:t>Всяка дейност за информиране и публичност, информационна табела, билборд съдържа следните елементи:</w:t>
            </w:r>
          </w:p>
          <w:p w14:paraId="710B6C75" w14:textId="3657C0A0" w:rsidR="00524454" w:rsidRPr="00654EA9" w:rsidRDefault="00524454" w:rsidP="00C23D30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Емблемата на 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ЕС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заедно с упоменаване на 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ЕС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в съответствие с техническите характеристики, предвидени в Приложение  ІІІ към чл.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13 от Регламент за изпълнение (ЕС) № 808/2014 на Комисията от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17 юли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 за определяне на правила за прилагането на Регламент (ЕС) № 1305/2013 на Европейския парламент и на Съвета относно подпомагане на развитието на селските райони от Европейския земеделски фонд за развитие на селските райони  (ОВ,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L 227от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31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.7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2014 г.)и съгласно Приложение № XII от Регламент (ЕС) № 1303/2013 г. на Европейския парламент и на Съвета от 17 декември 2013 г. за определяне на общоприложими разпоредби за Европейския фонд за регионално развитие, Европейския социален фонд, Кохезионния фонд,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развитие, Европейския социален фонд, Кохезионния фонд и Европейския фонд за морско дело и рибарство и за отмяна на Регламент (ЕО) № 1083/2006 г. на Съвета (ОВ L 347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20</w:t>
            </w:r>
            <w:r w:rsidR="00C23D30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.12.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2013 г.)</w:t>
            </w:r>
            <w:r w:rsidR="00192D08"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 xml:space="preserve"> (Регламент (ЕС) № 1303/2013 г.)</w:t>
            </w: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, като се използват следните думи: "Европейски земеделски фонд за развитие на селските райони: Европа инвестира в селските райони";</w:t>
            </w:r>
          </w:p>
          <w:p w14:paraId="4270C215" w14:textId="360256CE" w:rsidR="00524454" w:rsidRPr="00654EA9" w:rsidRDefault="00524454" w:rsidP="00654EA9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lang w:val="bg-BG" w:eastAsia="bg-BG"/>
              </w:rPr>
              <w:t>За дейностите и мерките, финансирани по подхода ЛИДЕР от ПРСР 2014 - 2020 г., се използва също и логото на ЛИДЕР.</w:t>
            </w:r>
          </w:p>
        </w:tc>
      </w:tr>
    </w:tbl>
    <w:p w14:paraId="7A22C463" w14:textId="77777777" w:rsidR="00524454" w:rsidRPr="00654EA9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  <w:bookmarkStart w:id="5" w:name="_Toc504657807"/>
      <w:r w:rsidRPr="00654EA9"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  <w:lastRenderedPageBreak/>
        <w:t>В. Приложения към Условията за изпълнение:</w:t>
      </w:r>
      <w:bookmarkEnd w:id="5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24454" w:rsidRPr="00131A47" w14:paraId="2731BDF4" w14:textId="77777777" w:rsidTr="0011572A">
        <w:tc>
          <w:tcPr>
            <w:tcW w:w="9212" w:type="dxa"/>
            <w:shd w:val="clear" w:color="auto" w:fill="auto"/>
          </w:tcPr>
          <w:p w14:paraId="22D510EA" w14:textId="4964682B" w:rsidR="00524454" w:rsidRPr="00654EA9" w:rsidRDefault="00524454" w:rsidP="0052445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val="bg-BG" w:eastAsia="bg-BG"/>
              </w:rPr>
            </w:pPr>
          </w:p>
          <w:p w14:paraId="62F699BA" w14:textId="0ABB1A5C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1 Документи за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междинно и окончателно плащане;</w:t>
            </w:r>
          </w:p>
          <w:p w14:paraId="70D3A294" w14:textId="7DD80C65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2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Дек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ларация за възстановени разходи;</w:t>
            </w:r>
          </w:p>
          <w:p w14:paraId="0210F038" w14:textId="03AEAD92" w:rsidR="00524454" w:rsidRPr="00654EA9" w:rsidRDefault="00524454" w:rsidP="00524454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</w:t>
            </w:r>
            <w:r w:rsidR="004370E3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3</w:t>
            </w:r>
            <w:r w:rsidRPr="00654EA9">
              <w:rPr>
                <w:rFonts w:ascii="Calibri" w:eastAsia="Times New Roman" w:hAnsi="Calibri" w:cs="Times New Roman"/>
                <w:lang w:val="bg-BG" w:eastAsia="bg-BG"/>
              </w:rPr>
              <w:t xml:space="preserve">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Декларация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 за размера на възнагражденията;</w:t>
            </w:r>
          </w:p>
          <w:p w14:paraId="07F78CFE" w14:textId="08181E41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Приложение № 4 Декларация за нередности;</w:t>
            </w:r>
          </w:p>
          <w:p w14:paraId="3EE89915" w14:textId="253FF8F7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5 Декларация за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липса 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конфликт на интереси;</w:t>
            </w:r>
          </w:p>
          <w:p w14:paraId="58A84D06" w14:textId="2F8C58A2" w:rsidR="008234BB" w:rsidRPr="00654EA9" w:rsidRDefault="008234BB" w:rsidP="008234BB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6 Заповед за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предоставяне 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помощ;</w:t>
            </w:r>
          </w:p>
          <w:p w14:paraId="48971172" w14:textId="070E210A" w:rsidR="00970BC7" w:rsidRPr="00654EA9" w:rsidRDefault="008234BB" w:rsidP="00970BC7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Приложение № 7 Административен договор за предоставяне </w:t>
            </w:r>
            <w:r w:rsidR="00D517B5"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 xml:space="preserve">на </w:t>
            </w:r>
            <w:r w:rsidRPr="00654EA9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безвъзмездна финансова помощ</w:t>
            </w:r>
            <w:r w:rsidR="00627005"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  <w:t>;</w:t>
            </w:r>
          </w:p>
          <w:p w14:paraId="44F286FF" w14:textId="706020D6" w:rsidR="00524454" w:rsidRPr="00E55B6F" w:rsidRDefault="00676915" w:rsidP="00A03286">
            <w:pPr>
              <w:numPr>
                <w:ilvl w:val="0"/>
                <w:numId w:val="5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lang w:val="bg-BG" w:eastAsia="bg-BG"/>
              </w:rPr>
            </w:pPr>
            <w:r w:rsidRPr="00654EA9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Декларация относно наличието/липсата на обстоятелства по чл. 25, ал. 2 от ЗУСЕФ</w:t>
            </w:r>
            <w:r w:rsidR="00A03286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>СУ</w:t>
            </w:r>
            <w:r w:rsidRPr="00654EA9">
              <w:rPr>
                <w:rFonts w:ascii="Times New Roman" w:eastAsia="Calibri" w:hAnsi="Times New Roman" w:cs="Times New Roman"/>
                <w:sz w:val="24"/>
                <w:szCs w:val="24"/>
                <w:lang w:val="bg-BG" w:eastAsia="bg-BG"/>
              </w:rPr>
              <w:t xml:space="preserve"> - попълнена по образец (Приложение 5а към УК) – само при промяна на декларираните обстоятелства.</w:t>
            </w:r>
          </w:p>
        </w:tc>
      </w:tr>
    </w:tbl>
    <w:p w14:paraId="3A5100E6" w14:textId="77777777" w:rsidR="00524454" w:rsidRPr="00131A47" w:rsidRDefault="00524454" w:rsidP="00524454">
      <w:pPr>
        <w:keepNext/>
        <w:keepLines/>
        <w:spacing w:before="480" w:after="0"/>
        <w:outlineLvl w:val="0"/>
        <w:rPr>
          <w:rFonts w:ascii="Times New Roman" w:eastAsia="Times New Roman" w:hAnsi="Times New Roman" w:cs="Times New Roman"/>
          <w:b/>
          <w:bCs/>
          <w:sz w:val="24"/>
          <w:szCs w:val="28"/>
          <w:lang w:val="bg-BG" w:eastAsia="bg-BG"/>
        </w:rPr>
      </w:pPr>
    </w:p>
    <w:p w14:paraId="509C476D" w14:textId="77777777" w:rsidR="00524454" w:rsidRPr="00131A47" w:rsidRDefault="00524454" w:rsidP="00524454">
      <w:pPr>
        <w:autoSpaceDE w:val="0"/>
        <w:autoSpaceDN w:val="0"/>
        <w:adjustRightInd w:val="0"/>
        <w:spacing w:after="0" w:line="240" w:lineRule="auto"/>
        <w:ind w:left="840"/>
        <w:jc w:val="both"/>
        <w:rPr>
          <w:rFonts w:ascii="Times New Roman" w:eastAsia="Times New Roman" w:hAnsi="Times New Roman" w:cs="Times New Roman"/>
          <w:b/>
          <w:bCs/>
          <w:color w:val="000000"/>
          <w:sz w:val="23"/>
          <w:szCs w:val="23"/>
          <w:lang w:val="bg-BG" w:eastAsia="en-GB"/>
        </w:rPr>
      </w:pPr>
    </w:p>
    <w:p w14:paraId="166D1291" w14:textId="77777777" w:rsidR="00610645" w:rsidRPr="00131A47" w:rsidRDefault="00610645">
      <w:pPr>
        <w:rPr>
          <w:lang w:val="bg-BG"/>
        </w:rPr>
      </w:pPr>
    </w:p>
    <w:sectPr w:rsidR="00610645" w:rsidRPr="00131A47" w:rsidSect="008E2A6B">
      <w:footerReference w:type="even" r:id="rId11"/>
      <w:footerReference w:type="default" r:id="rId12"/>
      <w:pgSz w:w="11906" w:h="16838"/>
      <w:pgMar w:top="900" w:right="1417" w:bottom="90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CEB55C" w14:textId="77777777" w:rsidR="0077194C" w:rsidRDefault="0077194C">
      <w:pPr>
        <w:spacing w:after="0" w:line="240" w:lineRule="auto"/>
      </w:pPr>
      <w:r>
        <w:separator/>
      </w:r>
    </w:p>
  </w:endnote>
  <w:endnote w:type="continuationSeparator" w:id="0">
    <w:p w14:paraId="6C7B06B3" w14:textId="77777777" w:rsidR="0077194C" w:rsidRDefault="00771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Unicode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C0CCA6" w14:textId="77777777" w:rsidR="003C2612" w:rsidRDefault="00524454" w:rsidP="003012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77BF12" w14:textId="77777777" w:rsidR="003C2612" w:rsidRDefault="0077194C" w:rsidP="0030120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89A9A" w14:textId="5EC95790" w:rsidR="003C2612" w:rsidRDefault="00524454" w:rsidP="00CF383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33ED2">
      <w:rPr>
        <w:rStyle w:val="PageNumber"/>
        <w:noProof/>
      </w:rPr>
      <w:t>5</w:t>
    </w:r>
    <w:r>
      <w:rPr>
        <w:rStyle w:val="PageNumber"/>
      </w:rPr>
      <w:fldChar w:fldCharType="end"/>
    </w:r>
  </w:p>
  <w:p w14:paraId="2A7FD3DF" w14:textId="77777777" w:rsidR="003C2612" w:rsidRPr="00E57BFA" w:rsidRDefault="0077194C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4"/>
        <w:szCs w:val="24"/>
      </w:rPr>
    </w:pPr>
  </w:p>
  <w:p w14:paraId="04EFE842" w14:textId="77777777" w:rsidR="003C2612" w:rsidRPr="0030120B" w:rsidRDefault="00524454" w:rsidP="0030120B">
    <w:pPr>
      <w:pStyle w:val="Footer"/>
      <w:framePr w:wrap="around" w:vAnchor="text" w:hAnchor="margin" w:y="1"/>
      <w:ind w:right="360"/>
      <w:rPr>
        <w:rStyle w:val="PageNumber"/>
        <w:rFonts w:ascii="Times New Roman" w:hAnsi="Times New Roman"/>
        <w:sz w:val="20"/>
        <w:lang w:val="en-US"/>
      </w:rPr>
    </w:pP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  <w:r>
      <w:rPr>
        <w:rStyle w:val="PageNumber"/>
        <w:rFonts w:ascii="Times New Roman" w:hAnsi="Times New Roman"/>
        <w:sz w:val="20"/>
        <w:lang w:val="en-US"/>
      </w:rPr>
      <w:tab/>
    </w:r>
  </w:p>
  <w:p w14:paraId="02ADE214" w14:textId="77777777" w:rsidR="003C2612" w:rsidRPr="0030120B" w:rsidRDefault="00524454" w:rsidP="0030120B">
    <w:pPr>
      <w:pStyle w:val="Footer"/>
      <w:ind w:right="360" w:firstLine="360"/>
      <w:jc w:val="right"/>
      <w:rPr>
        <w:rFonts w:ascii="Times New Roman" w:hAnsi="Times New Roman"/>
        <w:sz w:val="24"/>
        <w:szCs w:val="24"/>
        <w:lang w:val="en-US"/>
      </w:rPr>
    </w:pPr>
    <w:r>
      <w:rPr>
        <w:rFonts w:ascii="Times New Roman" w:hAnsi="Times New Roman"/>
        <w:sz w:val="24"/>
        <w:szCs w:val="24"/>
        <w:lang w:val="bg-BG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E36346" w14:textId="77777777" w:rsidR="0077194C" w:rsidRDefault="0077194C">
      <w:pPr>
        <w:spacing w:after="0" w:line="240" w:lineRule="auto"/>
      </w:pPr>
      <w:r>
        <w:separator/>
      </w:r>
    </w:p>
  </w:footnote>
  <w:footnote w:type="continuationSeparator" w:id="0">
    <w:p w14:paraId="4E7B5F88" w14:textId="77777777" w:rsidR="0077194C" w:rsidRDefault="00771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537F1"/>
    <w:multiLevelType w:val="multilevel"/>
    <w:tmpl w:val="8AF8D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6D40975"/>
    <w:multiLevelType w:val="multilevel"/>
    <w:tmpl w:val="F3C2FD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840" w:hanging="1800"/>
      </w:pPr>
      <w:rPr>
        <w:rFonts w:hint="default"/>
      </w:rPr>
    </w:lvl>
  </w:abstractNum>
  <w:abstractNum w:abstractNumId="2" w15:restartNumberingAfterBreak="0">
    <w:nsid w:val="18EF3B6C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63F6AE9"/>
    <w:multiLevelType w:val="multilevel"/>
    <w:tmpl w:val="5A7EE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30CC2F78"/>
    <w:multiLevelType w:val="multilevel"/>
    <w:tmpl w:val="736448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8997DA7"/>
    <w:multiLevelType w:val="hybridMultilevel"/>
    <w:tmpl w:val="E61EA3C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824E14"/>
    <w:multiLevelType w:val="hybridMultilevel"/>
    <w:tmpl w:val="E878D584"/>
    <w:lvl w:ilvl="0" w:tplc="0402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7" w15:restartNumberingAfterBreak="0">
    <w:nsid w:val="79E63776"/>
    <w:multiLevelType w:val="multilevel"/>
    <w:tmpl w:val="029A0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7F604E55"/>
    <w:multiLevelType w:val="hybridMultilevel"/>
    <w:tmpl w:val="D6F64E14"/>
    <w:lvl w:ilvl="0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7"/>
  </w:num>
  <w:num w:numId="5">
    <w:abstractNumId w:val="5"/>
  </w:num>
  <w:num w:numId="6">
    <w:abstractNumId w:val="8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3ED"/>
    <w:rsid w:val="000465AE"/>
    <w:rsid w:val="00054F2C"/>
    <w:rsid w:val="00057BDA"/>
    <w:rsid w:val="00076E13"/>
    <w:rsid w:val="00080AF9"/>
    <w:rsid w:val="000D0CD8"/>
    <w:rsid w:val="000E0F69"/>
    <w:rsid w:val="00131A47"/>
    <w:rsid w:val="00185A5E"/>
    <w:rsid w:val="00192D08"/>
    <w:rsid w:val="001A3194"/>
    <w:rsid w:val="001A5318"/>
    <w:rsid w:val="001B0C59"/>
    <w:rsid w:val="001D581A"/>
    <w:rsid w:val="001D69CE"/>
    <w:rsid w:val="001F57B3"/>
    <w:rsid w:val="001F66E1"/>
    <w:rsid w:val="0020285E"/>
    <w:rsid w:val="00222819"/>
    <w:rsid w:val="002C17A3"/>
    <w:rsid w:val="002C211F"/>
    <w:rsid w:val="002E22E3"/>
    <w:rsid w:val="002F5DC1"/>
    <w:rsid w:val="002F5DFF"/>
    <w:rsid w:val="003476FB"/>
    <w:rsid w:val="00355CCF"/>
    <w:rsid w:val="00371243"/>
    <w:rsid w:val="00373F96"/>
    <w:rsid w:val="003938D0"/>
    <w:rsid w:val="003D188C"/>
    <w:rsid w:val="003E6874"/>
    <w:rsid w:val="004010CF"/>
    <w:rsid w:val="00416EF5"/>
    <w:rsid w:val="00433FF1"/>
    <w:rsid w:val="004370E3"/>
    <w:rsid w:val="004454C6"/>
    <w:rsid w:val="004632C4"/>
    <w:rsid w:val="004702C9"/>
    <w:rsid w:val="004A6274"/>
    <w:rsid w:val="004D343E"/>
    <w:rsid w:val="004D3FEC"/>
    <w:rsid w:val="00507A08"/>
    <w:rsid w:val="00524454"/>
    <w:rsid w:val="00591A3C"/>
    <w:rsid w:val="00594C7E"/>
    <w:rsid w:val="005F422B"/>
    <w:rsid w:val="00610645"/>
    <w:rsid w:val="00627005"/>
    <w:rsid w:val="006523ED"/>
    <w:rsid w:val="00653AD2"/>
    <w:rsid w:val="00654EA9"/>
    <w:rsid w:val="0067002C"/>
    <w:rsid w:val="00672C90"/>
    <w:rsid w:val="00676915"/>
    <w:rsid w:val="0068743A"/>
    <w:rsid w:val="006B023B"/>
    <w:rsid w:val="006D79F1"/>
    <w:rsid w:val="007047DA"/>
    <w:rsid w:val="00733430"/>
    <w:rsid w:val="007345FF"/>
    <w:rsid w:val="007427FE"/>
    <w:rsid w:val="0077194C"/>
    <w:rsid w:val="00781AAA"/>
    <w:rsid w:val="00791BC8"/>
    <w:rsid w:val="007B14D6"/>
    <w:rsid w:val="007C096C"/>
    <w:rsid w:val="007C6E90"/>
    <w:rsid w:val="007F50D8"/>
    <w:rsid w:val="008234BB"/>
    <w:rsid w:val="008932AA"/>
    <w:rsid w:val="008A0956"/>
    <w:rsid w:val="008D02F6"/>
    <w:rsid w:val="008D6F8F"/>
    <w:rsid w:val="00910A4F"/>
    <w:rsid w:val="009249CD"/>
    <w:rsid w:val="00970BC7"/>
    <w:rsid w:val="00981101"/>
    <w:rsid w:val="009D4741"/>
    <w:rsid w:val="009E31B4"/>
    <w:rsid w:val="009F0B73"/>
    <w:rsid w:val="009F39FD"/>
    <w:rsid w:val="00A03286"/>
    <w:rsid w:val="00A24488"/>
    <w:rsid w:val="00A6140B"/>
    <w:rsid w:val="00A62840"/>
    <w:rsid w:val="00A7637D"/>
    <w:rsid w:val="00AB2B6F"/>
    <w:rsid w:val="00AD1A98"/>
    <w:rsid w:val="00B04D64"/>
    <w:rsid w:val="00C23D30"/>
    <w:rsid w:val="00C35EA8"/>
    <w:rsid w:val="00C577F5"/>
    <w:rsid w:val="00C83124"/>
    <w:rsid w:val="00C95111"/>
    <w:rsid w:val="00CE11FE"/>
    <w:rsid w:val="00D15807"/>
    <w:rsid w:val="00D178A8"/>
    <w:rsid w:val="00D22794"/>
    <w:rsid w:val="00D517B5"/>
    <w:rsid w:val="00D772FB"/>
    <w:rsid w:val="00D77CD5"/>
    <w:rsid w:val="00D93BA6"/>
    <w:rsid w:val="00DC2292"/>
    <w:rsid w:val="00E02DAA"/>
    <w:rsid w:val="00E07C60"/>
    <w:rsid w:val="00E55B6F"/>
    <w:rsid w:val="00E93551"/>
    <w:rsid w:val="00EC3C72"/>
    <w:rsid w:val="00F33ED2"/>
    <w:rsid w:val="00F368A5"/>
    <w:rsid w:val="00F60E29"/>
    <w:rsid w:val="00F65895"/>
    <w:rsid w:val="00F82276"/>
    <w:rsid w:val="00FB4254"/>
    <w:rsid w:val="00FF4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F3884"/>
  <w15:docId w15:val="{AC04A0DD-B95D-448C-81A7-211D8CE35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C23D3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52445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454"/>
  </w:style>
  <w:style w:type="character" w:styleId="PageNumber">
    <w:name w:val="page number"/>
    <w:basedOn w:val="DefaultParagraphFont"/>
    <w:rsid w:val="00524454"/>
  </w:style>
  <w:style w:type="paragraph" w:styleId="BalloonText">
    <w:name w:val="Balloon Text"/>
    <w:basedOn w:val="Normal"/>
    <w:link w:val="BalloonTextChar"/>
    <w:uiPriority w:val="99"/>
    <w:semiHidden/>
    <w:unhideWhenUsed/>
    <w:rsid w:val="00524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5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D1A9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D4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474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47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47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4741"/>
    <w:rPr>
      <w:b/>
      <w:bCs/>
      <w:sz w:val="20"/>
      <w:szCs w:val="20"/>
    </w:rPr>
  </w:style>
  <w:style w:type="character" w:styleId="Strong">
    <w:name w:val="Strong"/>
    <w:basedOn w:val="DefaultParagraphFont"/>
    <w:uiPriority w:val="22"/>
    <w:qFormat/>
    <w:rsid w:val="006D79F1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C23D30"/>
    <w:rPr>
      <w:rFonts w:ascii="Times New Roman" w:eastAsia="Times New Roman" w:hAnsi="Times New Roman" w:cs="Times New Roman"/>
      <w:b/>
      <w:bCs/>
      <w:sz w:val="27"/>
      <w:szCs w:val="27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014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10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445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A793F5-15D4-4BB7-8424-3D01DEB05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 P. Petrova</dc:creator>
  <cp:lastModifiedBy>Mihaela Metodieva</cp:lastModifiedBy>
  <cp:revision>3</cp:revision>
  <dcterms:created xsi:type="dcterms:W3CDTF">2025-01-28T11:55:00Z</dcterms:created>
  <dcterms:modified xsi:type="dcterms:W3CDTF">2025-01-28T12:01:00Z</dcterms:modified>
</cp:coreProperties>
</file>