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E5" w:rsidRPr="008623C1" w:rsidRDefault="000B6AE5" w:rsidP="00226FF5">
      <w:pPr>
        <w:widowControl w:val="0"/>
        <w:autoSpaceDE w:val="0"/>
        <w:autoSpaceDN w:val="0"/>
        <w:adjustRightInd w:val="0"/>
        <w:rPr>
          <w:rFonts w:ascii="Verdana" w:hAnsi="Verdana" w:cs="Verdana"/>
          <w:bCs/>
          <w:smallCaps/>
          <w:sz w:val="18"/>
          <w:szCs w:val="18"/>
        </w:rPr>
      </w:pPr>
    </w:p>
    <w:p w:rsidR="007D0AFE" w:rsidRPr="007D0AFE" w:rsidRDefault="007D0AFE" w:rsidP="00226FF5">
      <w:pPr>
        <w:widowControl w:val="0"/>
        <w:autoSpaceDE w:val="0"/>
        <w:autoSpaceDN w:val="0"/>
        <w:adjustRightInd w:val="0"/>
        <w:rPr>
          <w:rFonts w:ascii="Verdana" w:hAnsi="Verdana" w:cs="Verdana"/>
          <w:bCs/>
          <w:smallCaps/>
          <w:sz w:val="18"/>
          <w:szCs w:val="18"/>
        </w:rPr>
      </w:pPr>
    </w:p>
    <w:p w:rsidR="007D0AFE" w:rsidRPr="007D0AFE" w:rsidRDefault="007D0AFE" w:rsidP="00226FF5">
      <w:pPr>
        <w:widowControl w:val="0"/>
        <w:autoSpaceDE w:val="0"/>
        <w:autoSpaceDN w:val="0"/>
        <w:adjustRightInd w:val="0"/>
        <w:rPr>
          <w:rFonts w:ascii="Verdana" w:hAnsi="Verdana" w:cs="Verdana"/>
          <w:bCs/>
          <w:smallCaps/>
          <w:sz w:val="18"/>
          <w:szCs w:val="18"/>
        </w:rPr>
      </w:pPr>
    </w:p>
    <w:p w:rsidR="007D0AFE" w:rsidRPr="007D0AFE" w:rsidRDefault="007D0AFE" w:rsidP="00226FF5">
      <w:pPr>
        <w:widowControl w:val="0"/>
        <w:autoSpaceDE w:val="0"/>
        <w:autoSpaceDN w:val="0"/>
        <w:adjustRightInd w:val="0"/>
        <w:rPr>
          <w:rFonts w:ascii="Verdana" w:hAnsi="Verdana" w:cs="Verdana"/>
          <w:bCs/>
          <w:smallCaps/>
          <w:sz w:val="18"/>
          <w:szCs w:val="18"/>
        </w:rPr>
      </w:pPr>
    </w:p>
    <w:p w:rsidR="007D0AFE" w:rsidRDefault="007D0AFE" w:rsidP="00226FF5">
      <w:pPr>
        <w:rPr>
          <w:rFonts w:ascii="Verdana" w:hAnsi="Verdana"/>
          <w:sz w:val="20"/>
          <w:szCs w:val="20"/>
        </w:rPr>
      </w:pPr>
    </w:p>
    <w:p w:rsidR="00226FF5" w:rsidRDefault="00226FF5" w:rsidP="00226FF5">
      <w:pPr>
        <w:rPr>
          <w:rFonts w:ascii="Verdana" w:hAnsi="Verdana"/>
          <w:sz w:val="20"/>
          <w:szCs w:val="20"/>
        </w:rPr>
      </w:pPr>
    </w:p>
    <w:p w:rsidR="00226FF5" w:rsidRDefault="00226FF5" w:rsidP="00226FF5">
      <w:pPr>
        <w:rPr>
          <w:rFonts w:ascii="Verdana" w:hAnsi="Verdana"/>
          <w:sz w:val="20"/>
          <w:szCs w:val="20"/>
        </w:rPr>
      </w:pPr>
    </w:p>
    <w:p w:rsidR="00226FF5" w:rsidRDefault="00226FF5" w:rsidP="00226FF5">
      <w:pPr>
        <w:rPr>
          <w:rFonts w:ascii="Verdana" w:hAnsi="Verdana"/>
          <w:sz w:val="20"/>
          <w:szCs w:val="20"/>
        </w:rPr>
      </w:pPr>
    </w:p>
    <w:p w:rsidR="005212F4" w:rsidRPr="007D0AFE" w:rsidRDefault="005212F4" w:rsidP="00226FF5">
      <w:pPr>
        <w:rPr>
          <w:rFonts w:ascii="Verdana" w:hAnsi="Verdana"/>
          <w:sz w:val="20"/>
          <w:szCs w:val="20"/>
        </w:rPr>
      </w:pPr>
    </w:p>
    <w:tbl>
      <w:tblPr>
        <w:tblW w:w="15650" w:type="dxa"/>
        <w:tblBorders>
          <w:top w:val="single" w:sz="24" w:space="0" w:color="2E74B5"/>
          <w:left w:val="single" w:sz="24" w:space="0" w:color="2E74B5"/>
          <w:bottom w:val="single" w:sz="24" w:space="0" w:color="2E74B5"/>
          <w:right w:val="single" w:sz="24" w:space="0" w:color="2E74B5"/>
          <w:insideH w:val="single" w:sz="24" w:space="0" w:color="2E74B5"/>
          <w:insideV w:val="single" w:sz="24" w:space="0" w:color="2E74B5"/>
        </w:tblBorders>
        <w:tblLayout w:type="fixed"/>
        <w:tblLook w:val="0000" w:firstRow="0" w:lastRow="0" w:firstColumn="0" w:lastColumn="0" w:noHBand="0" w:noVBand="0"/>
      </w:tblPr>
      <w:tblGrid>
        <w:gridCol w:w="15650"/>
      </w:tblGrid>
      <w:tr w:rsidR="007D0AFE" w:rsidRPr="007D0AFE" w:rsidTr="007D0AFE">
        <w:trPr>
          <w:trHeight w:val="958"/>
        </w:trPr>
        <w:tc>
          <w:tcPr>
            <w:tcW w:w="15650" w:type="dxa"/>
            <w:shd w:val="clear" w:color="auto" w:fill="BDD6EE"/>
          </w:tcPr>
          <w:p w:rsidR="007D0AFE" w:rsidRPr="007D0AFE" w:rsidRDefault="007D0AFE" w:rsidP="00B90C96">
            <w:pPr>
              <w:tabs>
                <w:tab w:val="left" w:pos="2190"/>
              </w:tabs>
              <w:spacing w:before="120" w:after="120" w:line="360" w:lineRule="auto"/>
              <w:ind w:left="283" w:right="283"/>
              <w:jc w:val="center"/>
              <w:rPr>
                <w:rFonts w:ascii="Verdana" w:hAnsi="Verdana"/>
                <w:b/>
                <w:sz w:val="20"/>
                <w:szCs w:val="20"/>
              </w:rPr>
            </w:pPr>
            <w:r w:rsidRPr="007D0AFE">
              <w:rPr>
                <w:rFonts w:ascii="Verdana" w:hAnsi="Verdana"/>
                <w:b/>
                <w:spacing w:val="70"/>
              </w:rPr>
              <w:t>СПРАВКА</w:t>
            </w:r>
            <w:r>
              <w:rPr>
                <w:rFonts w:ascii="Verdana" w:hAnsi="Verdana"/>
                <w:b/>
                <w:spacing w:val="70"/>
              </w:rPr>
              <w:br/>
            </w:r>
            <w:r w:rsidR="002264C4" w:rsidRPr="007D0AFE">
              <w:rPr>
                <w:rFonts w:ascii="Verdana" w:hAnsi="Verdana"/>
                <w:b/>
                <w:sz w:val="20"/>
                <w:szCs w:val="20"/>
              </w:rPr>
              <w:t xml:space="preserve">ЗА ОТРАЗЯВАНЕ НА ПОСТЪПИЛИТЕ ПРЕДЛОЖЕНИЯ И СТАНОВИЩА ОТ ОБЩЕСТВЕНИТЕ КОНСУЛТАЦИИ ПО ПРОЕКТА НА </w:t>
            </w:r>
            <w:r w:rsidR="0043666A" w:rsidRPr="0043666A">
              <w:rPr>
                <w:rFonts w:ascii="Verdana" w:hAnsi="Verdana"/>
                <w:b/>
                <w:sz w:val="20"/>
                <w:szCs w:val="20"/>
              </w:rPr>
              <w:t>НАРЕДБА ЗА УСЛОВИЯТА И РЕДА ЗА ПРЕДОСТАВЯНЕ НА ПОДПОМАГАНЕ ПО ИНТЕРВЕНЦИЯТА ПО ЧЛ. 76, ПАРАГРАФ 3, БУКВА „А“ ОТ РЕГЛАМЕНТ (ЕС) 2021/2115, КАКТО И РЕДА ЗА НАЛАГАНЕ НА АДМИНИСТРАТИВНИ САНКЦИИ</w:t>
            </w:r>
          </w:p>
        </w:tc>
      </w:tr>
    </w:tbl>
    <w:p w:rsidR="007D0AFE" w:rsidRPr="009E6BE6" w:rsidRDefault="007D0AFE" w:rsidP="007D0AFE">
      <w:pPr>
        <w:ind w:left="283" w:right="283"/>
        <w:rPr>
          <w:rFonts w:ascii="Verdana" w:hAnsi="Verdana"/>
          <w:sz w:val="20"/>
          <w:szCs w:val="20"/>
        </w:rPr>
      </w:pPr>
    </w:p>
    <w:tbl>
      <w:tblPr>
        <w:tblW w:w="15650" w:type="dxa"/>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3030"/>
        <w:gridCol w:w="5475"/>
        <w:gridCol w:w="1559"/>
        <w:gridCol w:w="4964"/>
      </w:tblGrid>
      <w:tr w:rsidR="007D0AFE" w:rsidRPr="007D0AFE" w:rsidTr="00B90C96">
        <w:trPr>
          <w:tblHeader/>
        </w:trPr>
        <w:tc>
          <w:tcPr>
            <w:tcW w:w="622" w:type="dxa"/>
            <w:tcBorders>
              <w:top w:val="single" w:sz="24" w:space="0" w:color="2E74B5"/>
              <w:left w:val="single" w:sz="24" w:space="0" w:color="2E74B5"/>
              <w:bottom w:val="single" w:sz="24" w:space="0" w:color="2E74B5"/>
              <w:right w:val="single" w:sz="12" w:space="0" w:color="2E74B5"/>
            </w:tcBorders>
            <w:shd w:val="clear" w:color="auto" w:fill="DEEAF6"/>
            <w:vAlign w:val="center"/>
          </w:tcPr>
          <w:p w:rsidR="007D0AFE" w:rsidRPr="007D0AFE" w:rsidRDefault="007D0AFE" w:rsidP="004F669B">
            <w:pPr>
              <w:tabs>
                <w:tab w:val="left" w:pos="192"/>
              </w:tabs>
              <w:jc w:val="center"/>
              <w:rPr>
                <w:rFonts w:ascii="Verdana" w:hAnsi="Verdana"/>
                <w:b/>
                <w:sz w:val="18"/>
                <w:szCs w:val="18"/>
              </w:rPr>
            </w:pPr>
            <w:r w:rsidRPr="007D0AFE">
              <w:rPr>
                <w:rFonts w:ascii="Verdana" w:hAnsi="Verdana"/>
                <w:b/>
                <w:sz w:val="18"/>
                <w:szCs w:val="18"/>
              </w:rPr>
              <w:t>№</w:t>
            </w:r>
          </w:p>
        </w:tc>
        <w:tc>
          <w:tcPr>
            <w:tcW w:w="3030"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spacing w:before="60"/>
              <w:jc w:val="center"/>
              <w:rPr>
                <w:rFonts w:ascii="Verdana" w:hAnsi="Verdana"/>
                <w:b/>
                <w:sz w:val="18"/>
                <w:szCs w:val="18"/>
              </w:rPr>
            </w:pPr>
            <w:r w:rsidRPr="007D0AFE">
              <w:rPr>
                <w:rFonts w:ascii="Verdana" w:hAnsi="Verdana"/>
                <w:b/>
                <w:sz w:val="18"/>
                <w:szCs w:val="18"/>
              </w:rPr>
              <w:t>Организация/потребител</w:t>
            </w:r>
          </w:p>
          <w:p w:rsidR="007D0AFE" w:rsidRPr="007D0AFE" w:rsidRDefault="007D0AFE" w:rsidP="004F669B">
            <w:pPr>
              <w:spacing w:after="40"/>
              <w:jc w:val="center"/>
              <w:rPr>
                <w:rFonts w:ascii="Verdana" w:hAnsi="Verdana"/>
                <w:b/>
                <w:sz w:val="13"/>
                <w:szCs w:val="13"/>
              </w:rPr>
            </w:pPr>
            <w:r w:rsidRPr="007D0AFE">
              <w:rPr>
                <w:rFonts w:ascii="Verdana" w:hAnsi="Verdana"/>
                <w:b/>
                <w:sz w:val="13"/>
                <w:szCs w:val="13"/>
              </w:rPr>
              <w:t>(вкл. начина на получаване на предложението)</w:t>
            </w:r>
          </w:p>
        </w:tc>
        <w:tc>
          <w:tcPr>
            <w:tcW w:w="5475"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jc w:val="center"/>
              <w:rPr>
                <w:rFonts w:ascii="Verdana" w:hAnsi="Verdana"/>
                <w:b/>
                <w:sz w:val="18"/>
                <w:szCs w:val="18"/>
              </w:rPr>
            </w:pPr>
            <w:r w:rsidRPr="007D0AFE">
              <w:rPr>
                <w:rFonts w:ascii="Verdana" w:hAnsi="Verdana"/>
                <w:b/>
                <w:sz w:val="18"/>
                <w:szCs w:val="18"/>
              </w:rPr>
              <w:t>Предложения и становища</w:t>
            </w:r>
          </w:p>
        </w:tc>
        <w:tc>
          <w:tcPr>
            <w:tcW w:w="1559" w:type="dxa"/>
            <w:tcBorders>
              <w:top w:val="single" w:sz="24" w:space="0" w:color="2E74B5"/>
              <w:left w:val="single" w:sz="12" w:space="0" w:color="2E74B5"/>
              <w:bottom w:val="single" w:sz="24" w:space="0" w:color="2E74B5"/>
              <w:right w:val="single" w:sz="12" w:space="0" w:color="2E74B5"/>
            </w:tcBorders>
            <w:shd w:val="clear" w:color="auto" w:fill="DEEAF6"/>
            <w:vAlign w:val="center"/>
          </w:tcPr>
          <w:p w:rsidR="007D0AFE" w:rsidRPr="007D0AFE" w:rsidRDefault="007D0AFE" w:rsidP="004F669B">
            <w:pPr>
              <w:jc w:val="center"/>
              <w:rPr>
                <w:rFonts w:ascii="Verdana" w:hAnsi="Verdana"/>
                <w:b/>
                <w:sz w:val="18"/>
                <w:szCs w:val="18"/>
              </w:rPr>
            </w:pPr>
            <w:r w:rsidRPr="007D0AFE">
              <w:rPr>
                <w:rFonts w:ascii="Verdana" w:hAnsi="Verdana"/>
                <w:b/>
                <w:sz w:val="18"/>
                <w:szCs w:val="18"/>
              </w:rPr>
              <w:t>Приети/</w:t>
            </w:r>
          </w:p>
          <w:p w:rsidR="007D0AFE" w:rsidRPr="007D0AFE" w:rsidRDefault="007D0AFE" w:rsidP="004F669B">
            <w:pPr>
              <w:jc w:val="center"/>
              <w:rPr>
                <w:rFonts w:ascii="Verdana" w:hAnsi="Verdana"/>
                <w:b/>
                <w:sz w:val="18"/>
                <w:szCs w:val="18"/>
              </w:rPr>
            </w:pPr>
            <w:r w:rsidRPr="007D0AFE">
              <w:rPr>
                <w:rFonts w:ascii="Verdana" w:hAnsi="Verdana"/>
                <w:b/>
                <w:sz w:val="18"/>
                <w:szCs w:val="18"/>
              </w:rPr>
              <w:t>неприети</w:t>
            </w:r>
          </w:p>
        </w:tc>
        <w:tc>
          <w:tcPr>
            <w:tcW w:w="4964" w:type="dxa"/>
            <w:tcBorders>
              <w:top w:val="single" w:sz="24" w:space="0" w:color="2E74B5"/>
              <w:left w:val="single" w:sz="12" w:space="0" w:color="2E74B5"/>
              <w:bottom w:val="single" w:sz="24" w:space="0" w:color="2E74B5"/>
              <w:right w:val="single" w:sz="24" w:space="0" w:color="2E74B5"/>
            </w:tcBorders>
            <w:shd w:val="clear" w:color="auto" w:fill="DEEAF6"/>
            <w:vAlign w:val="center"/>
          </w:tcPr>
          <w:p w:rsidR="007D0AFE" w:rsidRPr="007D0AFE" w:rsidRDefault="007D0AFE" w:rsidP="004F669B">
            <w:pPr>
              <w:jc w:val="center"/>
              <w:rPr>
                <w:rFonts w:ascii="Verdana" w:hAnsi="Verdana"/>
                <w:sz w:val="18"/>
                <w:szCs w:val="18"/>
              </w:rPr>
            </w:pPr>
            <w:r w:rsidRPr="007D0AFE">
              <w:rPr>
                <w:rFonts w:ascii="Verdana" w:hAnsi="Verdana"/>
                <w:b/>
                <w:sz w:val="18"/>
                <w:szCs w:val="18"/>
              </w:rPr>
              <w:t>Мотиви</w:t>
            </w:r>
          </w:p>
        </w:tc>
      </w:tr>
      <w:tr w:rsidR="003D775C" w:rsidRPr="007D0AFE" w:rsidTr="004449D5">
        <w:trPr>
          <w:trHeight w:val="596"/>
        </w:trPr>
        <w:tc>
          <w:tcPr>
            <w:tcW w:w="622" w:type="dxa"/>
            <w:vMerge w:val="restart"/>
            <w:tcBorders>
              <w:top w:val="single" w:sz="18" w:space="0" w:color="2E74B5"/>
              <w:left w:val="single" w:sz="24" w:space="0" w:color="2E74B5"/>
              <w:bottom w:val="single" w:sz="24" w:space="0" w:color="2E74B5"/>
              <w:right w:val="single" w:sz="12" w:space="0" w:color="2E74B5"/>
            </w:tcBorders>
            <w:shd w:val="clear" w:color="auto" w:fill="auto"/>
          </w:tcPr>
          <w:p w:rsidR="003D775C" w:rsidRPr="007D0AFE" w:rsidRDefault="003D775C" w:rsidP="005212F4">
            <w:pPr>
              <w:pStyle w:val="ListParagraph"/>
              <w:numPr>
                <w:ilvl w:val="0"/>
                <w:numId w:val="6"/>
              </w:numPr>
              <w:tabs>
                <w:tab w:val="left" w:pos="192"/>
              </w:tabs>
              <w:spacing w:before="60" w:after="40"/>
              <w:jc w:val="center"/>
              <w:rPr>
                <w:rFonts w:ascii="Verdana" w:hAnsi="Verdana"/>
                <w:b/>
                <w:sz w:val="22"/>
                <w:szCs w:val="22"/>
              </w:rPr>
            </w:pPr>
          </w:p>
        </w:tc>
        <w:tc>
          <w:tcPr>
            <w:tcW w:w="3030" w:type="dxa"/>
            <w:vMerge w:val="restart"/>
            <w:tcBorders>
              <w:top w:val="single" w:sz="18" w:space="0" w:color="2E74B5"/>
              <w:left w:val="single" w:sz="12" w:space="0" w:color="2E74B5"/>
              <w:bottom w:val="single" w:sz="24" w:space="0" w:color="2E74B5"/>
              <w:right w:val="single" w:sz="12" w:space="0" w:color="2E74B5"/>
            </w:tcBorders>
            <w:shd w:val="clear" w:color="auto" w:fill="auto"/>
          </w:tcPr>
          <w:p w:rsidR="007B1A09" w:rsidRDefault="007B1A09" w:rsidP="005212F4">
            <w:pPr>
              <w:spacing w:before="60" w:after="40"/>
              <w:rPr>
                <w:rFonts w:ascii="Verdana" w:hAnsi="Verdana"/>
                <w:sz w:val="18"/>
                <w:szCs w:val="18"/>
              </w:rPr>
            </w:pPr>
            <w:r w:rsidRPr="007B1A09">
              <w:rPr>
                <w:rFonts w:ascii="Verdana" w:hAnsi="Verdana"/>
                <w:sz w:val="18"/>
                <w:szCs w:val="18"/>
              </w:rPr>
              <w:t>Държавен фонд „Земеделие“</w:t>
            </w:r>
          </w:p>
          <w:p w:rsidR="003D775C" w:rsidRDefault="004A20CE" w:rsidP="005212F4">
            <w:pPr>
              <w:spacing w:before="60" w:after="40"/>
              <w:rPr>
                <w:rFonts w:ascii="Verdana" w:hAnsi="Verdana"/>
                <w:sz w:val="18"/>
                <w:szCs w:val="18"/>
              </w:rPr>
            </w:pPr>
            <w:hyperlink r:id="rId8" w:history="1">
              <w:r w:rsidR="007B1A09" w:rsidRPr="00856474">
                <w:rPr>
                  <w:rStyle w:val="Hyperlink"/>
                  <w:rFonts w:ascii="Verdana" w:hAnsi="Verdana"/>
                  <w:sz w:val="18"/>
                  <w:szCs w:val="18"/>
                </w:rPr>
                <w:t>Krasimir_Chakarov@dfz.bg</w:t>
              </w:r>
            </w:hyperlink>
            <w:r w:rsidR="007B1A09">
              <w:rPr>
                <w:rFonts w:ascii="Verdana" w:hAnsi="Verdana"/>
                <w:sz w:val="18"/>
                <w:szCs w:val="18"/>
              </w:rPr>
              <w:t xml:space="preserve"> </w:t>
            </w:r>
          </w:p>
          <w:p w:rsidR="007B1A09" w:rsidRPr="007B1A09" w:rsidRDefault="007B1A09" w:rsidP="005212F4">
            <w:pPr>
              <w:spacing w:before="60" w:after="40"/>
              <w:rPr>
                <w:rFonts w:ascii="Verdana" w:hAnsi="Verdana"/>
                <w:sz w:val="18"/>
                <w:szCs w:val="18"/>
              </w:rPr>
            </w:pPr>
            <w:r w:rsidRPr="003D775C">
              <w:rPr>
                <w:rFonts w:ascii="Verdana" w:hAnsi="Verdana"/>
                <w:sz w:val="18"/>
                <w:szCs w:val="18"/>
              </w:rPr>
              <w:t>получено по ел. поща</w:t>
            </w:r>
            <w:r w:rsidR="00390116">
              <w:rPr>
                <w:rFonts w:ascii="Verdana" w:hAnsi="Verdana"/>
                <w:sz w:val="18"/>
                <w:szCs w:val="18"/>
              </w:rPr>
              <w:t xml:space="preserve"> на 11.02.2025 г.</w:t>
            </w:r>
          </w:p>
        </w:tc>
        <w:tc>
          <w:tcPr>
            <w:tcW w:w="5475" w:type="dxa"/>
            <w:tcBorders>
              <w:top w:val="single" w:sz="18" w:space="0" w:color="2E74B5"/>
              <w:left w:val="single" w:sz="12" w:space="0" w:color="2E74B5"/>
              <w:bottom w:val="nil"/>
              <w:right w:val="single" w:sz="12" w:space="0" w:color="2E74B5"/>
            </w:tcBorders>
            <w:shd w:val="clear" w:color="auto" w:fill="auto"/>
          </w:tcPr>
          <w:p w:rsidR="003D775C" w:rsidRPr="007D0AFE" w:rsidRDefault="0053165E" w:rsidP="005212F4">
            <w:pPr>
              <w:spacing w:before="60" w:after="40"/>
              <w:jc w:val="both"/>
              <w:rPr>
                <w:rFonts w:ascii="Verdana" w:hAnsi="Verdana"/>
                <w:sz w:val="22"/>
                <w:szCs w:val="22"/>
              </w:rPr>
            </w:pPr>
            <w:r w:rsidRPr="0053165E">
              <w:rPr>
                <w:rStyle w:val="BodyTextChar1"/>
                <w:rFonts w:ascii="Verdana" w:hAnsi="Verdana"/>
                <w:color w:val="000000"/>
                <w:sz w:val="18"/>
                <w:szCs w:val="18"/>
              </w:rPr>
              <w:t>В чл. 2 е посочено, че Финансовата помощ по тази наредба се предоставя при спазване условията на Регламент (ЕС) 2021/2115, Стратегическия план за развитието на земеделието и селските райони на Република България за периода 2023 – 2027 г (СП) и Регламент (ЕС) 2021/2116, но с предложения проект това трудно може да бъде постигнато, предвид конекторите изложени по-долу.</w:t>
            </w:r>
          </w:p>
        </w:tc>
        <w:tc>
          <w:tcPr>
            <w:tcW w:w="1559" w:type="dxa"/>
            <w:tcBorders>
              <w:top w:val="single" w:sz="18" w:space="0" w:color="2E74B5"/>
              <w:left w:val="single" w:sz="12" w:space="0" w:color="2E74B5"/>
              <w:bottom w:val="nil"/>
              <w:right w:val="single" w:sz="12" w:space="0" w:color="2E74B5"/>
            </w:tcBorders>
            <w:shd w:val="clear" w:color="auto" w:fill="auto"/>
          </w:tcPr>
          <w:p w:rsidR="003D775C" w:rsidRPr="007D0AFE" w:rsidRDefault="003D775C" w:rsidP="005212F4">
            <w:pPr>
              <w:spacing w:before="60" w:after="40"/>
              <w:rPr>
                <w:rFonts w:ascii="Verdana" w:hAnsi="Verdana"/>
                <w:sz w:val="22"/>
                <w:szCs w:val="22"/>
              </w:rPr>
            </w:pPr>
          </w:p>
        </w:tc>
        <w:tc>
          <w:tcPr>
            <w:tcW w:w="4964" w:type="dxa"/>
            <w:tcBorders>
              <w:top w:val="single" w:sz="18" w:space="0" w:color="2E74B5"/>
              <w:left w:val="single" w:sz="12" w:space="0" w:color="2E74B5"/>
              <w:bottom w:val="nil"/>
              <w:right w:val="single" w:sz="24" w:space="0" w:color="2E74B5"/>
            </w:tcBorders>
            <w:shd w:val="clear" w:color="auto" w:fill="auto"/>
          </w:tcPr>
          <w:p w:rsidR="003D775C" w:rsidRPr="007D0AFE" w:rsidRDefault="003D775C" w:rsidP="005212F4">
            <w:pPr>
              <w:spacing w:before="60" w:after="40"/>
              <w:jc w:val="both"/>
              <w:rPr>
                <w:rFonts w:ascii="Verdana" w:hAnsi="Verdana"/>
                <w:sz w:val="22"/>
                <w:szCs w:val="22"/>
              </w:rPr>
            </w:pPr>
          </w:p>
        </w:tc>
      </w:tr>
      <w:tr w:rsidR="003D775C"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3D775C" w:rsidRPr="007D0AFE" w:rsidRDefault="003D775C"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3D775C" w:rsidRPr="007D0AFE" w:rsidRDefault="003D775C"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53165E" w:rsidRPr="0053165E" w:rsidRDefault="0053165E"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I. </w:t>
            </w:r>
            <w:r w:rsidRPr="0053165E">
              <w:rPr>
                <w:rStyle w:val="BodyTextChar1"/>
                <w:rFonts w:ascii="Verdana" w:hAnsi="Verdana"/>
                <w:color w:val="000000"/>
                <w:sz w:val="18"/>
                <w:szCs w:val="18"/>
              </w:rPr>
              <w:t>Чл. 3 ал. 2 предвижда „Не се предоставя финансова помощ, която води до свръхкомпенсация в резултат на комбинирането на интервенция II.E2-1 „Инструменти за управление на риска – финансов принос за премиите по застрахователните схеми“ с други публични или частни схеми за управление на риска.“</w:t>
            </w:r>
          </w:p>
          <w:p w:rsidR="0053165E" w:rsidRPr="005212F4" w:rsidRDefault="0053165E" w:rsidP="005212F4">
            <w:pPr>
              <w:spacing w:before="60" w:after="40"/>
              <w:jc w:val="both"/>
              <w:rPr>
                <w:rStyle w:val="BodyTextChar1"/>
                <w:rFonts w:ascii="Verdana" w:hAnsi="Verdana"/>
                <w:color w:val="000000"/>
                <w:spacing w:val="-4"/>
                <w:sz w:val="18"/>
                <w:szCs w:val="18"/>
              </w:rPr>
            </w:pPr>
            <w:r w:rsidRPr="0053165E">
              <w:rPr>
                <w:rStyle w:val="BodyTextChar1"/>
                <w:rFonts w:ascii="Verdana" w:hAnsi="Verdana"/>
                <w:color w:val="000000"/>
                <w:sz w:val="18"/>
                <w:szCs w:val="18"/>
              </w:rPr>
              <w:t xml:space="preserve">Според СП “При натрупване на подпомагането по отделните финансови инструменти ще се ограничава размерът на подпомагането до определения размер за допустими разходи, които представляват разходите за </w:t>
            </w:r>
            <w:r w:rsidRPr="005212F4">
              <w:rPr>
                <w:rStyle w:val="BodyTextChar1"/>
                <w:rFonts w:ascii="Verdana" w:hAnsi="Verdana"/>
                <w:color w:val="000000"/>
                <w:spacing w:val="-4"/>
                <w:sz w:val="18"/>
                <w:szCs w:val="18"/>
              </w:rPr>
              <w:t>валидна застрахователна премия, но не повече от 85 %.</w:t>
            </w:r>
          </w:p>
          <w:p w:rsidR="0053165E" w:rsidRPr="0053165E" w:rsidRDefault="0053165E"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Това правило обаче по никакъв начин не е засегнато от Проекта на наредба. Не са определени и отделните финансови инструменти, с които помощта може да се натрупа, като и правила за това натрупване.</w:t>
            </w:r>
          </w:p>
          <w:p w:rsidR="003D775C" w:rsidRPr="0053165E" w:rsidRDefault="0053165E"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lastRenderedPageBreak/>
              <w:t>Следва наредбата да предвижда ясни правила и ред за извършване на проверки във връзка с избягване на свръхкомпенсации, както и видовете публични или частни схеми за управление на риска, които могат да се натрупват до достигане на максималния процент на подпомагането.</w:t>
            </w:r>
          </w:p>
        </w:tc>
        <w:tc>
          <w:tcPr>
            <w:tcW w:w="1559" w:type="dxa"/>
            <w:tcBorders>
              <w:top w:val="nil"/>
              <w:left w:val="single" w:sz="12" w:space="0" w:color="2E74B5"/>
              <w:bottom w:val="nil"/>
              <w:right w:val="single" w:sz="12" w:space="0" w:color="2E74B5"/>
            </w:tcBorders>
            <w:shd w:val="clear" w:color="auto" w:fill="auto"/>
          </w:tcPr>
          <w:p w:rsidR="003D775C" w:rsidRPr="00CA5E8F" w:rsidRDefault="001E79D7" w:rsidP="005212F4">
            <w:pPr>
              <w:spacing w:before="60" w:after="40"/>
              <w:rPr>
                <w:rFonts w:ascii="Verdana" w:hAnsi="Verdana"/>
                <w:color w:val="FF0000"/>
                <w:sz w:val="18"/>
                <w:szCs w:val="18"/>
                <w:lang w:val="en-US"/>
              </w:rPr>
            </w:pPr>
            <w:r w:rsidRPr="00CA7916">
              <w:rPr>
                <w:rStyle w:val="BodyTextChar1"/>
                <w:rFonts w:ascii="Verdana" w:hAnsi="Verdana"/>
                <w:color w:val="000000"/>
                <w:sz w:val="18"/>
                <w:szCs w:val="18"/>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3D775C" w:rsidRPr="00CA5E8F" w:rsidRDefault="002A1D86" w:rsidP="005212F4">
            <w:pPr>
              <w:spacing w:before="60" w:after="40"/>
              <w:jc w:val="both"/>
              <w:rPr>
                <w:rFonts w:ascii="Verdana" w:hAnsi="Verdana"/>
                <w:sz w:val="22"/>
                <w:szCs w:val="22"/>
              </w:rPr>
            </w:pPr>
            <w:r w:rsidRPr="00CA5E8F">
              <w:rPr>
                <w:rStyle w:val="BodyTextChar1"/>
                <w:rFonts w:ascii="Verdana" w:hAnsi="Verdana"/>
                <w:color w:val="000000"/>
                <w:sz w:val="18"/>
                <w:szCs w:val="18"/>
              </w:rPr>
              <w:t>Извършени</w:t>
            </w:r>
            <w:r w:rsidR="00CA5E8F" w:rsidRPr="00CA5E8F">
              <w:rPr>
                <w:rStyle w:val="BodyTextChar1"/>
                <w:rFonts w:ascii="Verdana" w:hAnsi="Verdana"/>
                <w:color w:val="000000"/>
                <w:sz w:val="18"/>
                <w:szCs w:val="18"/>
              </w:rPr>
              <w:t xml:space="preserve"> са съот</w:t>
            </w:r>
            <w:r w:rsidR="00CA5E8F" w:rsidRPr="0053165E">
              <w:rPr>
                <w:rStyle w:val="BodyTextChar1"/>
                <w:rFonts w:ascii="Verdana" w:hAnsi="Verdana"/>
                <w:color w:val="000000"/>
                <w:sz w:val="18"/>
                <w:szCs w:val="18"/>
              </w:rPr>
              <w:t>в</w:t>
            </w:r>
            <w:r w:rsidR="00CA5E8F" w:rsidRPr="00CA5E8F">
              <w:rPr>
                <w:rStyle w:val="BodyTextChar1"/>
                <w:rFonts w:ascii="Verdana" w:hAnsi="Verdana"/>
                <w:color w:val="000000"/>
                <w:sz w:val="18"/>
                <w:szCs w:val="18"/>
              </w:rPr>
              <w:t xml:space="preserve">етните корекции в </w:t>
            </w:r>
            <w:r w:rsidR="00CA5E8F" w:rsidRPr="0002458C">
              <w:rPr>
                <w:rStyle w:val="BodyTextChar1"/>
                <w:rFonts w:ascii="Verdana" w:hAnsi="Verdana"/>
                <w:color w:val="000000"/>
                <w:sz w:val="18"/>
                <w:szCs w:val="18"/>
              </w:rPr>
              <w:t xml:space="preserve">Интервенцията за управление на риска в </w:t>
            </w:r>
            <w:r w:rsidR="0022389E" w:rsidRPr="0002458C">
              <w:rPr>
                <w:rStyle w:val="BodyTextChar1"/>
                <w:rFonts w:ascii="Verdana" w:hAnsi="Verdana"/>
                <w:color w:val="000000"/>
                <w:sz w:val="18"/>
                <w:szCs w:val="18"/>
              </w:rPr>
              <w:t xml:space="preserve">предложението за </w:t>
            </w:r>
            <w:r w:rsidR="00CA5E8F" w:rsidRPr="0002458C">
              <w:rPr>
                <w:rStyle w:val="BodyTextChar1"/>
                <w:rFonts w:ascii="Verdana" w:hAnsi="Verdana"/>
                <w:color w:val="000000"/>
                <w:sz w:val="18"/>
                <w:szCs w:val="18"/>
              </w:rPr>
              <w:t>3-то изменение на Стратегическия план, които уточняват разпоредбите за свръхкомпенсация.</w:t>
            </w:r>
            <w:r w:rsidR="00CA5E8F">
              <w:rPr>
                <w:rStyle w:val="BodyTextChar1"/>
                <w:rFonts w:ascii="Verdana" w:hAnsi="Verdana"/>
                <w:color w:val="000000"/>
                <w:sz w:val="18"/>
                <w:szCs w:val="18"/>
              </w:rPr>
              <w:t xml:space="preserve"> </w:t>
            </w:r>
          </w:p>
        </w:tc>
      </w:tr>
      <w:tr w:rsidR="008623C1"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8623C1" w:rsidRPr="007D0AFE" w:rsidRDefault="008623C1"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8623C1" w:rsidRPr="007D0AFE" w:rsidRDefault="008623C1"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8623C1" w:rsidRDefault="008623C1"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II. </w:t>
            </w:r>
            <w:r w:rsidRPr="0053165E">
              <w:rPr>
                <w:rStyle w:val="BodyTextChar1"/>
                <w:rFonts w:ascii="Verdana" w:hAnsi="Verdana"/>
                <w:color w:val="000000"/>
                <w:sz w:val="18"/>
                <w:szCs w:val="18"/>
              </w:rPr>
              <w:t>Съгласно одобреното второ изменение на СП интервенция ще покрива рисковете, свързани с производство или доходите, към отделните стопанства и групите и организациите на производители (ГОП), като не се предвиждат секторни ограничения.</w:t>
            </w:r>
          </w:p>
        </w:tc>
        <w:tc>
          <w:tcPr>
            <w:tcW w:w="1559" w:type="dxa"/>
            <w:tcBorders>
              <w:top w:val="nil"/>
              <w:left w:val="single" w:sz="12" w:space="0" w:color="2E74B5"/>
              <w:bottom w:val="nil"/>
              <w:right w:val="single" w:sz="12" w:space="0" w:color="2E74B5"/>
            </w:tcBorders>
            <w:shd w:val="clear" w:color="auto" w:fill="auto"/>
          </w:tcPr>
          <w:p w:rsidR="008623C1" w:rsidRPr="00CA7916" w:rsidRDefault="008623C1" w:rsidP="005212F4">
            <w:pPr>
              <w:spacing w:before="60" w:after="40"/>
              <w:rPr>
                <w:rStyle w:val="BodyTextChar1"/>
                <w:rFonts w:ascii="Verdana" w:hAnsi="Verdana"/>
                <w:color w:val="000000"/>
                <w:sz w:val="18"/>
                <w:szCs w:val="18"/>
              </w:rPr>
            </w:pPr>
          </w:p>
        </w:tc>
        <w:tc>
          <w:tcPr>
            <w:tcW w:w="4964" w:type="dxa"/>
            <w:tcBorders>
              <w:top w:val="nil"/>
              <w:left w:val="single" w:sz="12" w:space="0" w:color="2E74B5"/>
              <w:bottom w:val="nil"/>
              <w:right w:val="single" w:sz="24" w:space="0" w:color="2E74B5"/>
            </w:tcBorders>
            <w:shd w:val="clear" w:color="auto" w:fill="auto"/>
          </w:tcPr>
          <w:p w:rsidR="008623C1" w:rsidRPr="00CA5E8F" w:rsidRDefault="008623C1" w:rsidP="005212F4">
            <w:pPr>
              <w:spacing w:before="60" w:after="40"/>
              <w:jc w:val="both"/>
              <w:rPr>
                <w:rStyle w:val="BodyTextChar1"/>
                <w:rFonts w:ascii="Verdana" w:hAnsi="Verdana"/>
                <w:color w:val="000000"/>
                <w:sz w:val="18"/>
                <w:szCs w:val="18"/>
              </w:rPr>
            </w:pP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1. </w:t>
            </w:r>
            <w:r w:rsidRPr="0053165E">
              <w:rPr>
                <w:rStyle w:val="BodyTextChar1"/>
                <w:rFonts w:ascii="Verdana" w:hAnsi="Verdana"/>
                <w:color w:val="000000"/>
                <w:sz w:val="18"/>
                <w:szCs w:val="18"/>
              </w:rPr>
              <w:t>Чл. 4, т. 2 определя, като допустими кандидати „кандидати по т. 1, които са подали заявление за подпомагане по реда на  чл. 2 от Наредба № 4 от 2023 г. за условията и реда за подаване на заявления за подпомагане по интервенции за подпомагане на площ и животни (обн., ДВ, бр. 30 от 2023 г.), наричана по-нататък „Наредба № 4 от 2023 г.“) за стопанската година, за която имат сключен застрахователен договор.“</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Член 4, т. 2 не изключва кандидатите със заявления за подпомагане по Наредба № 4 от 30 март 2023 г. с животни да бъдат допустими кандидати по инструмента.</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В чл. 5 обаче са въведени ограничения, като същия не предвижда подпомагане в сектор животновъдство, предвид че поставя ограничение за активните земеделски стопани и техните стопанства да са единствено в сектор растениевъдство.</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 xml:space="preserve">На практика с представения проект на Наредба се въвеждат ограничения за подпомагане на сектор Животновъдството, което е в противоречие със СП и европейското законодателство. </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 xml:space="preserve">Следва наредбата да не ограничава подпомагането при условие, че същото не уточнено в СП в съответствие с чл. 76, параграф 1 от Регламент (ЕС) 2021/2115. Подобно ограничение може да бъде въведено едва след оценка на потребностите и </w:t>
            </w:r>
            <w:r w:rsidRPr="0053165E">
              <w:rPr>
                <w:rStyle w:val="BodyTextChar1"/>
                <w:rFonts w:ascii="Verdana" w:hAnsi="Verdana"/>
                <w:color w:val="000000"/>
                <w:sz w:val="18"/>
                <w:szCs w:val="18"/>
              </w:rPr>
              <w:lastRenderedPageBreak/>
              <w:t>извършване на промяна в СП.</w:t>
            </w:r>
          </w:p>
        </w:tc>
        <w:tc>
          <w:tcPr>
            <w:tcW w:w="1559" w:type="dxa"/>
            <w:tcBorders>
              <w:top w:val="nil"/>
              <w:left w:val="single" w:sz="12" w:space="0" w:color="2E74B5"/>
              <w:bottom w:val="nil"/>
              <w:right w:val="single" w:sz="12" w:space="0" w:color="2E74B5"/>
            </w:tcBorders>
            <w:shd w:val="clear" w:color="auto" w:fill="auto"/>
          </w:tcPr>
          <w:p w:rsidR="00CA5E8F" w:rsidRPr="00833587" w:rsidRDefault="00CA5E8F" w:rsidP="005212F4">
            <w:pPr>
              <w:spacing w:before="60" w:after="40"/>
              <w:rPr>
                <w:rStyle w:val="BodyTextChar1"/>
                <w:rFonts w:ascii="Verdana" w:hAnsi="Verdana"/>
                <w:color w:val="000000"/>
                <w:sz w:val="18"/>
                <w:szCs w:val="18"/>
              </w:rPr>
            </w:pPr>
            <w:r w:rsidRPr="00C00BE8">
              <w:rPr>
                <w:rStyle w:val="BodyTextChar1"/>
                <w:rFonts w:ascii="Verdana" w:hAnsi="Verdana"/>
                <w:color w:val="000000"/>
                <w:sz w:val="18"/>
                <w:szCs w:val="18"/>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CA5E8F" w:rsidRPr="00CA5E8F" w:rsidRDefault="00CA5E8F" w:rsidP="005212F4">
            <w:pPr>
              <w:spacing w:before="60" w:after="40"/>
              <w:jc w:val="both"/>
              <w:rPr>
                <w:rFonts w:ascii="Verdana" w:hAnsi="Verdana"/>
                <w:sz w:val="22"/>
                <w:szCs w:val="22"/>
              </w:rPr>
            </w:pPr>
            <w:r w:rsidRPr="00CA5E8F">
              <w:rPr>
                <w:rStyle w:val="BodyTextChar1"/>
                <w:rFonts w:ascii="Verdana" w:hAnsi="Verdana"/>
                <w:color w:val="000000"/>
                <w:sz w:val="18"/>
                <w:szCs w:val="18"/>
              </w:rPr>
              <w:t>Из</w:t>
            </w:r>
            <w:r w:rsidR="00833587" w:rsidRPr="0053165E">
              <w:rPr>
                <w:rStyle w:val="BodyTextChar1"/>
                <w:rFonts w:ascii="Verdana" w:hAnsi="Verdana"/>
                <w:color w:val="000000"/>
                <w:sz w:val="18"/>
                <w:szCs w:val="18"/>
              </w:rPr>
              <w:t>в</w:t>
            </w:r>
            <w:r w:rsidRPr="00CA5E8F">
              <w:rPr>
                <w:rStyle w:val="BodyTextChar1"/>
                <w:rFonts w:ascii="Verdana" w:hAnsi="Verdana"/>
                <w:color w:val="000000"/>
                <w:sz w:val="18"/>
                <w:szCs w:val="18"/>
              </w:rPr>
              <w:t xml:space="preserve">ършени са корекции в </w:t>
            </w:r>
            <w:r>
              <w:rPr>
                <w:rStyle w:val="BodyTextChar1"/>
                <w:rFonts w:ascii="Verdana" w:hAnsi="Verdana"/>
                <w:color w:val="000000"/>
                <w:sz w:val="18"/>
                <w:szCs w:val="18"/>
              </w:rPr>
              <w:t>интер</w:t>
            </w:r>
            <w:r w:rsidRPr="0053165E">
              <w:rPr>
                <w:rStyle w:val="BodyTextChar1"/>
                <w:rFonts w:ascii="Verdana" w:hAnsi="Verdana"/>
                <w:color w:val="000000"/>
                <w:sz w:val="18"/>
                <w:szCs w:val="18"/>
              </w:rPr>
              <w:t>в</w:t>
            </w:r>
            <w:r>
              <w:rPr>
                <w:rStyle w:val="BodyTextChar1"/>
                <w:rFonts w:ascii="Verdana" w:hAnsi="Verdana"/>
                <w:color w:val="000000"/>
                <w:sz w:val="18"/>
                <w:szCs w:val="18"/>
              </w:rPr>
              <w:t>енцията за упра</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ление на риска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w:t>
            </w:r>
            <w:r w:rsidR="0022389E">
              <w:rPr>
                <w:rStyle w:val="BodyTextChar1"/>
                <w:rFonts w:ascii="Verdana" w:hAnsi="Verdana"/>
                <w:color w:val="000000"/>
                <w:sz w:val="18"/>
                <w:szCs w:val="18"/>
              </w:rPr>
              <w:t xml:space="preserve">предложението за </w:t>
            </w:r>
            <w:r w:rsidRPr="00CA5E8F">
              <w:rPr>
                <w:rStyle w:val="BodyTextChar1"/>
                <w:rFonts w:ascii="Verdana" w:hAnsi="Verdana"/>
                <w:color w:val="000000"/>
                <w:sz w:val="18"/>
                <w:szCs w:val="18"/>
              </w:rPr>
              <w:t xml:space="preserve">3-то изменение </w:t>
            </w:r>
            <w:r>
              <w:rPr>
                <w:rStyle w:val="BodyTextChar1"/>
                <w:rFonts w:ascii="Verdana" w:hAnsi="Verdana"/>
                <w:color w:val="000000"/>
                <w:sz w:val="18"/>
                <w:szCs w:val="18"/>
              </w:rPr>
              <w:t xml:space="preserve">на </w:t>
            </w:r>
            <w:r w:rsidR="005212F4">
              <w:rPr>
                <w:rStyle w:val="BodyTextChar1"/>
                <w:rFonts w:ascii="Verdana" w:hAnsi="Verdana"/>
                <w:color w:val="000000"/>
                <w:sz w:val="18"/>
                <w:szCs w:val="18"/>
                <w:lang w:val="sr-Cyrl-RS"/>
              </w:rPr>
              <w:t>Стратегическия</w:t>
            </w:r>
            <w:r w:rsidRPr="00CA5E8F">
              <w:rPr>
                <w:rStyle w:val="BodyTextChar1"/>
                <w:rFonts w:ascii="Verdana" w:hAnsi="Verdana"/>
                <w:color w:val="000000"/>
                <w:sz w:val="18"/>
                <w:szCs w:val="18"/>
              </w:rPr>
              <w:t xml:space="preserve"> план</w:t>
            </w:r>
            <w:r>
              <w:rPr>
                <w:rStyle w:val="BodyTextChar1"/>
                <w:rFonts w:ascii="Verdana" w:hAnsi="Verdana"/>
                <w:color w:val="000000"/>
                <w:sz w:val="18"/>
                <w:szCs w:val="18"/>
                <w:lang w:val="sr-Cyrl-RS"/>
              </w:rPr>
              <w:t>, които да</w:t>
            </w:r>
            <w:r w:rsidR="00833587" w:rsidRPr="0053165E">
              <w:rPr>
                <w:rStyle w:val="BodyTextChar1"/>
                <w:rFonts w:ascii="Verdana" w:hAnsi="Verdana"/>
                <w:color w:val="000000"/>
                <w:sz w:val="18"/>
                <w:szCs w:val="18"/>
              </w:rPr>
              <w:t>в</w:t>
            </w:r>
            <w:r w:rsidR="00833587">
              <w:rPr>
                <w:rStyle w:val="BodyTextChar1"/>
                <w:rFonts w:ascii="Verdana" w:hAnsi="Verdana"/>
                <w:color w:val="000000"/>
                <w:sz w:val="18"/>
                <w:szCs w:val="18"/>
              </w:rPr>
              <w:t xml:space="preserve">ат </w:t>
            </w:r>
            <w:r w:rsidR="00833587" w:rsidRPr="0053165E">
              <w:rPr>
                <w:rStyle w:val="BodyTextChar1"/>
                <w:rFonts w:ascii="Verdana" w:hAnsi="Verdana"/>
                <w:color w:val="000000"/>
                <w:sz w:val="18"/>
                <w:szCs w:val="18"/>
              </w:rPr>
              <w:t>в</w:t>
            </w:r>
            <w:r w:rsidR="00833587">
              <w:rPr>
                <w:rStyle w:val="BodyTextChar1"/>
                <w:rFonts w:ascii="Verdana" w:hAnsi="Verdana"/>
                <w:color w:val="000000"/>
                <w:sz w:val="18"/>
                <w:szCs w:val="18"/>
              </w:rPr>
              <w:t>ъзможност на УО да разширя</w:t>
            </w:r>
            <w:r w:rsidR="00833587" w:rsidRPr="0053165E">
              <w:rPr>
                <w:rStyle w:val="BodyTextChar1"/>
                <w:rFonts w:ascii="Verdana" w:hAnsi="Verdana"/>
                <w:color w:val="000000"/>
                <w:sz w:val="18"/>
                <w:szCs w:val="18"/>
              </w:rPr>
              <w:t>в</w:t>
            </w:r>
            <w:r w:rsidR="00833587">
              <w:rPr>
                <w:rStyle w:val="BodyTextChar1"/>
                <w:rFonts w:ascii="Verdana" w:hAnsi="Verdana"/>
                <w:color w:val="000000"/>
                <w:sz w:val="18"/>
                <w:szCs w:val="18"/>
              </w:rPr>
              <w:t>а поетапно обх</w:t>
            </w:r>
            <w:r w:rsidR="00833587" w:rsidRPr="0053165E">
              <w:rPr>
                <w:rStyle w:val="BodyTextChar1"/>
                <w:rFonts w:ascii="Verdana" w:hAnsi="Verdana"/>
                <w:color w:val="000000"/>
                <w:sz w:val="18"/>
                <w:szCs w:val="18"/>
              </w:rPr>
              <w:t>в</w:t>
            </w:r>
            <w:r w:rsidR="00833587">
              <w:rPr>
                <w:rStyle w:val="BodyTextChar1"/>
                <w:rFonts w:ascii="Verdana" w:hAnsi="Verdana"/>
                <w:color w:val="000000"/>
                <w:sz w:val="18"/>
                <w:szCs w:val="18"/>
              </w:rPr>
              <w:t>ата на подпомагане.</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2. </w:t>
            </w:r>
            <w:r w:rsidRPr="0053165E">
              <w:rPr>
                <w:rStyle w:val="BodyTextChar1"/>
                <w:rFonts w:ascii="Verdana" w:hAnsi="Verdana"/>
                <w:color w:val="000000"/>
                <w:sz w:val="18"/>
                <w:szCs w:val="18"/>
              </w:rPr>
              <w:t>Чл. 4, т. 3 изключва от подпомагане кандидати с култури винени лозя. Което се потвърждава и от въведеното с чл. 5 ограничение в сектор растениевъдство да се отглеждат съответните групи култури. Тези разпоредби не се допускат кандидати, които отглеждат култури винени лоза по интервенциите по чл. 1 от Наредба № 4. Това на практика изключва всички кандидати без значение дали са кандидатствали по интервенция I.Д. 6 - Застраховане на реколтата. Подобно ограничение обаче липсва в СПРЗСР.</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На практика с представения проект на Наредба се въвеждат ограничения за подпомагане на гроздопроизводители (винени лозя), което е в противоречие със СП и европейското законодателство.</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Следва наредбата да не ограничава подпомаг</w:t>
            </w:r>
            <w:r>
              <w:rPr>
                <w:rStyle w:val="BodyTextChar1"/>
                <w:rFonts w:ascii="Verdana" w:hAnsi="Verdana"/>
                <w:color w:val="000000"/>
                <w:sz w:val="18"/>
                <w:szCs w:val="18"/>
              </w:rPr>
              <w:t>ането извън, предвидената демокр</w:t>
            </w:r>
            <w:r w:rsidRPr="0053165E">
              <w:rPr>
                <w:rStyle w:val="BodyTextChar1"/>
                <w:rFonts w:ascii="Verdana" w:hAnsi="Verdana"/>
                <w:color w:val="000000"/>
                <w:sz w:val="18"/>
                <w:szCs w:val="18"/>
              </w:rPr>
              <w:t>ация м</w:t>
            </w:r>
            <w:r>
              <w:rPr>
                <w:rStyle w:val="BodyTextChar1"/>
                <w:rFonts w:ascii="Verdana" w:hAnsi="Verdana"/>
                <w:color w:val="000000"/>
                <w:sz w:val="18"/>
                <w:szCs w:val="18"/>
              </w:rPr>
              <w:t xml:space="preserve">ежду интервенциите от СП I.Д.6 </w:t>
            </w:r>
            <w:r w:rsidRPr="0053165E">
              <w:rPr>
                <w:rStyle w:val="BodyTextChar1"/>
                <w:rFonts w:ascii="Verdana" w:hAnsi="Verdana"/>
                <w:color w:val="000000"/>
                <w:sz w:val="18"/>
                <w:szCs w:val="18"/>
              </w:rPr>
              <w:t>„Застраховане на реколтата“ съгласно чл. 58 (1) (г) от Регламент (ЕС) 2021/2115 и I.Г.1.9 – Застраховане на реколтата и на продукцията“ съгласно чл. 47 (2) (и) от посочения Регламент. В кон</w:t>
            </w:r>
            <w:r>
              <w:rPr>
                <w:rStyle w:val="BodyTextChar1"/>
                <w:rFonts w:ascii="Verdana" w:hAnsi="Verdana"/>
                <w:color w:val="000000"/>
                <w:sz w:val="18"/>
                <w:szCs w:val="18"/>
              </w:rPr>
              <w:t>кретния случай, съгласно СП демокр</w:t>
            </w:r>
            <w:r w:rsidRPr="0053165E">
              <w:rPr>
                <w:rStyle w:val="BodyTextChar1"/>
                <w:rFonts w:ascii="Verdana" w:hAnsi="Verdana"/>
                <w:color w:val="000000"/>
                <w:sz w:val="18"/>
                <w:szCs w:val="18"/>
              </w:rPr>
              <w:t xml:space="preserve">ацията с настоящата интервенция и останалите (I.Г.1.9 и I.Д.6) е на ниво земеделски стопанин кандидатствали по посочените интервенции в сектора на </w:t>
            </w:r>
            <w:r>
              <w:rPr>
                <w:rStyle w:val="BodyTextChar1"/>
                <w:rFonts w:ascii="Verdana" w:hAnsi="Verdana"/>
                <w:color w:val="000000"/>
                <w:sz w:val="18"/>
                <w:szCs w:val="18"/>
              </w:rPr>
              <w:t xml:space="preserve">плодовете и зеленчуците и </w:t>
            </w:r>
            <w:r w:rsidRPr="0053165E">
              <w:rPr>
                <w:rStyle w:val="BodyTextChar1"/>
                <w:rFonts w:ascii="Verdana" w:hAnsi="Verdana"/>
                <w:color w:val="000000"/>
                <w:sz w:val="18"/>
                <w:szCs w:val="18"/>
              </w:rPr>
              <w:t>лозаро-винарския сектор. Подобно ограничение може да бъде въведено едва след оценка на потребностите и извършване на промяна в СП.</w:t>
            </w:r>
          </w:p>
        </w:tc>
        <w:tc>
          <w:tcPr>
            <w:tcW w:w="1559" w:type="dxa"/>
            <w:tcBorders>
              <w:top w:val="nil"/>
              <w:left w:val="single" w:sz="12" w:space="0" w:color="2E74B5"/>
              <w:bottom w:val="nil"/>
              <w:right w:val="single" w:sz="12" w:space="0" w:color="2E74B5"/>
            </w:tcBorders>
            <w:shd w:val="clear" w:color="auto" w:fill="auto"/>
          </w:tcPr>
          <w:p w:rsidR="00CA5E8F" w:rsidRPr="007D0AFE" w:rsidRDefault="00833587" w:rsidP="005212F4">
            <w:pPr>
              <w:spacing w:before="60" w:after="40"/>
              <w:rPr>
                <w:rFonts w:ascii="Verdana" w:hAnsi="Verdana"/>
                <w:sz w:val="22"/>
                <w:szCs w:val="22"/>
              </w:rPr>
            </w:pPr>
            <w:r w:rsidRPr="00C00BE8">
              <w:rPr>
                <w:rStyle w:val="BodyTextChar1"/>
                <w:rFonts w:ascii="Verdana" w:hAnsi="Verdana"/>
                <w:color w:val="000000"/>
                <w:sz w:val="18"/>
                <w:szCs w:val="18"/>
                <w:lang w:val="sr-Cyrl-RS"/>
              </w:rPr>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833587" w:rsidP="005212F4">
            <w:pPr>
              <w:spacing w:before="60" w:after="40"/>
              <w:jc w:val="both"/>
              <w:rPr>
                <w:rFonts w:ascii="Verdana" w:hAnsi="Verdana"/>
                <w:sz w:val="22"/>
                <w:szCs w:val="22"/>
              </w:rPr>
            </w:pPr>
            <w:r w:rsidRPr="00CA5E8F">
              <w:rPr>
                <w:rStyle w:val="BodyTextChar1"/>
                <w:rFonts w:ascii="Verdana" w:hAnsi="Verdana"/>
                <w:color w:val="000000"/>
                <w:sz w:val="18"/>
                <w:szCs w:val="18"/>
              </w:rPr>
              <w:t>Из</w:t>
            </w:r>
            <w:r w:rsidRPr="0053165E">
              <w:rPr>
                <w:rStyle w:val="BodyTextChar1"/>
                <w:rFonts w:ascii="Verdana" w:hAnsi="Verdana"/>
                <w:color w:val="000000"/>
                <w:sz w:val="18"/>
                <w:szCs w:val="18"/>
              </w:rPr>
              <w:t>в</w:t>
            </w:r>
            <w:r w:rsidRPr="00CA5E8F">
              <w:rPr>
                <w:rStyle w:val="BodyTextChar1"/>
                <w:rFonts w:ascii="Verdana" w:hAnsi="Verdana"/>
                <w:color w:val="000000"/>
                <w:sz w:val="18"/>
                <w:szCs w:val="18"/>
              </w:rPr>
              <w:t xml:space="preserve">ършени са корекции в </w:t>
            </w:r>
            <w:r>
              <w:rPr>
                <w:rStyle w:val="BodyTextChar1"/>
                <w:rFonts w:ascii="Verdana" w:hAnsi="Verdana"/>
                <w:color w:val="000000"/>
                <w:sz w:val="18"/>
                <w:szCs w:val="18"/>
              </w:rPr>
              <w:t>интер</w:t>
            </w:r>
            <w:r w:rsidRPr="0053165E">
              <w:rPr>
                <w:rStyle w:val="BodyTextChar1"/>
                <w:rFonts w:ascii="Verdana" w:hAnsi="Verdana"/>
                <w:color w:val="000000"/>
                <w:sz w:val="18"/>
                <w:szCs w:val="18"/>
              </w:rPr>
              <w:t>в</w:t>
            </w:r>
            <w:r>
              <w:rPr>
                <w:rStyle w:val="BodyTextChar1"/>
                <w:rFonts w:ascii="Verdana" w:hAnsi="Verdana"/>
                <w:color w:val="000000"/>
                <w:sz w:val="18"/>
                <w:szCs w:val="18"/>
              </w:rPr>
              <w:t>енцията за упра</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ление на риска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w:t>
            </w:r>
            <w:r w:rsidR="0022389E">
              <w:rPr>
                <w:rStyle w:val="BodyTextChar1"/>
                <w:rFonts w:ascii="Verdana" w:hAnsi="Verdana"/>
                <w:color w:val="000000"/>
                <w:sz w:val="18"/>
                <w:szCs w:val="18"/>
              </w:rPr>
              <w:t xml:space="preserve">предложението за </w:t>
            </w:r>
            <w:r w:rsidRPr="00CA5E8F">
              <w:rPr>
                <w:rStyle w:val="BodyTextChar1"/>
                <w:rFonts w:ascii="Verdana" w:hAnsi="Verdana"/>
                <w:color w:val="000000"/>
                <w:sz w:val="18"/>
                <w:szCs w:val="18"/>
              </w:rPr>
              <w:t xml:space="preserve">3-то изменение </w:t>
            </w:r>
            <w:r>
              <w:rPr>
                <w:rStyle w:val="BodyTextChar1"/>
                <w:rFonts w:ascii="Verdana" w:hAnsi="Verdana"/>
                <w:color w:val="000000"/>
                <w:sz w:val="18"/>
                <w:szCs w:val="18"/>
              </w:rPr>
              <w:t xml:space="preserve">на </w:t>
            </w:r>
            <w:r w:rsidRPr="005212F4">
              <w:rPr>
                <w:rStyle w:val="BodyTextChar1"/>
                <w:rFonts w:ascii="Verdana" w:hAnsi="Verdana"/>
                <w:color w:val="000000"/>
                <w:sz w:val="18"/>
                <w:szCs w:val="18"/>
              </w:rPr>
              <w:t>Стратегическия</w:t>
            </w:r>
            <w:r w:rsidRPr="00CA5E8F">
              <w:rPr>
                <w:rStyle w:val="BodyTextChar1"/>
                <w:rFonts w:ascii="Verdana" w:hAnsi="Verdana"/>
                <w:color w:val="000000"/>
                <w:sz w:val="18"/>
                <w:szCs w:val="18"/>
              </w:rPr>
              <w:t xml:space="preserve"> план</w:t>
            </w:r>
            <w:r>
              <w:rPr>
                <w:rStyle w:val="BodyTextChar1"/>
                <w:rFonts w:ascii="Verdana" w:hAnsi="Verdana"/>
                <w:color w:val="000000"/>
                <w:sz w:val="18"/>
                <w:szCs w:val="18"/>
                <w:lang w:val="sr-Cyrl-RS"/>
              </w:rPr>
              <w:t>, които да</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ат </w:t>
            </w:r>
            <w:r w:rsidRPr="0053165E">
              <w:rPr>
                <w:rStyle w:val="BodyTextChar1"/>
                <w:rFonts w:ascii="Verdana" w:hAnsi="Verdana"/>
                <w:color w:val="000000"/>
                <w:sz w:val="18"/>
                <w:szCs w:val="18"/>
              </w:rPr>
              <w:t>в</w:t>
            </w:r>
            <w:r>
              <w:rPr>
                <w:rStyle w:val="BodyTextChar1"/>
                <w:rFonts w:ascii="Verdana" w:hAnsi="Verdana"/>
                <w:color w:val="000000"/>
                <w:sz w:val="18"/>
                <w:szCs w:val="18"/>
              </w:rPr>
              <w:t>ъзможност на УО да разширя</w:t>
            </w:r>
            <w:r w:rsidRPr="0053165E">
              <w:rPr>
                <w:rStyle w:val="BodyTextChar1"/>
                <w:rFonts w:ascii="Verdana" w:hAnsi="Verdana"/>
                <w:color w:val="000000"/>
                <w:sz w:val="18"/>
                <w:szCs w:val="18"/>
              </w:rPr>
              <w:t>в</w:t>
            </w:r>
            <w:r>
              <w:rPr>
                <w:rStyle w:val="BodyTextChar1"/>
                <w:rFonts w:ascii="Verdana" w:hAnsi="Verdana"/>
                <w:color w:val="000000"/>
                <w:sz w:val="18"/>
                <w:szCs w:val="18"/>
              </w:rPr>
              <w:t>а поетапно обх</w:t>
            </w:r>
            <w:r w:rsidRPr="0053165E">
              <w:rPr>
                <w:rStyle w:val="BodyTextChar1"/>
                <w:rFonts w:ascii="Verdana" w:hAnsi="Verdana"/>
                <w:color w:val="000000"/>
                <w:sz w:val="18"/>
                <w:szCs w:val="18"/>
              </w:rPr>
              <w:t>в</w:t>
            </w:r>
            <w:r>
              <w:rPr>
                <w:rStyle w:val="BodyTextChar1"/>
                <w:rFonts w:ascii="Verdana" w:hAnsi="Verdana"/>
                <w:color w:val="000000"/>
                <w:sz w:val="18"/>
                <w:szCs w:val="18"/>
              </w:rPr>
              <w:t>ата на подпомагане.</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3. </w:t>
            </w:r>
            <w:r w:rsidRPr="0053165E">
              <w:rPr>
                <w:rStyle w:val="BodyTextChar1"/>
                <w:rFonts w:ascii="Verdana" w:hAnsi="Verdana"/>
                <w:color w:val="000000"/>
                <w:sz w:val="18"/>
                <w:szCs w:val="18"/>
              </w:rPr>
              <w:t xml:space="preserve">Чл. 4 и 5 не предвиждат възможност за подпомагане на групите и организациите на производители, като е предвидено в СПРЗСР. </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 xml:space="preserve">Предвид, че съгласно националното законодателство групите и организациите на производители (ГОП) не невъзможно да бъдат активни земеделски стопани по смисъла на чл. 54 от ЗПЗП, защото не могат да се </w:t>
            </w:r>
            <w:r w:rsidRPr="0053165E">
              <w:rPr>
                <w:rStyle w:val="BodyTextChar1"/>
                <w:rFonts w:ascii="Verdana" w:hAnsi="Verdana"/>
                <w:color w:val="000000"/>
                <w:sz w:val="18"/>
                <w:szCs w:val="18"/>
              </w:rPr>
              <w:lastRenderedPageBreak/>
              <w:t>регистрират по реда на чл. 7 от същия закон следва, че стратегическия план е разработен в условията на невъзможност да бъде изпълнен. В допълнение, следва да се има предвид, че ГОП са допустими бенефициенти за подпомагане по тази интервенция. В същия момент СП предвижда, че няма секторни ограничения, което се явява парадокс как ще бъде изпълнен след приемането на проекта на наредба и преди изменение на същия. На практика съгласно европейското законодателство (член 76, параграф 2 от Регламент 2021/2115) и приетите национални разпоредби няма как ГОП да бъдат включени като допустими бенефициенти в СП.</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Стратегическия план следва да бъде изменен преди публикуването и започването на прием по тази наредба, с оглед недопускане на сериозни недостатъци в правилното функциониране на системите за управление, съгласно  Регламент (ЕС) 2021/2116.</w:t>
            </w:r>
          </w:p>
        </w:tc>
        <w:tc>
          <w:tcPr>
            <w:tcW w:w="1559" w:type="dxa"/>
            <w:tcBorders>
              <w:top w:val="nil"/>
              <w:left w:val="single" w:sz="12" w:space="0" w:color="2E74B5"/>
              <w:bottom w:val="nil"/>
              <w:right w:val="single" w:sz="12" w:space="0" w:color="2E74B5"/>
            </w:tcBorders>
            <w:shd w:val="clear" w:color="auto" w:fill="auto"/>
          </w:tcPr>
          <w:p w:rsidR="00CA5E8F" w:rsidRPr="007D0AFE" w:rsidRDefault="00833587" w:rsidP="005212F4">
            <w:pPr>
              <w:spacing w:before="60" w:after="40"/>
              <w:rPr>
                <w:rFonts w:ascii="Verdana" w:hAnsi="Verdana"/>
                <w:sz w:val="22"/>
                <w:szCs w:val="22"/>
              </w:rPr>
            </w:pPr>
            <w:r w:rsidRPr="00C00BE8">
              <w:rPr>
                <w:rStyle w:val="BodyTextChar1"/>
                <w:rFonts w:ascii="Verdana" w:hAnsi="Verdana"/>
                <w:color w:val="000000"/>
                <w:sz w:val="18"/>
                <w:szCs w:val="18"/>
                <w:lang w:val="sr-Cyrl-RS"/>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833587" w:rsidP="005212F4">
            <w:pPr>
              <w:spacing w:before="60" w:after="40"/>
              <w:jc w:val="both"/>
              <w:rPr>
                <w:rFonts w:ascii="Verdana" w:hAnsi="Verdana"/>
                <w:sz w:val="22"/>
                <w:szCs w:val="22"/>
              </w:rPr>
            </w:pPr>
            <w:r w:rsidRPr="00CA5E8F">
              <w:rPr>
                <w:rStyle w:val="BodyTextChar1"/>
                <w:rFonts w:ascii="Verdana" w:hAnsi="Verdana"/>
                <w:color w:val="000000"/>
                <w:sz w:val="18"/>
                <w:szCs w:val="18"/>
              </w:rPr>
              <w:t>Из</w:t>
            </w:r>
            <w:r w:rsidRPr="0053165E">
              <w:rPr>
                <w:rStyle w:val="BodyTextChar1"/>
                <w:rFonts w:ascii="Verdana" w:hAnsi="Verdana"/>
                <w:color w:val="000000"/>
                <w:sz w:val="18"/>
                <w:szCs w:val="18"/>
              </w:rPr>
              <w:t>в</w:t>
            </w:r>
            <w:r w:rsidRPr="00CA5E8F">
              <w:rPr>
                <w:rStyle w:val="BodyTextChar1"/>
                <w:rFonts w:ascii="Verdana" w:hAnsi="Verdana"/>
                <w:color w:val="000000"/>
                <w:sz w:val="18"/>
                <w:szCs w:val="18"/>
              </w:rPr>
              <w:t xml:space="preserve">ършени са корекции в </w:t>
            </w:r>
            <w:r>
              <w:rPr>
                <w:rStyle w:val="BodyTextChar1"/>
                <w:rFonts w:ascii="Verdana" w:hAnsi="Verdana"/>
                <w:color w:val="000000"/>
                <w:sz w:val="18"/>
                <w:szCs w:val="18"/>
              </w:rPr>
              <w:t>интер</w:t>
            </w:r>
            <w:r w:rsidRPr="0053165E">
              <w:rPr>
                <w:rStyle w:val="BodyTextChar1"/>
                <w:rFonts w:ascii="Verdana" w:hAnsi="Verdana"/>
                <w:color w:val="000000"/>
                <w:sz w:val="18"/>
                <w:szCs w:val="18"/>
              </w:rPr>
              <w:t>в</w:t>
            </w:r>
            <w:r>
              <w:rPr>
                <w:rStyle w:val="BodyTextChar1"/>
                <w:rFonts w:ascii="Verdana" w:hAnsi="Verdana"/>
                <w:color w:val="000000"/>
                <w:sz w:val="18"/>
                <w:szCs w:val="18"/>
              </w:rPr>
              <w:t>енцията за упра</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ление на риска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w:t>
            </w:r>
            <w:r w:rsidR="0022389E">
              <w:rPr>
                <w:rStyle w:val="BodyTextChar1"/>
                <w:rFonts w:ascii="Verdana" w:hAnsi="Verdana"/>
                <w:color w:val="000000"/>
                <w:sz w:val="18"/>
                <w:szCs w:val="18"/>
              </w:rPr>
              <w:t xml:space="preserve">предложението за </w:t>
            </w:r>
            <w:r w:rsidRPr="00CA5E8F">
              <w:rPr>
                <w:rStyle w:val="BodyTextChar1"/>
                <w:rFonts w:ascii="Verdana" w:hAnsi="Verdana"/>
                <w:color w:val="000000"/>
                <w:sz w:val="18"/>
                <w:szCs w:val="18"/>
              </w:rPr>
              <w:t xml:space="preserve">3-то изменение </w:t>
            </w:r>
            <w:r>
              <w:rPr>
                <w:rStyle w:val="BodyTextChar1"/>
                <w:rFonts w:ascii="Verdana" w:hAnsi="Verdana"/>
                <w:color w:val="000000"/>
                <w:sz w:val="18"/>
                <w:szCs w:val="18"/>
              </w:rPr>
              <w:t xml:space="preserve">на </w:t>
            </w:r>
            <w:r w:rsidRPr="005212F4">
              <w:rPr>
                <w:rStyle w:val="BodyTextChar1"/>
                <w:rFonts w:ascii="Verdana" w:hAnsi="Verdana"/>
                <w:color w:val="000000"/>
                <w:sz w:val="18"/>
                <w:szCs w:val="18"/>
              </w:rPr>
              <w:t>Стратегическия</w:t>
            </w:r>
            <w:r w:rsidRPr="00CA5E8F">
              <w:rPr>
                <w:rStyle w:val="BodyTextChar1"/>
                <w:rFonts w:ascii="Verdana" w:hAnsi="Verdana"/>
                <w:color w:val="000000"/>
                <w:sz w:val="18"/>
                <w:szCs w:val="18"/>
              </w:rPr>
              <w:t xml:space="preserve"> план</w:t>
            </w:r>
            <w:r>
              <w:rPr>
                <w:rStyle w:val="BodyTextChar1"/>
                <w:rFonts w:ascii="Verdana" w:hAnsi="Verdana"/>
                <w:color w:val="000000"/>
                <w:sz w:val="18"/>
                <w:szCs w:val="18"/>
                <w:lang w:val="sr-Cyrl-RS"/>
              </w:rPr>
              <w:t>, които да</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ат </w:t>
            </w:r>
            <w:r w:rsidRPr="0053165E">
              <w:rPr>
                <w:rStyle w:val="BodyTextChar1"/>
                <w:rFonts w:ascii="Verdana" w:hAnsi="Verdana"/>
                <w:color w:val="000000"/>
                <w:sz w:val="18"/>
                <w:szCs w:val="18"/>
              </w:rPr>
              <w:t>в</w:t>
            </w:r>
            <w:r>
              <w:rPr>
                <w:rStyle w:val="BodyTextChar1"/>
                <w:rFonts w:ascii="Verdana" w:hAnsi="Verdana"/>
                <w:color w:val="000000"/>
                <w:sz w:val="18"/>
                <w:szCs w:val="18"/>
              </w:rPr>
              <w:t>ъзможност на УО да разширя</w:t>
            </w:r>
            <w:r w:rsidRPr="0053165E">
              <w:rPr>
                <w:rStyle w:val="BodyTextChar1"/>
                <w:rFonts w:ascii="Verdana" w:hAnsi="Verdana"/>
                <w:color w:val="000000"/>
                <w:sz w:val="18"/>
                <w:szCs w:val="18"/>
              </w:rPr>
              <w:t>в</w:t>
            </w:r>
            <w:r>
              <w:rPr>
                <w:rStyle w:val="BodyTextChar1"/>
                <w:rFonts w:ascii="Verdana" w:hAnsi="Verdana"/>
                <w:color w:val="000000"/>
                <w:sz w:val="18"/>
                <w:szCs w:val="18"/>
              </w:rPr>
              <w:t>а поетапно обх</w:t>
            </w:r>
            <w:r w:rsidRPr="0053165E">
              <w:rPr>
                <w:rStyle w:val="BodyTextChar1"/>
                <w:rFonts w:ascii="Verdana" w:hAnsi="Verdana"/>
                <w:color w:val="000000"/>
                <w:sz w:val="18"/>
                <w:szCs w:val="18"/>
              </w:rPr>
              <w:t>в</w:t>
            </w:r>
            <w:r>
              <w:rPr>
                <w:rStyle w:val="BodyTextChar1"/>
                <w:rFonts w:ascii="Verdana" w:hAnsi="Verdana"/>
                <w:color w:val="000000"/>
                <w:sz w:val="18"/>
                <w:szCs w:val="18"/>
              </w:rPr>
              <w:t>ата на подпомагане.</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7D0AFE" w:rsidRDefault="00CA5E8F" w:rsidP="005212F4">
            <w:pPr>
              <w:spacing w:before="60" w:after="40"/>
              <w:jc w:val="both"/>
              <w:rPr>
                <w:rFonts w:ascii="Verdana" w:hAnsi="Verdana"/>
                <w:sz w:val="22"/>
                <w:szCs w:val="22"/>
              </w:rPr>
            </w:pPr>
            <w:r>
              <w:rPr>
                <w:rStyle w:val="BodyTextChar1"/>
                <w:rFonts w:ascii="Verdana" w:hAnsi="Verdana"/>
                <w:color w:val="000000"/>
                <w:sz w:val="18"/>
                <w:szCs w:val="18"/>
              </w:rPr>
              <w:t xml:space="preserve">4. </w:t>
            </w:r>
            <w:r w:rsidRPr="0053165E">
              <w:rPr>
                <w:rStyle w:val="BodyTextChar1"/>
                <w:rFonts w:ascii="Verdana" w:hAnsi="Verdana"/>
                <w:color w:val="000000"/>
                <w:sz w:val="18"/>
                <w:szCs w:val="18"/>
              </w:rPr>
              <w:t>Чл. 4, ал. 3 предвижда, че „Финансова помощ не се предоставя, а получената такава се изисква обратно…“ предлагам думите „изисква обратно“ да се заменят с думите „оттегля изцяло“ по този начин ще се постигне съответствие с разпоредбите на чл. 73 от ЗПЗП, който урежда реда и начина на възстановяване на неправомерни плащания.</w:t>
            </w:r>
          </w:p>
        </w:tc>
        <w:tc>
          <w:tcPr>
            <w:tcW w:w="1559" w:type="dxa"/>
            <w:tcBorders>
              <w:top w:val="nil"/>
              <w:left w:val="single" w:sz="12" w:space="0" w:color="2E74B5"/>
              <w:bottom w:val="nil"/>
              <w:right w:val="single" w:sz="12" w:space="0" w:color="2E74B5"/>
            </w:tcBorders>
            <w:shd w:val="clear" w:color="auto" w:fill="auto"/>
          </w:tcPr>
          <w:p w:rsidR="00CA5E8F" w:rsidRPr="00C00BE8" w:rsidRDefault="00833587" w:rsidP="005212F4">
            <w:pPr>
              <w:spacing w:before="60" w:after="40"/>
              <w:rPr>
                <w:rStyle w:val="BodyTextChar1"/>
                <w:rFonts w:ascii="Verdana" w:hAnsi="Verdana"/>
                <w:color w:val="000000"/>
                <w:sz w:val="18"/>
                <w:szCs w:val="18"/>
              </w:rPr>
            </w:pPr>
            <w:r w:rsidRPr="00C00BE8">
              <w:rPr>
                <w:rStyle w:val="BodyTextChar1"/>
                <w:rFonts w:ascii="Verdana" w:hAnsi="Verdana"/>
                <w:color w:val="000000"/>
                <w:sz w:val="18"/>
                <w:szCs w:val="18"/>
              </w:rPr>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833587" w:rsidP="005212F4">
            <w:pPr>
              <w:spacing w:before="60" w:after="40"/>
              <w:jc w:val="both"/>
              <w:rPr>
                <w:rFonts w:ascii="Verdana" w:hAnsi="Verdana"/>
                <w:sz w:val="22"/>
                <w:szCs w:val="22"/>
              </w:rPr>
            </w:pPr>
            <w:r w:rsidRPr="008519A2">
              <w:rPr>
                <w:rStyle w:val="BodyTextChar1"/>
                <w:rFonts w:ascii="Verdana" w:hAnsi="Verdana"/>
                <w:color w:val="000000"/>
                <w:sz w:val="18"/>
                <w:szCs w:val="18"/>
              </w:rPr>
              <w:t>Уеднак</w:t>
            </w:r>
            <w:r w:rsidRPr="0053165E">
              <w:rPr>
                <w:rStyle w:val="BodyTextChar1"/>
                <w:rFonts w:ascii="Verdana" w:hAnsi="Verdana"/>
                <w:color w:val="000000"/>
                <w:sz w:val="18"/>
                <w:szCs w:val="18"/>
              </w:rPr>
              <w:t>в</w:t>
            </w:r>
            <w:r>
              <w:rPr>
                <w:rStyle w:val="BodyTextChar1"/>
                <w:rFonts w:ascii="Verdana" w:hAnsi="Verdana"/>
                <w:color w:val="000000"/>
                <w:sz w:val="18"/>
                <w:szCs w:val="18"/>
              </w:rPr>
              <w:t>ена е терминологията със ЗПЗП.</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5. </w:t>
            </w:r>
            <w:r w:rsidRPr="0053165E">
              <w:rPr>
                <w:rStyle w:val="BodyTextChar1"/>
                <w:rFonts w:ascii="Verdana" w:hAnsi="Verdana"/>
                <w:color w:val="000000"/>
                <w:sz w:val="18"/>
                <w:szCs w:val="18"/>
              </w:rPr>
              <w:t xml:space="preserve">Чл. 5, ал. 2 въвежда ограничение за земеделски стопани, отглеждащи зърнени и маслодайни култури, като подпомагането е за първите 1000 ха от площите им. Такова ограничени не е предвидено в стратегическия план. </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На практика с представения проект на Наредба се въвеждат ограничения за подпомагане на земеделски стопани, отглеждащи зърнени и маслодайни к</w:t>
            </w:r>
            <w:r>
              <w:rPr>
                <w:rStyle w:val="BodyTextChar1"/>
                <w:rFonts w:ascii="Verdana" w:hAnsi="Verdana"/>
                <w:color w:val="000000"/>
                <w:sz w:val="18"/>
                <w:szCs w:val="18"/>
              </w:rPr>
              <w:t xml:space="preserve">ултури, които не са уточнени в </w:t>
            </w:r>
            <w:r w:rsidRPr="0053165E">
              <w:rPr>
                <w:rStyle w:val="BodyTextChar1"/>
                <w:rFonts w:ascii="Verdana" w:hAnsi="Verdana"/>
                <w:color w:val="000000"/>
                <w:sz w:val="18"/>
                <w:szCs w:val="18"/>
              </w:rPr>
              <w:t>СП. Като единственото ограничение, предвидено в СП е че, подкрепата за всички останали сектори, извън секторите животновъдство, плодове зеленчуци, етерично-маслени култури и тютюн, е до 50</w:t>
            </w:r>
            <w:r>
              <w:rPr>
                <w:rStyle w:val="BodyTextChar1"/>
                <w:rFonts w:ascii="Verdana" w:hAnsi="Verdana"/>
                <w:color w:val="000000"/>
                <w:sz w:val="18"/>
                <w:szCs w:val="18"/>
              </w:rPr>
              <w:t xml:space="preserve">% от </w:t>
            </w:r>
            <w:r>
              <w:rPr>
                <w:rStyle w:val="BodyTextChar1"/>
                <w:rFonts w:ascii="Verdana" w:hAnsi="Verdana"/>
                <w:color w:val="000000"/>
                <w:sz w:val="18"/>
                <w:szCs w:val="18"/>
              </w:rPr>
              <w:lastRenderedPageBreak/>
              <w:t xml:space="preserve">застрахователната премия. </w:t>
            </w:r>
            <w:r w:rsidRPr="0053165E">
              <w:rPr>
                <w:rStyle w:val="BodyTextChar1"/>
                <w:rFonts w:ascii="Verdana" w:hAnsi="Verdana"/>
                <w:color w:val="000000"/>
                <w:sz w:val="18"/>
                <w:szCs w:val="18"/>
              </w:rPr>
              <w:t>Размера на единичната сума е обяснен и обоснован в рамките финансовия план с изчисление на средната стойност на разходите за застраховане на реколтата, като данните са отнесени чрез преизчисление към всички сектори в земеделието. Изчисленията са извършени на база исторически данни от прилаганата схема за подпомагане с държавна помощ за компенсиране на щети от природни бедствия за 2021 г., но тези обосновки също не предвиждат подобни ограничения в подпомаганите площи.</w:t>
            </w:r>
          </w:p>
        </w:tc>
        <w:tc>
          <w:tcPr>
            <w:tcW w:w="1559" w:type="dxa"/>
            <w:tcBorders>
              <w:top w:val="nil"/>
              <w:left w:val="single" w:sz="12" w:space="0" w:color="2E74B5"/>
              <w:bottom w:val="nil"/>
              <w:right w:val="single" w:sz="12" w:space="0" w:color="2E74B5"/>
            </w:tcBorders>
            <w:shd w:val="clear" w:color="auto" w:fill="auto"/>
          </w:tcPr>
          <w:p w:rsidR="00CA5E8F" w:rsidRPr="00C00BE8" w:rsidRDefault="00833587" w:rsidP="005212F4">
            <w:pPr>
              <w:spacing w:before="60" w:after="40"/>
              <w:rPr>
                <w:rStyle w:val="BodyTextChar1"/>
                <w:rFonts w:ascii="Verdana" w:hAnsi="Verdana"/>
                <w:color w:val="000000"/>
                <w:sz w:val="18"/>
                <w:szCs w:val="18"/>
              </w:rPr>
            </w:pPr>
            <w:r w:rsidRPr="00C00BE8">
              <w:rPr>
                <w:rStyle w:val="BodyTextChar1"/>
                <w:rFonts w:ascii="Verdana" w:hAnsi="Verdana"/>
                <w:color w:val="000000"/>
                <w:sz w:val="18"/>
                <w:szCs w:val="18"/>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833587" w:rsidRPr="007D0AFE" w:rsidRDefault="00833587" w:rsidP="005212F4">
            <w:pPr>
              <w:spacing w:before="60" w:after="40"/>
              <w:jc w:val="both"/>
              <w:rPr>
                <w:rFonts w:ascii="Verdana" w:hAnsi="Verdana"/>
                <w:sz w:val="22"/>
                <w:szCs w:val="22"/>
              </w:rPr>
            </w:pPr>
            <w:r w:rsidRPr="0053165E">
              <w:rPr>
                <w:rStyle w:val="BodyTextChar1"/>
                <w:rFonts w:ascii="Verdana" w:hAnsi="Verdana"/>
                <w:color w:val="000000"/>
                <w:sz w:val="18"/>
                <w:szCs w:val="18"/>
              </w:rPr>
              <w:t>В</w:t>
            </w:r>
            <w:r>
              <w:rPr>
                <w:rStyle w:val="BodyTextChar1"/>
                <w:rFonts w:ascii="Verdana" w:hAnsi="Verdana"/>
                <w:color w:val="000000"/>
                <w:sz w:val="18"/>
                <w:szCs w:val="18"/>
              </w:rPr>
              <w:t>ъ</w:t>
            </w:r>
            <w:r w:rsidRPr="0053165E">
              <w:rPr>
                <w:rStyle w:val="BodyTextChar1"/>
                <w:rFonts w:ascii="Verdana" w:hAnsi="Verdana"/>
                <w:color w:val="000000"/>
                <w:sz w:val="18"/>
                <w:szCs w:val="18"/>
              </w:rPr>
              <w:t>в</w:t>
            </w:r>
            <w:r>
              <w:rPr>
                <w:rStyle w:val="BodyTextChar1"/>
                <w:rFonts w:ascii="Verdana" w:hAnsi="Verdana"/>
                <w:color w:val="000000"/>
                <w:sz w:val="18"/>
                <w:szCs w:val="18"/>
              </w:rPr>
              <w:t>едено е осно</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ание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w:t>
            </w:r>
            <w:r w:rsidR="0022389E">
              <w:rPr>
                <w:rStyle w:val="BodyTextChar1"/>
                <w:rFonts w:ascii="Verdana" w:hAnsi="Verdana"/>
                <w:color w:val="000000"/>
                <w:sz w:val="18"/>
                <w:szCs w:val="18"/>
              </w:rPr>
              <w:t xml:space="preserve">предложението за </w:t>
            </w:r>
            <w:r w:rsidR="008519A2">
              <w:rPr>
                <w:rStyle w:val="BodyTextChar1"/>
                <w:rFonts w:ascii="Verdana" w:hAnsi="Verdana"/>
                <w:color w:val="000000"/>
                <w:sz w:val="18"/>
                <w:szCs w:val="18"/>
              </w:rPr>
              <w:t>3-то изменение на СП, което дав</w:t>
            </w:r>
            <w:r>
              <w:rPr>
                <w:rStyle w:val="BodyTextChar1"/>
                <w:rFonts w:ascii="Verdana" w:hAnsi="Verdana"/>
                <w:color w:val="000000"/>
                <w:sz w:val="18"/>
                <w:szCs w:val="18"/>
              </w:rPr>
              <w:t>а пра</w:t>
            </w:r>
            <w:r w:rsidRPr="0053165E">
              <w:rPr>
                <w:rStyle w:val="BodyTextChar1"/>
                <w:rFonts w:ascii="Verdana" w:hAnsi="Verdana"/>
                <w:color w:val="000000"/>
                <w:sz w:val="18"/>
                <w:szCs w:val="18"/>
              </w:rPr>
              <w:t>в</w:t>
            </w:r>
            <w:r>
              <w:rPr>
                <w:rStyle w:val="BodyTextChar1"/>
                <w:rFonts w:ascii="Verdana" w:hAnsi="Verdana"/>
                <w:color w:val="000000"/>
                <w:sz w:val="18"/>
                <w:szCs w:val="18"/>
              </w:rPr>
              <w:t>о за определяне на то</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а ограничение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наредбата.</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6. </w:t>
            </w:r>
            <w:r w:rsidRPr="0053165E">
              <w:rPr>
                <w:rStyle w:val="BodyTextChar1"/>
                <w:rFonts w:ascii="Verdana" w:hAnsi="Verdana"/>
                <w:color w:val="000000"/>
                <w:sz w:val="18"/>
                <w:szCs w:val="18"/>
              </w:rPr>
              <w:t>Чл. 6, ал. 2 въвежда: „Подпомагането се предоставя само за покриване на загуби, които надвишават над 20 % от средногодишната продукция на ниво стопанство или доход на даден земеделски стопанин за предшестващия тригодишен период.“</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Това изискване обаче не е приложимо за този инструмент, а за Управление на рискове, чрез създаване на устойчивост на земеделските стопани при пълна или частична загуба на доход, в резултат от настъпили неблагоприятни климатични явления, катастрофични събития, природни бедствия, болести по растенията или животните, нападение от вредители или екологичен инцидент непокрити от застрахователната премия, като част от подпомагането чрез Взаимоспомагателен фонд (ВСФ). Това се потвърждава и от всички обосновки, дадени в СП във връзка с посочените 20%. Този процент е посочен като минимален праг за задействане на компенсирането по инструмента, включен в ВСФ.</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В случай, че този процент е приложим следва подпомагането на премиите по застраховки да се изплаща едва след възникване на застрахователно събитие, за да може да се провери дали загубите надвишават 20 % от средногодишната продукция на ниво стопанство или доход на даден земеделски стопанин за предшестващия тригодишен период.</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 xml:space="preserve">Следва да се обмисли и прецени приложимостта на заложеното изкисване и доколко то следва да бъде </w:t>
            </w:r>
            <w:r w:rsidRPr="0053165E">
              <w:rPr>
                <w:rStyle w:val="BodyTextChar1"/>
                <w:rFonts w:ascii="Verdana" w:hAnsi="Verdana"/>
                <w:color w:val="000000"/>
                <w:sz w:val="18"/>
                <w:szCs w:val="18"/>
              </w:rPr>
              <w:lastRenderedPageBreak/>
              <w:t>включено като критерий за д</w:t>
            </w:r>
            <w:r>
              <w:rPr>
                <w:rStyle w:val="BodyTextChar1"/>
                <w:rFonts w:ascii="Verdana" w:hAnsi="Verdana"/>
                <w:color w:val="000000"/>
                <w:sz w:val="18"/>
                <w:szCs w:val="18"/>
              </w:rPr>
              <w:t>опустимост по този инструмент.</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В случай, че изискването е приложимо следва да се направят и съответните допълнения на текстовете в Глава четвърта на проекта на наредба.</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В случай, че това изискване на е приложимо за този инструмент, следва да отпадне и изискването в ал. 10.</w:t>
            </w:r>
          </w:p>
        </w:tc>
        <w:tc>
          <w:tcPr>
            <w:tcW w:w="1559" w:type="dxa"/>
            <w:tcBorders>
              <w:top w:val="nil"/>
              <w:left w:val="single" w:sz="12" w:space="0" w:color="2E74B5"/>
              <w:bottom w:val="nil"/>
              <w:right w:val="single" w:sz="12" w:space="0" w:color="2E74B5"/>
            </w:tcBorders>
            <w:shd w:val="clear" w:color="auto" w:fill="auto"/>
          </w:tcPr>
          <w:p w:rsidR="00CA5E8F" w:rsidRPr="007D0AFE" w:rsidRDefault="00833587" w:rsidP="005212F4">
            <w:pPr>
              <w:spacing w:before="60" w:after="40"/>
              <w:rPr>
                <w:rFonts w:ascii="Verdana" w:hAnsi="Verdana"/>
                <w:sz w:val="22"/>
                <w:szCs w:val="22"/>
              </w:rPr>
            </w:pPr>
            <w:r w:rsidRPr="00C00BE8">
              <w:rPr>
                <w:rStyle w:val="BodyTextChar1"/>
                <w:rFonts w:ascii="Verdana" w:hAnsi="Verdana"/>
                <w:color w:val="000000"/>
                <w:sz w:val="18"/>
                <w:szCs w:val="18"/>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833587" w:rsidRPr="007D0AFE" w:rsidRDefault="00CA7916" w:rsidP="005212F4">
            <w:pPr>
              <w:spacing w:before="60" w:after="40"/>
              <w:jc w:val="both"/>
              <w:rPr>
                <w:rFonts w:ascii="Verdana" w:hAnsi="Verdana"/>
                <w:sz w:val="22"/>
                <w:szCs w:val="22"/>
              </w:rPr>
            </w:pPr>
            <w:r>
              <w:rPr>
                <w:rStyle w:val="BodyTextChar1"/>
                <w:rFonts w:ascii="Verdana" w:hAnsi="Verdana"/>
                <w:color w:val="000000"/>
                <w:sz w:val="18"/>
                <w:szCs w:val="18"/>
              </w:rPr>
              <w:t>Условие</w:t>
            </w:r>
            <w:r w:rsidR="00833587" w:rsidRPr="008519A2">
              <w:rPr>
                <w:rStyle w:val="BodyTextChar1"/>
                <w:rFonts w:ascii="Verdana" w:hAnsi="Verdana"/>
                <w:color w:val="000000"/>
                <w:sz w:val="18"/>
                <w:szCs w:val="18"/>
              </w:rPr>
              <w:t xml:space="preserve"> ще бъде </w:t>
            </w:r>
            <w:r w:rsidR="008519A2" w:rsidRPr="0053165E">
              <w:rPr>
                <w:rStyle w:val="BodyTextChar1"/>
                <w:rFonts w:ascii="Verdana" w:hAnsi="Verdana"/>
                <w:color w:val="000000"/>
                <w:sz w:val="18"/>
                <w:szCs w:val="18"/>
              </w:rPr>
              <w:t>в</w:t>
            </w:r>
            <w:r w:rsidR="008519A2">
              <w:rPr>
                <w:rStyle w:val="BodyTextChar1"/>
                <w:rFonts w:ascii="Verdana" w:hAnsi="Verdana"/>
                <w:color w:val="000000"/>
                <w:sz w:val="18"/>
                <w:szCs w:val="18"/>
              </w:rPr>
              <w:t>ъведено</w:t>
            </w:r>
            <w:r w:rsidR="00833587">
              <w:rPr>
                <w:rStyle w:val="BodyTextChar1"/>
                <w:rFonts w:ascii="Verdana" w:hAnsi="Verdana"/>
                <w:color w:val="000000"/>
                <w:sz w:val="18"/>
                <w:szCs w:val="18"/>
              </w:rPr>
              <w:t xml:space="preserve"> </w:t>
            </w:r>
            <w:r w:rsidR="00833587" w:rsidRPr="0053165E">
              <w:rPr>
                <w:rStyle w:val="BodyTextChar1"/>
                <w:rFonts w:ascii="Verdana" w:hAnsi="Verdana"/>
                <w:color w:val="000000"/>
                <w:sz w:val="18"/>
                <w:szCs w:val="18"/>
              </w:rPr>
              <w:t>в</w:t>
            </w:r>
            <w:r w:rsidR="00833587">
              <w:rPr>
                <w:rStyle w:val="BodyTextChar1"/>
                <w:rFonts w:ascii="Verdana" w:hAnsi="Verdana"/>
                <w:color w:val="000000"/>
                <w:sz w:val="18"/>
                <w:szCs w:val="18"/>
              </w:rPr>
              <w:t>ъ</w:t>
            </w:r>
            <w:r w:rsidR="00833587" w:rsidRPr="0053165E">
              <w:rPr>
                <w:rStyle w:val="BodyTextChar1"/>
                <w:rFonts w:ascii="Verdana" w:hAnsi="Verdana"/>
                <w:color w:val="000000"/>
                <w:sz w:val="18"/>
                <w:szCs w:val="18"/>
              </w:rPr>
              <w:t>в</w:t>
            </w:r>
            <w:r w:rsidR="00833587">
              <w:rPr>
                <w:rStyle w:val="BodyTextChar1"/>
                <w:rFonts w:ascii="Verdana" w:hAnsi="Verdana"/>
                <w:color w:val="000000"/>
                <w:sz w:val="18"/>
                <w:szCs w:val="18"/>
              </w:rPr>
              <w:t xml:space="preserve"> </w:t>
            </w:r>
            <w:r w:rsidR="00833587" w:rsidRPr="0053165E">
              <w:rPr>
                <w:rStyle w:val="BodyTextChar1"/>
                <w:rFonts w:ascii="Verdana" w:hAnsi="Verdana"/>
                <w:color w:val="000000"/>
                <w:sz w:val="18"/>
                <w:szCs w:val="18"/>
              </w:rPr>
              <w:t>в</w:t>
            </w:r>
            <w:r w:rsidR="00833587">
              <w:rPr>
                <w:rStyle w:val="BodyTextChar1"/>
                <w:rFonts w:ascii="Verdana" w:hAnsi="Verdana"/>
                <w:color w:val="000000"/>
                <w:sz w:val="18"/>
                <w:szCs w:val="18"/>
              </w:rPr>
              <w:t>заимоспомагателния фонд</w:t>
            </w:r>
            <w:r w:rsidR="00300767">
              <w:rPr>
                <w:rStyle w:val="BodyTextChar1"/>
                <w:rFonts w:ascii="Verdana" w:hAnsi="Verdana"/>
                <w:color w:val="000000"/>
                <w:sz w:val="18"/>
                <w:szCs w:val="18"/>
              </w:rPr>
              <w:t>.</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7. </w:t>
            </w:r>
            <w:r w:rsidR="00C00BE8">
              <w:rPr>
                <w:rStyle w:val="BodyTextChar1"/>
                <w:rFonts w:ascii="Verdana" w:hAnsi="Verdana"/>
                <w:color w:val="000000"/>
                <w:sz w:val="18"/>
                <w:szCs w:val="18"/>
              </w:rPr>
              <w:t>Чл. 6, ал. 3 е предвидено</w:t>
            </w:r>
            <w:r w:rsidRPr="0053165E">
              <w:rPr>
                <w:rStyle w:val="BodyTextChar1"/>
                <w:rFonts w:ascii="Verdana" w:hAnsi="Verdana"/>
                <w:color w:val="000000"/>
                <w:sz w:val="18"/>
                <w:szCs w:val="18"/>
              </w:rPr>
              <w:t>: „Крайната дата на периода, за който е сключен застрахователният договор следва да е след датата на отбелязване на намерение за участие по интервенцията за застраховане в заявлението за подпомагане съгласно чл. 2, ал. 1 от Наредба № 4 от 2023 г.“</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Подобно изискване в комбинация с разпоредбата на чл. 2, ал. 1, т. 2 предполага, че договорът може да изтича и деня следващ, деня на отбелязване на намерение. В този случай, подпомагането на премията ще е допустимо въпреки, че селскостопанско производство на стопанството няма да е застраховано за цялата стопанска година.</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Следва разпоредбите на наредбата да гарантират подпомагане само в случаите, когато селскостопанско производство на стопанството е застраховано за цялата стопанска година, обвързана със застрахователен договор. С други думи, срокът на застрахователния договор следва да изтича като минимум на датата на приключване на съответната стопанска година, в която е заявено намерението за подпомагане.</w:t>
            </w:r>
          </w:p>
        </w:tc>
        <w:tc>
          <w:tcPr>
            <w:tcW w:w="1559" w:type="dxa"/>
            <w:tcBorders>
              <w:top w:val="nil"/>
              <w:left w:val="single" w:sz="12" w:space="0" w:color="2E74B5"/>
              <w:bottom w:val="nil"/>
              <w:right w:val="single" w:sz="12" w:space="0" w:color="2E74B5"/>
            </w:tcBorders>
            <w:shd w:val="clear" w:color="auto" w:fill="auto"/>
          </w:tcPr>
          <w:p w:rsidR="00CA5E8F" w:rsidRPr="007D0AFE" w:rsidRDefault="00300767" w:rsidP="005212F4">
            <w:pPr>
              <w:spacing w:before="60" w:after="40"/>
              <w:jc w:val="both"/>
              <w:rPr>
                <w:rFonts w:ascii="Verdana" w:hAnsi="Verdana"/>
                <w:sz w:val="22"/>
                <w:szCs w:val="22"/>
              </w:rPr>
            </w:pPr>
            <w:r w:rsidRPr="00C00BE8">
              <w:rPr>
                <w:rStyle w:val="BodyTextChar1"/>
                <w:rFonts w:ascii="Verdana" w:hAnsi="Verdana"/>
                <w:color w:val="000000"/>
                <w:sz w:val="18"/>
                <w:szCs w:val="18"/>
              </w:rPr>
              <w:t>Не се приема</w:t>
            </w:r>
          </w:p>
        </w:tc>
        <w:tc>
          <w:tcPr>
            <w:tcW w:w="4964" w:type="dxa"/>
            <w:tcBorders>
              <w:top w:val="nil"/>
              <w:left w:val="single" w:sz="12" w:space="0" w:color="2E74B5"/>
              <w:bottom w:val="nil"/>
              <w:right w:val="single" w:sz="24" w:space="0" w:color="2E74B5"/>
            </w:tcBorders>
            <w:shd w:val="clear" w:color="auto" w:fill="auto"/>
          </w:tcPr>
          <w:p w:rsidR="00CA5E8F" w:rsidRPr="007D0AFE" w:rsidRDefault="00300767" w:rsidP="005212F4">
            <w:pPr>
              <w:spacing w:before="60" w:after="40"/>
              <w:rPr>
                <w:rFonts w:ascii="Verdana" w:hAnsi="Verdana"/>
                <w:sz w:val="22"/>
                <w:szCs w:val="22"/>
              </w:rPr>
            </w:pPr>
            <w:r w:rsidRPr="008519A2">
              <w:rPr>
                <w:rStyle w:val="BodyTextChar1"/>
                <w:rFonts w:ascii="Verdana" w:hAnsi="Verdana"/>
                <w:color w:val="000000"/>
                <w:sz w:val="18"/>
                <w:szCs w:val="18"/>
              </w:rPr>
              <w:t>Няма тако</w:t>
            </w:r>
            <w:r w:rsidRPr="0053165E">
              <w:rPr>
                <w:rStyle w:val="BodyTextChar1"/>
                <w:rFonts w:ascii="Verdana" w:hAnsi="Verdana"/>
                <w:color w:val="000000"/>
                <w:sz w:val="18"/>
                <w:szCs w:val="18"/>
              </w:rPr>
              <w:t>в</w:t>
            </w:r>
            <w:r>
              <w:rPr>
                <w:rStyle w:val="BodyTextChar1"/>
                <w:rFonts w:ascii="Verdana" w:hAnsi="Verdana"/>
                <w:color w:val="000000"/>
                <w:sz w:val="18"/>
                <w:szCs w:val="18"/>
              </w:rPr>
              <w:t>а изиск</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ане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Стратегическия план.</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7D0AFE" w:rsidRDefault="00CA5E8F" w:rsidP="005212F4">
            <w:pPr>
              <w:spacing w:before="60" w:after="40"/>
              <w:jc w:val="both"/>
              <w:rPr>
                <w:rFonts w:ascii="Verdana" w:hAnsi="Verdana"/>
                <w:sz w:val="22"/>
                <w:szCs w:val="22"/>
              </w:rPr>
            </w:pPr>
            <w:r>
              <w:rPr>
                <w:rStyle w:val="BodyTextChar1"/>
                <w:rFonts w:ascii="Verdana" w:hAnsi="Verdana"/>
                <w:color w:val="000000"/>
                <w:sz w:val="18"/>
                <w:szCs w:val="18"/>
              </w:rPr>
              <w:t xml:space="preserve">8. </w:t>
            </w:r>
            <w:r w:rsidRPr="0053165E">
              <w:rPr>
                <w:rStyle w:val="BodyTextChar1"/>
                <w:rFonts w:ascii="Verdana" w:hAnsi="Verdana"/>
                <w:color w:val="000000"/>
                <w:sz w:val="18"/>
                <w:szCs w:val="18"/>
              </w:rPr>
              <w:t>Чл. 6, ал. 8 думата „сектори“ следва да бъде заменена с групи, предвид, че чл. 5 и 7 определят правила за групи култури, а не за сектори.</w:t>
            </w:r>
          </w:p>
        </w:tc>
        <w:tc>
          <w:tcPr>
            <w:tcW w:w="1559" w:type="dxa"/>
            <w:tcBorders>
              <w:top w:val="nil"/>
              <w:left w:val="single" w:sz="12" w:space="0" w:color="2E74B5"/>
              <w:bottom w:val="nil"/>
              <w:right w:val="single" w:sz="12" w:space="0" w:color="2E74B5"/>
            </w:tcBorders>
            <w:shd w:val="clear" w:color="auto" w:fill="auto"/>
          </w:tcPr>
          <w:p w:rsidR="00CA5E8F" w:rsidRPr="00C00BE8" w:rsidRDefault="00300767" w:rsidP="005212F4">
            <w:pPr>
              <w:spacing w:before="60" w:after="40"/>
              <w:rPr>
                <w:rStyle w:val="BodyTextChar1"/>
                <w:rFonts w:ascii="Verdana" w:hAnsi="Verdana"/>
                <w:color w:val="000000"/>
                <w:sz w:val="18"/>
                <w:szCs w:val="18"/>
              </w:rPr>
            </w:pPr>
            <w:r w:rsidRPr="00C00BE8">
              <w:rPr>
                <w:rStyle w:val="BodyTextChar1"/>
                <w:rFonts w:ascii="Verdana" w:hAnsi="Verdana"/>
                <w:color w:val="000000"/>
                <w:sz w:val="18"/>
                <w:szCs w:val="18"/>
              </w:rPr>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300767" w:rsidP="005212F4">
            <w:pPr>
              <w:spacing w:before="60" w:after="40"/>
              <w:jc w:val="both"/>
              <w:rPr>
                <w:rFonts w:ascii="Verdana" w:hAnsi="Verdana"/>
                <w:sz w:val="22"/>
                <w:szCs w:val="22"/>
              </w:rPr>
            </w:pPr>
            <w:r w:rsidRPr="008519A2">
              <w:rPr>
                <w:rStyle w:val="BodyTextChar1"/>
                <w:rFonts w:ascii="Verdana" w:hAnsi="Verdana"/>
                <w:color w:val="000000"/>
                <w:sz w:val="18"/>
                <w:szCs w:val="18"/>
              </w:rPr>
              <w:t>Заменено е.</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III. </w:t>
            </w:r>
            <w:r w:rsidRPr="0053165E">
              <w:rPr>
                <w:rStyle w:val="BodyTextChar1"/>
                <w:rFonts w:ascii="Verdana" w:hAnsi="Verdana"/>
                <w:color w:val="000000"/>
                <w:sz w:val="18"/>
                <w:szCs w:val="18"/>
              </w:rPr>
              <w:t xml:space="preserve">Съгласно одобреното второ изменение на СП с цел стимулиране на земеделските стопани и ГОП за превенция и ограничаване на риска от настъпване на неблагоприятни събития, които могат да доведат до намаляване или загуба на доход интервенцията предвижда подкрепа в размер до 65 % от </w:t>
            </w:r>
            <w:r w:rsidRPr="0053165E">
              <w:rPr>
                <w:rStyle w:val="BodyTextChar1"/>
                <w:rFonts w:ascii="Verdana" w:hAnsi="Verdana"/>
                <w:color w:val="000000"/>
                <w:sz w:val="18"/>
                <w:szCs w:val="18"/>
              </w:rPr>
              <w:lastRenderedPageBreak/>
              <w:t>застрахователната премия за секторите животновъдство (за едри и дребни преживни животни), плодове зеленчуци, етерично-маслени култури и тютюн. За всички останали сектори до 50% от застрахователната премия. Мярката е ИСАК базирана при опростена процедура за кандидатстване и изпълнение. Финансирането е чрез средствата от ЕЗФРСР.</w:t>
            </w:r>
          </w:p>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1. </w:t>
            </w:r>
            <w:r w:rsidRPr="0053165E">
              <w:rPr>
                <w:rStyle w:val="BodyTextChar1"/>
                <w:rFonts w:ascii="Verdana" w:hAnsi="Verdana"/>
                <w:color w:val="000000"/>
                <w:sz w:val="18"/>
                <w:szCs w:val="18"/>
              </w:rPr>
              <w:t>Чл. 7, ал. 1 въвежда: „Финансовата подкрепа е в размер до 70% от размера на застрахователната премия, но не повече от посочените стойности по ал. 2.“</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На практика с представения проект на Наредба се въвежда разширяване на критерия, заложен в плана. Това представлява сериозен недостатък в правилното функциониране на системите за управление от Първа категория съгласно т. 3 Категории потенциални сериозни недостатъци от документ с Ref. Ares(2024) 4559274 – 25/06/2024 на Европейската комисия. Този документ въвежда правило, че въпреки изискванията в европейското законодателство да са по облекчени, въведените с одобрените СП по-строги изисквания следва да се спазват от държавите-членки, а прилагането им по облекчените правила на регламента ще се счита за сериозен недостатък.</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Следва наредбата да не облекчава въведените със СП изисквания или такива облекчения следва да се прилагат едва след  извършване на промяна в СП.</w:t>
            </w:r>
          </w:p>
        </w:tc>
        <w:tc>
          <w:tcPr>
            <w:tcW w:w="1559" w:type="dxa"/>
            <w:tcBorders>
              <w:top w:val="nil"/>
              <w:left w:val="single" w:sz="12" w:space="0" w:color="2E74B5"/>
              <w:bottom w:val="nil"/>
              <w:right w:val="single" w:sz="12" w:space="0" w:color="2E74B5"/>
            </w:tcBorders>
            <w:shd w:val="clear" w:color="auto" w:fill="auto"/>
          </w:tcPr>
          <w:p w:rsidR="00CA5E8F" w:rsidRPr="00C00BE8" w:rsidRDefault="00300767" w:rsidP="005212F4">
            <w:pPr>
              <w:spacing w:before="60" w:after="40"/>
              <w:rPr>
                <w:rStyle w:val="BodyTextChar1"/>
                <w:rFonts w:ascii="Verdana" w:hAnsi="Verdana"/>
                <w:color w:val="000000"/>
                <w:sz w:val="18"/>
                <w:szCs w:val="18"/>
              </w:rPr>
            </w:pPr>
            <w:r w:rsidRPr="00C00BE8">
              <w:rPr>
                <w:rStyle w:val="BodyTextChar1"/>
                <w:rFonts w:ascii="Verdana" w:hAnsi="Verdana"/>
                <w:color w:val="000000"/>
                <w:sz w:val="18"/>
                <w:szCs w:val="18"/>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300767" w:rsidP="005212F4">
            <w:pPr>
              <w:spacing w:before="60" w:after="40"/>
              <w:jc w:val="both"/>
              <w:rPr>
                <w:rFonts w:ascii="Verdana" w:hAnsi="Verdana"/>
                <w:sz w:val="22"/>
                <w:szCs w:val="22"/>
              </w:rPr>
            </w:pPr>
            <w:r>
              <w:rPr>
                <w:rStyle w:val="BodyTextChar1"/>
                <w:rFonts w:ascii="Verdana" w:hAnsi="Verdana"/>
                <w:color w:val="000000"/>
                <w:sz w:val="18"/>
                <w:szCs w:val="18"/>
              </w:rPr>
              <w:t>Интензитета на подпомагане е у</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еличен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предложението за 3-то </w:t>
            </w:r>
            <w:r w:rsidR="008519A2">
              <w:rPr>
                <w:rStyle w:val="BodyTextChar1"/>
                <w:rFonts w:ascii="Verdana" w:hAnsi="Verdana"/>
                <w:color w:val="000000"/>
                <w:sz w:val="18"/>
                <w:szCs w:val="18"/>
              </w:rPr>
              <w:t>изменение</w:t>
            </w:r>
            <w:r>
              <w:rPr>
                <w:rStyle w:val="BodyTextChar1"/>
                <w:rFonts w:ascii="Verdana" w:hAnsi="Verdana"/>
                <w:color w:val="000000"/>
                <w:sz w:val="18"/>
                <w:szCs w:val="18"/>
              </w:rPr>
              <w:t xml:space="preserve"> на Стратегическия план</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2. </w:t>
            </w:r>
            <w:r w:rsidRPr="0053165E">
              <w:rPr>
                <w:rStyle w:val="BodyTextChar1"/>
                <w:rFonts w:ascii="Verdana" w:hAnsi="Verdana"/>
                <w:color w:val="000000"/>
                <w:sz w:val="18"/>
                <w:szCs w:val="18"/>
              </w:rPr>
              <w:t xml:space="preserve">Чл. 8, ал. 3 предвижда, че в срок до 31 юли кандидатите, отбелязали намерение за участие в интервенцията за застраховане, предоставят чрез Системата за електронни услуги  искане за плащане. </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Съгласно Регламент (ЕС) 2021/2116, член 44, параграф 2 „Държавите членки гарантират, че плащанията по интервенциите и мерките, посочени в член 65, параграф 2, се извършват най-рано на 1 декември и най-късно на 30 юни на следващата календарна година.“</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 xml:space="preserve">Въпреки, че интервенцията по чл. 76, параграф 3, </w:t>
            </w:r>
            <w:r w:rsidRPr="0053165E">
              <w:rPr>
                <w:rStyle w:val="BodyTextChar1"/>
                <w:rFonts w:ascii="Verdana" w:hAnsi="Verdana"/>
                <w:color w:val="000000"/>
                <w:sz w:val="18"/>
                <w:szCs w:val="18"/>
              </w:rPr>
              <w:lastRenderedPageBreak/>
              <w:t>буква „а“ от Регламент (ЕС) 2021/2115 не е попада в обхвата на член 65, параграф 2 следва да се уточни с Комисията до колко, предвид че в рамките на СП интервенцията се прилага като ИСАК базирана, а плащането е определено на хектар, за същата не са приложими правилата по член 44, параграф 2 Регламент (ЕС) 2021/2116 и тези по чл. 5 от Наредба № 4 от 2023 г. за условията и реда за подаване на заявления за подпомагане по интервенции за подпомагане на площ и животни. Това е необходимо с оглед да се вземат предвид научените уроци от прилагането на Мярка 14 „Хуманно отношение към животните“ по ПРСР 2014-2020.</w:t>
            </w:r>
          </w:p>
          <w:p w:rsidR="00CA5E8F" w:rsidRPr="007D0AFE" w:rsidRDefault="00CA5E8F" w:rsidP="005212F4">
            <w:pPr>
              <w:spacing w:before="60" w:after="40"/>
              <w:jc w:val="both"/>
              <w:rPr>
                <w:rFonts w:ascii="Verdana" w:hAnsi="Verdana"/>
                <w:sz w:val="22"/>
                <w:szCs w:val="22"/>
              </w:rPr>
            </w:pPr>
            <w:r w:rsidRPr="0053165E">
              <w:rPr>
                <w:rStyle w:val="BodyTextChar1"/>
                <w:rFonts w:ascii="Verdana" w:hAnsi="Verdana"/>
                <w:color w:val="000000"/>
                <w:sz w:val="18"/>
                <w:szCs w:val="18"/>
              </w:rPr>
              <w:t>В случай, че по интервенцията е приложим член 44, параграф 2 от Регламент (ЕС) 2021/2116 и чл. 5 от Наредба № 4 от 2023 г. следва чл. 10 също да бъде съобразен по отношение на сроковете.</w:t>
            </w:r>
          </w:p>
        </w:tc>
        <w:tc>
          <w:tcPr>
            <w:tcW w:w="1559" w:type="dxa"/>
            <w:tcBorders>
              <w:top w:val="nil"/>
              <w:left w:val="single" w:sz="12" w:space="0" w:color="2E74B5"/>
              <w:bottom w:val="nil"/>
              <w:right w:val="single" w:sz="12" w:space="0" w:color="2E74B5"/>
            </w:tcBorders>
            <w:shd w:val="clear" w:color="auto" w:fill="auto"/>
          </w:tcPr>
          <w:p w:rsidR="00CA5E8F" w:rsidRPr="007D0AFE" w:rsidRDefault="00300767" w:rsidP="005212F4">
            <w:pPr>
              <w:spacing w:before="60" w:after="40"/>
              <w:rPr>
                <w:rFonts w:ascii="Verdana" w:hAnsi="Verdana"/>
                <w:sz w:val="22"/>
                <w:szCs w:val="22"/>
              </w:rPr>
            </w:pPr>
            <w:r w:rsidRPr="00C00BE8">
              <w:rPr>
                <w:rStyle w:val="BodyTextChar1"/>
                <w:rFonts w:ascii="Verdana" w:hAnsi="Verdana"/>
                <w:color w:val="000000"/>
                <w:sz w:val="18"/>
                <w:szCs w:val="18"/>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300767" w:rsidP="005212F4">
            <w:pPr>
              <w:spacing w:before="60" w:after="40"/>
              <w:jc w:val="both"/>
              <w:rPr>
                <w:rFonts w:ascii="Verdana" w:hAnsi="Verdana"/>
                <w:sz w:val="22"/>
                <w:szCs w:val="22"/>
              </w:rPr>
            </w:pPr>
            <w:r w:rsidRPr="008519A2">
              <w:rPr>
                <w:rStyle w:val="BodyTextChar1"/>
                <w:rFonts w:ascii="Verdana" w:hAnsi="Verdana"/>
                <w:color w:val="000000"/>
                <w:sz w:val="18"/>
                <w:szCs w:val="18"/>
              </w:rPr>
              <w:t>Из</w:t>
            </w:r>
            <w:r w:rsidRPr="0053165E">
              <w:rPr>
                <w:rStyle w:val="BodyTextChar1"/>
                <w:rFonts w:ascii="Verdana" w:hAnsi="Verdana"/>
                <w:color w:val="000000"/>
                <w:sz w:val="18"/>
                <w:szCs w:val="18"/>
              </w:rPr>
              <w:t>в</w:t>
            </w:r>
            <w:r>
              <w:rPr>
                <w:rStyle w:val="BodyTextChar1"/>
                <w:rFonts w:ascii="Verdana" w:hAnsi="Verdana"/>
                <w:color w:val="000000"/>
                <w:sz w:val="18"/>
                <w:szCs w:val="18"/>
              </w:rPr>
              <w:t>ършена е консултация със службите на ЕК. отго</w:t>
            </w:r>
            <w:r w:rsidRPr="0053165E">
              <w:rPr>
                <w:rStyle w:val="BodyTextChar1"/>
                <w:rFonts w:ascii="Verdana" w:hAnsi="Verdana"/>
                <w:color w:val="000000"/>
                <w:sz w:val="18"/>
                <w:szCs w:val="18"/>
              </w:rPr>
              <w:t>в</w:t>
            </w:r>
            <w:r>
              <w:rPr>
                <w:rStyle w:val="BodyTextChar1"/>
                <w:rFonts w:ascii="Verdana" w:hAnsi="Verdana"/>
                <w:color w:val="000000"/>
                <w:sz w:val="18"/>
                <w:szCs w:val="18"/>
              </w:rPr>
              <w:t>ора от ЕК не изиск</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а промяна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сроко</w:t>
            </w:r>
            <w:r w:rsidRPr="0053165E">
              <w:rPr>
                <w:rStyle w:val="BodyTextChar1"/>
                <w:rFonts w:ascii="Verdana" w:hAnsi="Verdana"/>
                <w:color w:val="000000"/>
                <w:sz w:val="18"/>
                <w:szCs w:val="18"/>
              </w:rPr>
              <w:t>в</w:t>
            </w:r>
            <w:r>
              <w:rPr>
                <w:rStyle w:val="BodyTextChar1"/>
                <w:rFonts w:ascii="Verdana" w:hAnsi="Verdana"/>
                <w:color w:val="000000"/>
                <w:sz w:val="18"/>
                <w:szCs w:val="18"/>
              </w:rPr>
              <w:t>ете.</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8623C1"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IV. </w:t>
            </w:r>
            <w:r w:rsidR="00CA5E8F" w:rsidRPr="0053165E">
              <w:rPr>
                <w:rStyle w:val="BodyTextChar1"/>
                <w:rFonts w:ascii="Verdana" w:hAnsi="Verdana"/>
                <w:color w:val="000000"/>
                <w:sz w:val="18"/>
                <w:szCs w:val="18"/>
              </w:rPr>
              <w:t>Член 59 от Регламент (ЕС) 2021/2116 предвижда че: „1. В рамките на ОСП държавите членки, като спазват приложимите системи на управление, приемат всички необходими законови, подзаконови и административни разпоредби и вземат всички други необходими мерки с оглед осигуряването на ефективна защита на финансовите интереси на Съюза, включително ефективно прилагане на критерия за допустимост на разходите, установен в член 37. Тези актове и мерки трябва да се отнасят по-специално до:</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а) проверка на законосъобразността и редовността на операциите, финансирани от ЕФГЗ и ЕЗФРСР, включително на равнището на бенефициерите, както е посочено в стратегическите планове по ОСП;…</w:t>
            </w:r>
          </w:p>
          <w:p w:rsidR="00CA5E8F" w:rsidRPr="0053165E" w:rsidRDefault="008623C1"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2. </w:t>
            </w:r>
            <w:r w:rsidR="00CA5E8F" w:rsidRPr="0053165E">
              <w:rPr>
                <w:rStyle w:val="BodyTextChar1"/>
                <w:rFonts w:ascii="Verdana" w:hAnsi="Verdana"/>
                <w:color w:val="000000"/>
                <w:sz w:val="18"/>
                <w:szCs w:val="18"/>
              </w:rPr>
              <w:t>Държавите членки създават ефикасни системи за управление и контрол, за да гарантират спазването на законодателството на Съюза, уреждащо интервенциите на Съюза.</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 xml:space="preserve">Държавите членки предприемат необходимите действия, за да гарантират правилното функциониране на своите системи за управление и контрол, както и законосъобразността и редовността </w:t>
            </w:r>
            <w:r w:rsidRPr="0053165E">
              <w:rPr>
                <w:rStyle w:val="BodyTextChar1"/>
                <w:rFonts w:ascii="Verdana" w:hAnsi="Verdana"/>
                <w:color w:val="000000"/>
                <w:sz w:val="18"/>
                <w:szCs w:val="18"/>
              </w:rPr>
              <w:lastRenderedPageBreak/>
              <w:t>на разходите, декларирани пред Комисията. …“</w:t>
            </w:r>
          </w:p>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1. </w:t>
            </w:r>
            <w:r w:rsidRPr="0053165E">
              <w:rPr>
                <w:rStyle w:val="BodyTextChar1"/>
                <w:rFonts w:ascii="Verdana" w:hAnsi="Verdana"/>
                <w:color w:val="000000"/>
                <w:sz w:val="18"/>
                <w:szCs w:val="18"/>
              </w:rPr>
              <w:t>Чл. 9, ал. 1 предвижда, че Държавен фонд „Земеделие“ разглежда документите по чл. 8, ал. 3 в двумесечен срок след приключване периода на прием на документи за сключена застраховка и извършва следните проверки:</w:t>
            </w:r>
          </w:p>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1. </w:t>
            </w:r>
            <w:r w:rsidRPr="0053165E">
              <w:rPr>
                <w:rStyle w:val="BodyTextChar1"/>
                <w:rFonts w:ascii="Verdana" w:hAnsi="Verdana"/>
                <w:color w:val="000000"/>
                <w:sz w:val="18"/>
                <w:szCs w:val="18"/>
              </w:rPr>
              <w:t>административни проверки на заявените данни и документи …“</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Тази разпоредба обаче не предвижда на проверка данните, декларирани по чл. 8, ал. 4. Тези данни би следвало да се декларират към заявяването на намерение за участие по интервенцията за застраховане в заявлението за подпомагане съгласно чл. 2, ал. 1 от Наредба № 4 от 2023 г., а в рамките на административния контрол да се проверява верността на декларираните обстоятелства.</w:t>
            </w:r>
          </w:p>
          <w:p w:rsidR="00CA5E8F"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Предвидените административни проверки, обвързани с чл. 9 и обвързването им с периода на прием на документи за сключена застраховка предполагат контрол да се извършва само на документите по ал. 3, на чл. 8, но не обхващат всички критерии за допустимост и обстоятелствата по чл. 4 с оглед допустимостта на кандидатите.</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Следва разпоредбите на наредбата да гарантират, че всички условия за допустимост се контролират от административни проверки и проверки на място, за да се вземе решение за отпускане на подпомагане.</w:t>
            </w:r>
          </w:p>
        </w:tc>
        <w:tc>
          <w:tcPr>
            <w:tcW w:w="1559" w:type="dxa"/>
            <w:tcBorders>
              <w:top w:val="nil"/>
              <w:left w:val="single" w:sz="12" w:space="0" w:color="2E74B5"/>
              <w:bottom w:val="nil"/>
              <w:right w:val="single" w:sz="12" w:space="0" w:color="2E74B5"/>
            </w:tcBorders>
            <w:shd w:val="clear" w:color="auto" w:fill="auto"/>
          </w:tcPr>
          <w:p w:rsidR="00CA5E8F" w:rsidRPr="00C00BE8" w:rsidRDefault="00300767" w:rsidP="005212F4">
            <w:pPr>
              <w:spacing w:before="60" w:after="40"/>
              <w:rPr>
                <w:rStyle w:val="BodyTextChar1"/>
                <w:rFonts w:ascii="Verdana" w:hAnsi="Verdana"/>
                <w:color w:val="000000"/>
                <w:sz w:val="18"/>
                <w:szCs w:val="18"/>
              </w:rPr>
            </w:pPr>
            <w:r w:rsidRPr="00C00BE8">
              <w:rPr>
                <w:rStyle w:val="BodyTextChar1"/>
                <w:rFonts w:ascii="Verdana" w:hAnsi="Verdana"/>
                <w:color w:val="000000"/>
                <w:sz w:val="18"/>
                <w:szCs w:val="18"/>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300767" w:rsidP="005212F4">
            <w:pPr>
              <w:spacing w:before="60" w:after="40"/>
              <w:rPr>
                <w:rFonts w:ascii="Verdana" w:hAnsi="Verdana"/>
                <w:sz w:val="22"/>
                <w:szCs w:val="22"/>
              </w:rPr>
            </w:pPr>
            <w:r w:rsidRPr="008519A2">
              <w:rPr>
                <w:rStyle w:val="BodyTextChar1"/>
                <w:rFonts w:ascii="Verdana" w:hAnsi="Verdana"/>
                <w:color w:val="000000"/>
                <w:sz w:val="18"/>
                <w:szCs w:val="18"/>
              </w:rPr>
              <w:t>Из</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ършени са корекции </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 проекта на наредбата, които да гарантират про</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ерка на </w:t>
            </w:r>
            <w:r w:rsidRPr="0053165E">
              <w:rPr>
                <w:rStyle w:val="BodyTextChar1"/>
                <w:rFonts w:ascii="Verdana" w:hAnsi="Verdana"/>
                <w:color w:val="000000"/>
                <w:sz w:val="18"/>
                <w:szCs w:val="18"/>
              </w:rPr>
              <w:t>в</w:t>
            </w:r>
            <w:r>
              <w:rPr>
                <w:rStyle w:val="BodyTextChar1"/>
                <w:rFonts w:ascii="Verdana" w:hAnsi="Verdana"/>
                <w:color w:val="000000"/>
                <w:sz w:val="18"/>
                <w:szCs w:val="18"/>
              </w:rPr>
              <w:t>сички усло</w:t>
            </w:r>
            <w:r w:rsidRPr="0053165E">
              <w:rPr>
                <w:rStyle w:val="BodyTextChar1"/>
                <w:rFonts w:ascii="Verdana" w:hAnsi="Verdana"/>
                <w:color w:val="000000"/>
                <w:sz w:val="18"/>
                <w:szCs w:val="18"/>
              </w:rPr>
              <w:t>в</w:t>
            </w:r>
            <w:r w:rsidR="00257386">
              <w:rPr>
                <w:rStyle w:val="BodyTextChar1"/>
                <w:rFonts w:ascii="Verdana" w:hAnsi="Verdana"/>
                <w:color w:val="000000"/>
                <w:sz w:val="18"/>
                <w:szCs w:val="18"/>
              </w:rPr>
              <w:t>ия за допустимост</w:t>
            </w:r>
            <w:r>
              <w:rPr>
                <w:rStyle w:val="BodyTextChar1"/>
                <w:rFonts w:ascii="Verdana" w:hAnsi="Verdana"/>
                <w:color w:val="000000"/>
                <w:sz w:val="18"/>
                <w:szCs w:val="18"/>
              </w:rPr>
              <w:t xml:space="preserve">. </w:t>
            </w:r>
          </w:p>
        </w:tc>
      </w:tr>
      <w:tr w:rsidR="00CA5E8F" w:rsidRPr="007D0AFE" w:rsidTr="004449D5">
        <w:trPr>
          <w:trHeight w:val="596"/>
        </w:trPr>
        <w:tc>
          <w:tcPr>
            <w:tcW w:w="622" w:type="dxa"/>
            <w:vMerge/>
            <w:tcBorders>
              <w:top w:val="single" w:sz="12" w:space="0" w:color="2E74B5"/>
              <w:left w:val="single" w:sz="24" w:space="0" w:color="2E74B5"/>
              <w:bottom w:val="single" w:sz="24"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24"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nil"/>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Pr>
                <w:rStyle w:val="BodyTextChar1"/>
                <w:rFonts w:ascii="Verdana" w:hAnsi="Verdana"/>
                <w:color w:val="000000"/>
                <w:sz w:val="18"/>
                <w:szCs w:val="18"/>
              </w:rPr>
              <w:t xml:space="preserve">V. </w:t>
            </w:r>
            <w:r w:rsidRPr="0053165E">
              <w:rPr>
                <w:rStyle w:val="BodyTextChar1"/>
                <w:rFonts w:ascii="Verdana" w:hAnsi="Verdana"/>
                <w:color w:val="000000"/>
                <w:sz w:val="18"/>
                <w:szCs w:val="18"/>
              </w:rPr>
              <w:t>Чл. 68. (1) от ЗПЗП, въвежда, че „Министърът на земеделието и храните определя с наредби:</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4. условията и реда за предоставяне на подпомагане по интервенцията по чл. 76, параграф 3, буква "а" от Регламент (ЕС) 2021/2115, както и реда за налагане на административни санкции.“</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Чл. 1 от Проекта също определя, че с наредбата се уреждат условията и реда за налагане на административни санкции.</w:t>
            </w:r>
          </w:p>
        </w:tc>
        <w:tc>
          <w:tcPr>
            <w:tcW w:w="1559" w:type="dxa"/>
            <w:tcBorders>
              <w:top w:val="nil"/>
              <w:left w:val="single" w:sz="12" w:space="0" w:color="2E74B5"/>
              <w:bottom w:val="nil"/>
              <w:right w:val="single" w:sz="12" w:space="0" w:color="2E74B5"/>
            </w:tcBorders>
            <w:shd w:val="clear" w:color="auto" w:fill="auto"/>
          </w:tcPr>
          <w:p w:rsidR="00CA5E8F" w:rsidRPr="00C00BE8" w:rsidRDefault="00257386" w:rsidP="005212F4">
            <w:pPr>
              <w:spacing w:before="60" w:after="40"/>
              <w:rPr>
                <w:rStyle w:val="BodyTextChar1"/>
                <w:rFonts w:ascii="Verdana" w:hAnsi="Verdana"/>
                <w:color w:val="000000"/>
                <w:sz w:val="18"/>
                <w:szCs w:val="18"/>
              </w:rPr>
            </w:pPr>
            <w:r w:rsidRPr="00C00BE8">
              <w:rPr>
                <w:rStyle w:val="BodyTextChar1"/>
                <w:rFonts w:ascii="Verdana" w:hAnsi="Verdana"/>
                <w:color w:val="000000"/>
                <w:sz w:val="18"/>
                <w:szCs w:val="18"/>
              </w:rPr>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257386" w:rsidP="005212F4">
            <w:pPr>
              <w:spacing w:before="60" w:after="40"/>
              <w:rPr>
                <w:rFonts w:ascii="Verdana" w:hAnsi="Verdana"/>
                <w:sz w:val="22"/>
                <w:szCs w:val="22"/>
              </w:rPr>
            </w:pPr>
            <w:r w:rsidRPr="0053165E">
              <w:rPr>
                <w:rStyle w:val="BodyTextChar1"/>
                <w:rFonts w:ascii="Verdana" w:hAnsi="Verdana"/>
                <w:color w:val="000000"/>
                <w:sz w:val="18"/>
                <w:szCs w:val="18"/>
              </w:rPr>
              <w:t>В</w:t>
            </w:r>
            <w:r>
              <w:rPr>
                <w:rStyle w:val="BodyTextChar1"/>
                <w:rFonts w:ascii="Verdana" w:hAnsi="Verdana"/>
                <w:color w:val="000000"/>
                <w:sz w:val="18"/>
                <w:szCs w:val="18"/>
              </w:rPr>
              <w:t>ъ</w:t>
            </w:r>
            <w:r w:rsidRPr="0053165E">
              <w:rPr>
                <w:rStyle w:val="BodyTextChar1"/>
                <w:rFonts w:ascii="Verdana" w:hAnsi="Verdana"/>
                <w:color w:val="000000"/>
                <w:sz w:val="18"/>
                <w:szCs w:val="18"/>
              </w:rPr>
              <w:t>в</w:t>
            </w:r>
            <w:r>
              <w:rPr>
                <w:rStyle w:val="BodyTextChar1"/>
                <w:rFonts w:ascii="Verdana" w:hAnsi="Verdana"/>
                <w:color w:val="000000"/>
                <w:sz w:val="18"/>
                <w:szCs w:val="18"/>
              </w:rPr>
              <w:t>едени са съот</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етните пояснителни разпоредби с </w:t>
            </w:r>
            <w:r w:rsidR="008519A2">
              <w:rPr>
                <w:rStyle w:val="BodyTextChar1"/>
                <w:rFonts w:ascii="Verdana" w:hAnsi="Verdana"/>
                <w:color w:val="000000"/>
                <w:sz w:val="18"/>
                <w:szCs w:val="18"/>
              </w:rPr>
              <w:t>препратка</w:t>
            </w:r>
            <w:r>
              <w:rPr>
                <w:rStyle w:val="BodyTextChar1"/>
                <w:rFonts w:ascii="Verdana" w:hAnsi="Verdana"/>
                <w:color w:val="000000"/>
                <w:sz w:val="18"/>
                <w:szCs w:val="18"/>
              </w:rPr>
              <w:t xml:space="preserve"> към съот</w:t>
            </w:r>
            <w:r w:rsidRPr="0053165E">
              <w:rPr>
                <w:rStyle w:val="BodyTextChar1"/>
                <w:rFonts w:ascii="Verdana" w:hAnsi="Verdana"/>
                <w:color w:val="000000"/>
                <w:sz w:val="18"/>
                <w:szCs w:val="18"/>
              </w:rPr>
              <w:t>в</w:t>
            </w:r>
            <w:r>
              <w:rPr>
                <w:rStyle w:val="BodyTextChar1"/>
                <w:rFonts w:ascii="Verdana" w:hAnsi="Verdana"/>
                <w:color w:val="000000"/>
                <w:sz w:val="18"/>
                <w:szCs w:val="18"/>
              </w:rPr>
              <w:t xml:space="preserve">етния раздел и член от ЗПЗП. </w:t>
            </w:r>
          </w:p>
        </w:tc>
      </w:tr>
      <w:tr w:rsidR="00CA5E8F" w:rsidRPr="007D0AFE" w:rsidTr="00F62CE9">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18" w:space="0" w:color="2E74B5"/>
              <w:right w:val="single" w:sz="12"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2" w:space="0" w:color="2E74B5"/>
              <w:bottom w:val="single" w:sz="18" w:space="0" w:color="2E74B5"/>
              <w:right w:val="single" w:sz="12" w:space="0" w:color="2E74B5"/>
            </w:tcBorders>
            <w:shd w:val="clear" w:color="auto" w:fill="auto"/>
          </w:tcPr>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 2. От ЗР на Проекта, гласи, че „Наредбата се издава на основание чл. 68, ал. 1, т. 4 във връзка с чл. 70, ал. 2 от Закона за подпомагане на земеделските производители.“</w:t>
            </w:r>
          </w:p>
          <w:p w:rsidR="00CA5E8F" w:rsidRPr="0053165E" w:rsidRDefault="00CA5E8F" w:rsidP="005212F4">
            <w:pPr>
              <w:spacing w:before="60" w:after="40"/>
              <w:jc w:val="both"/>
              <w:rPr>
                <w:rStyle w:val="BodyTextChar1"/>
                <w:rFonts w:ascii="Verdana" w:hAnsi="Verdana"/>
                <w:color w:val="000000"/>
                <w:sz w:val="18"/>
                <w:szCs w:val="18"/>
              </w:rPr>
            </w:pPr>
            <w:r w:rsidRPr="0053165E">
              <w:rPr>
                <w:rStyle w:val="BodyTextChar1"/>
                <w:rFonts w:ascii="Verdana" w:hAnsi="Verdana"/>
                <w:color w:val="000000"/>
                <w:sz w:val="18"/>
                <w:szCs w:val="18"/>
              </w:rPr>
              <w:t>Въпреки това Проекта на наредба не въвежда реда за налагане на административни санкции, нито условията за налагане, не се реферира към видовете административни санкции, които следва да се налагат, предвид че интервенцията попада в чл. 52, ал. 1, т. 2 от ЗПЗП .</w:t>
            </w:r>
          </w:p>
          <w:p w:rsidR="00CA5E8F" w:rsidRPr="007B1A09" w:rsidRDefault="00CA5E8F" w:rsidP="005212F4">
            <w:pPr>
              <w:spacing w:before="60" w:after="40"/>
              <w:jc w:val="both"/>
              <w:rPr>
                <w:rFonts w:ascii="Verdana" w:hAnsi="Verdana"/>
                <w:color w:val="000000"/>
                <w:sz w:val="18"/>
                <w:szCs w:val="18"/>
                <w:shd w:val="clear" w:color="auto" w:fill="FFFFFF"/>
              </w:rPr>
            </w:pPr>
            <w:r w:rsidRPr="0053165E">
              <w:rPr>
                <w:rStyle w:val="BodyTextChar1"/>
                <w:rFonts w:ascii="Verdana" w:hAnsi="Verdana"/>
                <w:color w:val="000000"/>
                <w:sz w:val="18"/>
                <w:szCs w:val="18"/>
              </w:rPr>
              <w:t>Следва наредбата да не облекчава въведените със ЗПЗП изисквания или такива облекчения следва да се прилагат едва след  извършване на промяна в Закона. Наредбата следва да предвижда условия и ред за налагане на административни санкции.</w:t>
            </w:r>
          </w:p>
        </w:tc>
        <w:tc>
          <w:tcPr>
            <w:tcW w:w="1559" w:type="dxa"/>
            <w:tcBorders>
              <w:top w:val="nil"/>
              <w:left w:val="single" w:sz="12" w:space="0" w:color="2E74B5"/>
              <w:bottom w:val="single" w:sz="18" w:space="0" w:color="2E74B5"/>
              <w:right w:val="single" w:sz="12" w:space="0" w:color="2E74B5"/>
            </w:tcBorders>
            <w:shd w:val="clear" w:color="auto" w:fill="auto"/>
          </w:tcPr>
          <w:p w:rsidR="00CA5E8F" w:rsidRPr="007D0AFE" w:rsidRDefault="00CA5E8F" w:rsidP="005212F4">
            <w:pPr>
              <w:spacing w:before="60" w:after="40"/>
              <w:rPr>
                <w:rFonts w:ascii="Verdana" w:hAnsi="Verdana"/>
                <w:sz w:val="22"/>
                <w:szCs w:val="22"/>
              </w:rPr>
            </w:pPr>
          </w:p>
        </w:tc>
        <w:tc>
          <w:tcPr>
            <w:tcW w:w="4964" w:type="dxa"/>
            <w:tcBorders>
              <w:top w:val="nil"/>
              <w:left w:val="single" w:sz="12" w:space="0" w:color="2E74B5"/>
              <w:bottom w:val="single" w:sz="18" w:space="0" w:color="2E74B5"/>
              <w:right w:val="single" w:sz="24" w:space="0" w:color="2E74B5"/>
            </w:tcBorders>
            <w:shd w:val="clear" w:color="auto" w:fill="auto"/>
          </w:tcPr>
          <w:p w:rsidR="00CA5E8F" w:rsidRPr="007D0AFE" w:rsidRDefault="00CA5E8F" w:rsidP="005212F4">
            <w:pPr>
              <w:spacing w:before="60" w:after="40"/>
              <w:rPr>
                <w:rFonts w:ascii="Verdana" w:hAnsi="Verdana"/>
                <w:sz w:val="22"/>
                <w:szCs w:val="22"/>
              </w:rPr>
            </w:pPr>
          </w:p>
        </w:tc>
      </w:tr>
      <w:tr w:rsidR="00CA5E8F" w:rsidRPr="007D0AFE" w:rsidTr="00F62CE9">
        <w:trPr>
          <w:trHeight w:val="596"/>
        </w:trPr>
        <w:tc>
          <w:tcPr>
            <w:tcW w:w="622" w:type="dxa"/>
            <w:tcBorders>
              <w:top w:val="single" w:sz="18" w:space="0" w:color="2E74B5"/>
              <w:left w:val="single" w:sz="24" w:space="0" w:color="2E74B5"/>
              <w:bottom w:val="nil"/>
              <w:right w:val="single" w:sz="12" w:space="0" w:color="2E74B5"/>
            </w:tcBorders>
            <w:shd w:val="clear" w:color="auto" w:fill="auto"/>
          </w:tcPr>
          <w:p w:rsidR="00CA5E8F" w:rsidRPr="007D0AFE" w:rsidRDefault="00CA5E8F" w:rsidP="005212F4">
            <w:pPr>
              <w:pStyle w:val="ListParagraph"/>
              <w:numPr>
                <w:ilvl w:val="0"/>
                <w:numId w:val="6"/>
              </w:numPr>
              <w:tabs>
                <w:tab w:val="left" w:pos="192"/>
              </w:tabs>
              <w:spacing w:before="60" w:after="40"/>
              <w:jc w:val="center"/>
              <w:rPr>
                <w:rFonts w:ascii="Verdana" w:hAnsi="Verdana"/>
                <w:b/>
                <w:sz w:val="22"/>
                <w:szCs w:val="22"/>
              </w:rPr>
            </w:pPr>
          </w:p>
        </w:tc>
        <w:tc>
          <w:tcPr>
            <w:tcW w:w="3030" w:type="dxa"/>
            <w:tcBorders>
              <w:top w:val="single" w:sz="18" w:space="0" w:color="2E74B5"/>
              <w:left w:val="single" w:sz="12" w:space="0" w:color="2E74B5"/>
              <w:bottom w:val="nil"/>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r>
              <w:rPr>
                <w:rFonts w:ascii="Verdana" w:hAnsi="Verdana"/>
                <w:sz w:val="18"/>
                <w:szCs w:val="18"/>
              </w:rPr>
              <w:t>Асоциация на българските застрахователи</w:t>
            </w:r>
            <w:r w:rsidRPr="000900DB">
              <w:rPr>
                <w:rFonts w:ascii="Verdana" w:hAnsi="Verdana"/>
                <w:sz w:val="18"/>
                <w:szCs w:val="18"/>
              </w:rPr>
              <w:t xml:space="preserve"> – </w:t>
            </w:r>
            <w:r>
              <w:rPr>
                <w:rFonts w:ascii="Verdana" w:hAnsi="Verdana"/>
                <w:sz w:val="18"/>
                <w:szCs w:val="18"/>
              </w:rPr>
              <w:br/>
            </w:r>
            <w:r w:rsidRPr="000900DB">
              <w:rPr>
                <w:rFonts w:ascii="Verdana" w:hAnsi="Verdana"/>
                <w:sz w:val="18"/>
                <w:szCs w:val="18"/>
              </w:rPr>
              <w:t xml:space="preserve">получено в МЗХ с </w:t>
            </w:r>
            <w:r>
              <w:rPr>
                <w:rFonts w:ascii="Verdana" w:hAnsi="Verdana"/>
                <w:sz w:val="18"/>
                <w:szCs w:val="18"/>
              </w:rPr>
              <w:br/>
            </w:r>
            <w:r w:rsidRPr="000900DB">
              <w:rPr>
                <w:rFonts w:ascii="Verdana" w:hAnsi="Verdana"/>
                <w:sz w:val="18"/>
                <w:szCs w:val="18"/>
              </w:rPr>
              <w:t xml:space="preserve">вх. № </w:t>
            </w:r>
            <w:r>
              <w:rPr>
                <w:rFonts w:ascii="Verdana" w:hAnsi="Verdana"/>
                <w:sz w:val="18"/>
                <w:szCs w:val="18"/>
              </w:rPr>
              <w:t>15-112</w:t>
            </w:r>
            <w:r w:rsidRPr="000900DB">
              <w:rPr>
                <w:rFonts w:ascii="Verdana" w:hAnsi="Verdana"/>
                <w:sz w:val="18"/>
                <w:szCs w:val="18"/>
              </w:rPr>
              <w:t xml:space="preserve"> от </w:t>
            </w:r>
            <w:r>
              <w:rPr>
                <w:rFonts w:ascii="Verdana" w:hAnsi="Verdana"/>
                <w:sz w:val="18"/>
                <w:szCs w:val="18"/>
              </w:rPr>
              <w:t>04.03</w:t>
            </w:r>
            <w:r w:rsidRPr="000900DB">
              <w:rPr>
                <w:rFonts w:ascii="Verdana" w:hAnsi="Verdana"/>
                <w:sz w:val="18"/>
                <w:szCs w:val="18"/>
              </w:rPr>
              <w:t>.202</w:t>
            </w:r>
            <w:r>
              <w:rPr>
                <w:rFonts w:ascii="Verdana" w:hAnsi="Verdana"/>
                <w:sz w:val="18"/>
                <w:szCs w:val="18"/>
              </w:rPr>
              <w:t>5 г</w:t>
            </w:r>
          </w:p>
        </w:tc>
        <w:tc>
          <w:tcPr>
            <w:tcW w:w="5475" w:type="dxa"/>
            <w:tcBorders>
              <w:top w:val="single" w:sz="18" w:space="0" w:color="2E74B5"/>
              <w:left w:val="single" w:sz="18" w:space="0" w:color="2E74B5"/>
              <w:bottom w:val="nil"/>
              <w:right w:val="single" w:sz="12" w:space="0" w:color="2E74B5"/>
            </w:tcBorders>
            <w:shd w:val="clear" w:color="auto" w:fill="auto"/>
          </w:tcPr>
          <w:p w:rsidR="00CA5E8F" w:rsidRPr="00FD4FC1" w:rsidRDefault="00CA5E8F" w:rsidP="005212F4">
            <w:pPr>
              <w:pStyle w:val="BodyText"/>
              <w:spacing w:before="60" w:after="40"/>
              <w:ind w:left="20" w:right="20"/>
              <w:jc w:val="both"/>
              <w:rPr>
                <w:rFonts w:ascii="Verdana" w:hAnsi="Verdana"/>
                <w:sz w:val="18"/>
                <w:szCs w:val="18"/>
              </w:rPr>
            </w:pPr>
            <w:r w:rsidRPr="00FD4FC1">
              <w:rPr>
                <w:rStyle w:val="BodyTextChar1"/>
                <w:rFonts w:ascii="Verdana" w:hAnsi="Verdana"/>
                <w:color w:val="000000"/>
                <w:sz w:val="18"/>
                <w:szCs w:val="18"/>
              </w:rPr>
              <w:t xml:space="preserve">На първо място бихме искали да изтъкнем, че подкрепяме целта на интервенцията </w:t>
            </w:r>
            <w:r w:rsidRPr="00FD4FC1">
              <w:rPr>
                <w:rStyle w:val="BodytextItalic"/>
                <w:rFonts w:ascii="Verdana" w:hAnsi="Verdana"/>
                <w:color w:val="000000"/>
                <w:sz w:val="18"/>
                <w:szCs w:val="18"/>
                <w:lang w:val="en-US" w:eastAsia="en-US"/>
              </w:rPr>
              <w:t>II</w:t>
            </w:r>
            <w:r w:rsidRPr="00FD4FC1">
              <w:rPr>
                <w:rStyle w:val="BodytextItalic"/>
                <w:rFonts w:ascii="Verdana" w:hAnsi="Verdana"/>
                <w:color w:val="000000"/>
                <w:sz w:val="18"/>
                <w:szCs w:val="18"/>
                <w:lang w:val="ru-RU" w:eastAsia="en-US"/>
              </w:rPr>
              <w:t xml:space="preserve">.2-1 </w:t>
            </w:r>
            <w:r w:rsidRPr="00FD4FC1">
              <w:rPr>
                <w:rStyle w:val="BodytextItalic"/>
                <w:rFonts w:ascii="Verdana" w:hAnsi="Verdana"/>
                <w:color w:val="000000"/>
                <w:sz w:val="18"/>
                <w:szCs w:val="18"/>
              </w:rPr>
              <w:t>„Инструменти за управление на риска-финансов принос за премиите по застрахователните схеми</w:t>
            </w:r>
            <w:r w:rsidRPr="00FD4FC1">
              <w:rPr>
                <w:rStyle w:val="BodyTextChar1"/>
                <w:rFonts w:ascii="Verdana" w:hAnsi="Verdana"/>
                <w:color w:val="000000"/>
                <w:sz w:val="18"/>
                <w:szCs w:val="18"/>
              </w:rPr>
              <w:t>“, чието прилагане е заложено в Стратегическия план за развитието на зем</w:t>
            </w:r>
            <w:r>
              <w:rPr>
                <w:rStyle w:val="BodyTextChar1"/>
                <w:rFonts w:ascii="Verdana" w:hAnsi="Verdana"/>
                <w:color w:val="000000"/>
                <w:sz w:val="18"/>
                <w:szCs w:val="18"/>
              </w:rPr>
              <w:t xml:space="preserve">еделието и селските райони на Република </w:t>
            </w:r>
            <w:r w:rsidRPr="00FD4FC1">
              <w:rPr>
                <w:rStyle w:val="BodyTextChar1"/>
                <w:rFonts w:ascii="Verdana" w:hAnsi="Verdana"/>
                <w:color w:val="000000"/>
                <w:sz w:val="18"/>
                <w:szCs w:val="18"/>
              </w:rPr>
              <w:t>България за периода 2023 - 2027 г. (СПРЗСР 2023-27 г.) - а именно, да се засили стимулиращия ефект върху селскостопанските производители да застраховат рисковете по отношение на продукцията си, което да разшири прилагането на този основен способ за управление на риска в земеделието.</w:t>
            </w:r>
          </w:p>
          <w:p w:rsidR="00CA5E8F" w:rsidRPr="00FD4FC1" w:rsidRDefault="00CA5E8F" w:rsidP="005212F4">
            <w:pPr>
              <w:pStyle w:val="BodyText"/>
              <w:spacing w:before="60" w:after="40"/>
              <w:ind w:left="20" w:right="20"/>
              <w:jc w:val="both"/>
              <w:rPr>
                <w:rFonts w:ascii="Verdana" w:hAnsi="Verdana"/>
                <w:sz w:val="18"/>
                <w:szCs w:val="18"/>
              </w:rPr>
            </w:pPr>
            <w:r w:rsidRPr="00FD4FC1">
              <w:rPr>
                <w:rStyle w:val="BodyTextChar1"/>
                <w:rFonts w:ascii="Verdana" w:hAnsi="Verdana"/>
                <w:color w:val="000000"/>
                <w:sz w:val="18"/>
                <w:szCs w:val="18"/>
              </w:rPr>
              <w:t>Следва да се отбележи, че до момента подобна схема е прилагана с бюджетни средства и при условията на нотифицирана държавна помощ, чиито резултати показват текущо, но все още недостатъчно увеличение на кандидатите за подпомагане по схемата, чрез съфинансиране на застрахователни премии.</w:t>
            </w:r>
          </w:p>
          <w:p w:rsidR="00CA5E8F" w:rsidRPr="00FD4FC1" w:rsidRDefault="00CA5E8F" w:rsidP="005212F4">
            <w:pPr>
              <w:pStyle w:val="BodyText"/>
              <w:spacing w:before="60" w:after="40"/>
              <w:ind w:left="20" w:right="20"/>
              <w:jc w:val="both"/>
              <w:rPr>
                <w:rFonts w:ascii="Verdana" w:hAnsi="Verdana"/>
                <w:sz w:val="18"/>
                <w:szCs w:val="18"/>
              </w:rPr>
            </w:pPr>
            <w:r w:rsidRPr="00FD4FC1">
              <w:rPr>
                <w:rStyle w:val="BodyTextChar1"/>
                <w:rFonts w:ascii="Verdana" w:hAnsi="Verdana"/>
                <w:color w:val="000000"/>
                <w:sz w:val="18"/>
                <w:szCs w:val="18"/>
              </w:rPr>
              <w:t xml:space="preserve">В този смисъл припознаваме и приветстваме и целите на обявения за обществено обсъждане проект за </w:t>
            </w:r>
            <w:r w:rsidRPr="00FD4FC1">
              <w:rPr>
                <w:rStyle w:val="BodytextItalic"/>
                <w:rFonts w:ascii="Verdana" w:hAnsi="Verdana"/>
                <w:color w:val="000000"/>
                <w:sz w:val="18"/>
                <w:szCs w:val="18"/>
              </w:rPr>
              <w:t>Наредба,</w:t>
            </w:r>
            <w:r w:rsidRPr="00FD4FC1">
              <w:rPr>
                <w:rStyle w:val="BodyTextChar1"/>
                <w:rFonts w:ascii="Verdana" w:hAnsi="Verdana"/>
                <w:color w:val="000000"/>
                <w:sz w:val="18"/>
                <w:szCs w:val="18"/>
              </w:rPr>
              <w:t xml:space="preserve"> изложени в </w:t>
            </w:r>
            <w:r w:rsidRPr="00FD4FC1">
              <w:rPr>
                <w:rStyle w:val="BodytextItalic"/>
                <w:rFonts w:ascii="Verdana" w:hAnsi="Verdana"/>
                <w:color w:val="000000"/>
                <w:sz w:val="18"/>
                <w:szCs w:val="18"/>
              </w:rPr>
              <w:t>Мотивите</w:t>
            </w:r>
            <w:r w:rsidRPr="00FD4FC1">
              <w:rPr>
                <w:rStyle w:val="BodyTextChar1"/>
                <w:rFonts w:ascii="Verdana" w:hAnsi="Verdana"/>
                <w:color w:val="000000"/>
                <w:sz w:val="18"/>
                <w:szCs w:val="18"/>
              </w:rPr>
              <w:t xml:space="preserve"> за неговото изготвяне, включително да бъде насърчено управлението на не</w:t>
            </w:r>
            <w:r>
              <w:rPr>
                <w:rStyle w:val="BodyTextChar1"/>
                <w:rFonts w:ascii="Verdana" w:hAnsi="Verdana"/>
                <w:color w:val="000000"/>
                <w:sz w:val="18"/>
                <w:szCs w:val="18"/>
              </w:rPr>
              <w:t xml:space="preserve"> </w:t>
            </w:r>
            <w:r w:rsidRPr="00FD4FC1">
              <w:rPr>
                <w:rStyle w:val="BodyTextChar1"/>
                <w:rFonts w:ascii="Verdana" w:hAnsi="Verdana"/>
                <w:color w:val="000000"/>
                <w:sz w:val="18"/>
                <w:szCs w:val="18"/>
              </w:rPr>
              <w:lastRenderedPageBreak/>
              <w:t>подлежащи на контрол от страна на земеделските стопани рискове, чрез използването на инструменти за управление на риска в земеделието, в т.ч. чрез стимулирането на селскостопанските производители да застраховат продукцията си в условията на климатични изменения и трудно предвидими климатични фактори.</w:t>
            </w:r>
          </w:p>
          <w:p w:rsidR="00CA5E8F" w:rsidRDefault="00CA5E8F" w:rsidP="005212F4">
            <w:pPr>
              <w:pStyle w:val="BodyText"/>
              <w:spacing w:before="60" w:after="40"/>
              <w:ind w:left="23" w:right="23"/>
              <w:jc w:val="both"/>
              <w:rPr>
                <w:rStyle w:val="BodyTextChar1"/>
                <w:rFonts w:ascii="Verdana" w:hAnsi="Verdana"/>
                <w:color w:val="000000"/>
                <w:sz w:val="18"/>
                <w:szCs w:val="18"/>
                <w:lang w:val="ru-RU"/>
              </w:rPr>
            </w:pPr>
            <w:r w:rsidRPr="00FD4FC1">
              <w:rPr>
                <w:rStyle w:val="BodyTextChar1"/>
                <w:rFonts w:ascii="Verdana" w:hAnsi="Verdana"/>
                <w:color w:val="000000"/>
                <w:sz w:val="18"/>
                <w:szCs w:val="18"/>
              </w:rPr>
              <w:t xml:space="preserve">Следва също да отбележим, че макар да не сме били ангажирани да участваме в подготовката на проекта за Наредба, незабавно след неговото публично представяне бяхме поканени за консултативно- работна среща с представители на Министерството на земеделието и храните, от провеждането на която останахме удовлетворени. Посочената консултативна среща беше изключително конструктивна и полезна, тъй като се уверихме в проактивната и позитивна нагласа на екипа на министерството и получихме някои отговори, разяснения и уверения, които до голяма степен </w:t>
            </w:r>
            <w:bookmarkStart w:id="0" w:name="_GoBack"/>
            <w:r w:rsidRPr="00FD4FC1">
              <w:rPr>
                <w:rStyle w:val="BodyTextChar1"/>
                <w:rFonts w:ascii="Verdana" w:hAnsi="Verdana"/>
                <w:color w:val="000000"/>
                <w:sz w:val="18"/>
                <w:szCs w:val="18"/>
              </w:rPr>
              <w:t>тушираха някои от</w:t>
            </w:r>
            <w:r w:rsidRPr="00FD4FC1">
              <w:rPr>
                <w:rStyle w:val="BodyTextChar1"/>
                <w:rFonts w:ascii="Verdana" w:hAnsi="Verdana"/>
                <w:color w:val="000000"/>
                <w:sz w:val="18"/>
                <w:szCs w:val="18"/>
                <w:lang w:val="ru-RU"/>
              </w:rPr>
              <w:t xml:space="preserve"> опасенията </w:t>
            </w:r>
            <w:bookmarkEnd w:id="0"/>
            <w:r w:rsidRPr="00FD4FC1">
              <w:rPr>
                <w:rStyle w:val="BodyTextChar1"/>
                <w:rFonts w:ascii="Verdana" w:hAnsi="Verdana"/>
                <w:color w:val="000000"/>
                <w:sz w:val="18"/>
                <w:szCs w:val="18"/>
                <w:lang w:val="ru-RU"/>
              </w:rPr>
              <w:t>и възраженията на нашите членове по проекта за Наредба, изразени от тях след неговото публично представяне.</w:t>
            </w:r>
          </w:p>
          <w:p w:rsidR="00CA5E8F" w:rsidRPr="00FD4FC1" w:rsidRDefault="00CA5E8F" w:rsidP="005212F4">
            <w:pPr>
              <w:pStyle w:val="BodyText"/>
              <w:spacing w:before="60" w:after="40"/>
              <w:ind w:left="23" w:right="23"/>
              <w:jc w:val="both"/>
              <w:rPr>
                <w:rStyle w:val="BodyTextChar1"/>
                <w:rFonts w:ascii="Verdana" w:hAnsi="Verdana"/>
                <w:color w:val="000000"/>
                <w:sz w:val="18"/>
                <w:szCs w:val="18"/>
                <w:lang w:val="ru-RU"/>
              </w:rPr>
            </w:pPr>
            <w:r w:rsidRPr="00FD4FC1">
              <w:rPr>
                <w:rStyle w:val="BodyTextChar1"/>
                <w:rFonts w:ascii="Verdana" w:hAnsi="Verdana"/>
                <w:color w:val="000000"/>
                <w:sz w:val="18"/>
                <w:szCs w:val="18"/>
                <w:lang w:val="ru-RU"/>
              </w:rPr>
              <w:t>Уверихме се също, че мярката по чл. 76 от регламента и СПРЗСР е била дълго, проактивно и в съответствие с националния интерес дискутирана от страна на МЗХ с Европейската комисия, както и че в тази връзка се налага въвеждането на нов режим за съфинансиране на застрахователни премии, различен от досега прилаганата нотифицирана държавна помощ за целта, осъществявана чрез национални бюджетни средства.</w:t>
            </w:r>
          </w:p>
          <w:p w:rsidR="00CA5E8F" w:rsidRPr="00FD4FC1" w:rsidRDefault="00CA5E8F" w:rsidP="005212F4">
            <w:pPr>
              <w:pStyle w:val="BodyText"/>
              <w:spacing w:before="60" w:after="40"/>
              <w:ind w:left="23" w:right="23"/>
              <w:jc w:val="both"/>
              <w:rPr>
                <w:rFonts w:ascii="Verdana" w:hAnsi="Verdana"/>
                <w:sz w:val="18"/>
                <w:szCs w:val="18"/>
                <w:lang w:val="ru-RU"/>
              </w:rPr>
            </w:pPr>
            <w:r w:rsidRPr="00FD4FC1">
              <w:rPr>
                <w:rStyle w:val="BodyTextChar1"/>
                <w:rFonts w:ascii="Verdana" w:hAnsi="Verdana"/>
                <w:color w:val="000000"/>
                <w:sz w:val="18"/>
                <w:szCs w:val="18"/>
                <w:lang w:val="ru-RU"/>
              </w:rPr>
              <w:t>Все пак доколкото този нов режим по необходимост ще съдържа значителни отлики спрямо досега прилаганата мярка за съфинансиране на застрахователни премии, намерили своето място в представения за обществено обсъждане проект за Наредба, считаме за нужно да изразим тук някои от дискутираните на описаната по-горе среща коментари и предложения на застрахователния сектор, които са, както следва:</w:t>
            </w:r>
          </w:p>
        </w:tc>
        <w:tc>
          <w:tcPr>
            <w:tcW w:w="1559" w:type="dxa"/>
            <w:tcBorders>
              <w:top w:val="single" w:sz="18" w:space="0" w:color="2E74B5"/>
              <w:left w:val="single" w:sz="12" w:space="0" w:color="2E74B5"/>
              <w:bottom w:val="nil"/>
              <w:right w:val="single" w:sz="12" w:space="0" w:color="2E74B5"/>
            </w:tcBorders>
            <w:shd w:val="clear" w:color="auto" w:fill="auto"/>
          </w:tcPr>
          <w:p w:rsidR="00CA5E8F" w:rsidRPr="007D0AFE" w:rsidRDefault="00CA5E8F" w:rsidP="005212F4">
            <w:pPr>
              <w:spacing w:before="60" w:after="40"/>
              <w:rPr>
                <w:rFonts w:ascii="Verdana" w:hAnsi="Verdana"/>
                <w:sz w:val="22"/>
                <w:szCs w:val="22"/>
              </w:rPr>
            </w:pPr>
          </w:p>
        </w:tc>
        <w:tc>
          <w:tcPr>
            <w:tcW w:w="4964" w:type="dxa"/>
            <w:tcBorders>
              <w:top w:val="single" w:sz="18" w:space="0" w:color="2E74B5"/>
              <w:left w:val="single" w:sz="12" w:space="0" w:color="2E74B5"/>
              <w:bottom w:val="nil"/>
              <w:right w:val="single" w:sz="24" w:space="0" w:color="2E74B5"/>
            </w:tcBorders>
            <w:shd w:val="clear" w:color="auto" w:fill="auto"/>
          </w:tcPr>
          <w:p w:rsidR="00CA5E8F" w:rsidRPr="007D0AFE" w:rsidRDefault="00CA5E8F" w:rsidP="005212F4">
            <w:pPr>
              <w:spacing w:before="60" w:after="40"/>
              <w:rPr>
                <w:rFonts w:ascii="Verdana" w:hAnsi="Verdana"/>
                <w:sz w:val="22"/>
                <w:szCs w:val="22"/>
              </w:rPr>
            </w:pPr>
          </w:p>
        </w:tc>
      </w:tr>
      <w:tr w:rsidR="00CA5E8F" w:rsidRPr="007D0AFE" w:rsidTr="00F62CE9">
        <w:trPr>
          <w:trHeight w:val="596"/>
        </w:trPr>
        <w:tc>
          <w:tcPr>
            <w:tcW w:w="622" w:type="dxa"/>
            <w:tcBorders>
              <w:top w:val="nil"/>
              <w:left w:val="single" w:sz="24" w:space="0" w:color="2E74B5"/>
              <w:bottom w:val="nil"/>
              <w:right w:val="single" w:sz="12" w:space="0" w:color="2E74B5"/>
            </w:tcBorders>
            <w:shd w:val="clear" w:color="auto" w:fill="auto"/>
          </w:tcPr>
          <w:p w:rsidR="00CA5E8F" w:rsidRPr="007D0AFE" w:rsidRDefault="00CA5E8F" w:rsidP="005212F4">
            <w:pPr>
              <w:tabs>
                <w:tab w:val="left" w:pos="192"/>
              </w:tabs>
              <w:spacing w:before="60" w:after="40"/>
              <w:jc w:val="center"/>
              <w:rPr>
                <w:rFonts w:ascii="Verdana" w:hAnsi="Verdana"/>
                <w:b/>
                <w:sz w:val="22"/>
                <w:szCs w:val="22"/>
              </w:rPr>
            </w:pPr>
          </w:p>
        </w:tc>
        <w:tc>
          <w:tcPr>
            <w:tcW w:w="3030" w:type="dxa"/>
            <w:tcBorders>
              <w:top w:val="nil"/>
              <w:left w:val="single" w:sz="12" w:space="0" w:color="2E74B5"/>
              <w:bottom w:val="nil"/>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2E45BC" w:rsidRDefault="00CA5E8F" w:rsidP="005212F4">
            <w:pPr>
              <w:pStyle w:val="BodyText"/>
              <w:spacing w:before="60" w:after="40"/>
              <w:ind w:left="23" w:right="23"/>
              <w:jc w:val="both"/>
              <w:rPr>
                <w:rStyle w:val="BodyTextChar1"/>
                <w:rFonts w:ascii="Verdana" w:hAnsi="Verdana"/>
                <w:color w:val="000000"/>
                <w:sz w:val="18"/>
                <w:szCs w:val="18"/>
                <w:lang w:val="ru-RU"/>
              </w:rPr>
            </w:pPr>
            <w:r>
              <w:rPr>
                <w:rStyle w:val="BodyTextChar1"/>
                <w:rFonts w:ascii="Verdana" w:hAnsi="Verdana"/>
                <w:color w:val="000000"/>
                <w:sz w:val="18"/>
                <w:szCs w:val="18"/>
                <w:lang w:val="ru-RU"/>
              </w:rPr>
              <w:t xml:space="preserve">1. </w:t>
            </w:r>
            <w:r w:rsidRPr="00EB59AA">
              <w:rPr>
                <w:rStyle w:val="BodyTextChar1"/>
                <w:rFonts w:ascii="Verdana" w:hAnsi="Verdana"/>
                <w:color w:val="000000"/>
                <w:sz w:val="18"/>
                <w:szCs w:val="18"/>
                <w:lang w:val="ru-RU"/>
              </w:rPr>
              <w:t>Въпреки полученото от страна на МЗХ обяснение, че десертните лозя следва да се приемат за включени в контекста на овощните култури по чл.5, ал. 1, т.1, застраховането на които подлежи на съфинансиране по мярката, считаме за препоръчително за яснота и безспорност на текста това изрично да се посочи - или изрично, чрез нова отделна точка в чл.5, ал.1, или чрез промяна в сегашната т.1, съгласно която след първата запетая на нейния текст да се добавят думите „.</w:t>
            </w:r>
            <w:r>
              <w:rPr>
                <w:rStyle w:val="BodyTextChar1"/>
                <w:rFonts w:ascii="Verdana" w:hAnsi="Verdana"/>
                <w:color w:val="000000"/>
                <w:sz w:val="18"/>
                <w:szCs w:val="18"/>
                <w:lang w:val="ru-RU"/>
              </w:rPr>
              <w:t>..в това число десертни лозя...</w:t>
            </w:r>
            <w:r w:rsidRPr="00EB59AA">
              <w:rPr>
                <w:rStyle w:val="BodyTextChar1"/>
                <w:rFonts w:ascii="Verdana" w:hAnsi="Verdana"/>
                <w:color w:val="000000"/>
                <w:sz w:val="18"/>
                <w:szCs w:val="18"/>
                <w:lang w:val="ru-RU"/>
              </w:rPr>
              <w:t>“, ако това се прецени за по-подходящо.</w:t>
            </w:r>
          </w:p>
        </w:tc>
        <w:tc>
          <w:tcPr>
            <w:tcW w:w="1559" w:type="dxa"/>
            <w:tcBorders>
              <w:top w:val="nil"/>
              <w:left w:val="single" w:sz="12" w:space="0" w:color="2E74B5"/>
              <w:bottom w:val="nil"/>
              <w:right w:val="single" w:sz="12" w:space="0" w:color="2E74B5"/>
            </w:tcBorders>
            <w:shd w:val="clear" w:color="auto" w:fill="auto"/>
          </w:tcPr>
          <w:p w:rsidR="00CA5E8F" w:rsidRPr="007D0AFE" w:rsidRDefault="003062EA" w:rsidP="005212F4">
            <w:pPr>
              <w:spacing w:before="60" w:after="40"/>
              <w:rPr>
                <w:rFonts w:ascii="Verdana" w:hAnsi="Verdana"/>
                <w:sz w:val="22"/>
                <w:szCs w:val="22"/>
              </w:rPr>
            </w:pPr>
            <w:r w:rsidRPr="00C00BE8">
              <w:rPr>
                <w:rStyle w:val="BodyTextChar1"/>
                <w:rFonts w:ascii="Verdana" w:hAnsi="Verdana"/>
                <w:color w:val="000000"/>
                <w:sz w:val="18"/>
                <w:szCs w:val="18"/>
                <w:lang w:val="ru-RU"/>
              </w:rPr>
              <w:t>Приема се</w:t>
            </w:r>
          </w:p>
        </w:tc>
        <w:tc>
          <w:tcPr>
            <w:tcW w:w="4964" w:type="dxa"/>
            <w:tcBorders>
              <w:top w:val="nil"/>
              <w:left w:val="single" w:sz="12" w:space="0" w:color="2E74B5"/>
              <w:bottom w:val="nil"/>
              <w:right w:val="single" w:sz="24" w:space="0" w:color="2E74B5"/>
            </w:tcBorders>
            <w:shd w:val="clear" w:color="auto" w:fill="auto"/>
          </w:tcPr>
          <w:p w:rsidR="00CA5E8F" w:rsidRPr="007D0AFE" w:rsidRDefault="003062EA" w:rsidP="005212F4">
            <w:pPr>
              <w:spacing w:before="60" w:after="40"/>
              <w:rPr>
                <w:rFonts w:ascii="Verdana" w:hAnsi="Verdana"/>
                <w:sz w:val="22"/>
                <w:szCs w:val="22"/>
              </w:rPr>
            </w:pPr>
            <w:r w:rsidRPr="008519A2">
              <w:rPr>
                <w:rStyle w:val="BodyTextChar1"/>
                <w:rFonts w:ascii="Verdana" w:hAnsi="Verdana"/>
                <w:color w:val="000000"/>
                <w:sz w:val="18"/>
                <w:szCs w:val="18"/>
                <w:lang w:val="ru-RU"/>
              </w:rPr>
              <w:t>Доба</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ено е </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 чл. 5, ал.</w:t>
            </w:r>
            <w:r w:rsidR="008623C1">
              <w:rPr>
                <w:rStyle w:val="BodyTextChar1"/>
                <w:rFonts w:ascii="Verdana" w:hAnsi="Verdana"/>
                <w:color w:val="000000"/>
                <w:sz w:val="18"/>
                <w:szCs w:val="18"/>
                <w:lang w:val="ru-RU"/>
              </w:rPr>
              <w:t xml:space="preserve"> </w:t>
            </w:r>
            <w:r>
              <w:rPr>
                <w:rStyle w:val="BodyTextChar1"/>
                <w:rFonts w:ascii="Verdana" w:hAnsi="Verdana"/>
                <w:color w:val="000000"/>
                <w:sz w:val="18"/>
                <w:szCs w:val="18"/>
                <w:lang w:val="ru-RU"/>
              </w:rPr>
              <w:t>1, т.</w:t>
            </w:r>
            <w:r w:rsidR="008623C1">
              <w:rPr>
                <w:rStyle w:val="BodyTextChar1"/>
                <w:rFonts w:ascii="Verdana" w:hAnsi="Verdana"/>
                <w:color w:val="000000"/>
                <w:sz w:val="18"/>
                <w:szCs w:val="18"/>
                <w:lang w:val="ru-RU"/>
              </w:rPr>
              <w:t xml:space="preserve"> </w:t>
            </w:r>
            <w:r>
              <w:rPr>
                <w:rStyle w:val="BodyTextChar1"/>
                <w:rFonts w:ascii="Verdana" w:hAnsi="Verdana"/>
                <w:color w:val="000000"/>
                <w:sz w:val="18"/>
                <w:szCs w:val="18"/>
                <w:lang w:val="ru-RU"/>
              </w:rPr>
              <w:t>1</w:t>
            </w:r>
            <w:r w:rsidR="008623C1">
              <w:rPr>
                <w:rStyle w:val="BodyTextChar1"/>
                <w:rFonts w:ascii="Verdana" w:hAnsi="Verdana"/>
                <w:color w:val="000000"/>
                <w:sz w:val="18"/>
                <w:szCs w:val="18"/>
                <w:lang w:val="ru-RU"/>
              </w:rPr>
              <w:t>.</w:t>
            </w:r>
          </w:p>
        </w:tc>
      </w:tr>
      <w:tr w:rsidR="00CA5E8F" w:rsidRPr="007D0AFE" w:rsidTr="00F62CE9">
        <w:trPr>
          <w:trHeight w:val="596"/>
        </w:trPr>
        <w:tc>
          <w:tcPr>
            <w:tcW w:w="622" w:type="dxa"/>
            <w:tcBorders>
              <w:top w:val="nil"/>
              <w:left w:val="single" w:sz="24" w:space="0" w:color="2E74B5"/>
              <w:bottom w:val="nil"/>
              <w:right w:val="single" w:sz="12" w:space="0" w:color="2E74B5"/>
            </w:tcBorders>
            <w:shd w:val="clear" w:color="auto" w:fill="auto"/>
          </w:tcPr>
          <w:p w:rsidR="00CA5E8F" w:rsidRPr="007D0AFE" w:rsidRDefault="00CA5E8F" w:rsidP="005212F4">
            <w:pPr>
              <w:tabs>
                <w:tab w:val="left" w:pos="192"/>
              </w:tabs>
              <w:spacing w:before="60" w:after="40"/>
              <w:jc w:val="center"/>
              <w:rPr>
                <w:rFonts w:ascii="Verdana" w:hAnsi="Verdana"/>
                <w:b/>
                <w:sz w:val="22"/>
                <w:szCs w:val="22"/>
              </w:rPr>
            </w:pPr>
          </w:p>
        </w:tc>
        <w:tc>
          <w:tcPr>
            <w:tcW w:w="3030" w:type="dxa"/>
            <w:tcBorders>
              <w:top w:val="nil"/>
              <w:left w:val="single" w:sz="12" w:space="0" w:color="2E74B5"/>
              <w:bottom w:val="nil"/>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2E45BC" w:rsidRDefault="00CA5E8F" w:rsidP="005212F4">
            <w:pPr>
              <w:pStyle w:val="BodyText"/>
              <w:spacing w:before="60" w:after="40"/>
              <w:ind w:left="23" w:right="23"/>
              <w:jc w:val="both"/>
              <w:rPr>
                <w:rStyle w:val="BodyTextChar1"/>
                <w:rFonts w:ascii="Verdana" w:hAnsi="Verdana"/>
                <w:color w:val="000000"/>
                <w:sz w:val="18"/>
                <w:szCs w:val="18"/>
                <w:lang w:val="ru-RU"/>
              </w:rPr>
            </w:pPr>
            <w:r>
              <w:rPr>
                <w:rStyle w:val="BodyTextChar1"/>
                <w:rFonts w:ascii="Verdana" w:hAnsi="Verdana"/>
                <w:color w:val="000000"/>
                <w:sz w:val="18"/>
                <w:szCs w:val="18"/>
                <w:lang w:val="ru-RU"/>
              </w:rPr>
              <w:t xml:space="preserve">2. </w:t>
            </w:r>
            <w:r w:rsidRPr="00EB59AA">
              <w:rPr>
                <w:rStyle w:val="BodyTextChar1"/>
                <w:rFonts w:ascii="Verdana" w:hAnsi="Verdana"/>
                <w:color w:val="000000"/>
                <w:sz w:val="18"/>
                <w:szCs w:val="18"/>
                <w:lang w:val="ru-RU"/>
              </w:rPr>
              <w:t>Приемаме въвеждането на минимална граница 0,5 ха за прилагане на съфинансиране на застрахователни премии по отношение на маслодайните култури, доколкото изложената от МЗХ причина за него е включването на всички маслодайни култури в мярката, а не само на съфинансираните досега. Считаме, че доколкото долната граница се разширява, това не би следвало да представлява проблем.</w:t>
            </w:r>
          </w:p>
        </w:tc>
        <w:tc>
          <w:tcPr>
            <w:tcW w:w="1559" w:type="dxa"/>
            <w:tcBorders>
              <w:top w:val="nil"/>
              <w:left w:val="single" w:sz="12" w:space="0" w:color="2E74B5"/>
              <w:bottom w:val="nil"/>
              <w:right w:val="single" w:sz="12" w:space="0" w:color="2E74B5"/>
            </w:tcBorders>
            <w:shd w:val="clear" w:color="auto" w:fill="auto"/>
          </w:tcPr>
          <w:p w:rsidR="00CA5E8F" w:rsidRPr="007D0AFE" w:rsidRDefault="00CA5E8F" w:rsidP="005212F4">
            <w:pPr>
              <w:spacing w:before="60" w:after="40"/>
              <w:rPr>
                <w:rFonts w:ascii="Verdana" w:hAnsi="Verdana"/>
                <w:sz w:val="22"/>
                <w:szCs w:val="22"/>
              </w:rPr>
            </w:pPr>
          </w:p>
        </w:tc>
        <w:tc>
          <w:tcPr>
            <w:tcW w:w="4964" w:type="dxa"/>
            <w:tcBorders>
              <w:top w:val="nil"/>
              <w:left w:val="single" w:sz="12" w:space="0" w:color="2E74B5"/>
              <w:bottom w:val="nil"/>
              <w:right w:val="single" w:sz="24" w:space="0" w:color="2E74B5"/>
            </w:tcBorders>
            <w:shd w:val="clear" w:color="auto" w:fill="auto"/>
          </w:tcPr>
          <w:p w:rsidR="00CA5E8F" w:rsidRPr="007D0AFE" w:rsidRDefault="00CA5E8F" w:rsidP="005212F4">
            <w:pPr>
              <w:spacing w:before="60" w:after="40"/>
              <w:rPr>
                <w:rFonts w:ascii="Verdana" w:hAnsi="Verdana"/>
                <w:sz w:val="22"/>
                <w:szCs w:val="22"/>
              </w:rPr>
            </w:pPr>
          </w:p>
        </w:tc>
      </w:tr>
      <w:tr w:rsidR="00CA5E8F" w:rsidRPr="007D0AFE" w:rsidTr="00F62CE9">
        <w:trPr>
          <w:trHeight w:val="596"/>
        </w:trPr>
        <w:tc>
          <w:tcPr>
            <w:tcW w:w="622" w:type="dxa"/>
            <w:tcBorders>
              <w:top w:val="nil"/>
              <w:left w:val="single" w:sz="24" w:space="0" w:color="2E74B5"/>
              <w:bottom w:val="nil"/>
              <w:right w:val="single" w:sz="12" w:space="0" w:color="2E74B5"/>
            </w:tcBorders>
            <w:shd w:val="clear" w:color="auto" w:fill="auto"/>
          </w:tcPr>
          <w:p w:rsidR="00CA5E8F" w:rsidRPr="007D0AFE" w:rsidRDefault="00CA5E8F" w:rsidP="005212F4">
            <w:pPr>
              <w:tabs>
                <w:tab w:val="left" w:pos="192"/>
              </w:tabs>
              <w:spacing w:before="60" w:after="40"/>
              <w:jc w:val="center"/>
              <w:rPr>
                <w:rFonts w:ascii="Verdana" w:hAnsi="Verdana"/>
                <w:b/>
                <w:sz w:val="22"/>
                <w:szCs w:val="22"/>
              </w:rPr>
            </w:pPr>
          </w:p>
        </w:tc>
        <w:tc>
          <w:tcPr>
            <w:tcW w:w="3030" w:type="dxa"/>
            <w:tcBorders>
              <w:top w:val="nil"/>
              <w:left w:val="single" w:sz="12" w:space="0" w:color="2E74B5"/>
              <w:bottom w:val="nil"/>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Pr>
                <w:rStyle w:val="BodyTextChar1"/>
                <w:rFonts w:ascii="Verdana" w:hAnsi="Verdana"/>
                <w:color w:val="000000"/>
                <w:sz w:val="18"/>
                <w:szCs w:val="18"/>
                <w:lang w:val="ru-RU"/>
              </w:rPr>
              <w:t xml:space="preserve">3. </w:t>
            </w:r>
            <w:r w:rsidRPr="00EB59AA">
              <w:rPr>
                <w:rStyle w:val="BodyTextChar1"/>
                <w:rFonts w:ascii="Verdana" w:hAnsi="Verdana"/>
                <w:color w:val="000000"/>
                <w:sz w:val="18"/>
                <w:szCs w:val="18"/>
                <w:lang w:val="ru-RU"/>
              </w:rPr>
              <w:t xml:space="preserve">По отношение на дефинициите за неблагоприятни климатични събития приемаме обяснението на МЗХ, че това са дефинициите по регламента и че отклонение от тях не би следвало да се допуска. Съответно, приемаме и разчитаме на уверенията на МЗХ, че тези относително широки дефиниции няма да представляват проблем и ще предоставят повече оперативна свобода, както и че няма да има риск за нееднозначно тълкуване на изискваното от проекта покритие на „един или няколко“ от включените в дефиницията застрахователни рискове </w:t>
            </w:r>
            <w:r w:rsidR="00F62CE9">
              <w:rPr>
                <w:rStyle w:val="BodyTextChar1"/>
                <w:rFonts w:ascii="Verdana" w:hAnsi="Verdana"/>
                <w:color w:val="000000"/>
                <w:sz w:val="18"/>
                <w:szCs w:val="18"/>
                <w:lang w:val="ru-RU"/>
              </w:rPr>
              <w:t>–</w:t>
            </w:r>
            <w:r w:rsidRPr="00EB59AA">
              <w:rPr>
                <w:rStyle w:val="BodyTextChar1"/>
                <w:rFonts w:ascii="Verdana" w:hAnsi="Verdana"/>
                <w:color w:val="000000"/>
                <w:sz w:val="18"/>
                <w:szCs w:val="18"/>
                <w:lang w:val="ru-RU"/>
              </w:rPr>
              <w:t xml:space="preserve"> стига рискът/рисковете да са от климатични/метеорологични събития и да не се надхвърля максималния праг за съфинансиране.</w:t>
            </w:r>
          </w:p>
        </w:tc>
        <w:tc>
          <w:tcPr>
            <w:tcW w:w="1559" w:type="dxa"/>
            <w:tcBorders>
              <w:top w:val="nil"/>
              <w:left w:val="single" w:sz="12" w:space="0" w:color="2E74B5"/>
              <w:bottom w:val="nil"/>
              <w:right w:val="single" w:sz="12" w:space="0" w:color="2E74B5"/>
            </w:tcBorders>
            <w:shd w:val="clear" w:color="auto" w:fill="auto"/>
          </w:tcPr>
          <w:p w:rsidR="00CA5E8F" w:rsidRPr="007D0AFE" w:rsidRDefault="00CA5E8F" w:rsidP="005212F4">
            <w:pPr>
              <w:spacing w:before="60" w:after="40"/>
              <w:rPr>
                <w:rFonts w:ascii="Verdana" w:hAnsi="Verdana"/>
                <w:sz w:val="22"/>
                <w:szCs w:val="22"/>
              </w:rPr>
            </w:pPr>
          </w:p>
        </w:tc>
        <w:tc>
          <w:tcPr>
            <w:tcW w:w="4964" w:type="dxa"/>
            <w:tcBorders>
              <w:top w:val="nil"/>
              <w:left w:val="single" w:sz="12" w:space="0" w:color="2E74B5"/>
              <w:bottom w:val="nil"/>
              <w:right w:val="single" w:sz="24" w:space="0" w:color="2E74B5"/>
            </w:tcBorders>
            <w:shd w:val="clear" w:color="auto" w:fill="auto"/>
          </w:tcPr>
          <w:p w:rsidR="00CA5E8F" w:rsidRPr="007D0AFE" w:rsidRDefault="00CA5E8F" w:rsidP="005212F4">
            <w:pPr>
              <w:spacing w:before="60" w:after="40"/>
              <w:rPr>
                <w:rFonts w:ascii="Verdana" w:hAnsi="Verdana"/>
                <w:sz w:val="22"/>
                <w:szCs w:val="22"/>
              </w:rPr>
            </w:pPr>
          </w:p>
        </w:tc>
      </w:tr>
      <w:tr w:rsidR="00CA5E8F" w:rsidRPr="007D0AFE" w:rsidTr="00F62CE9">
        <w:trPr>
          <w:trHeight w:val="596"/>
        </w:trPr>
        <w:tc>
          <w:tcPr>
            <w:tcW w:w="622" w:type="dxa"/>
            <w:tcBorders>
              <w:top w:val="nil"/>
              <w:left w:val="single" w:sz="24" w:space="0" w:color="2E74B5"/>
              <w:bottom w:val="nil"/>
              <w:right w:val="single" w:sz="12" w:space="0" w:color="2E74B5"/>
            </w:tcBorders>
            <w:shd w:val="clear" w:color="auto" w:fill="auto"/>
          </w:tcPr>
          <w:p w:rsidR="00CA5E8F" w:rsidRPr="007D0AFE" w:rsidRDefault="00CA5E8F" w:rsidP="005212F4">
            <w:pPr>
              <w:tabs>
                <w:tab w:val="left" w:pos="192"/>
              </w:tabs>
              <w:spacing w:before="60" w:after="40"/>
              <w:jc w:val="center"/>
              <w:rPr>
                <w:rFonts w:ascii="Verdana" w:hAnsi="Verdana"/>
                <w:b/>
                <w:sz w:val="22"/>
                <w:szCs w:val="22"/>
              </w:rPr>
            </w:pPr>
          </w:p>
        </w:tc>
        <w:tc>
          <w:tcPr>
            <w:tcW w:w="3030" w:type="dxa"/>
            <w:tcBorders>
              <w:top w:val="nil"/>
              <w:left w:val="single" w:sz="12" w:space="0" w:color="2E74B5"/>
              <w:bottom w:val="nil"/>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Pr>
                <w:rStyle w:val="BodyTextChar1"/>
                <w:rFonts w:ascii="Verdana" w:hAnsi="Verdana"/>
                <w:color w:val="000000"/>
                <w:sz w:val="18"/>
                <w:szCs w:val="18"/>
                <w:lang w:val="ru-RU"/>
              </w:rPr>
              <w:t xml:space="preserve">4. </w:t>
            </w:r>
            <w:r w:rsidRPr="00EB59AA">
              <w:rPr>
                <w:rStyle w:val="BodyTextChar1"/>
                <w:rFonts w:ascii="Verdana" w:hAnsi="Verdana"/>
                <w:color w:val="000000"/>
                <w:sz w:val="18"/>
                <w:szCs w:val="18"/>
                <w:lang w:val="ru-RU"/>
              </w:rPr>
              <w:t xml:space="preserve">Наши членове обръщат внимание на доста общата разпоредба на чл. 6, ал.9 от Наредбата, като в тази връзка изтъкват, че от този проекто текст остава неясно какъв точно ще е механизмът за изискване/предоставяне на допълнителна информация от застрахователя в хипотезата на </w:t>
            </w:r>
            <w:r w:rsidRPr="00EB59AA">
              <w:rPr>
                <w:rStyle w:val="BodyTextChar1"/>
                <w:rFonts w:ascii="Verdana" w:hAnsi="Verdana"/>
                <w:color w:val="000000"/>
                <w:sz w:val="18"/>
                <w:szCs w:val="18"/>
                <w:lang w:val="ru-RU"/>
              </w:rPr>
              <w:lastRenderedPageBreak/>
              <w:t>договорен по отношение на конкретна застрахователна полица „бонус за контролирана квота на щетите „Участие в положителни</w:t>
            </w:r>
            <w:r>
              <w:rPr>
                <w:rStyle w:val="BodyTextChar1"/>
                <w:rFonts w:ascii="Verdana" w:hAnsi="Verdana"/>
                <w:color w:val="000000"/>
                <w:sz w:val="18"/>
                <w:szCs w:val="18"/>
                <w:lang w:val="ru-RU"/>
              </w:rPr>
              <w:t xml:space="preserve">я финансов резултат“. Съответно </w:t>
            </w:r>
            <w:r w:rsidRPr="00EB59AA">
              <w:rPr>
                <w:rStyle w:val="BodyTextChar1"/>
                <w:rFonts w:ascii="Verdana" w:hAnsi="Verdana"/>
                <w:color w:val="000000"/>
                <w:sz w:val="18"/>
                <w:szCs w:val="18"/>
                <w:lang w:val="ru-RU"/>
              </w:rPr>
              <w:t xml:space="preserve">остава неясно и какви ще бъдат или биха могли да бъдат последиците по отношение на съфинансирането на премии по такава полица, в т.ч. по отношение на земеделския производител. В тази връзка считаме за препоръчително тези два въпроса да бъдат изяснени по-подробно в наредбата, като се създаде ясен, последователен и прозрачен механизъм за изискване/предоставяне на информация и се изяснят последиците от договарянето и евентуалното изплащане на такъв бонус. Считаме, че това ще допринесе за предварителната яснота, </w:t>
            </w:r>
            <w:r>
              <w:rPr>
                <w:rStyle w:val="BodyTextChar1"/>
                <w:rFonts w:ascii="Verdana" w:hAnsi="Verdana"/>
                <w:color w:val="000000"/>
                <w:sz w:val="18"/>
                <w:szCs w:val="18"/>
                <w:lang w:val="ru-RU"/>
              </w:rPr>
              <w:t>прозрачността и прогнозируемост</w:t>
            </w:r>
            <w:r w:rsidRPr="00EB59AA">
              <w:rPr>
                <w:rStyle w:val="BodyTextChar1"/>
                <w:rFonts w:ascii="Verdana" w:hAnsi="Verdana"/>
                <w:color w:val="000000"/>
                <w:sz w:val="18"/>
                <w:szCs w:val="18"/>
                <w:lang w:val="ru-RU"/>
              </w:rPr>
              <w:t>а без нереалистични очаквания по отноше</w:t>
            </w:r>
            <w:r>
              <w:rPr>
                <w:rStyle w:val="BodyTextChar1"/>
                <w:rFonts w:ascii="Verdana" w:hAnsi="Verdana"/>
                <w:color w:val="000000"/>
                <w:sz w:val="18"/>
                <w:szCs w:val="18"/>
                <w:lang w:val="ru-RU"/>
              </w:rPr>
              <w:t>ние на този аспект от застрахов</w:t>
            </w:r>
            <w:r w:rsidRPr="00EB59AA">
              <w:rPr>
                <w:rStyle w:val="BodyTextChar1"/>
                <w:rFonts w:ascii="Verdana" w:hAnsi="Verdana"/>
                <w:color w:val="000000"/>
                <w:sz w:val="18"/>
                <w:szCs w:val="18"/>
                <w:lang w:val="ru-RU"/>
              </w:rPr>
              <w:t>ката, респективно за еднообразно тълкуване и прилагане на разпоредбата Съответно, до по-малко спорове и за по-високо доверие в мярката по интервенцията.</w:t>
            </w:r>
          </w:p>
        </w:tc>
        <w:tc>
          <w:tcPr>
            <w:tcW w:w="1559" w:type="dxa"/>
            <w:tcBorders>
              <w:top w:val="nil"/>
              <w:left w:val="single" w:sz="12" w:space="0" w:color="2E74B5"/>
              <w:bottom w:val="nil"/>
              <w:right w:val="single" w:sz="12" w:space="0" w:color="2E74B5"/>
            </w:tcBorders>
            <w:shd w:val="clear" w:color="auto" w:fill="auto"/>
          </w:tcPr>
          <w:p w:rsidR="00CA5E8F" w:rsidRPr="00C00BE8" w:rsidRDefault="00D90FB6" w:rsidP="005212F4">
            <w:pPr>
              <w:spacing w:before="60" w:after="40"/>
              <w:rPr>
                <w:rStyle w:val="BodyTextChar1"/>
                <w:rFonts w:ascii="Verdana" w:hAnsi="Verdana"/>
                <w:color w:val="000000"/>
                <w:sz w:val="18"/>
                <w:szCs w:val="18"/>
                <w:lang w:val="ru-RU"/>
              </w:rPr>
            </w:pPr>
            <w:r w:rsidRPr="00C00BE8">
              <w:rPr>
                <w:rStyle w:val="BodyTextChar1"/>
                <w:rFonts w:ascii="Verdana" w:hAnsi="Verdana"/>
                <w:color w:val="000000"/>
                <w:sz w:val="18"/>
                <w:szCs w:val="18"/>
                <w:lang w:val="ru-RU"/>
              </w:rPr>
              <w:lastRenderedPageBreak/>
              <w:t>Приема се</w:t>
            </w:r>
          </w:p>
        </w:tc>
        <w:tc>
          <w:tcPr>
            <w:tcW w:w="4964" w:type="dxa"/>
            <w:tcBorders>
              <w:top w:val="nil"/>
              <w:left w:val="single" w:sz="12" w:space="0" w:color="2E74B5"/>
              <w:bottom w:val="nil"/>
              <w:right w:val="single" w:sz="24" w:space="0" w:color="2E74B5"/>
            </w:tcBorders>
            <w:shd w:val="clear" w:color="auto" w:fill="auto"/>
          </w:tcPr>
          <w:p w:rsidR="00CA5E8F" w:rsidRPr="00D90FB6" w:rsidRDefault="00D90FB6" w:rsidP="005212F4">
            <w:pPr>
              <w:spacing w:before="60" w:after="40"/>
              <w:jc w:val="both"/>
              <w:rPr>
                <w:rFonts w:ascii="Verdana" w:hAnsi="Verdana"/>
                <w:b/>
                <w:sz w:val="22"/>
                <w:szCs w:val="22"/>
              </w:rPr>
            </w:pPr>
            <w:r w:rsidRPr="008519A2">
              <w:rPr>
                <w:rStyle w:val="BodyTextChar1"/>
                <w:rFonts w:ascii="Verdana" w:hAnsi="Verdana"/>
                <w:color w:val="000000"/>
                <w:sz w:val="18"/>
                <w:szCs w:val="18"/>
                <w:lang w:val="ru-RU"/>
              </w:rPr>
              <w:t>Последст</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ията са изяснение </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 чл. 10. ал 10., а именно при </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ръщане на част от платените средст</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а от застрахо</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ателя на застрахо</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ания, се намаля</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а застрахожателната премия и съотжетно се надх</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ърля максималния интензитет на помощта. Зато</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а </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 таки</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а ситуации, </w:t>
            </w:r>
            <w:r>
              <w:rPr>
                <w:rStyle w:val="BodyTextChar1"/>
                <w:rFonts w:ascii="Verdana" w:hAnsi="Verdana"/>
                <w:color w:val="000000"/>
                <w:sz w:val="18"/>
                <w:szCs w:val="18"/>
                <w:lang w:val="ru-RU"/>
              </w:rPr>
              <w:lastRenderedPageBreak/>
              <w:t>подпомаганеот след</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а да се редуцира до максималния интезитет от намалената премия. Подробно то</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а ще бъде изяснено </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 указанията към Наредбата. </w:t>
            </w:r>
          </w:p>
        </w:tc>
      </w:tr>
      <w:tr w:rsidR="00CA5E8F" w:rsidRPr="007D0AFE" w:rsidTr="00F62CE9">
        <w:trPr>
          <w:trHeight w:val="596"/>
        </w:trPr>
        <w:tc>
          <w:tcPr>
            <w:tcW w:w="622" w:type="dxa"/>
            <w:tcBorders>
              <w:top w:val="nil"/>
              <w:left w:val="single" w:sz="24" w:space="0" w:color="2E74B5"/>
              <w:bottom w:val="nil"/>
              <w:right w:val="single" w:sz="12" w:space="0" w:color="2E74B5"/>
            </w:tcBorders>
            <w:shd w:val="clear" w:color="auto" w:fill="auto"/>
          </w:tcPr>
          <w:p w:rsidR="00CA5E8F" w:rsidRPr="007D0AFE" w:rsidRDefault="00CA5E8F" w:rsidP="005212F4">
            <w:pPr>
              <w:tabs>
                <w:tab w:val="left" w:pos="192"/>
              </w:tabs>
              <w:spacing w:before="60" w:after="40"/>
              <w:jc w:val="center"/>
              <w:rPr>
                <w:rFonts w:ascii="Verdana" w:hAnsi="Verdana"/>
                <w:b/>
                <w:sz w:val="22"/>
                <w:szCs w:val="22"/>
              </w:rPr>
            </w:pPr>
          </w:p>
        </w:tc>
        <w:tc>
          <w:tcPr>
            <w:tcW w:w="3030" w:type="dxa"/>
            <w:tcBorders>
              <w:top w:val="nil"/>
              <w:left w:val="single" w:sz="12" w:space="0" w:color="2E74B5"/>
              <w:bottom w:val="nil"/>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Pr>
                <w:rStyle w:val="BodyTextChar1"/>
                <w:rFonts w:ascii="Verdana" w:hAnsi="Verdana"/>
                <w:color w:val="000000"/>
                <w:sz w:val="18"/>
                <w:szCs w:val="18"/>
                <w:lang w:val="ru-RU"/>
              </w:rPr>
              <w:t xml:space="preserve">5. </w:t>
            </w:r>
            <w:r w:rsidRPr="00EB59AA">
              <w:rPr>
                <w:rStyle w:val="BodyTextChar1"/>
                <w:rFonts w:ascii="Verdana" w:hAnsi="Verdana"/>
                <w:color w:val="000000"/>
                <w:sz w:val="18"/>
                <w:szCs w:val="18"/>
                <w:lang w:val="ru-RU"/>
              </w:rPr>
              <w:t>По отношение на чл. 7 ал. 2 приемаме уверението от страна на МЗХ, че упоменаването на максималния размер на съфинансирането в Наредбата ще е достатъчно и че ще е безпредметно въвеждането на допълнителни ограничения за застрахователни суми и тарифни числа. Склонни сме да се съгласим, че при това положение тарифните числа ще се саморегулират пазарно и при условията на свободна конкуренция, а застрахователните суми ще се регулират и формират обективно, на база адекватни оценки.</w:t>
            </w:r>
          </w:p>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Заедно с това считаме, че при това положение ще е необходимо да се осигури повече оперативност по отношение на упоменатия по култури максимален размер на съфинансирането, за да няма риск той да изостане от реалните икономически условия, които са видимо динамични, особено през последните години.</w:t>
            </w:r>
          </w:p>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 xml:space="preserve">Отдавна и в различни становища към МЗХ сме коментирали недостатъчността на тарифите, признавани досега от МЗХ при подпомагане на </w:t>
            </w:r>
            <w:r w:rsidRPr="00EB59AA">
              <w:rPr>
                <w:rStyle w:val="BodyTextChar1"/>
                <w:rFonts w:ascii="Verdana" w:hAnsi="Verdana"/>
                <w:color w:val="000000"/>
                <w:sz w:val="18"/>
                <w:szCs w:val="18"/>
                <w:lang w:val="ru-RU"/>
              </w:rPr>
              <w:lastRenderedPageBreak/>
              <w:t>земеделските производители по досегашната национална мярка - особено при застраховане на тютюн, зеленчуци и овощни култури.</w:t>
            </w:r>
          </w:p>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При новата интервенция такава недостатъчност не би следвало да се допуска, като тя може да се избегне само с текуща и оперативна преоценка през разумни периоди на посочения в Наредбата максимален размер на помощта - за да може той да се адаптира към динамиката на разходите за производство, респ. към цените/стойността на земеделската продукция от съответния вид,</w:t>
            </w:r>
          </w:p>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Следва да се изтъкне в тази връзка, че застрахователят не може да допуска недостатъчност на начисляваните от него застрахователни премии. По силата на чл. 115 и чл. 116 от Кодекса за застраховането, застрахователят е длъжен винаги да събира достатъчни застрахователни премии, които да са изчислени на базата на разумно актюерско допускане, да съответстват на оценката на поетия риск и на неговата експозиция чрез застрахователната сума и да осигуряват изпълнение на всички задължения на застрахователя, включително образуването на достатъчни технически резерви. Тоест, застрахователните премии по дефиниция зависят в най-голяма степен от оценката на риска и от неговата експозиция чрез застрахователната сума, която пък по дефиниция се определя от действителната стойност на застрахованото имущество.</w:t>
            </w:r>
          </w:p>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 xml:space="preserve">Предвид това и за да има същински смисъл, максималният размер на подпомагането на застраховането на земеделските култури за всички разумно мислими неблагоприятни климатични рискове за съответния вид култура следва да е и да се поддържа текущо в размер не по-малък от 70% от действителната стойност на хектар, на база на която се определят застрахователната сума и застрахователните премии. Ако това не се осигури, ще има риск или от подзастраховане или от спадане на процента за съфинансиране на премиите под </w:t>
            </w:r>
            <w:r w:rsidRPr="00EB59AA">
              <w:rPr>
                <w:rStyle w:val="BodyTextChar1"/>
                <w:rFonts w:ascii="Verdana" w:hAnsi="Verdana"/>
                <w:color w:val="000000"/>
                <w:sz w:val="18"/>
                <w:szCs w:val="18"/>
                <w:lang w:val="ru-RU"/>
              </w:rPr>
              <w:lastRenderedPageBreak/>
              <w:t>съответния допустим процент или от изключването на определени значими рискове от застрахователното покритие - при това почти по принуда, най-вече поради несъответствието на максималния размер на съфинансирането с действителната стойност на продукцията.</w:t>
            </w:r>
          </w:p>
          <w:p w:rsidR="00CA5E8F" w:rsidRPr="008519A2"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Според наши членове, такова несъответствие/</w:t>
            </w:r>
            <w:r w:rsidR="00F62CE9">
              <w:rPr>
                <w:rStyle w:val="BodyTextChar1"/>
                <w:rFonts w:ascii="Verdana" w:hAnsi="Verdana"/>
                <w:color w:val="000000"/>
                <w:sz w:val="18"/>
                <w:szCs w:val="18"/>
                <w:lang w:val="ru-RU"/>
              </w:rPr>
              <w:t xml:space="preserve"> </w:t>
            </w:r>
            <w:r w:rsidRPr="00EB59AA">
              <w:rPr>
                <w:rStyle w:val="BodyTextChar1"/>
                <w:rFonts w:ascii="Verdana" w:hAnsi="Verdana"/>
                <w:color w:val="000000"/>
                <w:sz w:val="18"/>
                <w:szCs w:val="18"/>
                <w:lang w:val="ru-RU"/>
              </w:rPr>
              <w:t>недостатъчност ще има дори сега, в контекста на посоченото в чл. 7, ал.</w:t>
            </w:r>
            <w:r w:rsidR="00F62CE9">
              <w:rPr>
                <w:rStyle w:val="BodyTextChar1"/>
                <w:rFonts w:ascii="Verdana" w:hAnsi="Verdana"/>
                <w:color w:val="000000"/>
                <w:sz w:val="18"/>
                <w:szCs w:val="18"/>
                <w:lang w:val="ru-RU"/>
              </w:rPr>
              <w:t xml:space="preserve"> </w:t>
            </w:r>
            <w:r w:rsidRPr="00EB59AA">
              <w:rPr>
                <w:rStyle w:val="BodyTextChar1"/>
                <w:rFonts w:ascii="Verdana" w:hAnsi="Verdana"/>
                <w:color w:val="000000"/>
                <w:sz w:val="18"/>
                <w:szCs w:val="18"/>
                <w:lang w:val="ru-RU"/>
              </w:rPr>
              <w:t>1, т.</w:t>
            </w:r>
            <w:r w:rsidR="00F62CE9">
              <w:rPr>
                <w:rStyle w:val="BodyTextChar1"/>
                <w:rFonts w:ascii="Verdana" w:hAnsi="Verdana"/>
                <w:color w:val="000000"/>
                <w:sz w:val="18"/>
                <w:szCs w:val="18"/>
                <w:lang w:val="ru-RU"/>
              </w:rPr>
              <w:t xml:space="preserve"> </w:t>
            </w:r>
            <w:r w:rsidRPr="00EB59AA">
              <w:rPr>
                <w:rStyle w:val="BodyTextChar1"/>
                <w:rFonts w:ascii="Verdana" w:hAnsi="Verdana"/>
                <w:color w:val="000000"/>
                <w:sz w:val="18"/>
                <w:szCs w:val="18"/>
                <w:lang w:val="ru-RU"/>
              </w:rPr>
              <w:t xml:space="preserve">3 </w:t>
            </w:r>
            <w:r w:rsidR="00F62CE9">
              <w:rPr>
                <w:rStyle w:val="BodyTextChar1"/>
                <w:rFonts w:ascii="Verdana" w:hAnsi="Verdana"/>
                <w:color w:val="000000"/>
                <w:sz w:val="18"/>
                <w:szCs w:val="18"/>
                <w:lang w:val="ru-RU"/>
              </w:rPr>
              <w:t>–</w:t>
            </w:r>
            <w:r w:rsidRPr="00EB59AA">
              <w:rPr>
                <w:rStyle w:val="BodyTextChar1"/>
                <w:rFonts w:ascii="Verdana" w:hAnsi="Verdana"/>
                <w:color w:val="000000"/>
                <w:sz w:val="18"/>
                <w:szCs w:val="18"/>
                <w:lang w:val="ru-RU"/>
              </w:rPr>
              <w:t xml:space="preserve"> при определянето на максимален размер 54 лв/ха на подпомагането при отглеждане на зърнени и маслодайни култури. Тази недостатъчност ще се прояви най-вече по отношение на допълнителното включване на зимните рискове /измръзване, изтегляне/под застрахователно покритие, което </w:t>
            </w:r>
            <w:r w:rsidRPr="008519A2">
              <w:rPr>
                <w:rStyle w:val="BodyTextChar1"/>
                <w:rFonts w:ascii="Verdana" w:hAnsi="Verdana"/>
                <w:color w:val="000000"/>
                <w:sz w:val="18"/>
                <w:szCs w:val="18"/>
                <w:lang w:val="ru-RU"/>
              </w:rPr>
              <w:t>съгласно обясненията на срещата с МЗХ ще стане възможно по новата интервенция за съфинансиране на застрахователните премии. Ако се добавят и други рискове, проблемът ще се задълбочи още повече.</w:t>
            </w:r>
          </w:p>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8519A2">
              <w:rPr>
                <w:rStyle w:val="BodyTextChar1"/>
                <w:rFonts w:ascii="Verdana" w:hAnsi="Verdana"/>
                <w:color w:val="000000"/>
                <w:sz w:val="18"/>
                <w:szCs w:val="18"/>
                <w:lang w:val="ru-RU"/>
              </w:rPr>
              <w:t>Предвид изложеното предлагаме:</w:t>
            </w:r>
          </w:p>
        </w:tc>
        <w:tc>
          <w:tcPr>
            <w:tcW w:w="1559" w:type="dxa"/>
            <w:tcBorders>
              <w:top w:val="nil"/>
              <w:left w:val="single" w:sz="12" w:space="0" w:color="2E74B5"/>
              <w:bottom w:val="nil"/>
              <w:right w:val="single" w:sz="12" w:space="0" w:color="2E74B5"/>
            </w:tcBorders>
            <w:shd w:val="clear" w:color="auto" w:fill="auto"/>
          </w:tcPr>
          <w:p w:rsidR="00CA5E8F" w:rsidRPr="007D0AFE" w:rsidRDefault="00CA5E8F" w:rsidP="005212F4">
            <w:pPr>
              <w:spacing w:before="60" w:after="40"/>
              <w:rPr>
                <w:rFonts w:ascii="Verdana" w:hAnsi="Verdana"/>
                <w:sz w:val="22"/>
                <w:szCs w:val="22"/>
              </w:rPr>
            </w:pPr>
          </w:p>
        </w:tc>
        <w:tc>
          <w:tcPr>
            <w:tcW w:w="4964" w:type="dxa"/>
            <w:tcBorders>
              <w:top w:val="nil"/>
              <w:left w:val="single" w:sz="12" w:space="0" w:color="2E74B5"/>
              <w:bottom w:val="nil"/>
              <w:right w:val="single" w:sz="24" w:space="0" w:color="2E74B5"/>
            </w:tcBorders>
            <w:shd w:val="clear" w:color="auto" w:fill="auto"/>
          </w:tcPr>
          <w:p w:rsidR="00CA5E8F" w:rsidRPr="007D0AFE" w:rsidRDefault="00CA5E8F" w:rsidP="005212F4">
            <w:pPr>
              <w:spacing w:before="60" w:after="40"/>
              <w:rPr>
                <w:rFonts w:ascii="Verdana" w:hAnsi="Verdana"/>
                <w:sz w:val="22"/>
                <w:szCs w:val="22"/>
              </w:rPr>
            </w:pPr>
          </w:p>
        </w:tc>
      </w:tr>
      <w:tr w:rsidR="008623C1" w:rsidRPr="007D0AFE" w:rsidTr="00F62CE9">
        <w:trPr>
          <w:trHeight w:val="596"/>
        </w:trPr>
        <w:tc>
          <w:tcPr>
            <w:tcW w:w="622" w:type="dxa"/>
            <w:vMerge w:val="restart"/>
            <w:tcBorders>
              <w:top w:val="nil"/>
              <w:left w:val="single" w:sz="24" w:space="0" w:color="2E74B5"/>
              <w:bottom w:val="single" w:sz="18" w:space="0" w:color="2E74B5"/>
              <w:right w:val="single" w:sz="12" w:space="0" w:color="2E74B5"/>
            </w:tcBorders>
            <w:shd w:val="clear" w:color="auto" w:fill="auto"/>
          </w:tcPr>
          <w:p w:rsidR="008623C1" w:rsidRPr="007D0AFE" w:rsidRDefault="008623C1" w:rsidP="005212F4">
            <w:pPr>
              <w:tabs>
                <w:tab w:val="left" w:pos="192"/>
              </w:tabs>
              <w:spacing w:before="60" w:after="40"/>
              <w:jc w:val="center"/>
              <w:rPr>
                <w:rFonts w:ascii="Verdana" w:hAnsi="Verdana"/>
                <w:b/>
                <w:sz w:val="22"/>
                <w:szCs w:val="22"/>
              </w:rPr>
            </w:pPr>
          </w:p>
        </w:tc>
        <w:tc>
          <w:tcPr>
            <w:tcW w:w="3030" w:type="dxa"/>
            <w:vMerge w:val="restart"/>
            <w:tcBorders>
              <w:top w:val="nil"/>
              <w:left w:val="single" w:sz="12" w:space="0" w:color="2E74B5"/>
              <w:bottom w:val="single" w:sz="18" w:space="0" w:color="2E74B5"/>
              <w:right w:val="single" w:sz="18" w:space="0" w:color="2E74B5"/>
            </w:tcBorders>
            <w:shd w:val="clear" w:color="auto" w:fill="auto"/>
          </w:tcPr>
          <w:p w:rsidR="008623C1" w:rsidRPr="007D0AFE" w:rsidRDefault="008623C1"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8623C1" w:rsidRPr="00EB59AA" w:rsidRDefault="008623C1" w:rsidP="005212F4">
            <w:pPr>
              <w:pStyle w:val="BodyText"/>
              <w:spacing w:before="60" w:after="40"/>
              <w:ind w:left="23" w:right="23"/>
              <w:jc w:val="both"/>
              <w:rPr>
                <w:rStyle w:val="BodyTextChar1"/>
                <w:rFonts w:ascii="Verdana" w:hAnsi="Verdana"/>
                <w:color w:val="000000"/>
                <w:sz w:val="18"/>
                <w:szCs w:val="18"/>
                <w:lang w:val="ru-RU"/>
              </w:rPr>
            </w:pPr>
            <w:r w:rsidRPr="008519A2">
              <w:rPr>
                <w:rStyle w:val="BodyTextChar1"/>
                <w:rFonts w:ascii="Verdana" w:hAnsi="Verdana"/>
                <w:color w:val="000000"/>
                <w:sz w:val="18"/>
                <w:szCs w:val="18"/>
                <w:lang w:val="ru-RU"/>
              </w:rPr>
              <w:t>Максималният размер за съфинансиране по чл. 7, ал.</w:t>
            </w:r>
            <w:r w:rsidR="00F62CE9">
              <w:rPr>
                <w:rStyle w:val="BodyTextChar1"/>
                <w:rFonts w:ascii="Verdana" w:hAnsi="Verdana"/>
                <w:color w:val="000000"/>
                <w:sz w:val="18"/>
                <w:szCs w:val="18"/>
                <w:lang w:val="ru-RU"/>
              </w:rPr>
              <w:t xml:space="preserve"> </w:t>
            </w:r>
            <w:r w:rsidRPr="008519A2">
              <w:rPr>
                <w:rStyle w:val="BodyTextChar1"/>
                <w:rFonts w:ascii="Verdana" w:hAnsi="Verdana"/>
                <w:color w:val="000000"/>
                <w:sz w:val="18"/>
                <w:szCs w:val="18"/>
                <w:lang w:val="ru-RU"/>
              </w:rPr>
              <w:t>2, т.</w:t>
            </w:r>
            <w:r w:rsidR="00F62CE9">
              <w:rPr>
                <w:rStyle w:val="BodyTextChar1"/>
                <w:rFonts w:ascii="Verdana" w:hAnsi="Verdana"/>
                <w:color w:val="000000"/>
                <w:sz w:val="18"/>
                <w:szCs w:val="18"/>
                <w:lang w:val="ru-RU"/>
              </w:rPr>
              <w:t xml:space="preserve"> </w:t>
            </w:r>
            <w:r w:rsidRPr="008519A2">
              <w:rPr>
                <w:rStyle w:val="BodyTextChar1"/>
                <w:rFonts w:ascii="Verdana" w:hAnsi="Verdana"/>
                <w:color w:val="000000"/>
                <w:sz w:val="18"/>
                <w:szCs w:val="18"/>
                <w:lang w:val="ru-RU"/>
              </w:rPr>
              <w:t>3 или да се увеличи на 76 лева на хектар, или да се запази на 54 лева на хектар за застраховане на основните рискове /градушка, буря и проливен дъжд/, но да може да се увеличи до 76 лева на хектар при включване на зимни рискове и/или на други допълнителни рискове от неблагоприятни климатични събития.</w:t>
            </w:r>
          </w:p>
        </w:tc>
        <w:tc>
          <w:tcPr>
            <w:tcW w:w="1559" w:type="dxa"/>
            <w:tcBorders>
              <w:top w:val="nil"/>
              <w:left w:val="single" w:sz="12" w:space="0" w:color="2E74B5"/>
              <w:bottom w:val="nil"/>
              <w:right w:val="single" w:sz="12" w:space="0" w:color="2E74B5"/>
            </w:tcBorders>
            <w:shd w:val="clear" w:color="auto" w:fill="auto"/>
          </w:tcPr>
          <w:p w:rsidR="008623C1" w:rsidRPr="009E2732" w:rsidRDefault="00F62CE9" w:rsidP="005212F4">
            <w:pPr>
              <w:spacing w:before="60" w:after="40"/>
              <w:rPr>
                <w:rFonts w:ascii="Verdana" w:hAnsi="Verdana"/>
                <w:sz w:val="18"/>
                <w:szCs w:val="18"/>
              </w:rPr>
            </w:pPr>
            <w:r w:rsidRPr="009E2732">
              <w:rPr>
                <w:rFonts w:ascii="Verdana" w:hAnsi="Verdana"/>
                <w:sz w:val="18"/>
                <w:szCs w:val="18"/>
              </w:rPr>
              <w:t>Приема се</w:t>
            </w:r>
          </w:p>
          <w:p w:rsidR="00F62CE9" w:rsidRPr="00F62CE9" w:rsidRDefault="00F62CE9" w:rsidP="005212F4">
            <w:pPr>
              <w:spacing w:before="60" w:after="40"/>
              <w:rPr>
                <w:rFonts w:ascii="Verdana" w:hAnsi="Verdana"/>
                <w:color w:val="FF0000"/>
                <w:sz w:val="18"/>
                <w:szCs w:val="18"/>
              </w:rPr>
            </w:pPr>
          </w:p>
        </w:tc>
        <w:tc>
          <w:tcPr>
            <w:tcW w:w="4964" w:type="dxa"/>
            <w:tcBorders>
              <w:top w:val="nil"/>
              <w:left w:val="single" w:sz="12" w:space="0" w:color="2E74B5"/>
              <w:bottom w:val="nil"/>
              <w:right w:val="single" w:sz="24" w:space="0" w:color="2E74B5"/>
            </w:tcBorders>
            <w:shd w:val="clear" w:color="auto" w:fill="auto"/>
          </w:tcPr>
          <w:p w:rsidR="008623C1" w:rsidRPr="007D0AFE" w:rsidRDefault="009E2732" w:rsidP="009E2732">
            <w:pPr>
              <w:spacing w:before="60" w:after="40"/>
              <w:jc w:val="both"/>
              <w:rPr>
                <w:rFonts w:ascii="Verdana" w:hAnsi="Verdana"/>
                <w:sz w:val="22"/>
                <w:szCs w:val="22"/>
              </w:rPr>
            </w:pPr>
            <w:r w:rsidRPr="009E2732">
              <w:rPr>
                <w:rStyle w:val="BodyTextChar1"/>
                <w:rFonts w:ascii="Verdana" w:hAnsi="Verdana"/>
                <w:color w:val="000000"/>
                <w:sz w:val="18"/>
                <w:szCs w:val="18"/>
                <w:lang w:val="ru-RU"/>
              </w:rPr>
              <w:t>Нанесена е съответната корекция в проекта на наредба.</w:t>
            </w:r>
            <w:r>
              <w:rPr>
                <w:rFonts w:ascii="Verdana" w:hAnsi="Verdana"/>
                <w:sz w:val="22"/>
                <w:szCs w:val="22"/>
              </w:rPr>
              <w:t xml:space="preserve"> </w:t>
            </w:r>
          </w:p>
        </w:tc>
      </w:tr>
      <w:tr w:rsidR="008623C1" w:rsidRPr="007D0AFE" w:rsidTr="00B90C96">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8623C1" w:rsidRPr="007D0AFE" w:rsidRDefault="008623C1"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8623C1" w:rsidRPr="007D0AFE" w:rsidRDefault="008623C1"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8623C1" w:rsidRPr="00EB59AA" w:rsidRDefault="008623C1" w:rsidP="005212F4">
            <w:pPr>
              <w:pStyle w:val="BodyText"/>
              <w:spacing w:before="60" w:after="40"/>
              <w:ind w:right="23"/>
              <w:jc w:val="both"/>
              <w:rPr>
                <w:rStyle w:val="BodyTextChar1"/>
                <w:rFonts w:ascii="Verdana" w:hAnsi="Verdana"/>
                <w:color w:val="000000"/>
                <w:sz w:val="18"/>
                <w:szCs w:val="18"/>
                <w:lang w:val="ru-RU"/>
              </w:rPr>
            </w:pPr>
            <w:r w:rsidRPr="008519A2">
              <w:rPr>
                <w:rStyle w:val="BodyTextChar1"/>
                <w:rFonts w:ascii="Verdana" w:hAnsi="Verdana"/>
                <w:color w:val="000000"/>
                <w:sz w:val="18"/>
                <w:szCs w:val="18"/>
                <w:lang w:val="ru-RU"/>
              </w:rPr>
              <w:t>Да се създаде механизъм за текуща /ежегодна/ преоценка на всички суми по чл. 7, ал.</w:t>
            </w:r>
            <w:r w:rsidR="00F62CE9">
              <w:rPr>
                <w:rStyle w:val="BodyTextChar1"/>
                <w:rFonts w:ascii="Verdana" w:hAnsi="Verdana"/>
                <w:color w:val="000000"/>
                <w:sz w:val="18"/>
                <w:szCs w:val="18"/>
                <w:lang w:val="ru-RU"/>
              </w:rPr>
              <w:t xml:space="preserve"> </w:t>
            </w:r>
            <w:r w:rsidRPr="008519A2">
              <w:rPr>
                <w:rStyle w:val="BodyTextChar1"/>
                <w:rFonts w:ascii="Verdana" w:hAnsi="Verdana"/>
                <w:color w:val="000000"/>
                <w:sz w:val="18"/>
                <w:szCs w:val="18"/>
                <w:lang w:val="ru-RU"/>
              </w:rPr>
              <w:t xml:space="preserve">2 </w:t>
            </w:r>
            <w:r w:rsidR="00F62CE9">
              <w:rPr>
                <w:rStyle w:val="BodyTextChar1"/>
                <w:rFonts w:ascii="Verdana" w:hAnsi="Verdana"/>
                <w:color w:val="000000"/>
                <w:sz w:val="18"/>
                <w:szCs w:val="18"/>
                <w:lang w:val="ru-RU"/>
              </w:rPr>
              <w:t>–</w:t>
            </w:r>
            <w:r w:rsidRPr="008519A2">
              <w:rPr>
                <w:rStyle w:val="BodyTextChar1"/>
                <w:rFonts w:ascii="Verdana" w:hAnsi="Verdana"/>
                <w:color w:val="000000"/>
                <w:sz w:val="18"/>
                <w:szCs w:val="18"/>
                <w:lang w:val="ru-RU"/>
              </w:rPr>
              <w:t xml:space="preserve"> за да може актуализация, респективно тяхното текущо и постоянно съответствие с динамиката на икономическите условия.</w:t>
            </w:r>
          </w:p>
        </w:tc>
        <w:tc>
          <w:tcPr>
            <w:tcW w:w="1559" w:type="dxa"/>
            <w:tcBorders>
              <w:top w:val="nil"/>
              <w:left w:val="single" w:sz="12" w:space="0" w:color="2E74B5"/>
              <w:bottom w:val="nil"/>
              <w:right w:val="single" w:sz="12" w:space="0" w:color="2E74B5"/>
            </w:tcBorders>
            <w:shd w:val="clear" w:color="auto" w:fill="auto"/>
          </w:tcPr>
          <w:p w:rsidR="008623C1" w:rsidRPr="008623C1" w:rsidRDefault="008623C1" w:rsidP="005212F4">
            <w:pPr>
              <w:spacing w:before="60" w:after="40"/>
              <w:rPr>
                <w:rFonts w:ascii="Verdana" w:hAnsi="Verdana"/>
                <w:sz w:val="18"/>
                <w:szCs w:val="18"/>
              </w:rPr>
            </w:pPr>
            <w:r w:rsidRPr="008623C1">
              <w:rPr>
                <w:rFonts w:ascii="Verdana" w:hAnsi="Verdana"/>
                <w:sz w:val="18"/>
                <w:szCs w:val="18"/>
              </w:rPr>
              <w:t>Приема се</w:t>
            </w:r>
          </w:p>
        </w:tc>
        <w:tc>
          <w:tcPr>
            <w:tcW w:w="4964" w:type="dxa"/>
            <w:tcBorders>
              <w:top w:val="nil"/>
              <w:left w:val="single" w:sz="12" w:space="0" w:color="2E74B5"/>
              <w:bottom w:val="nil"/>
              <w:right w:val="single" w:sz="24" w:space="0" w:color="2E74B5"/>
            </w:tcBorders>
            <w:shd w:val="clear" w:color="auto" w:fill="auto"/>
          </w:tcPr>
          <w:p w:rsidR="008623C1" w:rsidRPr="008623C1" w:rsidRDefault="008623C1" w:rsidP="005212F4">
            <w:pPr>
              <w:pStyle w:val="Heading1"/>
              <w:spacing w:before="60" w:after="40"/>
              <w:ind w:firstLine="0"/>
              <w:jc w:val="both"/>
              <w:rPr>
                <w:rFonts w:ascii="Verdana" w:hAnsi="Verdana"/>
                <w:sz w:val="18"/>
                <w:szCs w:val="18"/>
              </w:rPr>
            </w:pPr>
            <w:r w:rsidRPr="008623C1">
              <w:rPr>
                <w:rStyle w:val="BodyTextChar1"/>
                <w:rFonts w:ascii="Verdana" w:hAnsi="Verdana"/>
                <w:b w:val="0"/>
                <w:color w:val="000000"/>
                <w:sz w:val="18"/>
                <w:szCs w:val="18"/>
                <w:lang w:val="ru-RU" w:eastAsia="bg-BG"/>
              </w:rPr>
              <w:t>Отчита се необходимостта от създаване на такъв механизъм.</w:t>
            </w:r>
          </w:p>
        </w:tc>
      </w:tr>
      <w:tr w:rsidR="00CA5E8F" w:rsidRPr="007D0AFE" w:rsidTr="00B90C96">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2E45BC"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6</w:t>
            </w:r>
            <w:r>
              <w:rPr>
                <w:rStyle w:val="BodyTextChar1"/>
                <w:rFonts w:ascii="Verdana" w:hAnsi="Verdana"/>
                <w:color w:val="000000"/>
                <w:sz w:val="18"/>
                <w:szCs w:val="18"/>
                <w:lang w:val="ru-RU"/>
              </w:rPr>
              <w:t>.</w:t>
            </w:r>
            <w:r w:rsidRPr="00EB59AA">
              <w:rPr>
                <w:rStyle w:val="BodyTextChar1"/>
                <w:rFonts w:ascii="Verdana" w:hAnsi="Verdana"/>
                <w:color w:val="000000"/>
                <w:sz w:val="18"/>
                <w:szCs w:val="18"/>
                <w:lang w:val="ru-RU"/>
              </w:rPr>
              <w:t xml:space="preserve"> По възраженията ни за съществената промяна в процеса на обезщетяване и опасенията на наши членове, че тя би била трудно приемлива за земеделските стопани, приемаме уверенията на МЗХ, че това са условията на ЕК по финансираната с европейски средства нова мярка </w:t>
            </w:r>
            <w:r w:rsidR="00F62CE9">
              <w:rPr>
                <w:rStyle w:val="BodyTextChar1"/>
                <w:rFonts w:ascii="Verdana" w:hAnsi="Verdana"/>
                <w:color w:val="000000"/>
                <w:sz w:val="18"/>
                <w:szCs w:val="18"/>
                <w:lang w:val="ru-RU"/>
              </w:rPr>
              <w:t>–</w:t>
            </w:r>
            <w:r w:rsidRPr="00EB59AA">
              <w:rPr>
                <w:rStyle w:val="BodyTextChar1"/>
                <w:rFonts w:ascii="Verdana" w:hAnsi="Verdana"/>
                <w:color w:val="000000"/>
                <w:sz w:val="18"/>
                <w:szCs w:val="18"/>
                <w:lang w:val="ru-RU"/>
              </w:rPr>
              <w:t xml:space="preserve"> съответно, че </w:t>
            </w:r>
            <w:r w:rsidRPr="00EB59AA">
              <w:rPr>
                <w:rStyle w:val="BodyTextChar1"/>
                <w:rFonts w:ascii="Verdana" w:hAnsi="Verdana"/>
                <w:color w:val="000000"/>
                <w:sz w:val="18"/>
                <w:szCs w:val="18"/>
                <w:lang w:val="ru-RU"/>
              </w:rPr>
              <w:lastRenderedPageBreak/>
              <w:t>съфинансирането на премии може да става само чрез възстановяване на ефективно направени разходи за застраховане, като плащането би могло да е само към земеделския производител и не може да има директни плащания към застрахователя, както беше по досегашната национална мярка.</w:t>
            </w:r>
          </w:p>
        </w:tc>
        <w:tc>
          <w:tcPr>
            <w:tcW w:w="1559" w:type="dxa"/>
            <w:tcBorders>
              <w:top w:val="nil"/>
              <w:left w:val="single" w:sz="12" w:space="0" w:color="2E74B5"/>
              <w:bottom w:val="nil"/>
              <w:right w:val="single" w:sz="12" w:space="0" w:color="2E74B5"/>
            </w:tcBorders>
            <w:shd w:val="clear" w:color="auto" w:fill="auto"/>
          </w:tcPr>
          <w:p w:rsidR="00CA5E8F" w:rsidRPr="007D0AFE" w:rsidRDefault="00CA5E8F" w:rsidP="005212F4">
            <w:pPr>
              <w:spacing w:before="60" w:after="40"/>
              <w:rPr>
                <w:rFonts w:ascii="Verdana" w:hAnsi="Verdana"/>
                <w:sz w:val="22"/>
                <w:szCs w:val="22"/>
              </w:rPr>
            </w:pPr>
          </w:p>
        </w:tc>
        <w:tc>
          <w:tcPr>
            <w:tcW w:w="4964" w:type="dxa"/>
            <w:tcBorders>
              <w:top w:val="nil"/>
              <w:left w:val="single" w:sz="12" w:space="0" w:color="2E74B5"/>
              <w:bottom w:val="nil"/>
              <w:right w:val="single" w:sz="24" w:space="0" w:color="2E74B5"/>
            </w:tcBorders>
            <w:shd w:val="clear" w:color="auto" w:fill="auto"/>
          </w:tcPr>
          <w:p w:rsidR="00CA5E8F" w:rsidRPr="007D0AFE" w:rsidRDefault="00CA5E8F" w:rsidP="005212F4">
            <w:pPr>
              <w:spacing w:before="60" w:after="40"/>
              <w:rPr>
                <w:rFonts w:ascii="Verdana" w:hAnsi="Verdana"/>
                <w:sz w:val="22"/>
                <w:szCs w:val="22"/>
              </w:rPr>
            </w:pPr>
          </w:p>
        </w:tc>
      </w:tr>
      <w:tr w:rsidR="00CA5E8F" w:rsidRPr="007D0AFE" w:rsidTr="00F62CE9">
        <w:trPr>
          <w:trHeight w:val="596"/>
        </w:trPr>
        <w:tc>
          <w:tcPr>
            <w:tcW w:w="622" w:type="dxa"/>
            <w:vMerge/>
            <w:tcBorders>
              <w:top w:val="single" w:sz="12" w:space="0" w:color="2E74B5"/>
              <w:left w:val="single" w:sz="24" w:space="0" w:color="2E74B5"/>
              <w:bottom w:val="nil"/>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nil"/>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EB59AA" w:rsidRDefault="00CA5E8F" w:rsidP="005212F4">
            <w:pPr>
              <w:spacing w:before="60" w:after="40"/>
              <w:jc w:val="both"/>
              <w:rPr>
                <w:rStyle w:val="BodyTextChar1"/>
                <w:rFonts w:ascii="Verdana" w:hAnsi="Verdana"/>
                <w:color w:val="000000"/>
                <w:sz w:val="18"/>
                <w:szCs w:val="18"/>
                <w:lang w:val="ru-RU"/>
              </w:rPr>
            </w:pPr>
            <w:r>
              <w:rPr>
                <w:rStyle w:val="BodyTextChar1"/>
                <w:rFonts w:ascii="Verdana" w:hAnsi="Verdana"/>
                <w:color w:val="000000"/>
                <w:sz w:val="18"/>
                <w:szCs w:val="18"/>
                <w:lang w:val="ru-RU"/>
              </w:rPr>
              <w:t>7.</w:t>
            </w:r>
            <w:r w:rsidRPr="00EB59AA">
              <w:rPr>
                <w:rStyle w:val="BodyTextChar1"/>
                <w:rFonts w:ascii="Verdana" w:hAnsi="Verdana"/>
                <w:color w:val="000000"/>
                <w:sz w:val="18"/>
                <w:szCs w:val="18"/>
                <w:lang w:val="ru-RU"/>
              </w:rPr>
              <w:t xml:space="preserve"> С радост приемаме уверението на МЗХ, че при комуникацията с ЕК по интервенцията е било постигнато съгласие, че подлежащата на съфинансиране застрахователна полица ще може да обхваща цялата година - включително от м. октомври на предходната до м. септември на годината на кандидатстването за съфинансиране на премиите. Това е добре и съответства на досегашните инициативи на земеделския и застрахователния сектори, тъй като ще осигури възможности за застраховане на зимни рискове и включването на есенниците в подпомагането по мярката.</w:t>
            </w:r>
          </w:p>
        </w:tc>
        <w:tc>
          <w:tcPr>
            <w:tcW w:w="1559" w:type="dxa"/>
            <w:tcBorders>
              <w:top w:val="nil"/>
              <w:left w:val="single" w:sz="12" w:space="0" w:color="2E74B5"/>
              <w:bottom w:val="nil"/>
              <w:right w:val="single" w:sz="12" w:space="0" w:color="2E74B5"/>
            </w:tcBorders>
            <w:shd w:val="clear" w:color="auto" w:fill="auto"/>
          </w:tcPr>
          <w:p w:rsidR="00CA5E8F" w:rsidRPr="00C00BE8" w:rsidRDefault="00CA5E8F" w:rsidP="005212F4">
            <w:pPr>
              <w:spacing w:before="60" w:after="40"/>
              <w:rPr>
                <w:rStyle w:val="BodyTextChar1"/>
                <w:rFonts w:ascii="Verdana" w:hAnsi="Verdana"/>
                <w:color w:val="000000"/>
                <w:sz w:val="18"/>
                <w:szCs w:val="18"/>
                <w:lang w:val="ru-RU"/>
              </w:rPr>
            </w:pPr>
          </w:p>
        </w:tc>
        <w:tc>
          <w:tcPr>
            <w:tcW w:w="4964" w:type="dxa"/>
            <w:tcBorders>
              <w:top w:val="nil"/>
              <w:left w:val="single" w:sz="12" w:space="0" w:color="2E74B5"/>
              <w:bottom w:val="nil"/>
              <w:right w:val="single" w:sz="24" w:space="0" w:color="2E74B5"/>
            </w:tcBorders>
            <w:shd w:val="clear" w:color="auto" w:fill="auto"/>
          </w:tcPr>
          <w:p w:rsidR="00CA5E8F" w:rsidRPr="008519A2" w:rsidRDefault="00CA5E8F" w:rsidP="005212F4">
            <w:pPr>
              <w:spacing w:before="60" w:after="40"/>
              <w:jc w:val="both"/>
              <w:rPr>
                <w:rStyle w:val="BodyTextChar1"/>
                <w:rFonts w:ascii="Verdana" w:hAnsi="Verdana"/>
                <w:color w:val="000000"/>
                <w:sz w:val="18"/>
                <w:szCs w:val="18"/>
                <w:lang w:val="ru-RU"/>
              </w:rPr>
            </w:pPr>
          </w:p>
        </w:tc>
      </w:tr>
      <w:tr w:rsidR="00F62CE9" w:rsidRPr="007D0AFE" w:rsidTr="00F62CE9">
        <w:trPr>
          <w:trHeight w:val="596"/>
        </w:trPr>
        <w:tc>
          <w:tcPr>
            <w:tcW w:w="622" w:type="dxa"/>
            <w:tcBorders>
              <w:top w:val="nil"/>
              <w:left w:val="single" w:sz="24" w:space="0" w:color="2E74B5"/>
              <w:bottom w:val="nil"/>
              <w:right w:val="single" w:sz="12" w:space="0" w:color="2E74B5"/>
            </w:tcBorders>
            <w:shd w:val="clear" w:color="auto" w:fill="auto"/>
          </w:tcPr>
          <w:p w:rsidR="00F62CE9" w:rsidRPr="007D0AFE" w:rsidRDefault="00F62CE9" w:rsidP="005212F4">
            <w:pPr>
              <w:tabs>
                <w:tab w:val="left" w:pos="192"/>
              </w:tabs>
              <w:spacing w:before="60" w:after="40"/>
              <w:jc w:val="center"/>
              <w:rPr>
                <w:rFonts w:ascii="Verdana" w:hAnsi="Verdana"/>
                <w:b/>
                <w:sz w:val="22"/>
                <w:szCs w:val="22"/>
              </w:rPr>
            </w:pPr>
          </w:p>
        </w:tc>
        <w:tc>
          <w:tcPr>
            <w:tcW w:w="3030" w:type="dxa"/>
            <w:tcBorders>
              <w:top w:val="nil"/>
              <w:left w:val="single" w:sz="12" w:space="0" w:color="2E74B5"/>
              <w:bottom w:val="nil"/>
              <w:right w:val="single" w:sz="18" w:space="0" w:color="2E74B5"/>
            </w:tcBorders>
            <w:shd w:val="clear" w:color="auto" w:fill="auto"/>
          </w:tcPr>
          <w:p w:rsidR="00F62CE9" w:rsidRPr="007D0AFE" w:rsidRDefault="00F62CE9"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F62CE9" w:rsidRDefault="00F62CE9" w:rsidP="005212F4">
            <w:pPr>
              <w:spacing w:before="60" w:after="40"/>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 xml:space="preserve">Считаме за препоръчително тази възможност да бъде изяснена по-категорично и по- детайлно в Наредбата </w:t>
            </w:r>
            <w:r>
              <w:rPr>
                <w:rStyle w:val="BodyTextChar1"/>
                <w:rFonts w:ascii="Verdana" w:hAnsi="Verdana"/>
                <w:color w:val="000000"/>
                <w:sz w:val="18"/>
                <w:szCs w:val="18"/>
                <w:lang w:val="ru-RU"/>
              </w:rPr>
              <w:t>–</w:t>
            </w:r>
            <w:r w:rsidRPr="00EB59AA">
              <w:rPr>
                <w:rStyle w:val="BodyTextChar1"/>
                <w:rFonts w:ascii="Verdana" w:hAnsi="Verdana"/>
                <w:color w:val="000000"/>
                <w:sz w:val="18"/>
                <w:szCs w:val="18"/>
                <w:lang w:val="ru-RU"/>
              </w:rPr>
              <w:t xml:space="preserve"> с оглед създаване на повече прозрачност и стабилност на уредбата и осигуряването на повече яснота и предвидимост за заинтересованите страни.</w:t>
            </w:r>
          </w:p>
        </w:tc>
        <w:tc>
          <w:tcPr>
            <w:tcW w:w="1559" w:type="dxa"/>
            <w:tcBorders>
              <w:top w:val="nil"/>
              <w:left w:val="single" w:sz="12" w:space="0" w:color="2E74B5"/>
              <w:bottom w:val="nil"/>
              <w:right w:val="single" w:sz="12" w:space="0" w:color="2E74B5"/>
            </w:tcBorders>
            <w:shd w:val="clear" w:color="auto" w:fill="auto"/>
          </w:tcPr>
          <w:p w:rsidR="00F62CE9" w:rsidRPr="00C00BE8" w:rsidRDefault="00F62CE9" w:rsidP="005212F4">
            <w:pPr>
              <w:spacing w:before="60" w:after="40"/>
              <w:rPr>
                <w:rStyle w:val="BodyTextChar1"/>
                <w:rFonts w:ascii="Verdana" w:hAnsi="Verdana"/>
                <w:color w:val="000000"/>
                <w:sz w:val="18"/>
                <w:szCs w:val="18"/>
                <w:lang w:val="ru-RU"/>
              </w:rPr>
            </w:pPr>
            <w:r w:rsidRPr="00C00BE8">
              <w:rPr>
                <w:rStyle w:val="BodyTextChar1"/>
                <w:rFonts w:ascii="Verdana" w:hAnsi="Verdana"/>
                <w:color w:val="000000"/>
                <w:sz w:val="18"/>
                <w:szCs w:val="18"/>
                <w:lang w:val="ru-RU"/>
              </w:rPr>
              <w:t>Не се приема</w:t>
            </w:r>
          </w:p>
        </w:tc>
        <w:tc>
          <w:tcPr>
            <w:tcW w:w="4964" w:type="dxa"/>
            <w:tcBorders>
              <w:top w:val="nil"/>
              <w:left w:val="single" w:sz="12" w:space="0" w:color="2E74B5"/>
              <w:bottom w:val="nil"/>
              <w:right w:val="single" w:sz="24" w:space="0" w:color="2E74B5"/>
            </w:tcBorders>
            <w:shd w:val="clear" w:color="auto" w:fill="auto"/>
          </w:tcPr>
          <w:p w:rsidR="00F62CE9" w:rsidRPr="008519A2" w:rsidRDefault="00F62CE9" w:rsidP="005212F4">
            <w:pPr>
              <w:spacing w:before="60" w:after="40"/>
              <w:jc w:val="both"/>
              <w:rPr>
                <w:rStyle w:val="BodyTextChar1"/>
                <w:rFonts w:ascii="Verdana" w:hAnsi="Verdana"/>
                <w:color w:val="000000"/>
                <w:sz w:val="18"/>
                <w:szCs w:val="18"/>
                <w:lang w:val="ru-RU"/>
              </w:rPr>
            </w:pPr>
            <w:r w:rsidRPr="008519A2">
              <w:rPr>
                <w:rStyle w:val="BodyTextChar1"/>
                <w:rFonts w:ascii="Verdana" w:hAnsi="Verdana"/>
                <w:color w:val="000000"/>
                <w:sz w:val="18"/>
                <w:szCs w:val="18"/>
                <w:lang w:val="ru-RU"/>
              </w:rPr>
              <w:t>Тексто</w:t>
            </w:r>
            <w:r w:rsidRPr="00EB59AA">
              <w:rPr>
                <w:rStyle w:val="BodyTextChar1"/>
                <w:rFonts w:ascii="Verdana" w:hAnsi="Verdana"/>
                <w:color w:val="000000"/>
                <w:sz w:val="18"/>
                <w:szCs w:val="18"/>
                <w:lang w:val="ru-RU"/>
              </w:rPr>
              <w:t>в</w:t>
            </w:r>
            <w:r w:rsidRPr="008519A2">
              <w:rPr>
                <w:rStyle w:val="BodyTextChar1"/>
                <w:rFonts w:ascii="Verdana" w:hAnsi="Verdana"/>
                <w:color w:val="000000"/>
                <w:sz w:val="18"/>
                <w:szCs w:val="18"/>
                <w:lang w:val="ru-RU"/>
              </w:rPr>
              <w:t>ете от наредбата</w:t>
            </w:r>
            <w:r w:rsidR="00DA0BDE">
              <w:rPr>
                <w:rStyle w:val="BodyTextChar1"/>
                <w:rFonts w:ascii="Verdana" w:hAnsi="Verdana"/>
                <w:color w:val="000000"/>
                <w:sz w:val="18"/>
                <w:szCs w:val="18"/>
                <w:lang w:val="ru-RU"/>
              </w:rPr>
              <w:t>,</w:t>
            </w:r>
            <w:r w:rsidRPr="008519A2">
              <w:rPr>
                <w:rStyle w:val="BodyTextChar1"/>
                <w:rFonts w:ascii="Verdana" w:hAnsi="Verdana"/>
                <w:color w:val="000000"/>
                <w:sz w:val="18"/>
                <w:szCs w:val="18"/>
                <w:lang w:val="ru-RU"/>
              </w:rPr>
              <w:t xml:space="preserve"> регулиращи тази хипотеза</w:t>
            </w:r>
            <w:r w:rsidR="00DA0BDE">
              <w:rPr>
                <w:rStyle w:val="BodyTextChar1"/>
                <w:rFonts w:ascii="Verdana" w:hAnsi="Verdana"/>
                <w:color w:val="000000"/>
                <w:sz w:val="18"/>
                <w:szCs w:val="18"/>
                <w:lang w:val="ru-RU"/>
              </w:rPr>
              <w:t>,</w:t>
            </w:r>
            <w:r w:rsidRPr="008519A2">
              <w:rPr>
                <w:rStyle w:val="BodyTextChar1"/>
                <w:rFonts w:ascii="Verdana" w:hAnsi="Verdana"/>
                <w:color w:val="000000"/>
                <w:sz w:val="18"/>
                <w:szCs w:val="18"/>
                <w:lang w:val="ru-RU"/>
              </w:rPr>
              <w:t xml:space="preserve"> са </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 съот</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етс</w:t>
            </w:r>
            <w:r w:rsidRPr="00EB59AA">
              <w:rPr>
                <w:rStyle w:val="BodyTextChar1"/>
                <w:rFonts w:ascii="Verdana" w:hAnsi="Verdana"/>
                <w:color w:val="000000"/>
                <w:sz w:val="18"/>
                <w:szCs w:val="18"/>
                <w:lang w:val="ru-RU"/>
              </w:rPr>
              <w:t>в</w:t>
            </w:r>
            <w:r w:rsidR="00DA0BDE">
              <w:rPr>
                <w:rStyle w:val="BodyTextChar1"/>
                <w:rFonts w:ascii="Verdana" w:hAnsi="Verdana"/>
                <w:color w:val="000000"/>
                <w:sz w:val="18"/>
                <w:szCs w:val="18"/>
                <w:lang w:val="ru-RU"/>
              </w:rPr>
              <w:t>ие с указанията на ЕК. По-</w:t>
            </w:r>
            <w:r>
              <w:rPr>
                <w:rStyle w:val="BodyTextChar1"/>
                <w:rFonts w:ascii="Verdana" w:hAnsi="Verdana"/>
                <w:color w:val="000000"/>
                <w:sz w:val="18"/>
                <w:szCs w:val="18"/>
                <w:lang w:val="ru-RU"/>
              </w:rPr>
              <w:t>детайлно изясня</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ане ще бъде напра</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ено </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 указанията към наредбата.</w:t>
            </w:r>
          </w:p>
        </w:tc>
      </w:tr>
      <w:tr w:rsidR="00CA5E8F" w:rsidRPr="007D0AFE" w:rsidTr="00F62CE9">
        <w:trPr>
          <w:trHeight w:val="596"/>
        </w:trPr>
        <w:tc>
          <w:tcPr>
            <w:tcW w:w="622" w:type="dxa"/>
            <w:vMerge w:val="restart"/>
            <w:tcBorders>
              <w:top w:val="nil"/>
              <w:left w:val="single" w:sz="24" w:space="0" w:color="2E74B5"/>
              <w:bottom w:val="single" w:sz="18" w:space="0" w:color="2E74B5"/>
              <w:right w:val="single" w:sz="12" w:space="0" w:color="2E74B5"/>
            </w:tcBorders>
            <w:shd w:val="clear" w:color="auto" w:fill="auto"/>
          </w:tcPr>
          <w:p w:rsidR="00CA5E8F" w:rsidRPr="007D0AFE" w:rsidRDefault="00CA5E8F" w:rsidP="005212F4">
            <w:pPr>
              <w:tabs>
                <w:tab w:val="left" w:pos="192"/>
              </w:tabs>
              <w:spacing w:before="60" w:after="40"/>
              <w:jc w:val="center"/>
              <w:rPr>
                <w:rFonts w:ascii="Verdana" w:hAnsi="Verdana"/>
                <w:b/>
                <w:sz w:val="22"/>
                <w:szCs w:val="22"/>
              </w:rPr>
            </w:pPr>
          </w:p>
        </w:tc>
        <w:tc>
          <w:tcPr>
            <w:tcW w:w="3030" w:type="dxa"/>
            <w:vMerge w:val="restart"/>
            <w:tcBorders>
              <w:top w:val="nil"/>
              <w:left w:val="single" w:sz="12" w:space="0" w:color="2E74B5"/>
              <w:bottom w:val="single" w:sz="18" w:space="0" w:color="2E74B5"/>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EB59AA" w:rsidRDefault="00CA5E8F" w:rsidP="005212F4">
            <w:pPr>
              <w:spacing w:before="60" w:after="40"/>
              <w:jc w:val="both"/>
              <w:rPr>
                <w:rStyle w:val="BodyTextChar1"/>
                <w:rFonts w:ascii="Verdana" w:hAnsi="Verdana"/>
                <w:color w:val="000000"/>
                <w:sz w:val="18"/>
                <w:szCs w:val="18"/>
                <w:lang w:val="ru-RU"/>
              </w:rPr>
            </w:pPr>
            <w:r>
              <w:rPr>
                <w:rStyle w:val="BodyTextChar1"/>
                <w:rFonts w:ascii="Verdana" w:hAnsi="Verdana"/>
                <w:color w:val="000000"/>
                <w:sz w:val="18"/>
                <w:szCs w:val="18"/>
                <w:lang w:val="ru-RU"/>
              </w:rPr>
              <w:t>8. Считаме, че създа</w:t>
            </w:r>
            <w:r w:rsidRPr="00EB59AA">
              <w:rPr>
                <w:rStyle w:val="BodyTextChar1"/>
                <w:rFonts w:ascii="Verdana" w:hAnsi="Verdana"/>
                <w:color w:val="000000"/>
                <w:sz w:val="18"/>
                <w:szCs w:val="18"/>
                <w:lang w:val="ru-RU"/>
              </w:rPr>
              <w:t>ването на разумна, оптимално несложна, максимално ясна и възможно най-разбираема Методика за изчисляване на загубите и на факторите, водещи до компенсации (съгл. чл. 76, т.4, б. „б“ от Регламента) ще постави контрола по допустимост и въобще процеса по прилагане на интервенцията върху ясна, предвидима, неоспорима и справедлива основа, в резултат от което ще се повиши доверието към мярката.</w:t>
            </w:r>
          </w:p>
          <w:p w:rsidR="00CA5E8F" w:rsidRPr="00EB59AA" w:rsidRDefault="00CA5E8F" w:rsidP="005212F4">
            <w:pPr>
              <w:spacing w:before="60" w:after="40"/>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Такава Методика би могла да се създаде като част от наредбата и да представлява приложение към нея, а би могло да се създаде и след приемане на наредбата, като акт за нейното прилагане - например, като инструкция на Министъра на земеделието и храните или като друг акт, въз основа на въведена в наредбата делегация.</w:t>
            </w:r>
          </w:p>
          <w:p w:rsidR="00CA5E8F" w:rsidRPr="00EB59AA" w:rsidRDefault="00CA5E8F" w:rsidP="005212F4">
            <w:pPr>
              <w:spacing w:before="60" w:after="40"/>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lastRenderedPageBreak/>
              <w:t>В тази връзка потвърждаваме вече изразената готовност, респективно желанието на АБЗ и нейни членове да участват с експертен ресурс при евентуалното разработване на такава Методика, при съответно предприета инициатива и желание за това от страна на МЗХ.</w:t>
            </w:r>
          </w:p>
        </w:tc>
        <w:tc>
          <w:tcPr>
            <w:tcW w:w="1559" w:type="dxa"/>
            <w:tcBorders>
              <w:top w:val="nil"/>
              <w:left w:val="single" w:sz="12" w:space="0" w:color="2E74B5"/>
              <w:bottom w:val="nil"/>
              <w:right w:val="single" w:sz="12" w:space="0" w:color="2E74B5"/>
            </w:tcBorders>
            <w:shd w:val="clear" w:color="auto" w:fill="auto"/>
          </w:tcPr>
          <w:p w:rsidR="00CA5E8F" w:rsidRPr="00C00BE8" w:rsidRDefault="008519A2" w:rsidP="005212F4">
            <w:pPr>
              <w:spacing w:before="60" w:after="40"/>
              <w:rPr>
                <w:rStyle w:val="BodyTextChar1"/>
                <w:rFonts w:ascii="Verdana" w:hAnsi="Verdana"/>
                <w:color w:val="000000"/>
                <w:sz w:val="18"/>
                <w:szCs w:val="18"/>
                <w:lang w:val="ru-RU"/>
              </w:rPr>
            </w:pPr>
            <w:r w:rsidRPr="00C00BE8">
              <w:rPr>
                <w:rStyle w:val="BodyTextChar1"/>
                <w:rFonts w:ascii="Verdana" w:hAnsi="Verdana"/>
                <w:color w:val="000000"/>
                <w:sz w:val="18"/>
                <w:szCs w:val="18"/>
                <w:lang w:val="ru-RU"/>
              </w:rPr>
              <w:lastRenderedPageBreak/>
              <w:t>Приема се, по принцип</w:t>
            </w:r>
          </w:p>
        </w:tc>
        <w:tc>
          <w:tcPr>
            <w:tcW w:w="4964" w:type="dxa"/>
            <w:tcBorders>
              <w:top w:val="nil"/>
              <w:left w:val="single" w:sz="12" w:space="0" w:color="2E74B5"/>
              <w:bottom w:val="nil"/>
              <w:right w:val="single" w:sz="24" w:space="0" w:color="2E74B5"/>
            </w:tcBorders>
            <w:shd w:val="clear" w:color="auto" w:fill="auto"/>
          </w:tcPr>
          <w:p w:rsidR="00CA5E8F" w:rsidRPr="008519A2" w:rsidRDefault="0094437C" w:rsidP="005212F4">
            <w:pPr>
              <w:spacing w:before="60" w:after="40"/>
              <w:jc w:val="both"/>
              <w:rPr>
                <w:rStyle w:val="BodyTextChar1"/>
                <w:rFonts w:ascii="Verdana" w:hAnsi="Verdana"/>
                <w:color w:val="000000"/>
                <w:sz w:val="18"/>
                <w:szCs w:val="18"/>
                <w:lang w:val="ru-RU"/>
              </w:rPr>
            </w:pPr>
            <w:r w:rsidRPr="008519A2">
              <w:rPr>
                <w:rStyle w:val="BodyTextChar1"/>
                <w:rFonts w:ascii="Verdana" w:hAnsi="Verdana"/>
                <w:color w:val="000000"/>
                <w:sz w:val="18"/>
                <w:szCs w:val="18"/>
                <w:lang w:val="ru-RU"/>
              </w:rPr>
              <w:t>Методиката ще бъде приложена при разпоредбите за създа</w:t>
            </w:r>
            <w:r w:rsidRPr="00EB59AA">
              <w:rPr>
                <w:rStyle w:val="BodyTextChar1"/>
                <w:rFonts w:ascii="Verdana" w:hAnsi="Verdana"/>
                <w:color w:val="000000"/>
                <w:sz w:val="18"/>
                <w:szCs w:val="18"/>
                <w:lang w:val="ru-RU"/>
              </w:rPr>
              <w:t>в</w:t>
            </w:r>
            <w:r>
              <w:rPr>
                <w:rStyle w:val="BodyTextChar1"/>
                <w:rFonts w:ascii="Verdana" w:hAnsi="Verdana"/>
                <w:color w:val="000000"/>
                <w:sz w:val="18"/>
                <w:szCs w:val="18"/>
                <w:lang w:val="ru-RU"/>
              </w:rPr>
              <w:t xml:space="preserve">ане на заимоспомагателен фонд. </w:t>
            </w:r>
          </w:p>
        </w:tc>
      </w:tr>
      <w:tr w:rsidR="00CA5E8F" w:rsidRPr="007D0AFE" w:rsidTr="00B90C96">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nil"/>
              <w:right w:val="single" w:sz="12" w:space="0" w:color="2E74B5"/>
            </w:tcBorders>
            <w:shd w:val="clear" w:color="auto" w:fill="auto"/>
          </w:tcPr>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В заключение бихме изтъкнали, че изцяло споделяме изразената от страна на МЗХ нагласа, че с оглед реализацията на целите на интервенцията ще е необходима широка и интензивна оповестително- разяснителна кампания, която да промотира предимствата на новата схема за съфинансиране на застрахователни премии в земеделието и да изясни възможно най-пълно и подробно предпоставките, условията и механизмите, съгласно които това финансиране ще се осигурява и прилага.</w:t>
            </w:r>
          </w:p>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Оставаме на разположение за допълнителни становища и коментари, като сме готови да предоставим и консултативно-експертна помощ - при необходимост и спрямо обективните възможности.</w:t>
            </w:r>
          </w:p>
          <w:p w:rsidR="00CA5E8F" w:rsidRPr="00EB59AA" w:rsidRDefault="00CA5E8F" w:rsidP="005212F4">
            <w:pPr>
              <w:pStyle w:val="BodyText"/>
              <w:spacing w:before="60" w:after="40"/>
              <w:ind w:left="23" w:right="23"/>
              <w:jc w:val="both"/>
              <w:rPr>
                <w:rStyle w:val="BodyTextChar1"/>
                <w:rFonts w:ascii="Verdana" w:hAnsi="Verdana"/>
                <w:color w:val="000000"/>
                <w:sz w:val="18"/>
                <w:szCs w:val="18"/>
                <w:lang w:val="ru-RU"/>
              </w:rPr>
            </w:pPr>
            <w:r w:rsidRPr="00EB59AA">
              <w:rPr>
                <w:rStyle w:val="BodyTextChar1"/>
                <w:rFonts w:ascii="Verdana" w:hAnsi="Verdana"/>
                <w:color w:val="000000"/>
                <w:sz w:val="18"/>
                <w:szCs w:val="18"/>
                <w:lang w:val="ru-RU"/>
              </w:rPr>
              <w:t>Готови сме да участваме и в консултативно-работни формати по доразвиването на рамката на подпомагане в областта на селското стопанство - в съответствие с идентифицираната необходимост за това и с досегашните инициативи както на застрахователния, така и на земеделския/</w:t>
            </w:r>
            <w:r w:rsidR="005212F4">
              <w:rPr>
                <w:rStyle w:val="BodyTextChar1"/>
                <w:rFonts w:ascii="Verdana" w:hAnsi="Verdana"/>
                <w:color w:val="000000"/>
                <w:sz w:val="18"/>
                <w:szCs w:val="18"/>
                <w:lang w:val="ru-RU"/>
              </w:rPr>
              <w:t xml:space="preserve"> </w:t>
            </w:r>
            <w:r w:rsidRPr="00EB59AA">
              <w:rPr>
                <w:rStyle w:val="BodyTextChar1"/>
                <w:rFonts w:ascii="Verdana" w:hAnsi="Verdana"/>
                <w:color w:val="000000"/>
                <w:sz w:val="18"/>
                <w:szCs w:val="18"/>
                <w:lang w:val="ru-RU"/>
              </w:rPr>
              <w:t>селскостопанския сектор.</w:t>
            </w:r>
          </w:p>
        </w:tc>
        <w:tc>
          <w:tcPr>
            <w:tcW w:w="1559" w:type="dxa"/>
            <w:tcBorders>
              <w:top w:val="nil"/>
              <w:left w:val="single" w:sz="12" w:space="0" w:color="2E74B5"/>
              <w:bottom w:val="nil"/>
              <w:right w:val="single" w:sz="12" w:space="0" w:color="2E74B5"/>
            </w:tcBorders>
            <w:shd w:val="clear" w:color="auto" w:fill="auto"/>
          </w:tcPr>
          <w:p w:rsidR="00CA5E8F" w:rsidRPr="007D0AFE" w:rsidRDefault="00CA5E8F" w:rsidP="005212F4">
            <w:pPr>
              <w:spacing w:before="60" w:after="40"/>
              <w:rPr>
                <w:rFonts w:ascii="Verdana" w:hAnsi="Verdana"/>
                <w:sz w:val="22"/>
                <w:szCs w:val="22"/>
              </w:rPr>
            </w:pPr>
          </w:p>
        </w:tc>
        <w:tc>
          <w:tcPr>
            <w:tcW w:w="4964" w:type="dxa"/>
            <w:tcBorders>
              <w:top w:val="nil"/>
              <w:left w:val="single" w:sz="12" w:space="0" w:color="2E74B5"/>
              <w:bottom w:val="nil"/>
              <w:right w:val="single" w:sz="24" w:space="0" w:color="2E74B5"/>
            </w:tcBorders>
            <w:shd w:val="clear" w:color="auto" w:fill="auto"/>
          </w:tcPr>
          <w:p w:rsidR="00CA5E8F" w:rsidRPr="007D0AFE" w:rsidRDefault="00CA5E8F" w:rsidP="005212F4">
            <w:pPr>
              <w:spacing w:before="60" w:after="40"/>
              <w:rPr>
                <w:rFonts w:ascii="Verdana" w:hAnsi="Verdana"/>
                <w:sz w:val="22"/>
                <w:szCs w:val="22"/>
              </w:rPr>
            </w:pPr>
          </w:p>
        </w:tc>
      </w:tr>
      <w:tr w:rsidR="00CA5E8F" w:rsidRPr="007D0AFE" w:rsidTr="00B90C96">
        <w:trPr>
          <w:trHeight w:val="596"/>
        </w:trPr>
        <w:tc>
          <w:tcPr>
            <w:tcW w:w="622" w:type="dxa"/>
            <w:vMerge w:val="restart"/>
            <w:tcBorders>
              <w:top w:val="single" w:sz="18" w:space="0" w:color="2E74B5"/>
              <w:left w:val="single" w:sz="24" w:space="0" w:color="2E74B5"/>
              <w:bottom w:val="single" w:sz="18" w:space="0" w:color="2E74B5"/>
              <w:right w:val="single" w:sz="12" w:space="0" w:color="2E74B5"/>
            </w:tcBorders>
            <w:shd w:val="clear" w:color="auto" w:fill="auto"/>
          </w:tcPr>
          <w:p w:rsidR="00CA5E8F" w:rsidRPr="007D0AFE" w:rsidRDefault="00CA5E8F" w:rsidP="005212F4">
            <w:pPr>
              <w:pStyle w:val="ListParagraph"/>
              <w:numPr>
                <w:ilvl w:val="0"/>
                <w:numId w:val="6"/>
              </w:numPr>
              <w:tabs>
                <w:tab w:val="left" w:pos="192"/>
              </w:tabs>
              <w:spacing w:before="60" w:after="40"/>
              <w:jc w:val="center"/>
              <w:rPr>
                <w:rFonts w:ascii="Verdana" w:hAnsi="Verdana"/>
                <w:b/>
                <w:sz w:val="22"/>
                <w:szCs w:val="22"/>
              </w:rPr>
            </w:pPr>
          </w:p>
        </w:tc>
        <w:tc>
          <w:tcPr>
            <w:tcW w:w="3030" w:type="dxa"/>
            <w:vMerge w:val="restart"/>
            <w:tcBorders>
              <w:top w:val="single" w:sz="18" w:space="0" w:color="2E74B5"/>
              <w:left w:val="single" w:sz="12" w:space="0" w:color="2E74B5"/>
              <w:bottom w:val="single" w:sz="18" w:space="0" w:color="2E74B5"/>
              <w:right w:val="single" w:sz="18" w:space="0" w:color="2E74B5"/>
            </w:tcBorders>
            <w:shd w:val="clear" w:color="auto" w:fill="auto"/>
          </w:tcPr>
          <w:p w:rsidR="00CA5E8F" w:rsidRPr="003D775C" w:rsidRDefault="00CA5E8F" w:rsidP="005212F4">
            <w:pPr>
              <w:spacing w:before="60" w:after="40"/>
              <w:rPr>
                <w:rFonts w:ascii="Verdana" w:hAnsi="Verdana" w:cs="Tahoma"/>
                <w:sz w:val="18"/>
                <w:szCs w:val="18"/>
                <w:lang w:val="ru-RU"/>
              </w:rPr>
            </w:pPr>
            <w:r w:rsidRPr="003D775C">
              <w:rPr>
                <w:rFonts w:ascii="Verdana" w:hAnsi="Verdana"/>
                <w:sz w:val="18"/>
                <w:szCs w:val="18"/>
              </w:rPr>
              <w:t xml:space="preserve">Национална асоциация на зърнопроизводителите – </w:t>
            </w:r>
            <w:r>
              <w:rPr>
                <w:rFonts w:ascii="Verdana" w:hAnsi="Verdana"/>
                <w:sz w:val="18"/>
                <w:szCs w:val="18"/>
              </w:rPr>
              <w:br/>
            </w:r>
            <w:hyperlink r:id="rId9" w:history="1">
              <w:r w:rsidRPr="003D775C">
                <w:rPr>
                  <w:rStyle w:val="Hyperlink"/>
                  <w:rFonts w:ascii="Verdana" w:hAnsi="Verdana" w:cs="Tahoma"/>
                  <w:sz w:val="18"/>
                  <w:szCs w:val="18"/>
                  <w:lang w:val="en-US"/>
                </w:rPr>
                <w:t>natalia</w:t>
              </w:r>
              <w:r w:rsidRPr="003D775C">
                <w:rPr>
                  <w:rStyle w:val="Hyperlink"/>
                  <w:rFonts w:ascii="Verdana" w:hAnsi="Verdana" w:cs="Tahoma"/>
                  <w:sz w:val="18"/>
                  <w:szCs w:val="18"/>
                  <w:lang w:val="ru-RU"/>
                </w:rPr>
                <w:t>.</w:t>
              </w:r>
              <w:r w:rsidRPr="003D775C">
                <w:rPr>
                  <w:rStyle w:val="Hyperlink"/>
                  <w:rFonts w:ascii="Verdana" w:hAnsi="Verdana" w:cs="Tahoma"/>
                  <w:sz w:val="18"/>
                  <w:szCs w:val="18"/>
                  <w:lang w:val="en-US"/>
                </w:rPr>
                <w:t>shukadarova</w:t>
              </w:r>
              <w:r w:rsidRPr="003D775C">
                <w:rPr>
                  <w:rStyle w:val="Hyperlink"/>
                  <w:rFonts w:ascii="Verdana" w:hAnsi="Verdana" w:cs="Tahoma"/>
                  <w:sz w:val="18"/>
                  <w:szCs w:val="18"/>
                  <w:lang w:val="ru-RU"/>
                </w:rPr>
                <w:t>@</w:t>
              </w:r>
              <w:r w:rsidRPr="003D775C">
                <w:rPr>
                  <w:rStyle w:val="Hyperlink"/>
                  <w:rFonts w:ascii="Verdana" w:hAnsi="Verdana" w:cs="Tahoma"/>
                  <w:sz w:val="18"/>
                  <w:szCs w:val="18"/>
                  <w:lang w:val="en-US"/>
                </w:rPr>
                <w:t>grain</w:t>
              </w:r>
              <w:r w:rsidRPr="003D775C">
                <w:rPr>
                  <w:rStyle w:val="Hyperlink"/>
                  <w:rFonts w:ascii="Verdana" w:hAnsi="Verdana" w:cs="Tahoma"/>
                  <w:sz w:val="18"/>
                  <w:szCs w:val="18"/>
                  <w:lang w:val="ru-RU"/>
                </w:rPr>
                <w:t>.</w:t>
              </w:r>
              <w:r w:rsidRPr="003D775C">
                <w:rPr>
                  <w:rStyle w:val="Hyperlink"/>
                  <w:rFonts w:ascii="Verdana" w:hAnsi="Verdana" w:cs="Tahoma"/>
                  <w:sz w:val="18"/>
                  <w:szCs w:val="18"/>
                  <w:lang w:val="en-US"/>
                </w:rPr>
                <w:t>bg</w:t>
              </w:r>
            </w:hyperlink>
          </w:p>
          <w:p w:rsidR="00CA5E8F" w:rsidRPr="003D775C" w:rsidRDefault="00CA5E8F" w:rsidP="005212F4">
            <w:pPr>
              <w:spacing w:before="60" w:after="40"/>
              <w:rPr>
                <w:rFonts w:ascii="Verdana" w:hAnsi="Verdana"/>
                <w:sz w:val="18"/>
                <w:szCs w:val="18"/>
                <w:lang w:val="ru-RU"/>
              </w:rPr>
            </w:pPr>
            <w:r w:rsidRPr="003D775C">
              <w:rPr>
                <w:rFonts w:ascii="Verdana" w:hAnsi="Verdana"/>
                <w:sz w:val="18"/>
                <w:szCs w:val="18"/>
              </w:rPr>
              <w:t>получено по ел. поща</w:t>
            </w:r>
            <w:r>
              <w:rPr>
                <w:rFonts w:ascii="Verdana" w:hAnsi="Verdana"/>
                <w:sz w:val="18"/>
                <w:szCs w:val="18"/>
                <w:lang w:val="en-US"/>
              </w:rPr>
              <w:t xml:space="preserve"> </w:t>
            </w:r>
            <w:r>
              <w:rPr>
                <w:rFonts w:ascii="Verdana" w:hAnsi="Verdana"/>
                <w:sz w:val="18"/>
                <w:szCs w:val="18"/>
              </w:rPr>
              <w:t>на</w:t>
            </w:r>
            <w:r w:rsidR="005212F4">
              <w:rPr>
                <w:rFonts w:ascii="Verdana" w:hAnsi="Verdana"/>
                <w:sz w:val="18"/>
                <w:szCs w:val="18"/>
              </w:rPr>
              <w:t xml:space="preserve"> </w:t>
            </w:r>
            <w:r w:rsidRPr="00ED6CD3">
              <w:rPr>
                <w:rFonts w:ascii="Verdana" w:hAnsi="Verdana"/>
                <w:sz w:val="18"/>
                <w:szCs w:val="18"/>
                <w:lang w:val="ru-RU"/>
              </w:rPr>
              <w:t>04.03.2025 г.</w:t>
            </w:r>
          </w:p>
        </w:tc>
        <w:tc>
          <w:tcPr>
            <w:tcW w:w="5475" w:type="dxa"/>
            <w:tcBorders>
              <w:top w:val="single" w:sz="18" w:space="0" w:color="2E74B5"/>
              <w:left w:val="single" w:sz="18" w:space="0" w:color="2E74B5"/>
              <w:bottom w:val="nil"/>
              <w:right w:val="single" w:sz="12" w:space="0" w:color="2E74B5"/>
            </w:tcBorders>
            <w:shd w:val="clear" w:color="auto" w:fill="auto"/>
          </w:tcPr>
          <w:p w:rsidR="00CA5E8F" w:rsidRPr="003D775C" w:rsidRDefault="00CA5E8F" w:rsidP="005212F4">
            <w:pPr>
              <w:pStyle w:val="BodyText"/>
              <w:spacing w:before="60" w:after="40"/>
              <w:ind w:left="23" w:right="23"/>
              <w:jc w:val="both"/>
              <w:rPr>
                <w:rStyle w:val="BodyTextChar1"/>
                <w:rFonts w:ascii="Verdana" w:hAnsi="Verdana"/>
                <w:b/>
                <w:color w:val="000000"/>
                <w:sz w:val="18"/>
                <w:szCs w:val="18"/>
                <w:lang w:val="ru-RU"/>
              </w:rPr>
            </w:pPr>
            <w:r w:rsidRPr="003D775C">
              <w:rPr>
                <w:rStyle w:val="BodyTextChar1"/>
                <w:rFonts w:ascii="Verdana" w:hAnsi="Verdana"/>
                <w:b/>
                <w:color w:val="000000"/>
                <w:sz w:val="18"/>
                <w:szCs w:val="18"/>
                <w:lang w:val="ru-RU"/>
              </w:rPr>
              <w:t>По отношение на чл. 6, ал. 2:</w:t>
            </w:r>
          </w:p>
          <w:p w:rsidR="00CA5E8F" w:rsidRPr="003D775C" w:rsidRDefault="00CA5E8F" w:rsidP="005212F4">
            <w:pPr>
              <w:pStyle w:val="BodyText"/>
              <w:spacing w:before="60" w:after="40"/>
              <w:ind w:left="23" w:right="23"/>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Алинея 2 на чл. 6 гласи, че: „Подпомагането се предоставя само за покриване на загуби, които надвишават над 20 % от средногодишната продукция на ниво стопанство или доход на даден земеделски стопанин за предшестващия тригодишен период“.</w:t>
            </w:r>
          </w:p>
          <w:p w:rsidR="00CA5E8F" w:rsidRPr="003D775C" w:rsidRDefault="00CA5E8F" w:rsidP="005212F4">
            <w:pPr>
              <w:pStyle w:val="BodyText"/>
              <w:spacing w:before="60" w:after="40"/>
              <w:ind w:left="23" w:right="23"/>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Предложението на НАЗ е алинея 2 на чл. 6 да отпадне.</w:t>
            </w:r>
          </w:p>
          <w:p w:rsidR="00CA5E8F" w:rsidRPr="003D775C" w:rsidRDefault="00CA5E8F" w:rsidP="005212F4">
            <w:pPr>
              <w:pStyle w:val="BodyText"/>
              <w:spacing w:before="60" w:after="40"/>
              <w:ind w:left="23" w:right="23"/>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 xml:space="preserve">Аргументи: В застрахователните полици, с които се оперира по отношение на застраховките в селското стопанство, не фигурират подобни условия и клаузи. </w:t>
            </w:r>
            <w:r w:rsidRPr="003D775C">
              <w:rPr>
                <w:rStyle w:val="BodyTextChar1"/>
                <w:rFonts w:ascii="Verdana" w:hAnsi="Verdana"/>
                <w:color w:val="000000"/>
                <w:sz w:val="18"/>
                <w:szCs w:val="18"/>
                <w:lang w:val="ru-RU"/>
              </w:rPr>
              <w:lastRenderedPageBreak/>
              <w:t>В този смисъл подобна разпоредба би довела до административна несъвместимост между земеделските застраховки и възможностите за подпомагане.</w:t>
            </w:r>
          </w:p>
          <w:p w:rsidR="00CA5E8F" w:rsidRPr="003D775C" w:rsidRDefault="00CA5E8F" w:rsidP="005212F4">
            <w:pPr>
              <w:pStyle w:val="BodyText"/>
              <w:spacing w:before="60" w:after="40"/>
              <w:ind w:left="23" w:right="23"/>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От друга страна, подобно условие е трудна задача за проследяване и администриране. Включването на 20% праг за загуби усложнява администрирането, тъй като налага специфични изчисления за всяко стопанство. Това може да доведе до забавяне в изплащането на компенсации и бюрократични усложнения.</w:t>
            </w:r>
          </w:p>
          <w:p w:rsidR="00CA5E8F" w:rsidRPr="002E45BC" w:rsidRDefault="00CA5E8F" w:rsidP="005212F4">
            <w:pPr>
              <w:pStyle w:val="BodyText"/>
              <w:spacing w:before="60" w:after="40"/>
              <w:ind w:left="23" w:right="23"/>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И на последно място, с оглед на динамиката на поземлените отношения в страната и промяната на обемите на стопанисваните площи в дадено стопанство на ежегодна база, средногодишната продукция може да варира изключително много. Същото се отнася и за средногодишния доход, който е твърде зависим от пазарната конюнктура през дадената година. Важно е да се подчертае, че не само поземлените отношения, но и фактори като климатични изменения и непредвидими пазарни колебания правят средногодишната продукция и доход силно нестабилни.</w:t>
            </w:r>
          </w:p>
        </w:tc>
        <w:tc>
          <w:tcPr>
            <w:tcW w:w="1559" w:type="dxa"/>
            <w:tcBorders>
              <w:top w:val="single" w:sz="18" w:space="0" w:color="2E74B5"/>
              <w:left w:val="single" w:sz="12" w:space="0" w:color="2E74B5"/>
              <w:bottom w:val="nil"/>
              <w:right w:val="single" w:sz="12" w:space="0" w:color="2E74B5"/>
            </w:tcBorders>
            <w:shd w:val="clear" w:color="auto" w:fill="auto"/>
          </w:tcPr>
          <w:p w:rsidR="00CA5E8F" w:rsidRPr="007D0AFE" w:rsidRDefault="0094437C" w:rsidP="005212F4">
            <w:pPr>
              <w:spacing w:before="60" w:after="40"/>
              <w:rPr>
                <w:rFonts w:ascii="Verdana" w:hAnsi="Verdana"/>
                <w:sz w:val="22"/>
                <w:szCs w:val="22"/>
              </w:rPr>
            </w:pPr>
            <w:r w:rsidRPr="00C00BE8">
              <w:rPr>
                <w:rStyle w:val="BodyTextChar1"/>
                <w:rFonts w:ascii="Verdana" w:hAnsi="Verdana"/>
                <w:color w:val="000000"/>
                <w:sz w:val="18"/>
                <w:szCs w:val="18"/>
                <w:lang w:val="ru-RU"/>
              </w:rPr>
              <w:lastRenderedPageBreak/>
              <w:t>Приема се</w:t>
            </w:r>
          </w:p>
        </w:tc>
        <w:tc>
          <w:tcPr>
            <w:tcW w:w="4964" w:type="dxa"/>
            <w:tcBorders>
              <w:top w:val="single" w:sz="18" w:space="0" w:color="2E74B5"/>
              <w:left w:val="single" w:sz="12" w:space="0" w:color="2E74B5"/>
              <w:bottom w:val="nil"/>
              <w:right w:val="single" w:sz="24" w:space="0" w:color="2E74B5"/>
            </w:tcBorders>
            <w:shd w:val="clear" w:color="auto" w:fill="auto"/>
          </w:tcPr>
          <w:p w:rsidR="00CA5E8F" w:rsidRPr="007D0AFE" w:rsidRDefault="0094437C" w:rsidP="005212F4">
            <w:pPr>
              <w:spacing w:before="60" w:after="40"/>
              <w:jc w:val="both"/>
              <w:rPr>
                <w:rFonts w:ascii="Verdana" w:hAnsi="Verdana"/>
                <w:sz w:val="22"/>
                <w:szCs w:val="22"/>
              </w:rPr>
            </w:pPr>
            <w:r w:rsidRPr="008519A2">
              <w:rPr>
                <w:rStyle w:val="BodyTextChar1"/>
                <w:rFonts w:ascii="Verdana" w:hAnsi="Verdana"/>
                <w:color w:val="000000"/>
                <w:sz w:val="18"/>
                <w:szCs w:val="18"/>
                <w:lang w:val="ru-RU"/>
              </w:rPr>
              <w:t xml:space="preserve">Тази разпоредба ще бъде приложена към </w:t>
            </w:r>
            <w:r w:rsidRPr="00EB59AA">
              <w:rPr>
                <w:rStyle w:val="BodyTextChar1"/>
                <w:rFonts w:ascii="Verdana" w:hAnsi="Verdana"/>
                <w:color w:val="000000"/>
                <w:sz w:val="18"/>
                <w:szCs w:val="18"/>
                <w:lang w:val="ru-RU"/>
              </w:rPr>
              <w:t>в</w:t>
            </w:r>
            <w:r w:rsidRPr="008519A2">
              <w:rPr>
                <w:rStyle w:val="BodyTextChar1"/>
                <w:rFonts w:ascii="Verdana" w:hAnsi="Verdana"/>
                <w:color w:val="000000"/>
                <w:sz w:val="18"/>
                <w:szCs w:val="18"/>
                <w:lang w:val="ru-RU"/>
              </w:rPr>
              <w:t>заимоспомагателния фонд.</w:t>
            </w:r>
            <w:r>
              <w:rPr>
                <w:rFonts w:ascii="Verdana" w:hAnsi="Verdana"/>
                <w:sz w:val="22"/>
                <w:szCs w:val="22"/>
              </w:rPr>
              <w:t xml:space="preserve"> </w:t>
            </w:r>
          </w:p>
        </w:tc>
      </w:tr>
      <w:tr w:rsidR="00CA5E8F" w:rsidRPr="007D0AFE" w:rsidTr="005212F4">
        <w:trPr>
          <w:trHeight w:val="596"/>
        </w:trPr>
        <w:tc>
          <w:tcPr>
            <w:tcW w:w="622" w:type="dxa"/>
            <w:vMerge/>
            <w:tcBorders>
              <w:top w:val="single" w:sz="12" w:space="0" w:color="2E74B5"/>
              <w:left w:val="single" w:sz="24" w:space="0" w:color="2E74B5"/>
              <w:bottom w:val="single" w:sz="18" w:space="0" w:color="2E74B5"/>
              <w:right w:val="single" w:sz="12" w:space="0" w:color="2E74B5"/>
            </w:tcBorders>
            <w:shd w:val="clear" w:color="auto" w:fill="auto"/>
          </w:tcPr>
          <w:p w:rsidR="00CA5E8F" w:rsidRPr="007D0AFE" w:rsidRDefault="00CA5E8F" w:rsidP="005212F4">
            <w:pPr>
              <w:numPr>
                <w:ilvl w:val="0"/>
                <w:numId w:val="5"/>
              </w:numPr>
              <w:tabs>
                <w:tab w:val="left" w:pos="192"/>
              </w:tabs>
              <w:spacing w:before="60" w:after="40"/>
              <w:ind w:left="0" w:firstLine="0"/>
              <w:jc w:val="center"/>
              <w:rPr>
                <w:rFonts w:ascii="Verdana" w:hAnsi="Verdana"/>
                <w:b/>
                <w:sz w:val="22"/>
                <w:szCs w:val="22"/>
              </w:rPr>
            </w:pPr>
          </w:p>
        </w:tc>
        <w:tc>
          <w:tcPr>
            <w:tcW w:w="3030" w:type="dxa"/>
            <w:vMerge/>
            <w:tcBorders>
              <w:top w:val="single" w:sz="12" w:space="0" w:color="2E74B5"/>
              <w:left w:val="single" w:sz="12" w:space="0" w:color="2E74B5"/>
              <w:bottom w:val="single" w:sz="18" w:space="0" w:color="2E74B5"/>
              <w:right w:val="single" w:sz="18" w:space="0" w:color="2E74B5"/>
            </w:tcBorders>
            <w:shd w:val="clear" w:color="auto" w:fill="auto"/>
          </w:tcPr>
          <w:p w:rsidR="00CA5E8F" w:rsidRPr="007D0AFE" w:rsidRDefault="00CA5E8F" w:rsidP="005212F4">
            <w:pPr>
              <w:spacing w:before="60" w:after="40"/>
              <w:rPr>
                <w:rFonts w:ascii="Verdana" w:hAnsi="Verdana"/>
                <w:b/>
                <w:sz w:val="22"/>
                <w:szCs w:val="22"/>
              </w:rPr>
            </w:pPr>
          </w:p>
        </w:tc>
        <w:tc>
          <w:tcPr>
            <w:tcW w:w="5475" w:type="dxa"/>
            <w:tcBorders>
              <w:top w:val="nil"/>
              <w:left w:val="single" w:sz="18" w:space="0" w:color="2E74B5"/>
              <w:bottom w:val="single" w:sz="18" w:space="0" w:color="2E74B5"/>
              <w:right w:val="single" w:sz="12" w:space="0" w:color="2E74B5"/>
            </w:tcBorders>
            <w:shd w:val="clear" w:color="auto" w:fill="auto"/>
          </w:tcPr>
          <w:p w:rsidR="00CA5E8F" w:rsidRPr="003D775C" w:rsidRDefault="00CA5E8F" w:rsidP="005212F4">
            <w:pPr>
              <w:spacing w:before="60" w:after="40"/>
              <w:jc w:val="both"/>
              <w:rPr>
                <w:rStyle w:val="BodyTextChar1"/>
                <w:rFonts w:ascii="Verdana" w:hAnsi="Verdana"/>
                <w:color w:val="000000"/>
                <w:sz w:val="18"/>
                <w:szCs w:val="18"/>
                <w:lang w:val="ru-RU"/>
              </w:rPr>
            </w:pPr>
            <w:r w:rsidRPr="003D775C">
              <w:rPr>
                <w:rStyle w:val="BodyTextChar1"/>
                <w:rFonts w:ascii="Verdana" w:hAnsi="Verdana"/>
                <w:b/>
                <w:color w:val="000000"/>
                <w:sz w:val="18"/>
                <w:szCs w:val="18"/>
                <w:lang w:val="ru-RU"/>
              </w:rPr>
              <w:t>По отношение на § 1 от Допълнителната разпоредба</w:t>
            </w:r>
            <w:r w:rsidRPr="003D775C">
              <w:rPr>
                <w:rStyle w:val="BodyTextChar1"/>
                <w:rFonts w:ascii="Verdana" w:hAnsi="Verdana"/>
                <w:color w:val="000000"/>
                <w:sz w:val="18"/>
                <w:szCs w:val="18"/>
                <w:lang w:val="ru-RU"/>
              </w:rPr>
              <w:t>:</w:t>
            </w:r>
          </w:p>
          <w:p w:rsidR="00CA5E8F" w:rsidRPr="003D775C" w:rsidRDefault="00CA5E8F" w:rsidP="005212F4">
            <w:pPr>
              <w:spacing w:before="60" w:after="40"/>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Точка 1 на § 1 гласи, че: „Неблагоприятно климатично събитие, което може да бъде приравнено на природно бедствие“ означава неблагоприятни метеорологични условия като слана, бури и градушка, заледяване, пороен или непрекъснат дъжд или тежко засушаване;</w:t>
            </w:r>
          </w:p>
          <w:p w:rsidR="00CA5E8F" w:rsidRPr="003D775C" w:rsidRDefault="00CA5E8F" w:rsidP="005212F4">
            <w:pPr>
              <w:spacing w:before="60" w:after="40"/>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Предложението на НАЗ е при изброяването на неблагоприятните метеорологични условия, които дефинират „Неблагоприятно климатично събитие, което може да бъде приравнено на природно бедствие“, да се добавят „измръзване“ и „изтегляне“.</w:t>
            </w:r>
          </w:p>
          <w:p w:rsidR="00CA5E8F" w:rsidRPr="003D775C" w:rsidRDefault="00CA5E8F" w:rsidP="005212F4">
            <w:pPr>
              <w:spacing w:before="60" w:after="40"/>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 xml:space="preserve">Аргументи: Измръзването и изтеглянето са неблагоприятни метеорологични условия, които се покриват като рискове от застрахователните компании и имат потенциала да причинят сериозни загуби по отношение на земеделската продукция, както и </w:t>
            </w:r>
            <w:r w:rsidRPr="003D775C">
              <w:rPr>
                <w:rStyle w:val="BodyTextChar1"/>
                <w:rFonts w:ascii="Verdana" w:hAnsi="Verdana"/>
                <w:color w:val="000000"/>
                <w:sz w:val="18"/>
                <w:szCs w:val="18"/>
                <w:lang w:val="ru-RU"/>
              </w:rPr>
              <w:lastRenderedPageBreak/>
              <w:t>значителна редукция в добивите.</w:t>
            </w:r>
          </w:p>
          <w:p w:rsidR="00CA5E8F" w:rsidRPr="003D775C" w:rsidRDefault="00CA5E8F" w:rsidP="005212F4">
            <w:pPr>
              <w:spacing w:before="60" w:after="40"/>
              <w:jc w:val="both"/>
              <w:rPr>
                <w:rStyle w:val="BodyTextChar1"/>
                <w:rFonts w:ascii="Verdana" w:hAnsi="Verdana"/>
                <w:color w:val="000000"/>
                <w:sz w:val="18"/>
                <w:szCs w:val="18"/>
                <w:lang w:val="ru-RU"/>
              </w:rPr>
            </w:pPr>
            <w:r w:rsidRPr="003D775C">
              <w:rPr>
                <w:rStyle w:val="BodyTextChar1"/>
                <w:rFonts w:ascii="Verdana" w:hAnsi="Verdana"/>
                <w:color w:val="000000"/>
                <w:sz w:val="18"/>
                <w:szCs w:val="18"/>
                <w:lang w:val="ru-RU"/>
              </w:rPr>
              <w:t xml:space="preserve">Всяка година в рамките на държавната помощ „Помощ за компенсиране на щетите по земеделските култури, причинени от неблагоприятни климатични условия, които могат да бъдат приравнени на природни бедствия“ се подпомагат напълно пропаднали площи, вследствие на измръзване. За пример през 2024 г. в осем области на страната е обявено настъпило </w:t>
            </w:r>
            <w:r w:rsidRPr="00F62CE9">
              <w:rPr>
                <w:rStyle w:val="BodyTextChar1"/>
                <w:rFonts w:ascii="Verdana" w:hAnsi="Verdana"/>
                <w:color w:val="000000"/>
                <w:spacing w:val="-2"/>
                <w:sz w:val="18"/>
                <w:szCs w:val="18"/>
                <w:lang w:val="ru-RU"/>
              </w:rPr>
              <w:t>неблагоприятно климатично събитие измръзване/слана</w:t>
            </w:r>
            <w:r w:rsidRPr="003D775C">
              <w:rPr>
                <w:rStyle w:val="BodyTextChar1"/>
                <w:rFonts w:ascii="Verdana" w:hAnsi="Verdana"/>
                <w:color w:val="000000"/>
                <w:sz w:val="18"/>
                <w:szCs w:val="18"/>
                <w:lang w:val="ru-RU"/>
              </w:rPr>
              <w:t xml:space="preserve"> при културите рапица, сливи, череши, кайсии и ябълки.</w:t>
            </w:r>
          </w:p>
        </w:tc>
        <w:tc>
          <w:tcPr>
            <w:tcW w:w="1559" w:type="dxa"/>
            <w:tcBorders>
              <w:top w:val="nil"/>
              <w:left w:val="single" w:sz="12" w:space="0" w:color="2E74B5"/>
              <w:bottom w:val="single" w:sz="18" w:space="0" w:color="2E74B5"/>
              <w:right w:val="single" w:sz="12" w:space="0" w:color="2E74B5"/>
            </w:tcBorders>
            <w:shd w:val="clear" w:color="auto" w:fill="auto"/>
          </w:tcPr>
          <w:p w:rsidR="00CA5E8F" w:rsidRPr="007D0AFE" w:rsidRDefault="008519A2" w:rsidP="005212F4">
            <w:pPr>
              <w:spacing w:before="60" w:after="40"/>
              <w:rPr>
                <w:rFonts w:ascii="Verdana" w:hAnsi="Verdana"/>
                <w:sz w:val="22"/>
                <w:szCs w:val="22"/>
              </w:rPr>
            </w:pPr>
            <w:r w:rsidRPr="00C00BE8">
              <w:rPr>
                <w:rStyle w:val="BodyTextChar1"/>
                <w:rFonts w:ascii="Verdana" w:hAnsi="Verdana"/>
                <w:color w:val="000000"/>
                <w:sz w:val="18"/>
                <w:szCs w:val="18"/>
                <w:lang w:val="ru-RU"/>
              </w:rPr>
              <w:lastRenderedPageBreak/>
              <w:t>Приема се</w:t>
            </w:r>
          </w:p>
        </w:tc>
        <w:tc>
          <w:tcPr>
            <w:tcW w:w="4964" w:type="dxa"/>
            <w:tcBorders>
              <w:top w:val="nil"/>
              <w:left w:val="single" w:sz="12" w:space="0" w:color="2E74B5"/>
              <w:bottom w:val="single" w:sz="18" w:space="0" w:color="2E74B5"/>
              <w:right w:val="single" w:sz="24" w:space="0" w:color="2E74B5"/>
            </w:tcBorders>
            <w:shd w:val="clear" w:color="auto" w:fill="auto"/>
          </w:tcPr>
          <w:p w:rsidR="00CA5E8F" w:rsidRPr="007D0AFE" w:rsidRDefault="008519A2" w:rsidP="005212F4">
            <w:pPr>
              <w:spacing w:before="60" w:after="40"/>
              <w:jc w:val="both"/>
              <w:rPr>
                <w:rFonts w:ascii="Verdana" w:hAnsi="Verdana"/>
                <w:sz w:val="22"/>
                <w:szCs w:val="22"/>
              </w:rPr>
            </w:pPr>
            <w:r w:rsidRPr="008519A2">
              <w:rPr>
                <w:rStyle w:val="BodyTextChar1"/>
                <w:rFonts w:ascii="Verdana" w:hAnsi="Verdana"/>
                <w:color w:val="000000"/>
                <w:sz w:val="18"/>
                <w:szCs w:val="18"/>
                <w:lang w:val="ru-RU"/>
              </w:rPr>
              <w:t>Посочените рискове са добавени в текста на проекта на наредба.</w:t>
            </w:r>
            <w:r>
              <w:rPr>
                <w:rFonts w:ascii="Verdana" w:hAnsi="Verdana"/>
                <w:sz w:val="22"/>
                <w:szCs w:val="22"/>
              </w:rPr>
              <w:t xml:space="preserve"> </w:t>
            </w:r>
          </w:p>
        </w:tc>
      </w:tr>
      <w:tr w:rsidR="00CA5E8F" w:rsidRPr="005212F4" w:rsidTr="005212F4">
        <w:trPr>
          <w:trHeight w:val="596"/>
        </w:trPr>
        <w:tc>
          <w:tcPr>
            <w:tcW w:w="622" w:type="dxa"/>
            <w:tcBorders>
              <w:top w:val="single" w:sz="18" w:space="0" w:color="2E74B5"/>
              <w:left w:val="single" w:sz="24" w:space="0" w:color="2E74B5"/>
              <w:bottom w:val="single" w:sz="24" w:space="0" w:color="2E74B5"/>
              <w:right w:val="single" w:sz="12" w:space="0" w:color="2E74B5"/>
            </w:tcBorders>
            <w:shd w:val="clear" w:color="auto" w:fill="auto"/>
          </w:tcPr>
          <w:p w:rsidR="00CA5E8F" w:rsidRPr="005212F4" w:rsidRDefault="00CA5E8F" w:rsidP="005212F4">
            <w:pPr>
              <w:pStyle w:val="ListParagraph"/>
              <w:numPr>
                <w:ilvl w:val="0"/>
                <w:numId w:val="6"/>
              </w:numPr>
              <w:tabs>
                <w:tab w:val="left" w:pos="192"/>
              </w:tabs>
              <w:spacing w:before="60" w:after="40"/>
              <w:jc w:val="center"/>
              <w:rPr>
                <w:rFonts w:ascii="Verdana" w:hAnsi="Verdana"/>
                <w:b/>
                <w:sz w:val="18"/>
                <w:szCs w:val="18"/>
              </w:rPr>
            </w:pPr>
          </w:p>
        </w:tc>
        <w:tc>
          <w:tcPr>
            <w:tcW w:w="3030" w:type="dxa"/>
            <w:tcBorders>
              <w:top w:val="single" w:sz="18" w:space="0" w:color="2E74B5"/>
              <w:left w:val="single" w:sz="12" w:space="0" w:color="2E74B5"/>
              <w:bottom w:val="single" w:sz="24" w:space="0" w:color="2E74B5"/>
              <w:right w:val="single" w:sz="18" w:space="0" w:color="2E74B5"/>
            </w:tcBorders>
            <w:shd w:val="clear" w:color="auto" w:fill="auto"/>
          </w:tcPr>
          <w:p w:rsidR="00CA5E8F" w:rsidRPr="005212F4" w:rsidRDefault="00CA5E8F" w:rsidP="005212F4">
            <w:pPr>
              <w:spacing w:before="60" w:after="40"/>
              <w:rPr>
                <w:rFonts w:ascii="Verdana" w:hAnsi="Verdana"/>
                <w:sz w:val="18"/>
                <w:szCs w:val="18"/>
              </w:rPr>
            </w:pPr>
            <w:r w:rsidRPr="005212F4">
              <w:rPr>
                <w:rFonts w:ascii="Verdana" w:hAnsi="Verdana"/>
                <w:sz w:val="18"/>
                <w:szCs w:val="18"/>
              </w:rPr>
              <w:t>Дирекция „Държавни помощи и регулации“</w:t>
            </w:r>
            <w:r w:rsidR="00685C75" w:rsidRPr="005212F4">
              <w:rPr>
                <w:rFonts w:ascii="Verdana" w:hAnsi="Verdana"/>
                <w:sz w:val="18"/>
                <w:szCs w:val="18"/>
              </w:rPr>
              <w:t>,</w:t>
            </w:r>
          </w:p>
          <w:p w:rsidR="00CA5E8F" w:rsidRPr="005212F4" w:rsidRDefault="00CA5E8F" w:rsidP="005212F4">
            <w:pPr>
              <w:spacing w:before="60" w:after="40"/>
              <w:rPr>
                <w:rFonts w:ascii="Verdana" w:hAnsi="Verdana"/>
                <w:sz w:val="18"/>
                <w:szCs w:val="18"/>
              </w:rPr>
            </w:pPr>
            <w:r w:rsidRPr="005212F4">
              <w:rPr>
                <w:rFonts w:ascii="Verdana" w:hAnsi="Verdana"/>
                <w:sz w:val="18"/>
                <w:szCs w:val="18"/>
              </w:rPr>
              <w:t>МЗХ</w:t>
            </w:r>
          </w:p>
          <w:p w:rsidR="00CA5E8F" w:rsidRPr="005212F4" w:rsidRDefault="00CA5E8F" w:rsidP="005212F4">
            <w:pPr>
              <w:spacing w:before="60" w:after="40"/>
              <w:rPr>
                <w:rFonts w:ascii="Verdana" w:hAnsi="Verdana"/>
                <w:sz w:val="18"/>
                <w:szCs w:val="18"/>
              </w:rPr>
            </w:pPr>
            <w:r w:rsidRPr="005212F4">
              <w:rPr>
                <w:rFonts w:ascii="Verdana" w:hAnsi="Verdana"/>
                <w:sz w:val="18"/>
                <w:szCs w:val="18"/>
              </w:rPr>
              <w:t xml:space="preserve">Получен по </w:t>
            </w:r>
            <w:r w:rsidR="005212F4" w:rsidRPr="005212F4">
              <w:rPr>
                <w:rFonts w:ascii="Verdana" w:hAnsi="Verdana"/>
                <w:sz w:val="18"/>
                <w:szCs w:val="18"/>
              </w:rPr>
              <w:t xml:space="preserve">ел. поща </w:t>
            </w:r>
            <w:r w:rsidRPr="005212F4">
              <w:rPr>
                <w:rFonts w:ascii="Verdana" w:hAnsi="Verdana"/>
                <w:sz w:val="18"/>
                <w:szCs w:val="18"/>
              </w:rPr>
              <w:t>на 26.02.2025</w:t>
            </w:r>
          </w:p>
        </w:tc>
        <w:tc>
          <w:tcPr>
            <w:tcW w:w="5475" w:type="dxa"/>
            <w:tcBorders>
              <w:top w:val="single" w:sz="18" w:space="0" w:color="2E74B5"/>
              <w:left w:val="single" w:sz="18" w:space="0" w:color="2E74B5"/>
              <w:bottom w:val="single" w:sz="24" w:space="0" w:color="2E74B5"/>
              <w:right w:val="single" w:sz="12" w:space="0" w:color="2E74B5"/>
            </w:tcBorders>
            <w:shd w:val="clear" w:color="auto" w:fill="auto"/>
          </w:tcPr>
          <w:p w:rsidR="00CA5E8F" w:rsidRPr="005212F4" w:rsidRDefault="00CA5E8F" w:rsidP="005212F4">
            <w:pPr>
              <w:spacing w:before="60" w:after="40"/>
              <w:jc w:val="both"/>
              <w:rPr>
                <w:rFonts w:ascii="Verdana" w:hAnsi="Verdana"/>
                <w:sz w:val="18"/>
                <w:szCs w:val="18"/>
              </w:rPr>
            </w:pPr>
            <w:r w:rsidRPr="005212F4">
              <w:rPr>
                <w:rStyle w:val="BodyTextChar1"/>
                <w:rFonts w:ascii="Verdana" w:hAnsi="Verdana"/>
                <w:color w:val="000000"/>
                <w:sz w:val="18"/>
                <w:szCs w:val="18"/>
                <w:lang w:val="ru-RU"/>
              </w:rPr>
              <w:t>По отношение на максималните стойности на подпомагане на хектар (чл. 7, ал.</w:t>
            </w:r>
            <w:r w:rsidR="005212F4" w:rsidRPr="005212F4">
              <w:rPr>
                <w:rStyle w:val="BodyTextChar1"/>
                <w:rFonts w:ascii="Verdana" w:hAnsi="Verdana"/>
                <w:color w:val="000000"/>
                <w:sz w:val="18"/>
                <w:szCs w:val="18"/>
                <w:lang w:val="ru-RU"/>
              </w:rPr>
              <w:t xml:space="preserve"> </w:t>
            </w:r>
            <w:r w:rsidRPr="005212F4">
              <w:rPr>
                <w:rStyle w:val="BodyTextChar1"/>
                <w:rFonts w:ascii="Verdana" w:hAnsi="Verdana"/>
                <w:color w:val="000000"/>
                <w:sz w:val="18"/>
                <w:szCs w:val="18"/>
                <w:lang w:val="ru-RU"/>
              </w:rPr>
              <w:t>2), считаме, че е необходимо да бъдат въведени тарифно число и застрахователна сума, за да бъде изяснен механизмът за формирането на тези стойности.</w:t>
            </w:r>
          </w:p>
        </w:tc>
        <w:tc>
          <w:tcPr>
            <w:tcW w:w="1559" w:type="dxa"/>
            <w:tcBorders>
              <w:top w:val="single" w:sz="18" w:space="0" w:color="2E74B5"/>
              <w:left w:val="single" w:sz="12" w:space="0" w:color="2E74B5"/>
              <w:bottom w:val="single" w:sz="24" w:space="0" w:color="2E74B5"/>
              <w:right w:val="single" w:sz="12" w:space="0" w:color="2E74B5"/>
            </w:tcBorders>
            <w:shd w:val="clear" w:color="auto" w:fill="auto"/>
          </w:tcPr>
          <w:p w:rsidR="00CA5E8F" w:rsidRPr="005212F4" w:rsidRDefault="008519A2" w:rsidP="005212F4">
            <w:pPr>
              <w:spacing w:before="60" w:after="40"/>
              <w:rPr>
                <w:rFonts w:ascii="Verdana" w:hAnsi="Verdana"/>
                <w:sz w:val="18"/>
                <w:szCs w:val="18"/>
              </w:rPr>
            </w:pPr>
            <w:r w:rsidRPr="005212F4">
              <w:rPr>
                <w:rStyle w:val="BodyTextChar1"/>
                <w:rFonts w:ascii="Verdana" w:hAnsi="Verdana"/>
                <w:color w:val="000000"/>
                <w:sz w:val="18"/>
                <w:szCs w:val="18"/>
                <w:lang w:val="ru-RU"/>
              </w:rPr>
              <w:t>Приема се</w:t>
            </w:r>
            <w:r w:rsidR="00685C75" w:rsidRPr="005212F4">
              <w:rPr>
                <w:rStyle w:val="BodyTextChar1"/>
                <w:rFonts w:ascii="Verdana" w:hAnsi="Verdana"/>
                <w:color w:val="000000"/>
                <w:sz w:val="18"/>
                <w:szCs w:val="18"/>
                <w:lang w:val="ru-RU"/>
              </w:rPr>
              <w:t>, по принцип</w:t>
            </w:r>
          </w:p>
        </w:tc>
        <w:tc>
          <w:tcPr>
            <w:tcW w:w="4964" w:type="dxa"/>
            <w:tcBorders>
              <w:top w:val="single" w:sz="18" w:space="0" w:color="2E74B5"/>
              <w:left w:val="single" w:sz="12" w:space="0" w:color="2E74B5"/>
              <w:bottom w:val="single" w:sz="24" w:space="0" w:color="2E74B5"/>
              <w:right w:val="single" w:sz="24" w:space="0" w:color="2E74B5"/>
            </w:tcBorders>
            <w:shd w:val="clear" w:color="auto" w:fill="auto"/>
          </w:tcPr>
          <w:p w:rsidR="00CA5E8F" w:rsidRPr="005212F4" w:rsidRDefault="00685C75" w:rsidP="005212F4">
            <w:pPr>
              <w:spacing w:before="60" w:after="40"/>
              <w:jc w:val="both"/>
              <w:rPr>
                <w:rFonts w:ascii="Verdana" w:hAnsi="Verdana"/>
                <w:sz w:val="18"/>
                <w:szCs w:val="18"/>
              </w:rPr>
            </w:pPr>
            <w:r w:rsidRPr="005212F4">
              <w:rPr>
                <w:rStyle w:val="BodyTextChar1"/>
                <w:rFonts w:ascii="Verdana" w:hAnsi="Verdana"/>
                <w:color w:val="000000"/>
                <w:sz w:val="18"/>
                <w:szCs w:val="18"/>
                <w:lang w:val="ru-RU"/>
              </w:rPr>
              <w:t xml:space="preserve">С цел изясняване на механизма за формиране на максималните стойности на подпомагане на хектар, тарифно число и застрахователна сума са добавени към текста на доклада. </w:t>
            </w:r>
          </w:p>
        </w:tc>
      </w:tr>
    </w:tbl>
    <w:p w:rsidR="005212F4" w:rsidRPr="005212F4" w:rsidRDefault="005212F4" w:rsidP="00047488">
      <w:pPr>
        <w:rPr>
          <w:rFonts w:ascii="Verdana" w:hAnsi="Verdana"/>
          <w:sz w:val="20"/>
          <w:szCs w:val="20"/>
        </w:rPr>
      </w:pPr>
    </w:p>
    <w:sectPr w:rsidR="005212F4" w:rsidRPr="005212F4" w:rsidSect="003A02F6">
      <w:footerReference w:type="even" r:id="rId10"/>
      <w:footerReference w:type="default" r:id="rId11"/>
      <w:headerReference w:type="first" r:id="rId12"/>
      <w:pgSz w:w="16838" w:h="11906" w:orient="landscape" w:code="9"/>
      <w:pgMar w:top="1134" w:right="907" w:bottom="28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0CE" w:rsidRDefault="004A20CE">
      <w:r>
        <w:separator/>
      </w:r>
    </w:p>
  </w:endnote>
  <w:endnote w:type="continuationSeparator" w:id="0">
    <w:p w:rsidR="004A20CE" w:rsidRDefault="004A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75099"/>
      <w:docPartObj>
        <w:docPartGallery w:val="Page Numbers (Bottom of Page)"/>
        <w:docPartUnique/>
      </w:docPartObj>
    </w:sdtPr>
    <w:sdtEndPr>
      <w:rPr>
        <w:rFonts w:ascii="Verdana" w:hAnsi="Verdana"/>
        <w:noProof/>
        <w:sz w:val="16"/>
        <w:szCs w:val="16"/>
      </w:rPr>
    </w:sdtEndPr>
    <w:sdtContent>
      <w:p w:rsidR="00D56BB2" w:rsidRPr="005212F4" w:rsidRDefault="00D56BB2" w:rsidP="00D56BB2">
        <w:pPr>
          <w:pStyle w:val="Footer"/>
          <w:jc w:val="right"/>
          <w:rPr>
            <w:rFonts w:ascii="Verdana" w:hAnsi="Verdana"/>
            <w:sz w:val="16"/>
            <w:szCs w:val="16"/>
          </w:rPr>
        </w:pPr>
        <w:r w:rsidRPr="005212F4">
          <w:rPr>
            <w:rFonts w:ascii="Verdana" w:hAnsi="Verdana"/>
            <w:sz w:val="16"/>
            <w:szCs w:val="16"/>
          </w:rPr>
          <w:fldChar w:fldCharType="begin"/>
        </w:r>
        <w:r w:rsidRPr="005212F4">
          <w:rPr>
            <w:rFonts w:ascii="Verdana" w:hAnsi="Verdana"/>
            <w:sz w:val="16"/>
            <w:szCs w:val="16"/>
          </w:rPr>
          <w:instrText xml:space="preserve"> PAGE   \* MERGEFORMAT </w:instrText>
        </w:r>
        <w:r w:rsidRPr="005212F4">
          <w:rPr>
            <w:rFonts w:ascii="Verdana" w:hAnsi="Verdana"/>
            <w:sz w:val="16"/>
            <w:szCs w:val="16"/>
          </w:rPr>
          <w:fldChar w:fldCharType="separate"/>
        </w:r>
        <w:r w:rsidR="00233E9A">
          <w:rPr>
            <w:rFonts w:ascii="Verdana" w:hAnsi="Verdana"/>
            <w:noProof/>
            <w:sz w:val="16"/>
            <w:szCs w:val="16"/>
          </w:rPr>
          <w:t>19</w:t>
        </w:r>
        <w:r w:rsidRPr="005212F4">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0CE" w:rsidRDefault="004A20CE">
      <w:r>
        <w:separator/>
      </w:r>
    </w:p>
  </w:footnote>
  <w:footnote w:type="continuationSeparator" w:id="0">
    <w:p w:rsidR="004A20CE" w:rsidRDefault="004A2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E11" w:rsidRPr="00896E11"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rPr>
    </w:pPr>
    <w:r w:rsidRPr="00896E11">
      <w:rPr>
        <w:rFonts w:ascii="Verdana" w:hAnsi="Verdana"/>
        <w:sz w:val="18"/>
        <w:szCs w:val="18"/>
      </w:rPr>
      <w:t>Класификация на информацията:</w:t>
    </w:r>
  </w:p>
  <w:p w:rsidR="00896E11" w:rsidRPr="00F22457" w:rsidRDefault="00896E11" w:rsidP="00896E11">
    <w:pPr>
      <w:tabs>
        <w:tab w:val="center" w:pos="4153"/>
        <w:tab w:val="right" w:pos="8306"/>
      </w:tabs>
      <w:overflowPunct w:val="0"/>
      <w:autoSpaceDE w:val="0"/>
      <w:autoSpaceDN w:val="0"/>
      <w:adjustRightInd w:val="0"/>
      <w:jc w:val="right"/>
      <w:textAlignment w:val="baseline"/>
      <w:rPr>
        <w:rFonts w:ascii="Verdana" w:hAnsi="Verdana"/>
        <w:sz w:val="18"/>
        <w:szCs w:val="18"/>
        <w:lang w:val="ru-RU"/>
      </w:rPr>
    </w:pPr>
    <w:r w:rsidRPr="00896E11">
      <w:rPr>
        <w:rFonts w:ascii="Verdana" w:hAnsi="Verdana"/>
        <w:bCs/>
        <w:sz w:val="18"/>
        <w:szCs w:val="18"/>
      </w:rPr>
      <w:t>Ниво 0, TLP-</w:t>
    </w:r>
    <w:r w:rsidRPr="00896E11">
      <w:rPr>
        <w:rFonts w:ascii="Verdana" w:hAnsi="Verdana"/>
        <w:bCs/>
        <w:sz w:val="18"/>
        <w:szCs w:val="18"/>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C3A"/>
    <w:multiLevelType w:val="multilevel"/>
    <w:tmpl w:val="FDC87F9C"/>
    <w:lvl w:ilvl="0">
      <w:start w:val="1"/>
      <w:numFmt w:val="decimal"/>
      <w:suff w:val="space"/>
      <w:lvlText w:val="%1."/>
      <w:lvlJc w:val="right"/>
      <w:pPr>
        <w:ind w:left="28" w:firstLine="397"/>
      </w:pPr>
      <w:rPr>
        <w:rFonts w:ascii="Verdana" w:hAnsi="Verdana" w:hint="default"/>
        <w:b/>
        <w:i w:val="0"/>
        <w:sz w:val="18"/>
      </w:rPr>
    </w:lvl>
    <w:lvl w:ilvl="1">
      <w:start w:val="1"/>
      <w:numFmt w:val="lowerLetter"/>
      <w:lvlText w:val="%2."/>
      <w:lvlJc w:val="left"/>
      <w:pPr>
        <w:ind w:left="1468" w:hanging="360"/>
      </w:pPr>
      <w:rPr>
        <w:rFonts w:hint="default"/>
      </w:rPr>
    </w:lvl>
    <w:lvl w:ilvl="2">
      <w:start w:val="1"/>
      <w:numFmt w:val="lowerRoman"/>
      <w:lvlText w:val="%3."/>
      <w:lvlJc w:val="right"/>
      <w:pPr>
        <w:ind w:left="2188" w:hanging="180"/>
      </w:pPr>
      <w:rPr>
        <w:rFonts w:hint="default"/>
      </w:rPr>
    </w:lvl>
    <w:lvl w:ilvl="3">
      <w:start w:val="1"/>
      <w:numFmt w:val="decimal"/>
      <w:lvlText w:val="%4."/>
      <w:lvlJc w:val="left"/>
      <w:pPr>
        <w:ind w:left="2908" w:hanging="360"/>
      </w:pPr>
      <w:rPr>
        <w:rFonts w:hint="default"/>
      </w:rPr>
    </w:lvl>
    <w:lvl w:ilvl="4">
      <w:start w:val="1"/>
      <w:numFmt w:val="lowerLetter"/>
      <w:lvlText w:val="%5."/>
      <w:lvlJc w:val="left"/>
      <w:pPr>
        <w:ind w:left="3628" w:hanging="360"/>
      </w:pPr>
      <w:rPr>
        <w:rFonts w:hint="default"/>
      </w:rPr>
    </w:lvl>
    <w:lvl w:ilvl="5">
      <w:start w:val="1"/>
      <w:numFmt w:val="lowerRoman"/>
      <w:lvlText w:val="%6."/>
      <w:lvlJc w:val="right"/>
      <w:pPr>
        <w:ind w:left="4348" w:hanging="180"/>
      </w:pPr>
      <w:rPr>
        <w:rFonts w:hint="default"/>
      </w:rPr>
    </w:lvl>
    <w:lvl w:ilvl="6">
      <w:start w:val="1"/>
      <w:numFmt w:val="decimal"/>
      <w:lvlText w:val="%7."/>
      <w:lvlJc w:val="left"/>
      <w:pPr>
        <w:ind w:left="5068" w:hanging="360"/>
      </w:pPr>
      <w:rPr>
        <w:rFonts w:hint="default"/>
      </w:rPr>
    </w:lvl>
    <w:lvl w:ilvl="7">
      <w:start w:val="1"/>
      <w:numFmt w:val="lowerLetter"/>
      <w:lvlText w:val="%8."/>
      <w:lvlJc w:val="left"/>
      <w:pPr>
        <w:ind w:left="5788" w:hanging="360"/>
      </w:pPr>
      <w:rPr>
        <w:rFonts w:hint="default"/>
      </w:rPr>
    </w:lvl>
    <w:lvl w:ilvl="8">
      <w:start w:val="1"/>
      <w:numFmt w:val="lowerRoman"/>
      <w:lvlText w:val="%9."/>
      <w:lvlJc w:val="right"/>
      <w:pPr>
        <w:ind w:left="6508" w:hanging="180"/>
      </w:pPr>
      <w:rPr>
        <w:rFonts w:hint="default"/>
      </w:rPr>
    </w:lvl>
  </w:abstractNum>
  <w:abstractNum w:abstractNumId="1"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458C"/>
    <w:rsid w:val="0002544E"/>
    <w:rsid w:val="00025DD3"/>
    <w:rsid w:val="000279C9"/>
    <w:rsid w:val="00033183"/>
    <w:rsid w:val="00033713"/>
    <w:rsid w:val="000357B4"/>
    <w:rsid w:val="00044E65"/>
    <w:rsid w:val="0004610E"/>
    <w:rsid w:val="00047488"/>
    <w:rsid w:val="0005435E"/>
    <w:rsid w:val="0005470C"/>
    <w:rsid w:val="000553BE"/>
    <w:rsid w:val="000572CA"/>
    <w:rsid w:val="0006091E"/>
    <w:rsid w:val="00060BFB"/>
    <w:rsid w:val="00062907"/>
    <w:rsid w:val="00062ADE"/>
    <w:rsid w:val="00062F02"/>
    <w:rsid w:val="00063E4B"/>
    <w:rsid w:val="000673CE"/>
    <w:rsid w:val="000718C7"/>
    <w:rsid w:val="00073659"/>
    <w:rsid w:val="00075594"/>
    <w:rsid w:val="0008079F"/>
    <w:rsid w:val="00082171"/>
    <w:rsid w:val="00084700"/>
    <w:rsid w:val="00086C83"/>
    <w:rsid w:val="000900DB"/>
    <w:rsid w:val="000902D1"/>
    <w:rsid w:val="00090401"/>
    <w:rsid w:val="000937D4"/>
    <w:rsid w:val="000953A8"/>
    <w:rsid w:val="00097783"/>
    <w:rsid w:val="000A1017"/>
    <w:rsid w:val="000A228F"/>
    <w:rsid w:val="000B298E"/>
    <w:rsid w:val="000B2EB1"/>
    <w:rsid w:val="000B3D5F"/>
    <w:rsid w:val="000B5A9D"/>
    <w:rsid w:val="000B6AE5"/>
    <w:rsid w:val="000B6D57"/>
    <w:rsid w:val="000C46A7"/>
    <w:rsid w:val="000C5E61"/>
    <w:rsid w:val="000D4198"/>
    <w:rsid w:val="000E3570"/>
    <w:rsid w:val="000F02C5"/>
    <w:rsid w:val="000F2B15"/>
    <w:rsid w:val="000F31C8"/>
    <w:rsid w:val="000F3490"/>
    <w:rsid w:val="0010687D"/>
    <w:rsid w:val="00110030"/>
    <w:rsid w:val="001143E4"/>
    <w:rsid w:val="0011484F"/>
    <w:rsid w:val="00115EDD"/>
    <w:rsid w:val="00116F4E"/>
    <w:rsid w:val="00120ABA"/>
    <w:rsid w:val="00133A14"/>
    <w:rsid w:val="00134E1D"/>
    <w:rsid w:val="0013629D"/>
    <w:rsid w:val="0013699F"/>
    <w:rsid w:val="00141BFB"/>
    <w:rsid w:val="00144034"/>
    <w:rsid w:val="001440FE"/>
    <w:rsid w:val="0014437A"/>
    <w:rsid w:val="00155CAF"/>
    <w:rsid w:val="00156102"/>
    <w:rsid w:val="00161362"/>
    <w:rsid w:val="00162642"/>
    <w:rsid w:val="001632AB"/>
    <w:rsid w:val="001668E1"/>
    <w:rsid w:val="00173D7D"/>
    <w:rsid w:val="00175004"/>
    <w:rsid w:val="00177AA6"/>
    <w:rsid w:val="001808B4"/>
    <w:rsid w:val="0018509E"/>
    <w:rsid w:val="00191645"/>
    <w:rsid w:val="001948B0"/>
    <w:rsid w:val="00196CCA"/>
    <w:rsid w:val="001A0680"/>
    <w:rsid w:val="001B4CD8"/>
    <w:rsid w:val="001C5473"/>
    <w:rsid w:val="001D362A"/>
    <w:rsid w:val="001E4FE9"/>
    <w:rsid w:val="001E64F2"/>
    <w:rsid w:val="001E79D7"/>
    <w:rsid w:val="001F0567"/>
    <w:rsid w:val="001F1F60"/>
    <w:rsid w:val="001F314D"/>
    <w:rsid w:val="0020103A"/>
    <w:rsid w:val="00201455"/>
    <w:rsid w:val="00206678"/>
    <w:rsid w:val="0021035B"/>
    <w:rsid w:val="00214B75"/>
    <w:rsid w:val="00215178"/>
    <w:rsid w:val="002207AA"/>
    <w:rsid w:val="00221143"/>
    <w:rsid w:val="002217C0"/>
    <w:rsid w:val="00221B68"/>
    <w:rsid w:val="0022389E"/>
    <w:rsid w:val="002264C4"/>
    <w:rsid w:val="00226FF5"/>
    <w:rsid w:val="00230E0E"/>
    <w:rsid w:val="00232F7A"/>
    <w:rsid w:val="00233C04"/>
    <w:rsid w:val="00233E9A"/>
    <w:rsid w:val="002348DC"/>
    <w:rsid w:val="002369C8"/>
    <w:rsid w:val="002375B3"/>
    <w:rsid w:val="00237A17"/>
    <w:rsid w:val="00241F4C"/>
    <w:rsid w:val="0024444A"/>
    <w:rsid w:val="00250B87"/>
    <w:rsid w:val="002536A8"/>
    <w:rsid w:val="00257386"/>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1D86"/>
    <w:rsid w:val="002A3B76"/>
    <w:rsid w:val="002A59D9"/>
    <w:rsid w:val="002A5A11"/>
    <w:rsid w:val="002B1502"/>
    <w:rsid w:val="002C03AF"/>
    <w:rsid w:val="002C5843"/>
    <w:rsid w:val="002C7F10"/>
    <w:rsid w:val="002D083C"/>
    <w:rsid w:val="002D2176"/>
    <w:rsid w:val="002E45BC"/>
    <w:rsid w:val="002E537C"/>
    <w:rsid w:val="002E57D4"/>
    <w:rsid w:val="002E58E3"/>
    <w:rsid w:val="002E5E3F"/>
    <w:rsid w:val="002E6ADF"/>
    <w:rsid w:val="002F0752"/>
    <w:rsid w:val="002F7B2A"/>
    <w:rsid w:val="00300767"/>
    <w:rsid w:val="00300B99"/>
    <w:rsid w:val="00300D63"/>
    <w:rsid w:val="003039A5"/>
    <w:rsid w:val="00306298"/>
    <w:rsid w:val="003062EA"/>
    <w:rsid w:val="0031111D"/>
    <w:rsid w:val="00312FB3"/>
    <w:rsid w:val="00314F63"/>
    <w:rsid w:val="003154C2"/>
    <w:rsid w:val="00316618"/>
    <w:rsid w:val="00321BD0"/>
    <w:rsid w:val="00326B58"/>
    <w:rsid w:val="0032726C"/>
    <w:rsid w:val="003336CE"/>
    <w:rsid w:val="00333BD7"/>
    <w:rsid w:val="00346856"/>
    <w:rsid w:val="00351063"/>
    <w:rsid w:val="00357018"/>
    <w:rsid w:val="003640F0"/>
    <w:rsid w:val="0037191E"/>
    <w:rsid w:val="00377A96"/>
    <w:rsid w:val="00377FE2"/>
    <w:rsid w:val="00384B8B"/>
    <w:rsid w:val="00387130"/>
    <w:rsid w:val="00387162"/>
    <w:rsid w:val="00390116"/>
    <w:rsid w:val="00395655"/>
    <w:rsid w:val="003A02F6"/>
    <w:rsid w:val="003A060F"/>
    <w:rsid w:val="003C1F1E"/>
    <w:rsid w:val="003C563D"/>
    <w:rsid w:val="003C5C7B"/>
    <w:rsid w:val="003D6231"/>
    <w:rsid w:val="003D775C"/>
    <w:rsid w:val="003E0EFB"/>
    <w:rsid w:val="003E361D"/>
    <w:rsid w:val="003F2026"/>
    <w:rsid w:val="003F3728"/>
    <w:rsid w:val="003F7612"/>
    <w:rsid w:val="003F7CD4"/>
    <w:rsid w:val="00401834"/>
    <w:rsid w:val="00407815"/>
    <w:rsid w:val="00414F26"/>
    <w:rsid w:val="00415D7B"/>
    <w:rsid w:val="00417315"/>
    <w:rsid w:val="004205D9"/>
    <w:rsid w:val="00420A7D"/>
    <w:rsid w:val="00420F8B"/>
    <w:rsid w:val="0042418B"/>
    <w:rsid w:val="0042440B"/>
    <w:rsid w:val="00430245"/>
    <w:rsid w:val="00430323"/>
    <w:rsid w:val="00432C0F"/>
    <w:rsid w:val="00433081"/>
    <w:rsid w:val="004361F2"/>
    <w:rsid w:val="0043666A"/>
    <w:rsid w:val="004376C2"/>
    <w:rsid w:val="004427B2"/>
    <w:rsid w:val="00442824"/>
    <w:rsid w:val="004444E8"/>
    <w:rsid w:val="00446EC1"/>
    <w:rsid w:val="0045180F"/>
    <w:rsid w:val="00452217"/>
    <w:rsid w:val="004537D4"/>
    <w:rsid w:val="00453C28"/>
    <w:rsid w:val="00453E85"/>
    <w:rsid w:val="00455D0B"/>
    <w:rsid w:val="0046759A"/>
    <w:rsid w:val="004677F5"/>
    <w:rsid w:val="00467C52"/>
    <w:rsid w:val="004720AF"/>
    <w:rsid w:val="0047261C"/>
    <w:rsid w:val="004744D0"/>
    <w:rsid w:val="00487E51"/>
    <w:rsid w:val="00496618"/>
    <w:rsid w:val="004A0A82"/>
    <w:rsid w:val="004A207E"/>
    <w:rsid w:val="004A20CE"/>
    <w:rsid w:val="004A27CC"/>
    <w:rsid w:val="004A285F"/>
    <w:rsid w:val="004A55AC"/>
    <w:rsid w:val="004A5E2A"/>
    <w:rsid w:val="004A6AE4"/>
    <w:rsid w:val="004A70C4"/>
    <w:rsid w:val="004B2E13"/>
    <w:rsid w:val="004B4FC8"/>
    <w:rsid w:val="004B5150"/>
    <w:rsid w:val="004B5B51"/>
    <w:rsid w:val="004B735F"/>
    <w:rsid w:val="004C1080"/>
    <w:rsid w:val="004C10A2"/>
    <w:rsid w:val="004C420B"/>
    <w:rsid w:val="004C54A0"/>
    <w:rsid w:val="004C5BFA"/>
    <w:rsid w:val="004D24E9"/>
    <w:rsid w:val="004D3191"/>
    <w:rsid w:val="004E0260"/>
    <w:rsid w:val="004E4897"/>
    <w:rsid w:val="004E6D10"/>
    <w:rsid w:val="004F17EA"/>
    <w:rsid w:val="004F2B1B"/>
    <w:rsid w:val="004F4B94"/>
    <w:rsid w:val="004F5643"/>
    <w:rsid w:val="004F70FF"/>
    <w:rsid w:val="004F7672"/>
    <w:rsid w:val="004F7953"/>
    <w:rsid w:val="0050084D"/>
    <w:rsid w:val="00501868"/>
    <w:rsid w:val="00501E0F"/>
    <w:rsid w:val="00501E65"/>
    <w:rsid w:val="0050754B"/>
    <w:rsid w:val="00507B53"/>
    <w:rsid w:val="005121ED"/>
    <w:rsid w:val="005130D6"/>
    <w:rsid w:val="00514AC6"/>
    <w:rsid w:val="00516F00"/>
    <w:rsid w:val="00517A62"/>
    <w:rsid w:val="00520109"/>
    <w:rsid w:val="00520903"/>
    <w:rsid w:val="005212F4"/>
    <w:rsid w:val="00522F73"/>
    <w:rsid w:val="005244A3"/>
    <w:rsid w:val="0052467D"/>
    <w:rsid w:val="005260B9"/>
    <w:rsid w:val="0053165E"/>
    <w:rsid w:val="00534E66"/>
    <w:rsid w:val="00540C53"/>
    <w:rsid w:val="005424B9"/>
    <w:rsid w:val="00543E05"/>
    <w:rsid w:val="005462B1"/>
    <w:rsid w:val="005531AA"/>
    <w:rsid w:val="00554B28"/>
    <w:rsid w:val="00554CC1"/>
    <w:rsid w:val="005602FF"/>
    <w:rsid w:val="00563FA3"/>
    <w:rsid w:val="005644C8"/>
    <w:rsid w:val="00564E98"/>
    <w:rsid w:val="00583A7E"/>
    <w:rsid w:val="00585BBF"/>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16C"/>
    <w:rsid w:val="005E36D5"/>
    <w:rsid w:val="005E4874"/>
    <w:rsid w:val="005E4CF0"/>
    <w:rsid w:val="005F0C39"/>
    <w:rsid w:val="005F421E"/>
    <w:rsid w:val="0060094C"/>
    <w:rsid w:val="00600B63"/>
    <w:rsid w:val="006040E1"/>
    <w:rsid w:val="00604A61"/>
    <w:rsid w:val="00610231"/>
    <w:rsid w:val="00617D55"/>
    <w:rsid w:val="006240D8"/>
    <w:rsid w:val="00626132"/>
    <w:rsid w:val="006324A1"/>
    <w:rsid w:val="00633E91"/>
    <w:rsid w:val="00634DDD"/>
    <w:rsid w:val="006361E3"/>
    <w:rsid w:val="0063730A"/>
    <w:rsid w:val="00642470"/>
    <w:rsid w:val="00642D90"/>
    <w:rsid w:val="00645DFC"/>
    <w:rsid w:val="0064673C"/>
    <w:rsid w:val="00656642"/>
    <w:rsid w:val="006570D3"/>
    <w:rsid w:val="006712A6"/>
    <w:rsid w:val="00671E4E"/>
    <w:rsid w:val="0067456E"/>
    <w:rsid w:val="00675133"/>
    <w:rsid w:val="006802C1"/>
    <w:rsid w:val="00685C75"/>
    <w:rsid w:val="00690FE6"/>
    <w:rsid w:val="00691BD4"/>
    <w:rsid w:val="00694141"/>
    <w:rsid w:val="006A512F"/>
    <w:rsid w:val="006B4070"/>
    <w:rsid w:val="006C5E94"/>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3269"/>
    <w:rsid w:val="007362EB"/>
    <w:rsid w:val="00736C03"/>
    <w:rsid w:val="00737BC4"/>
    <w:rsid w:val="00737D3E"/>
    <w:rsid w:val="007431DE"/>
    <w:rsid w:val="007475FE"/>
    <w:rsid w:val="007516D1"/>
    <w:rsid w:val="00755A98"/>
    <w:rsid w:val="00756290"/>
    <w:rsid w:val="00756A19"/>
    <w:rsid w:val="0076108C"/>
    <w:rsid w:val="00761B5E"/>
    <w:rsid w:val="0076408A"/>
    <w:rsid w:val="00774BE7"/>
    <w:rsid w:val="00777754"/>
    <w:rsid w:val="00780EAB"/>
    <w:rsid w:val="00781306"/>
    <w:rsid w:val="007836C8"/>
    <w:rsid w:val="0079315F"/>
    <w:rsid w:val="007934F1"/>
    <w:rsid w:val="00794229"/>
    <w:rsid w:val="0079431B"/>
    <w:rsid w:val="007A76C5"/>
    <w:rsid w:val="007B1141"/>
    <w:rsid w:val="007B1A09"/>
    <w:rsid w:val="007B24F7"/>
    <w:rsid w:val="007C6C8E"/>
    <w:rsid w:val="007D0AFE"/>
    <w:rsid w:val="007D6B06"/>
    <w:rsid w:val="007E249E"/>
    <w:rsid w:val="007E40C8"/>
    <w:rsid w:val="007E633B"/>
    <w:rsid w:val="007E6AD6"/>
    <w:rsid w:val="007F135A"/>
    <w:rsid w:val="007F4201"/>
    <w:rsid w:val="0080232E"/>
    <w:rsid w:val="00812789"/>
    <w:rsid w:val="00815CDE"/>
    <w:rsid w:val="00825A1A"/>
    <w:rsid w:val="00826D8F"/>
    <w:rsid w:val="00826F86"/>
    <w:rsid w:val="00831124"/>
    <w:rsid w:val="00831D3C"/>
    <w:rsid w:val="00831E9A"/>
    <w:rsid w:val="00833124"/>
    <w:rsid w:val="00833587"/>
    <w:rsid w:val="00842C8D"/>
    <w:rsid w:val="00844CC3"/>
    <w:rsid w:val="00845BC3"/>
    <w:rsid w:val="008476BF"/>
    <w:rsid w:val="008508D5"/>
    <w:rsid w:val="008519A2"/>
    <w:rsid w:val="0085319B"/>
    <w:rsid w:val="00854E7C"/>
    <w:rsid w:val="00855317"/>
    <w:rsid w:val="00855962"/>
    <w:rsid w:val="00860FE7"/>
    <w:rsid w:val="00861CE5"/>
    <w:rsid w:val="0086226E"/>
    <w:rsid w:val="008623C1"/>
    <w:rsid w:val="008625A0"/>
    <w:rsid w:val="00864193"/>
    <w:rsid w:val="0086505F"/>
    <w:rsid w:val="00865EE3"/>
    <w:rsid w:val="0086600C"/>
    <w:rsid w:val="00872A86"/>
    <w:rsid w:val="00873084"/>
    <w:rsid w:val="00874481"/>
    <w:rsid w:val="00875D88"/>
    <w:rsid w:val="00887B6C"/>
    <w:rsid w:val="0089123B"/>
    <w:rsid w:val="00891BE7"/>
    <w:rsid w:val="00894946"/>
    <w:rsid w:val="008963DE"/>
    <w:rsid w:val="00896E11"/>
    <w:rsid w:val="008A00BC"/>
    <w:rsid w:val="008A1687"/>
    <w:rsid w:val="008A2DF5"/>
    <w:rsid w:val="008A52D8"/>
    <w:rsid w:val="008A5E27"/>
    <w:rsid w:val="008A721D"/>
    <w:rsid w:val="008B1BC5"/>
    <w:rsid w:val="008C0503"/>
    <w:rsid w:val="008C4A55"/>
    <w:rsid w:val="008C5E5E"/>
    <w:rsid w:val="008D08F5"/>
    <w:rsid w:val="008D2350"/>
    <w:rsid w:val="008D579B"/>
    <w:rsid w:val="008D583E"/>
    <w:rsid w:val="008D63BA"/>
    <w:rsid w:val="008D7657"/>
    <w:rsid w:val="008E1CC8"/>
    <w:rsid w:val="008E24D8"/>
    <w:rsid w:val="008E3AC0"/>
    <w:rsid w:val="008E7584"/>
    <w:rsid w:val="008E7705"/>
    <w:rsid w:val="008E77F4"/>
    <w:rsid w:val="008E7E4D"/>
    <w:rsid w:val="008F35DB"/>
    <w:rsid w:val="008F4969"/>
    <w:rsid w:val="008F6393"/>
    <w:rsid w:val="00905EB8"/>
    <w:rsid w:val="00905F3A"/>
    <w:rsid w:val="0090782D"/>
    <w:rsid w:val="0091523F"/>
    <w:rsid w:val="0091558A"/>
    <w:rsid w:val="00917058"/>
    <w:rsid w:val="00917AFD"/>
    <w:rsid w:val="009210DE"/>
    <w:rsid w:val="00924F7D"/>
    <w:rsid w:val="009312BE"/>
    <w:rsid w:val="0094334A"/>
    <w:rsid w:val="00943E2F"/>
    <w:rsid w:val="0094437C"/>
    <w:rsid w:val="00952D0A"/>
    <w:rsid w:val="00953FD7"/>
    <w:rsid w:val="009551F9"/>
    <w:rsid w:val="00963AE2"/>
    <w:rsid w:val="00972F4C"/>
    <w:rsid w:val="00975F5E"/>
    <w:rsid w:val="00977612"/>
    <w:rsid w:val="00981461"/>
    <w:rsid w:val="009827FE"/>
    <w:rsid w:val="00983B09"/>
    <w:rsid w:val="00990860"/>
    <w:rsid w:val="00990FC4"/>
    <w:rsid w:val="009941E5"/>
    <w:rsid w:val="0099513B"/>
    <w:rsid w:val="00996B48"/>
    <w:rsid w:val="009A0E39"/>
    <w:rsid w:val="009A1973"/>
    <w:rsid w:val="009A19C4"/>
    <w:rsid w:val="009B1744"/>
    <w:rsid w:val="009B1EE9"/>
    <w:rsid w:val="009B568A"/>
    <w:rsid w:val="009D0944"/>
    <w:rsid w:val="009D6D2E"/>
    <w:rsid w:val="009D753B"/>
    <w:rsid w:val="009E0CEB"/>
    <w:rsid w:val="009E2732"/>
    <w:rsid w:val="009E6BE6"/>
    <w:rsid w:val="009E6C5E"/>
    <w:rsid w:val="009E7717"/>
    <w:rsid w:val="009E7FF1"/>
    <w:rsid w:val="00A02072"/>
    <w:rsid w:val="00A11D46"/>
    <w:rsid w:val="00A163D9"/>
    <w:rsid w:val="00A17807"/>
    <w:rsid w:val="00A23452"/>
    <w:rsid w:val="00A26499"/>
    <w:rsid w:val="00A27F81"/>
    <w:rsid w:val="00A30636"/>
    <w:rsid w:val="00A31338"/>
    <w:rsid w:val="00A32258"/>
    <w:rsid w:val="00A3356F"/>
    <w:rsid w:val="00A3568B"/>
    <w:rsid w:val="00A4509D"/>
    <w:rsid w:val="00A4752C"/>
    <w:rsid w:val="00A50CD4"/>
    <w:rsid w:val="00A53909"/>
    <w:rsid w:val="00A55782"/>
    <w:rsid w:val="00A57A10"/>
    <w:rsid w:val="00A57F06"/>
    <w:rsid w:val="00A600FC"/>
    <w:rsid w:val="00A606F7"/>
    <w:rsid w:val="00A60884"/>
    <w:rsid w:val="00A610CB"/>
    <w:rsid w:val="00A643D6"/>
    <w:rsid w:val="00A64DC1"/>
    <w:rsid w:val="00A6623B"/>
    <w:rsid w:val="00A7058C"/>
    <w:rsid w:val="00A70B39"/>
    <w:rsid w:val="00A8542F"/>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A0E"/>
    <w:rsid w:val="00B17C41"/>
    <w:rsid w:val="00B17FDB"/>
    <w:rsid w:val="00B24B51"/>
    <w:rsid w:val="00B30A00"/>
    <w:rsid w:val="00B31B92"/>
    <w:rsid w:val="00B320D9"/>
    <w:rsid w:val="00B321D4"/>
    <w:rsid w:val="00B330B9"/>
    <w:rsid w:val="00B3495F"/>
    <w:rsid w:val="00B34AF6"/>
    <w:rsid w:val="00B34CBF"/>
    <w:rsid w:val="00B40DAD"/>
    <w:rsid w:val="00B42361"/>
    <w:rsid w:val="00B429D4"/>
    <w:rsid w:val="00B42C8D"/>
    <w:rsid w:val="00B458D2"/>
    <w:rsid w:val="00B5191C"/>
    <w:rsid w:val="00B5236B"/>
    <w:rsid w:val="00B5758A"/>
    <w:rsid w:val="00B6355E"/>
    <w:rsid w:val="00B65B84"/>
    <w:rsid w:val="00B7272A"/>
    <w:rsid w:val="00B73133"/>
    <w:rsid w:val="00B74629"/>
    <w:rsid w:val="00B75F90"/>
    <w:rsid w:val="00B8036D"/>
    <w:rsid w:val="00B84A5C"/>
    <w:rsid w:val="00B87124"/>
    <w:rsid w:val="00B90C96"/>
    <w:rsid w:val="00B948D2"/>
    <w:rsid w:val="00BA478A"/>
    <w:rsid w:val="00BA66F5"/>
    <w:rsid w:val="00BA726F"/>
    <w:rsid w:val="00BB13DA"/>
    <w:rsid w:val="00BB2597"/>
    <w:rsid w:val="00BD068F"/>
    <w:rsid w:val="00BD0FA0"/>
    <w:rsid w:val="00BD2B98"/>
    <w:rsid w:val="00BD7BD3"/>
    <w:rsid w:val="00BE0D0E"/>
    <w:rsid w:val="00BE395D"/>
    <w:rsid w:val="00BE482D"/>
    <w:rsid w:val="00BF0159"/>
    <w:rsid w:val="00C00A4C"/>
    <w:rsid w:val="00C00BE8"/>
    <w:rsid w:val="00C03495"/>
    <w:rsid w:val="00C1385A"/>
    <w:rsid w:val="00C2421A"/>
    <w:rsid w:val="00C27D33"/>
    <w:rsid w:val="00C31286"/>
    <w:rsid w:val="00C31A5B"/>
    <w:rsid w:val="00C31C18"/>
    <w:rsid w:val="00C34C0E"/>
    <w:rsid w:val="00C35EF2"/>
    <w:rsid w:val="00C403B4"/>
    <w:rsid w:val="00C406DE"/>
    <w:rsid w:val="00C41445"/>
    <w:rsid w:val="00C41B61"/>
    <w:rsid w:val="00C45CCE"/>
    <w:rsid w:val="00C46170"/>
    <w:rsid w:val="00C467CA"/>
    <w:rsid w:val="00C467D4"/>
    <w:rsid w:val="00C5218E"/>
    <w:rsid w:val="00C5278E"/>
    <w:rsid w:val="00C538D8"/>
    <w:rsid w:val="00C550EA"/>
    <w:rsid w:val="00C573AA"/>
    <w:rsid w:val="00C63AA7"/>
    <w:rsid w:val="00C718DA"/>
    <w:rsid w:val="00C73873"/>
    <w:rsid w:val="00C75FCC"/>
    <w:rsid w:val="00C86431"/>
    <w:rsid w:val="00C9316D"/>
    <w:rsid w:val="00C975B4"/>
    <w:rsid w:val="00C97FB9"/>
    <w:rsid w:val="00CA155E"/>
    <w:rsid w:val="00CA292D"/>
    <w:rsid w:val="00CA2E10"/>
    <w:rsid w:val="00CA5E8F"/>
    <w:rsid w:val="00CA7916"/>
    <w:rsid w:val="00CA7999"/>
    <w:rsid w:val="00CB4E0C"/>
    <w:rsid w:val="00CB6814"/>
    <w:rsid w:val="00CD1405"/>
    <w:rsid w:val="00CE3610"/>
    <w:rsid w:val="00CF24CD"/>
    <w:rsid w:val="00CF4B16"/>
    <w:rsid w:val="00CF5221"/>
    <w:rsid w:val="00CF5822"/>
    <w:rsid w:val="00CF5A9B"/>
    <w:rsid w:val="00CF61A2"/>
    <w:rsid w:val="00CF6672"/>
    <w:rsid w:val="00D03A5F"/>
    <w:rsid w:val="00D11E74"/>
    <w:rsid w:val="00D11FEB"/>
    <w:rsid w:val="00D144A4"/>
    <w:rsid w:val="00D14A2E"/>
    <w:rsid w:val="00D22435"/>
    <w:rsid w:val="00D23711"/>
    <w:rsid w:val="00D25823"/>
    <w:rsid w:val="00D2649F"/>
    <w:rsid w:val="00D349DC"/>
    <w:rsid w:val="00D36CA4"/>
    <w:rsid w:val="00D37896"/>
    <w:rsid w:val="00D41A30"/>
    <w:rsid w:val="00D469E3"/>
    <w:rsid w:val="00D532DC"/>
    <w:rsid w:val="00D5347A"/>
    <w:rsid w:val="00D56BB2"/>
    <w:rsid w:val="00D63557"/>
    <w:rsid w:val="00D66487"/>
    <w:rsid w:val="00D71C75"/>
    <w:rsid w:val="00D723F2"/>
    <w:rsid w:val="00D741ED"/>
    <w:rsid w:val="00D76AAD"/>
    <w:rsid w:val="00D76DCC"/>
    <w:rsid w:val="00D82A70"/>
    <w:rsid w:val="00D83702"/>
    <w:rsid w:val="00D838C4"/>
    <w:rsid w:val="00D90FB6"/>
    <w:rsid w:val="00D96DF5"/>
    <w:rsid w:val="00DA0BDE"/>
    <w:rsid w:val="00DA0F8B"/>
    <w:rsid w:val="00DA2FD7"/>
    <w:rsid w:val="00DA4C8E"/>
    <w:rsid w:val="00DB4867"/>
    <w:rsid w:val="00DB5EFB"/>
    <w:rsid w:val="00DB75E1"/>
    <w:rsid w:val="00DC60E2"/>
    <w:rsid w:val="00DD139E"/>
    <w:rsid w:val="00DD4DA6"/>
    <w:rsid w:val="00DD7AA4"/>
    <w:rsid w:val="00DE1C7B"/>
    <w:rsid w:val="00DE370C"/>
    <w:rsid w:val="00DE48BE"/>
    <w:rsid w:val="00DE5489"/>
    <w:rsid w:val="00DF1CA2"/>
    <w:rsid w:val="00DF4AC7"/>
    <w:rsid w:val="00DF568A"/>
    <w:rsid w:val="00DF5EF4"/>
    <w:rsid w:val="00E00230"/>
    <w:rsid w:val="00E00442"/>
    <w:rsid w:val="00E015B8"/>
    <w:rsid w:val="00E02445"/>
    <w:rsid w:val="00E0521D"/>
    <w:rsid w:val="00E074E3"/>
    <w:rsid w:val="00E13B78"/>
    <w:rsid w:val="00E13B7B"/>
    <w:rsid w:val="00E13CBF"/>
    <w:rsid w:val="00E2203D"/>
    <w:rsid w:val="00E220AD"/>
    <w:rsid w:val="00E222BB"/>
    <w:rsid w:val="00E26258"/>
    <w:rsid w:val="00E27FFC"/>
    <w:rsid w:val="00E352D8"/>
    <w:rsid w:val="00E36D56"/>
    <w:rsid w:val="00E377AA"/>
    <w:rsid w:val="00E41613"/>
    <w:rsid w:val="00E41BB3"/>
    <w:rsid w:val="00E52B88"/>
    <w:rsid w:val="00E53B43"/>
    <w:rsid w:val="00E55296"/>
    <w:rsid w:val="00E61030"/>
    <w:rsid w:val="00E61E3D"/>
    <w:rsid w:val="00E61F16"/>
    <w:rsid w:val="00E67755"/>
    <w:rsid w:val="00E72CDA"/>
    <w:rsid w:val="00E76BD1"/>
    <w:rsid w:val="00E77544"/>
    <w:rsid w:val="00E7793E"/>
    <w:rsid w:val="00E7794B"/>
    <w:rsid w:val="00E804F0"/>
    <w:rsid w:val="00E831FE"/>
    <w:rsid w:val="00E8474D"/>
    <w:rsid w:val="00E87046"/>
    <w:rsid w:val="00E9475D"/>
    <w:rsid w:val="00E9569E"/>
    <w:rsid w:val="00E96851"/>
    <w:rsid w:val="00EA151B"/>
    <w:rsid w:val="00EA3777"/>
    <w:rsid w:val="00EA759A"/>
    <w:rsid w:val="00EA7FE4"/>
    <w:rsid w:val="00EB06DD"/>
    <w:rsid w:val="00EB4615"/>
    <w:rsid w:val="00EB59AA"/>
    <w:rsid w:val="00EB648A"/>
    <w:rsid w:val="00EB6C95"/>
    <w:rsid w:val="00EB6E90"/>
    <w:rsid w:val="00EB6F0C"/>
    <w:rsid w:val="00EB71B3"/>
    <w:rsid w:val="00EC103F"/>
    <w:rsid w:val="00EC2608"/>
    <w:rsid w:val="00EC5557"/>
    <w:rsid w:val="00EC5DBC"/>
    <w:rsid w:val="00EC66E9"/>
    <w:rsid w:val="00ED364A"/>
    <w:rsid w:val="00ED6CD3"/>
    <w:rsid w:val="00ED7690"/>
    <w:rsid w:val="00EE137A"/>
    <w:rsid w:val="00EE22E1"/>
    <w:rsid w:val="00EF21BC"/>
    <w:rsid w:val="00EF3B04"/>
    <w:rsid w:val="00EF72B0"/>
    <w:rsid w:val="00F00C40"/>
    <w:rsid w:val="00F00CD5"/>
    <w:rsid w:val="00F03EE5"/>
    <w:rsid w:val="00F04A79"/>
    <w:rsid w:val="00F06310"/>
    <w:rsid w:val="00F10769"/>
    <w:rsid w:val="00F12F9E"/>
    <w:rsid w:val="00F15297"/>
    <w:rsid w:val="00F22457"/>
    <w:rsid w:val="00F23427"/>
    <w:rsid w:val="00F30ED8"/>
    <w:rsid w:val="00F316E9"/>
    <w:rsid w:val="00F34EFA"/>
    <w:rsid w:val="00F37E2C"/>
    <w:rsid w:val="00F43176"/>
    <w:rsid w:val="00F44CFD"/>
    <w:rsid w:val="00F456C2"/>
    <w:rsid w:val="00F51B36"/>
    <w:rsid w:val="00F521F4"/>
    <w:rsid w:val="00F54AC6"/>
    <w:rsid w:val="00F61E91"/>
    <w:rsid w:val="00F629A8"/>
    <w:rsid w:val="00F62CE9"/>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4FC1"/>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bg-BG" w:eastAsia="bg-BG"/>
    </w:rPr>
  </w:style>
  <w:style w:type="paragraph" w:styleId="Heading1">
    <w:name w:val="heading 1"/>
    <w:basedOn w:val="Normal"/>
    <w:next w:val="Normal"/>
    <w:link w:val="Heading1Char"/>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character" w:customStyle="1" w:styleId="FooterChar">
    <w:name w:val="Footer Char"/>
    <w:basedOn w:val="DefaultParagraphFont"/>
    <w:link w:val="Footer"/>
    <w:uiPriority w:val="99"/>
    <w:rsid w:val="00D56BB2"/>
    <w:rPr>
      <w:sz w:val="24"/>
      <w:szCs w:val="24"/>
      <w:lang w:val="bg-BG" w:eastAsia="bg-BG"/>
    </w:rPr>
  </w:style>
  <w:style w:type="paragraph" w:customStyle="1" w:styleId="1">
    <w:name w:val="Нормален1"/>
    <w:uiPriority w:val="99"/>
    <w:rsid w:val="00780EAB"/>
    <w:pPr>
      <w:widowControl w:val="0"/>
      <w:autoSpaceDE w:val="0"/>
      <w:autoSpaceDN w:val="0"/>
      <w:adjustRightInd w:val="0"/>
    </w:pPr>
    <w:rPr>
      <w:sz w:val="24"/>
      <w:szCs w:val="24"/>
      <w:lang w:val="bg-BG"/>
    </w:rPr>
  </w:style>
  <w:style w:type="paragraph" w:styleId="BodyText">
    <w:name w:val="Body Text"/>
    <w:basedOn w:val="Normal"/>
    <w:link w:val="BodyTextChar"/>
    <w:rsid w:val="007D0AFE"/>
    <w:pPr>
      <w:spacing w:after="120"/>
    </w:pPr>
  </w:style>
  <w:style w:type="character" w:customStyle="1" w:styleId="BodyTextChar">
    <w:name w:val="Body Text Char"/>
    <w:basedOn w:val="DefaultParagraphFont"/>
    <w:link w:val="BodyText"/>
    <w:rsid w:val="007D0AFE"/>
    <w:rPr>
      <w:sz w:val="24"/>
      <w:szCs w:val="24"/>
      <w:lang w:val="bg-BG" w:eastAsia="bg-BG"/>
    </w:rPr>
  </w:style>
  <w:style w:type="paragraph" w:styleId="ListParagraph">
    <w:name w:val="List Paragraph"/>
    <w:basedOn w:val="Normal"/>
    <w:uiPriority w:val="34"/>
    <w:qFormat/>
    <w:rsid w:val="007D0AFE"/>
    <w:pPr>
      <w:ind w:left="720"/>
      <w:contextualSpacing/>
    </w:pPr>
  </w:style>
  <w:style w:type="character" w:customStyle="1" w:styleId="BodyTextChar1">
    <w:name w:val="Body Text Char1"/>
    <w:basedOn w:val="DefaultParagraphFont"/>
    <w:uiPriority w:val="99"/>
    <w:rsid w:val="00FD4FC1"/>
    <w:rPr>
      <w:rFonts w:ascii="Times New Roman" w:hAnsi="Times New Roman"/>
      <w:sz w:val="21"/>
      <w:szCs w:val="21"/>
      <w:shd w:val="clear" w:color="auto" w:fill="FFFFFF"/>
    </w:rPr>
  </w:style>
  <w:style w:type="character" w:customStyle="1" w:styleId="BodytextItalic">
    <w:name w:val="Body text + Italic"/>
    <w:basedOn w:val="BodyTextChar1"/>
    <w:uiPriority w:val="99"/>
    <w:rsid w:val="00FD4FC1"/>
    <w:rPr>
      <w:rFonts w:ascii="Times New Roman" w:hAnsi="Times New Roman"/>
      <w:i/>
      <w:iCs/>
      <w:sz w:val="21"/>
      <w:szCs w:val="21"/>
      <w:shd w:val="clear" w:color="auto" w:fill="FFFFFF"/>
    </w:rPr>
  </w:style>
  <w:style w:type="character" w:styleId="CommentReference">
    <w:name w:val="annotation reference"/>
    <w:basedOn w:val="DefaultParagraphFont"/>
    <w:semiHidden/>
    <w:unhideWhenUsed/>
    <w:rsid w:val="00CA5E8F"/>
    <w:rPr>
      <w:sz w:val="16"/>
      <w:szCs w:val="16"/>
    </w:rPr>
  </w:style>
  <w:style w:type="paragraph" w:styleId="CommentText">
    <w:name w:val="annotation text"/>
    <w:basedOn w:val="Normal"/>
    <w:link w:val="CommentTextChar"/>
    <w:semiHidden/>
    <w:unhideWhenUsed/>
    <w:rsid w:val="00CA5E8F"/>
    <w:rPr>
      <w:sz w:val="20"/>
      <w:szCs w:val="20"/>
    </w:rPr>
  </w:style>
  <w:style w:type="character" w:customStyle="1" w:styleId="CommentTextChar">
    <w:name w:val="Comment Text Char"/>
    <w:basedOn w:val="DefaultParagraphFont"/>
    <w:link w:val="CommentText"/>
    <w:semiHidden/>
    <w:rsid w:val="00CA5E8F"/>
    <w:rPr>
      <w:lang w:val="bg-BG" w:eastAsia="bg-BG"/>
    </w:rPr>
  </w:style>
  <w:style w:type="paragraph" w:styleId="CommentSubject">
    <w:name w:val="annotation subject"/>
    <w:basedOn w:val="CommentText"/>
    <w:next w:val="CommentText"/>
    <w:link w:val="CommentSubjectChar"/>
    <w:semiHidden/>
    <w:unhideWhenUsed/>
    <w:rsid w:val="00CA5E8F"/>
    <w:rPr>
      <w:b/>
      <w:bCs/>
    </w:rPr>
  </w:style>
  <w:style w:type="character" w:customStyle="1" w:styleId="CommentSubjectChar">
    <w:name w:val="Comment Subject Char"/>
    <w:basedOn w:val="CommentTextChar"/>
    <w:link w:val="CommentSubject"/>
    <w:semiHidden/>
    <w:rsid w:val="00CA5E8F"/>
    <w:rPr>
      <w:b/>
      <w:bCs/>
      <w:lang w:val="bg-BG" w:eastAsia="bg-BG"/>
    </w:rPr>
  </w:style>
  <w:style w:type="character" w:customStyle="1" w:styleId="Heading1Char">
    <w:name w:val="Heading 1 Char"/>
    <w:basedOn w:val="DefaultParagraphFont"/>
    <w:link w:val="Heading1"/>
    <w:rsid w:val="00D5347A"/>
    <w:rPr>
      <w:b/>
      <w:sz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793256979">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imir_Chakarov@dfz.b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talia.shukadarova@grain.b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80DA3-E661-443F-8BBC-0F42589C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5259</Words>
  <Characters>29981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35170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2025-03-09T21:41:00Z</dcterms:created>
  <dcterms:modified xsi:type="dcterms:W3CDTF">2025-03-14T07:59:00Z</dcterms:modified>
</cp:coreProperties>
</file>