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61" w:rsidRPr="004F11B3" w:rsidRDefault="00723961" w:rsidP="00723961">
      <w:pPr>
        <w:pStyle w:val="Heading1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4F11B3">
        <w:rPr>
          <w:rFonts w:ascii="Verdana" w:hAnsi="Verdana"/>
          <w:sz w:val="20"/>
          <w:szCs w:val="20"/>
        </w:rPr>
        <w:t xml:space="preserve">Уведомление за стартиране на производство по издаване на общ административен акт </w:t>
      </w:r>
      <w:r w:rsidR="00BC19E0" w:rsidRPr="004F11B3">
        <w:rPr>
          <w:rFonts w:ascii="Verdana" w:hAnsi="Verdana"/>
          <w:sz w:val="20"/>
          <w:szCs w:val="20"/>
        </w:rPr>
        <w:t>(З</w:t>
      </w:r>
      <w:r w:rsidR="00816F52" w:rsidRPr="004F11B3">
        <w:rPr>
          <w:rFonts w:ascii="Verdana" w:hAnsi="Verdana"/>
          <w:sz w:val="20"/>
          <w:szCs w:val="20"/>
        </w:rPr>
        <w:t>аповед</w:t>
      </w:r>
      <w:r w:rsidR="00BC19E0" w:rsidRPr="004F11B3">
        <w:rPr>
          <w:rFonts w:ascii="Verdana" w:hAnsi="Verdana"/>
          <w:sz w:val="20"/>
          <w:szCs w:val="20"/>
        </w:rPr>
        <w:t>)</w:t>
      </w:r>
      <w:r w:rsidR="00816F52" w:rsidRPr="004F11B3">
        <w:rPr>
          <w:rFonts w:ascii="Verdana" w:hAnsi="Verdana"/>
          <w:sz w:val="20"/>
          <w:szCs w:val="20"/>
        </w:rPr>
        <w:t xml:space="preserve"> на министъра на земеделието </w:t>
      </w:r>
      <w:r w:rsidR="00434ACC" w:rsidRPr="004F11B3">
        <w:rPr>
          <w:rFonts w:ascii="Verdana" w:hAnsi="Verdana"/>
          <w:sz w:val="20"/>
          <w:szCs w:val="20"/>
        </w:rPr>
        <w:t xml:space="preserve">и храните </w:t>
      </w:r>
      <w:r w:rsidR="00816F52" w:rsidRPr="004F11B3">
        <w:rPr>
          <w:rFonts w:ascii="Verdana" w:hAnsi="Verdana"/>
          <w:sz w:val="20"/>
          <w:szCs w:val="20"/>
        </w:rPr>
        <w:t>за разрешаване на любителски риболов през тъмната част на денонощието в определени рибностопански обекти</w:t>
      </w:r>
      <w:r w:rsidR="001F707C" w:rsidRPr="004F11B3">
        <w:rPr>
          <w:rFonts w:ascii="Verdana" w:hAnsi="Verdana"/>
          <w:sz w:val="20"/>
          <w:szCs w:val="20"/>
        </w:rPr>
        <w:t xml:space="preserve"> през 202</w:t>
      </w:r>
      <w:r w:rsidR="00BE65EF" w:rsidRPr="004F11B3">
        <w:rPr>
          <w:rFonts w:ascii="Verdana" w:hAnsi="Verdana"/>
          <w:sz w:val="20"/>
          <w:szCs w:val="20"/>
          <w:lang w:val="en-US"/>
        </w:rPr>
        <w:t>5</w:t>
      </w:r>
      <w:r w:rsidR="001F707C" w:rsidRPr="004F11B3">
        <w:rPr>
          <w:rFonts w:ascii="Verdana" w:hAnsi="Verdana"/>
          <w:sz w:val="20"/>
          <w:szCs w:val="20"/>
        </w:rPr>
        <w:t xml:space="preserve"> година</w:t>
      </w:r>
    </w:p>
    <w:p w:rsidR="00723961" w:rsidRPr="004F11B3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4F11B3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4F11B3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="00BC19E0" w:rsidRPr="004F11B3">
        <w:rPr>
          <w:rFonts w:ascii="Verdana" w:eastAsia="Calibri" w:hAnsi="Verdana" w:cs="Arial"/>
          <w:sz w:val="20"/>
          <w:szCs w:val="20"/>
          <w:lang w:val="bg-BG"/>
        </w:rPr>
        <w:t>(З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аповед) </w:t>
      </w:r>
      <w:r w:rsidR="00723961" w:rsidRPr="004F11B3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 w:rsidRPr="004F11B3">
        <w:rPr>
          <w:rFonts w:ascii="Verdana" w:hAnsi="Verdana"/>
          <w:sz w:val="20"/>
          <w:szCs w:val="20"/>
          <w:lang w:val="bg-BG"/>
        </w:rPr>
        <w:t xml:space="preserve"> </w:t>
      </w:r>
      <w:r w:rsidR="00434ACC" w:rsidRPr="004F11B3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723961" w:rsidRPr="004F11B3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4F11B3">
        <w:rPr>
          <w:rFonts w:ascii="Verdana" w:hAnsi="Verdana"/>
          <w:sz w:val="20"/>
          <w:szCs w:val="20"/>
          <w:lang w:val="bg-BG"/>
        </w:rPr>
        <w:t>разрешаване на любителски</w:t>
      </w:r>
      <w:r w:rsidR="00434ACC" w:rsidRPr="004F11B3">
        <w:rPr>
          <w:rFonts w:ascii="Verdana" w:hAnsi="Verdana"/>
          <w:sz w:val="20"/>
          <w:szCs w:val="20"/>
          <w:lang w:val="bg-BG"/>
        </w:rPr>
        <w:t>я</w:t>
      </w:r>
      <w:r w:rsidR="00816F52" w:rsidRPr="004F11B3">
        <w:rPr>
          <w:rFonts w:ascii="Verdana" w:hAnsi="Verdana"/>
          <w:sz w:val="20"/>
          <w:szCs w:val="20"/>
          <w:lang w:val="bg-BG"/>
        </w:rPr>
        <w:t xml:space="preserve"> риболов през тъмната част на денонощието</w:t>
      </w:r>
      <w:r w:rsidR="00434ACC" w:rsidRPr="004F11B3">
        <w:rPr>
          <w:rFonts w:ascii="Verdana" w:hAnsi="Verdana"/>
          <w:sz w:val="20"/>
          <w:szCs w:val="20"/>
          <w:lang w:val="bg-BG"/>
        </w:rPr>
        <w:t xml:space="preserve"> в определени рибностопански обекти. Заповедта се издава на основание чл. 24, ал. 6 и ал. 9 от Закона за рибарс</w:t>
      </w:r>
      <w:r w:rsidR="00BC19E0" w:rsidRPr="004F11B3">
        <w:rPr>
          <w:rFonts w:ascii="Verdana" w:hAnsi="Verdana"/>
          <w:sz w:val="20"/>
          <w:szCs w:val="20"/>
          <w:lang w:val="bg-BG"/>
        </w:rPr>
        <w:t>твото и аквакултурите (ЗРА)</w:t>
      </w:r>
      <w:r w:rsidR="00434ACC" w:rsidRPr="004F11B3">
        <w:rPr>
          <w:rFonts w:ascii="Verdana" w:hAnsi="Verdana"/>
          <w:sz w:val="20"/>
          <w:szCs w:val="20"/>
          <w:lang w:val="bg-BG"/>
        </w:rPr>
        <w:t xml:space="preserve"> и се отнася за </w:t>
      </w:r>
      <w:r w:rsidR="00292030" w:rsidRPr="004F11B3">
        <w:rPr>
          <w:rFonts w:ascii="Verdana" w:hAnsi="Verdana"/>
          <w:sz w:val="20"/>
          <w:szCs w:val="20"/>
          <w:lang w:val="bg-BG"/>
        </w:rPr>
        <w:t>периода от 01 април до 01 ноември 202</w:t>
      </w:r>
      <w:r w:rsidR="00BC19E0" w:rsidRPr="004F11B3">
        <w:rPr>
          <w:rFonts w:ascii="Verdana" w:hAnsi="Verdana"/>
          <w:sz w:val="20"/>
          <w:szCs w:val="20"/>
        </w:rPr>
        <w:t>5</w:t>
      </w:r>
      <w:r w:rsidR="00292030" w:rsidRPr="004F11B3">
        <w:rPr>
          <w:rFonts w:ascii="Verdana" w:hAnsi="Verdana"/>
          <w:sz w:val="20"/>
          <w:szCs w:val="20"/>
          <w:lang w:val="bg-BG"/>
        </w:rPr>
        <w:t xml:space="preserve"> г., </w:t>
      </w:r>
      <w:r w:rsidR="00434ACC" w:rsidRPr="004F11B3">
        <w:rPr>
          <w:rFonts w:ascii="Verdana" w:hAnsi="Verdana"/>
          <w:sz w:val="20"/>
          <w:szCs w:val="20"/>
          <w:lang w:val="bg-BG"/>
        </w:rPr>
        <w:t xml:space="preserve">с изключение на </w:t>
      </w:r>
      <w:r w:rsidR="00292030" w:rsidRPr="004F11B3">
        <w:rPr>
          <w:rFonts w:ascii="Verdana" w:hAnsi="Verdana"/>
          <w:sz w:val="20"/>
          <w:szCs w:val="20"/>
          <w:lang w:val="bg-BG"/>
        </w:rPr>
        <w:t>периода на забраната по чл. 32, ал. 1</w:t>
      </w:r>
      <w:r w:rsidR="00434ACC" w:rsidRPr="004F11B3">
        <w:rPr>
          <w:rFonts w:ascii="Verdana" w:hAnsi="Verdana"/>
          <w:sz w:val="20"/>
          <w:szCs w:val="20"/>
          <w:lang w:val="bg-BG"/>
        </w:rPr>
        <w:t xml:space="preserve"> от ЗРА.</w:t>
      </w:r>
    </w:p>
    <w:p w:rsidR="003F704E" w:rsidRPr="004F11B3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4F11B3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</w:t>
      </w:r>
      <w:r w:rsidR="009A2A1F" w:rsidRPr="004F11B3">
        <w:rPr>
          <w:rFonts w:ascii="Verdana" w:eastAsia="Calibri" w:hAnsi="Verdana" w:cs="Arial"/>
          <w:sz w:val="20"/>
          <w:szCs w:val="20"/>
          <w:lang w:val="bg-BG"/>
        </w:rPr>
        <w:t xml:space="preserve">общ 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административен акт следва да бъдат изпращани </w:t>
      </w:r>
      <w:r w:rsidR="000529FB" w:rsidRPr="004F11B3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едномесечен срок от датата на публикуване до </w:t>
      </w:r>
      <w:r w:rsidR="00B22705" w:rsidRPr="004F11B3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, на адрес: гр. Бургас 8000, ул. „Княз Александър Батенберг” № 1 </w:t>
      </w:r>
      <w:r w:rsidR="009D56C8" w:rsidRPr="004F11B3">
        <w:rPr>
          <w:rFonts w:ascii="Verdana" w:eastAsia="Calibri" w:hAnsi="Verdana" w:cs="Arial"/>
          <w:sz w:val="20"/>
          <w:szCs w:val="20"/>
          <w:lang w:val="bg-BG"/>
        </w:rPr>
        <w:t>или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 на следни</w:t>
      </w:r>
      <w:r w:rsidR="00F375FB" w:rsidRPr="004F11B3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 w:rsidRPr="004F11B3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4F11B3">
        <w:rPr>
          <w:rFonts w:ascii="Verdana" w:eastAsia="Calibri" w:hAnsi="Verdana" w:cs="Arial"/>
          <w:sz w:val="20"/>
          <w:szCs w:val="20"/>
          <w:lang w:val="bg-BG"/>
        </w:rPr>
        <w:t xml:space="preserve">н адрес: </w:t>
      </w:r>
      <w:hyperlink r:id="rId7" w:history="1"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4F11B3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</w:hyperlink>
    </w:p>
    <w:p w:rsidR="00840966" w:rsidRPr="004F11B3" w:rsidRDefault="00227883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 w:rsidRPr="004F11B3"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292030" w:rsidRPr="000E0492" w:rsidRDefault="00292030" w:rsidP="00434ACC">
      <w:pPr>
        <w:tabs>
          <w:tab w:val="left" w:pos="945"/>
        </w:tabs>
        <w:spacing w:line="360" w:lineRule="auto"/>
        <w:ind w:left="284"/>
        <w:rPr>
          <w:b/>
          <w:spacing w:val="40"/>
          <w:lang w:val="ru-RU"/>
        </w:rPr>
      </w:pPr>
      <w:r w:rsidRPr="00A80B52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9B25150" wp14:editId="38E625C8">
                <wp:simplePos x="0" y="0"/>
                <wp:positionH relativeFrom="column">
                  <wp:posOffset>-43815</wp:posOffset>
                </wp:positionH>
                <wp:positionV relativeFrom="paragraph">
                  <wp:posOffset>-106045</wp:posOffset>
                </wp:positionV>
                <wp:extent cx="0" cy="68580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42D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3.45pt;margin-top:-8.35pt;width:0;height:5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JB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CF1A6" wp14:editId="6C9F48DD">
            <wp:simplePos x="0" y="0"/>
            <wp:positionH relativeFrom="margin">
              <wp:posOffset>-646430</wp:posOffset>
            </wp:positionH>
            <wp:positionV relativeFrom="paragraph">
              <wp:posOffset>-133985</wp:posOffset>
            </wp:positionV>
            <wp:extent cx="581025" cy="666750"/>
            <wp:effectExtent l="0" t="0" r="9525" b="0"/>
            <wp:wrapSquare wrapText="bothSides"/>
            <wp:docPr id="14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966">
        <w:rPr>
          <w:b/>
          <w:spacing w:val="40"/>
          <w:lang w:val="bg-BG"/>
        </w:rPr>
        <w:t>РЕПУБЛИКА БЪЛГАРИЯ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3AABA8" wp14:editId="0AD8286C">
            <wp:simplePos x="0" y="0"/>
            <wp:positionH relativeFrom="character">
              <wp:posOffset>3090545</wp:posOffset>
            </wp:positionH>
            <wp:positionV relativeFrom="paragraph">
              <wp:posOffset>-227330</wp:posOffset>
            </wp:positionV>
            <wp:extent cx="819150" cy="714375"/>
            <wp:effectExtent l="0" t="0" r="0" b="95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30" w:rsidRPr="000827EA" w:rsidRDefault="00292030" w:rsidP="00434ACC">
      <w:pPr>
        <w:keepNext/>
        <w:tabs>
          <w:tab w:val="left" w:pos="156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outlineLvl w:val="0"/>
        <w:rPr>
          <w:rFonts w:ascii="Verdana" w:hAnsi="Verdana"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840966" w:rsidRPr="00840966" w:rsidRDefault="00840966" w:rsidP="00434ACC">
      <w:pPr>
        <w:tabs>
          <w:tab w:val="left" w:pos="0"/>
          <w:tab w:val="left" w:pos="945"/>
        </w:tabs>
        <w:spacing w:line="360" w:lineRule="auto"/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Pr="004F11B3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434ACC" w:rsidRPr="004F11B3" w:rsidRDefault="00434ACC" w:rsidP="00434ACC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434ACC" w:rsidRPr="004F11B3" w:rsidRDefault="003C1924" w:rsidP="00434ACC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z w:val="20"/>
          <w:szCs w:val="20"/>
          <w:lang w:val="bg-BG" w:eastAsia="bg-BG"/>
        </w:rPr>
        <w:tab/>
      </w:r>
      <w:r w:rsidRPr="004F11B3">
        <w:rPr>
          <w:rFonts w:ascii="Verdana" w:hAnsi="Verdana"/>
          <w:b/>
          <w:sz w:val="20"/>
          <w:szCs w:val="20"/>
          <w:lang w:val="bg-BG" w:eastAsia="bg-BG"/>
        </w:rPr>
        <w:tab/>
      </w:r>
      <w:r w:rsidRPr="004F11B3">
        <w:rPr>
          <w:rFonts w:ascii="Verdana" w:hAnsi="Verdana"/>
          <w:b/>
          <w:sz w:val="20"/>
          <w:szCs w:val="20"/>
          <w:lang w:val="bg-BG" w:eastAsia="bg-BG"/>
        </w:rPr>
        <w:tab/>
        <w:t>Д-Р ГЕОРГИ ТАХОВ</w:t>
      </w:r>
    </w:p>
    <w:p w:rsidR="00434ACC" w:rsidRPr="004F11B3" w:rsidRDefault="00434ACC" w:rsidP="00434ACC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z w:val="20"/>
          <w:szCs w:val="20"/>
          <w:lang w:val="bg-BG" w:eastAsia="bg-BG"/>
        </w:rPr>
        <w:tab/>
      </w:r>
      <w:r w:rsidRPr="004F11B3">
        <w:rPr>
          <w:rFonts w:ascii="Verdana" w:hAnsi="Verdana"/>
          <w:b/>
          <w:sz w:val="20"/>
          <w:szCs w:val="20"/>
          <w:lang w:val="bg-BG" w:eastAsia="bg-BG"/>
        </w:rPr>
        <w:tab/>
      </w:r>
      <w:r w:rsidRPr="004F11B3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</w:p>
    <w:p w:rsidR="00434ACC" w:rsidRPr="004F11B3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Pr="004F11B3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434ACC" w:rsidRPr="004F11B3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z w:val="20"/>
          <w:szCs w:val="20"/>
          <w:lang w:val="bg-BG" w:eastAsia="bg-BG"/>
        </w:rPr>
        <w:t>МИНИСТЪРА</w:t>
      </w:r>
      <w:r w:rsidRPr="004F11B3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4F11B3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4F11B3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4F11B3">
        <w:rPr>
          <w:rFonts w:ascii="Verdana" w:hAnsi="Verdana"/>
          <w:b/>
          <w:sz w:val="20"/>
          <w:szCs w:val="20"/>
          <w:lang w:val="bg-BG" w:eastAsia="bg-BG"/>
        </w:rPr>
        <w:t>ЗЕМЕДЕЛИЕТО И ХРАНИТЕ</w:t>
      </w:r>
    </w:p>
    <w:p w:rsidR="00434ACC" w:rsidRPr="004F11B3" w:rsidRDefault="003C1924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</w:p>
    <w:p w:rsidR="00434ACC" w:rsidRPr="004F11B3" w:rsidRDefault="00434ACC" w:rsidP="00434ACC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434ACC" w:rsidRPr="004F11B3" w:rsidRDefault="00434ACC" w:rsidP="00434AC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434ACC" w:rsidRPr="004F11B3" w:rsidRDefault="003C1924" w:rsidP="00434AC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>СТЕФАН БУРДЖЕВ</w:t>
      </w:r>
    </w:p>
    <w:p w:rsidR="00434ACC" w:rsidRPr="004F11B3" w:rsidRDefault="00434ACC" w:rsidP="00434ACC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 И ХРАНИТЕ</w:t>
      </w:r>
    </w:p>
    <w:p w:rsidR="00434ACC" w:rsidRPr="004F11B3" w:rsidRDefault="00434ACC" w:rsidP="00434ACC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434ACC" w:rsidRPr="004F11B3" w:rsidRDefault="00434ACC" w:rsidP="00434ACC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434ACC" w:rsidRPr="004F11B3" w:rsidRDefault="00434ACC" w:rsidP="004F11B3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434ACC" w:rsidRPr="004F11B3" w:rsidRDefault="00434ACC" w:rsidP="004F11B3">
      <w:pPr>
        <w:keepNext/>
        <w:spacing w:before="120" w:after="120"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4F11B3">
        <w:rPr>
          <w:rFonts w:ascii="Verdana" w:hAnsi="Verdana"/>
          <w:sz w:val="20"/>
          <w:szCs w:val="20"/>
          <w:lang w:val="bg-BG" w:eastAsia="bg-BG"/>
        </w:rPr>
        <w:t>oт</w:t>
      </w:r>
    </w:p>
    <w:p w:rsidR="00434ACC" w:rsidRPr="004F11B3" w:rsidRDefault="00434ACC" w:rsidP="004F11B3">
      <w:pPr>
        <w:spacing w:before="120" w:after="120"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Cs/>
          <w:sz w:val="20"/>
          <w:szCs w:val="20"/>
          <w:lang w:val="bg-BG"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434ACC" w:rsidRPr="004F11B3" w:rsidRDefault="00434ACC" w:rsidP="004F11B3">
      <w:pPr>
        <w:spacing w:before="120" w:after="120"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FB15C8" w:rsidRPr="004F11B3" w:rsidRDefault="00FB15C8" w:rsidP="004F11B3">
      <w:pPr>
        <w:spacing w:before="120" w:after="12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 xml:space="preserve">Относно: </w:t>
      </w:r>
      <w:r w:rsidRPr="004F11B3">
        <w:rPr>
          <w:rFonts w:ascii="Verdana" w:hAnsi="Verdana"/>
          <w:bCs/>
          <w:sz w:val="20"/>
          <w:szCs w:val="20"/>
          <w:lang w:val="bg-BG" w:eastAsia="bg-BG"/>
        </w:rPr>
        <w:t>Проект на заповед на министъра на земеделието и храните за разрешаване на любителския риболов пр</w:t>
      </w:r>
      <w:r w:rsidR="00227883" w:rsidRPr="004F11B3">
        <w:rPr>
          <w:rFonts w:ascii="Verdana" w:hAnsi="Verdana"/>
          <w:bCs/>
          <w:sz w:val="20"/>
          <w:szCs w:val="20"/>
          <w:lang w:val="bg-BG" w:eastAsia="bg-BG"/>
        </w:rPr>
        <w:t>ез тъмната част на денонощието.</w:t>
      </w:r>
    </w:p>
    <w:p w:rsidR="00FB15C8" w:rsidRPr="004F11B3" w:rsidRDefault="00FB15C8" w:rsidP="004F11B3">
      <w:pPr>
        <w:spacing w:before="120" w:after="120" w:line="360" w:lineRule="auto"/>
        <w:ind w:right="-1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 xml:space="preserve"> </w:t>
      </w:r>
    </w:p>
    <w:p w:rsidR="00FB15C8" w:rsidRDefault="00D61E9F" w:rsidP="004F11B3">
      <w:pPr>
        <w:spacing w:line="360" w:lineRule="auto"/>
        <w:ind w:right="-1" w:firstLine="720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МИНИСТЪР,</w:t>
      </w:r>
    </w:p>
    <w:p w:rsidR="004F11B3" w:rsidRPr="004F11B3" w:rsidRDefault="004F11B3" w:rsidP="004F11B3">
      <w:pPr>
        <w:spacing w:line="360" w:lineRule="auto"/>
        <w:ind w:right="-1" w:firstLine="720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FB15C8" w:rsidRPr="004F11B3" w:rsidRDefault="00FB15C8" w:rsidP="004F11B3">
      <w:pPr>
        <w:spacing w:before="120"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Cs/>
          <w:sz w:val="20"/>
          <w:szCs w:val="20"/>
          <w:lang w:val="bg-BG" w:eastAsia="bg-BG"/>
        </w:rPr>
        <w:t xml:space="preserve">Съгласно чл. 24, ал. 6 и ал. 9 от Закона за рибарството и аквакултурите (ЗРА) министърът на земеделието и храните, ежегодно разрешава любителския риболов през тъмната част на денонощието от брега в определени водни обекти по чл. 3, ал. 1, т. 1 и 2, от ЗРА, през всички дни на седмицата в периода от 01 април до 01 ноември, извън периода на забраната по чл. 32, ал. 1 от ЗРА. В тази връзка е подготвен проект на административен акт с предложения, от началниците на отделите „Рибарство и контрол“ </w:t>
      </w:r>
      <w:r w:rsidRPr="004F11B3">
        <w:rPr>
          <w:rFonts w:ascii="Verdana" w:hAnsi="Verdana"/>
          <w:bCs/>
          <w:sz w:val="20"/>
          <w:szCs w:val="20"/>
          <w:lang w:val="bg-BG" w:eastAsia="bg-BG"/>
        </w:rPr>
        <w:lastRenderedPageBreak/>
        <w:t>на ИАРА, за водоеми на територията на страната, в които да бъде разрешен любителския риболов през тъмната ч</w:t>
      </w:r>
      <w:r w:rsidR="00E46AB9">
        <w:rPr>
          <w:rFonts w:ascii="Verdana" w:hAnsi="Verdana"/>
          <w:bCs/>
          <w:sz w:val="20"/>
          <w:szCs w:val="20"/>
          <w:lang w:val="bg-BG" w:eastAsia="bg-BG"/>
        </w:rPr>
        <w:t>аст на денонощието през 2025 г.</w:t>
      </w:r>
    </w:p>
    <w:p w:rsidR="00FB15C8" w:rsidRDefault="00FB15C8" w:rsidP="004F11B3">
      <w:pPr>
        <w:spacing w:before="120"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Cs/>
          <w:sz w:val="20"/>
          <w:szCs w:val="20"/>
          <w:lang w:val="bg-BG" w:eastAsia="bg-BG"/>
        </w:rPr>
        <w:t xml:space="preserve">В проекта на заповед са включени водоеми от различни области на страната, с цел да бъде осигурен по-голям избор за любителите риболовци да могат да упражняват своето хоби, за което заплащат държавна такса за издаване на </w:t>
      </w:r>
      <w:r w:rsidR="00E46AB9">
        <w:rPr>
          <w:rFonts w:ascii="Verdana" w:hAnsi="Verdana"/>
          <w:bCs/>
          <w:sz w:val="20"/>
          <w:szCs w:val="20"/>
          <w:lang w:val="bg-BG" w:eastAsia="bg-BG"/>
        </w:rPr>
        <w:t>билет за любителски риболов.</w:t>
      </w:r>
    </w:p>
    <w:p w:rsidR="004F11B3" w:rsidRPr="004F11B3" w:rsidRDefault="004F11B3" w:rsidP="004F11B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4F11B3" w:rsidRDefault="004F11B3" w:rsidP="004F11B3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МИНИСТЪР,</w:t>
      </w:r>
    </w:p>
    <w:p w:rsidR="004F11B3" w:rsidRPr="004F11B3" w:rsidRDefault="004F11B3" w:rsidP="004F11B3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FB15C8" w:rsidRPr="004F11B3" w:rsidRDefault="00FB15C8" w:rsidP="004F11B3">
      <w:pPr>
        <w:spacing w:before="120"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Cs/>
          <w:sz w:val="20"/>
          <w:szCs w:val="20"/>
          <w:lang w:val="bg-BG" w:eastAsia="bg-BG"/>
        </w:rPr>
        <w:t>Предвид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за разрешаване на любителския риболов през тъмната част на денонощието в периода от 01 април до 01 ноември 2025 г., извън периода на забраната по чл. 32, ал. 1 в рибностопански обекти по чл. 3, ал. 1, т. 1 и т. 2, определени по</w:t>
      </w:r>
      <w:r w:rsidR="00E46AB9">
        <w:rPr>
          <w:rFonts w:ascii="Verdana" w:hAnsi="Verdana"/>
          <w:bCs/>
          <w:sz w:val="20"/>
          <w:szCs w:val="20"/>
          <w:lang w:val="bg-BG" w:eastAsia="bg-BG"/>
        </w:rPr>
        <w:t xml:space="preserve"> реда на чл. 24, ал. 9 от ЗРА.</w:t>
      </w:r>
    </w:p>
    <w:p w:rsidR="004F11B3" w:rsidRDefault="00FB15C8" w:rsidP="004F11B3">
      <w:pPr>
        <w:spacing w:before="120"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Cs/>
          <w:sz w:val="20"/>
          <w:szCs w:val="20"/>
          <w:lang w:val="bg-BG" w:eastAsia="bg-BG"/>
        </w:rPr>
        <w:t>Проектът на заповед следва да бъде публикуван на електронните страници на Министерство на земеделието и храните и ИАРА за осигуряване на възможност на заинтересованите страни да се запознаят с проекта и да участват в административното производство по изда</w:t>
      </w:r>
      <w:r w:rsidR="004F11B3">
        <w:rPr>
          <w:rFonts w:ascii="Verdana" w:hAnsi="Verdana"/>
          <w:bCs/>
          <w:sz w:val="20"/>
          <w:szCs w:val="20"/>
          <w:lang w:val="bg-BG" w:eastAsia="bg-BG"/>
        </w:rPr>
        <w:t>ването му.</w:t>
      </w:r>
    </w:p>
    <w:p w:rsidR="004F11B3" w:rsidRPr="004F11B3" w:rsidRDefault="004F11B3" w:rsidP="004F11B3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FB15C8" w:rsidRPr="004F11B3" w:rsidRDefault="00FB15C8" w:rsidP="004F11B3">
      <w:pPr>
        <w:spacing w:line="360" w:lineRule="auto"/>
        <w:ind w:right="-1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4F11B3">
        <w:rPr>
          <w:rFonts w:ascii="Verdana" w:hAnsi="Verdana"/>
          <w:b/>
          <w:bCs/>
          <w:sz w:val="20"/>
          <w:szCs w:val="20"/>
          <w:u w:val="single"/>
          <w:lang w:val="bg-BG" w:eastAsia="bg-BG"/>
        </w:rPr>
        <w:t>Приложение:</w:t>
      </w: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 xml:space="preserve"> </w:t>
      </w:r>
      <w:r w:rsidRPr="004F11B3">
        <w:rPr>
          <w:rFonts w:ascii="Verdana" w:hAnsi="Verdana"/>
          <w:bCs/>
          <w:sz w:val="20"/>
          <w:szCs w:val="20"/>
          <w:lang w:val="bg-BG" w:eastAsia="bg-BG"/>
        </w:rPr>
        <w:t>Проект на заповед</w:t>
      </w:r>
      <w:r w:rsidR="004F11B3">
        <w:rPr>
          <w:rFonts w:ascii="Verdana" w:hAnsi="Verdana"/>
          <w:bCs/>
          <w:sz w:val="20"/>
          <w:szCs w:val="20"/>
          <w:lang w:eastAsia="bg-BG"/>
        </w:rPr>
        <w:t>.</w:t>
      </w:r>
    </w:p>
    <w:p w:rsidR="00FB15C8" w:rsidRDefault="00FB15C8" w:rsidP="004F11B3">
      <w:pPr>
        <w:spacing w:before="200" w:after="60" w:line="360" w:lineRule="auto"/>
        <w:ind w:right="-1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4F11B3" w:rsidRDefault="004F11B3" w:rsidP="004F11B3">
      <w:pPr>
        <w:spacing w:before="200" w:after="60" w:line="360" w:lineRule="auto"/>
        <w:ind w:right="-1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4F11B3" w:rsidRDefault="004F11B3" w:rsidP="004F11B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227883" w:rsidRPr="004F11B3" w:rsidRDefault="00227883" w:rsidP="004F11B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>С УВАЖЕНИЕ,</w:t>
      </w:r>
    </w:p>
    <w:p w:rsidR="00227883" w:rsidRPr="004F11B3" w:rsidRDefault="00FB15C8" w:rsidP="004F11B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>Д-Р НИКОЛАЙ ГЕОРГИЕВ</w:t>
      </w:r>
    </w:p>
    <w:p w:rsidR="00FB15C8" w:rsidRPr="004F11B3" w:rsidRDefault="00227883" w:rsidP="004F11B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4F11B3">
        <w:rPr>
          <w:rFonts w:ascii="Verdana" w:hAnsi="Verdana"/>
          <w:b/>
          <w:bCs/>
          <w:sz w:val="20"/>
          <w:szCs w:val="20"/>
          <w:lang w:val="bg-BG" w:eastAsia="bg-BG"/>
        </w:rPr>
        <w:t xml:space="preserve">ИЗПЪЛНИТЕЛЕН ДИРЕКТОР НА ИАРА </w:t>
      </w:r>
    </w:p>
    <w:p w:rsidR="004F11B3" w:rsidRDefault="004F11B3" w:rsidP="004F11B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4F11B3" w:rsidRDefault="004F11B3" w:rsidP="004F11B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227883" w:rsidRPr="00227883" w:rsidRDefault="00227883" w:rsidP="00227883">
      <w:pPr>
        <w:rPr>
          <w:lang w:val="bg-BG" w:eastAsia="bg-BG"/>
        </w:rPr>
      </w:pPr>
      <w:r>
        <w:rPr>
          <w:lang w:val="bg-BG" w:eastAsia="bg-BG"/>
        </w:rPr>
        <w:br w:type="page"/>
      </w:r>
    </w:p>
    <w:p w:rsidR="00227883" w:rsidRPr="00922E85" w:rsidRDefault="00227883" w:rsidP="00227883">
      <w:pPr>
        <w:spacing w:after="200" w:line="276" w:lineRule="auto"/>
        <w:rPr>
          <w:rFonts w:ascii="Platinum Bg" w:eastAsia="PMingLiU" w:hAnsi="Platinum Bg"/>
          <w:b/>
          <w:bCs/>
          <w:spacing w:val="40"/>
          <w:lang w:val="bg-BG"/>
        </w:rPr>
      </w:pPr>
      <w:r w:rsidRPr="00945D32">
        <w:rPr>
          <w:rFonts w:eastAsia="PMingLiU"/>
          <w:b/>
          <w:bCs/>
          <w:noProof/>
          <w:sz w:val="28"/>
        </w:rPr>
        <w:lastRenderedPageBreak/>
        <w:drawing>
          <wp:anchor distT="0" distB="0" distL="114300" distR="114300" simplePos="0" relativeHeight="251659776" behindDoc="1" locked="0" layoutInCell="1" allowOverlap="1" wp14:anchorId="7E7442AB" wp14:editId="4D2E8FC2">
            <wp:simplePos x="0" y="0"/>
            <wp:positionH relativeFrom="column">
              <wp:posOffset>2266950</wp:posOffset>
            </wp:positionH>
            <wp:positionV relativeFrom="paragraph">
              <wp:posOffset>-514350</wp:posOffset>
            </wp:positionV>
            <wp:extent cx="1343025" cy="1333500"/>
            <wp:effectExtent l="0" t="0" r="9525" b="0"/>
            <wp:wrapNone/>
            <wp:docPr id="6" name="Picture 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 xml:space="preserve">  </w:t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 xml:space="preserve">   </w:t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05492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</w:p>
    <w:p w:rsidR="00227883" w:rsidRPr="00B43C57" w:rsidRDefault="00227883" w:rsidP="00227883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ru-RU"/>
        </w:rPr>
      </w:pPr>
    </w:p>
    <w:p w:rsidR="00227883" w:rsidRPr="007E01AF" w:rsidRDefault="00227883" w:rsidP="00227883">
      <w:pPr>
        <w:keepNext/>
        <w:jc w:val="center"/>
        <w:outlineLvl w:val="0"/>
        <w:rPr>
          <w:rFonts w:ascii="Verdana" w:eastAsia="PMingLiU" w:hAnsi="Verdana"/>
          <w:b/>
          <w:bCs/>
          <w:color w:val="000000" w:themeColor="text1"/>
          <w:spacing w:val="40"/>
          <w:sz w:val="20"/>
          <w:szCs w:val="20"/>
          <w:u w:val="single"/>
          <w:lang w:val="bg-BG"/>
        </w:rPr>
      </w:pPr>
      <w:r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4B799E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4B799E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4B799E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4B799E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4B799E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7E01AF">
        <w:rPr>
          <w:rFonts w:ascii="Verdana" w:eastAsia="PMingLiU" w:hAnsi="Verdana"/>
          <w:b/>
          <w:bCs/>
          <w:color w:val="000000" w:themeColor="text1"/>
          <w:spacing w:val="40"/>
          <w:sz w:val="20"/>
          <w:szCs w:val="20"/>
          <w:u w:val="single"/>
          <w:lang w:val="bg-BG"/>
        </w:rPr>
        <w:t>ПРОЕКТ</w:t>
      </w:r>
    </w:p>
    <w:p w:rsidR="00227883" w:rsidRPr="004B799E" w:rsidRDefault="00227883" w:rsidP="00227883">
      <w:pPr>
        <w:keepNext/>
        <w:jc w:val="center"/>
        <w:outlineLvl w:val="0"/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</w:pPr>
    </w:p>
    <w:p w:rsidR="00227883" w:rsidRPr="00945D32" w:rsidRDefault="00227883" w:rsidP="00227883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227883" w:rsidRPr="00BC0209" w:rsidRDefault="00227883" w:rsidP="00227883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945D32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27883" w:rsidRPr="00C60244" w:rsidRDefault="00227883" w:rsidP="00227883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945D32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</w:t>
      </w:r>
      <w:r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о</w:t>
      </w:r>
      <w:r w:rsidRPr="00945D32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4DE636" wp14:editId="5D856C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0DADC" id="Straight Connector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храните</w:t>
      </w:r>
    </w:p>
    <w:p w:rsidR="00227883" w:rsidRPr="00B2213B" w:rsidRDefault="00227883" w:rsidP="00227883">
      <w:pPr>
        <w:ind w:right="-514"/>
        <w:rPr>
          <w:rFonts w:eastAsia="PMingLiU"/>
          <w:lang w:val="bg-BG"/>
        </w:rPr>
      </w:pPr>
    </w:p>
    <w:p w:rsidR="00227883" w:rsidRPr="00945D32" w:rsidRDefault="00227883" w:rsidP="00227883">
      <w:pPr>
        <w:ind w:right="-514"/>
        <w:rPr>
          <w:rFonts w:eastAsia="PMingLiU"/>
          <w:b/>
          <w:u w:val="single"/>
          <w:lang w:val="bg-BG"/>
        </w:rPr>
      </w:pP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  <w:r w:rsidRPr="00945D32">
        <w:rPr>
          <w:rFonts w:eastAsia="PMingLiU"/>
          <w:lang w:val="bg-BG"/>
        </w:rPr>
        <w:tab/>
      </w:r>
    </w:p>
    <w:p w:rsidR="00227883" w:rsidRPr="00945D32" w:rsidRDefault="00227883" w:rsidP="00227883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</w:p>
    <w:p w:rsidR="00227883" w:rsidRPr="00631708" w:rsidRDefault="00227883" w:rsidP="00227883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:rsidR="00227883" w:rsidRPr="00631708" w:rsidRDefault="00227883" w:rsidP="00227883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:rsidR="00227883" w:rsidRPr="00631708" w:rsidRDefault="00227883" w:rsidP="00227883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:rsidR="00227883" w:rsidRPr="00631708" w:rsidRDefault="00227883" w:rsidP="00227883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</w:t>
      </w:r>
      <w:r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5</w:t>
      </w: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 xml:space="preserve"> г.</w:t>
      </w:r>
    </w:p>
    <w:p w:rsidR="00227883" w:rsidRPr="00145B74" w:rsidRDefault="00227883" w:rsidP="00227883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27883" w:rsidRPr="00145B74" w:rsidRDefault="00227883" w:rsidP="00227883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На основание чл. 24, ал. 6 и ал. 9 от Закона за рибарството и аквакултурите,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храните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145B74">
        <w:rPr>
          <w:rFonts w:ascii="Verdana" w:eastAsia="PMingLiU" w:hAnsi="Verdana"/>
          <w:sz w:val="20"/>
          <w:szCs w:val="20"/>
          <w:lang w:val="bg-BG"/>
        </w:rPr>
        <w:t>/Обн. ДВ. бр. 82 от 18.10.2019 г./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,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във връзка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 осигуряване на повече възможности за любителите риболовци да упражняват своето хоби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оглед необходимостта да се определят рибностопанските обекти, в които да се извършва</w:t>
      </w:r>
      <w:r w:rsidRPr="00F970DE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любителски риболов през тъмната част на денонощиет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 през 2025 г., както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одобрен </w:t>
      </w:r>
      <w:r w:rsidRPr="00145B7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</w:t>
      </w:r>
    </w:p>
    <w:p w:rsidR="00227883" w:rsidRPr="00145B74" w:rsidRDefault="00227883" w:rsidP="00227883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27883" w:rsidRPr="00145B74" w:rsidRDefault="00227883" w:rsidP="00227883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227883" w:rsidRPr="00145B74" w:rsidRDefault="00227883" w:rsidP="00227883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27883" w:rsidRPr="00145B74" w:rsidRDefault="00227883" w:rsidP="003C78E2">
      <w:pPr>
        <w:tabs>
          <w:tab w:val="left" w:pos="0"/>
          <w:tab w:val="left" w:pos="709"/>
        </w:tabs>
        <w:spacing w:after="12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. </w:t>
      </w:r>
      <w:r w:rsidRPr="00145B74">
        <w:rPr>
          <w:rFonts w:ascii="Verdana" w:hAnsi="Verdana"/>
          <w:sz w:val="20"/>
          <w:szCs w:val="20"/>
          <w:lang w:val="bg-BG"/>
        </w:rPr>
        <w:t xml:space="preserve">Разрешавам любителския риболов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тъмната част на денонощието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само </w:t>
      </w:r>
      <w:r w:rsidRPr="00145B74">
        <w:rPr>
          <w:rFonts w:ascii="Verdana" w:hAnsi="Verdana"/>
          <w:sz w:val="20"/>
          <w:szCs w:val="20"/>
          <w:lang w:val="bg-BG"/>
        </w:rPr>
        <w:t>от брега</w:t>
      </w:r>
      <w:r>
        <w:rPr>
          <w:rFonts w:ascii="Verdana" w:hAnsi="Verdana"/>
          <w:sz w:val="20"/>
          <w:szCs w:val="20"/>
          <w:lang w:val="bg-BG"/>
        </w:rPr>
        <w:t>,</w:t>
      </w:r>
      <w:r w:rsidRPr="00145B74">
        <w:rPr>
          <w:rFonts w:ascii="Verdana" w:hAnsi="Verdana"/>
          <w:sz w:val="20"/>
          <w:szCs w:val="20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 всички дни на седмицата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в периода от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0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1 април до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0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1 ноември 202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5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г., извън периода на забраната по чл. 32, ал. 1 от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Закона за рибарството и аквакултурите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</w:t>
      </w:r>
      <w:r w:rsidRPr="00145B74">
        <w:rPr>
          <w:rFonts w:ascii="Verdana" w:hAnsi="Verdana"/>
          <w:sz w:val="20"/>
          <w:szCs w:val="20"/>
          <w:lang w:val="bg-BG"/>
        </w:rPr>
        <w:t xml:space="preserve"> в следните рибностопански обекти на територията на страната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:</w:t>
      </w:r>
    </w:p>
    <w:p w:rsidR="00227883" w:rsidRPr="00145B74" w:rsidRDefault="00227883" w:rsidP="003C78E2">
      <w:pPr>
        <w:tabs>
          <w:tab w:val="left" w:pos="0"/>
          <w:tab w:val="left" w:pos="1418"/>
        </w:tabs>
        <w:spacing w:before="12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227883" w:rsidRPr="00145B74" w:rsidRDefault="00227883" w:rsidP="003C78E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Баластриерен водоем Проевски, общ. Благоевград.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Бургас</w:t>
      </w:r>
    </w:p>
    <w:p w:rsidR="00227883" w:rsidRDefault="00227883" w:rsidP="003C78E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Мандр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a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Pr="00105B33" w:rsidRDefault="00227883" w:rsidP="003C78E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Порой;</w:t>
      </w:r>
    </w:p>
    <w:p w:rsidR="00227883" w:rsidRPr="00625B36" w:rsidRDefault="00227883" w:rsidP="003C78E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ез. Вая.</w:t>
      </w:r>
    </w:p>
    <w:p w:rsidR="00227883" w:rsidRDefault="00227883" w:rsidP="003C78E2">
      <w:pPr>
        <w:tabs>
          <w:tab w:val="left" w:pos="0"/>
        </w:tabs>
        <w:overflowPunct w:val="0"/>
        <w:autoSpaceDE w:val="0"/>
        <w:autoSpaceDN w:val="0"/>
        <w:adjustRightInd w:val="0"/>
        <w:spacing w:before="120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0D105B"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  <w:t>Област Варна</w:t>
      </w:r>
    </w:p>
    <w:p w:rsidR="00227883" w:rsidRPr="00584A12" w:rsidRDefault="00227883" w:rsidP="003C78E2">
      <w:pPr>
        <w:pStyle w:val="ListParagraph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560" w:hanging="851"/>
        <w:jc w:val="both"/>
        <w:textAlignment w:val="baseline"/>
        <w:rPr>
          <w:rFonts w:ascii="Verdana" w:eastAsia="PMingLiU" w:hAnsi="Verdana"/>
          <w:b/>
          <w:color w:val="000000"/>
          <w:lang w:val="bg-BG"/>
        </w:rPr>
      </w:pPr>
      <w:r w:rsidRPr="00584A12">
        <w:rPr>
          <w:rFonts w:ascii="Verdana" w:eastAsia="PMingLiU" w:hAnsi="Verdana"/>
          <w:color w:val="000000"/>
          <w:lang w:val="bg-BG"/>
        </w:rPr>
        <w:t>р. Камчия.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Стамболийски;</w:t>
      </w:r>
    </w:p>
    <w:p w:rsidR="00227883" w:rsidRPr="007A6897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Йовковци –</w:t>
      </w:r>
      <w:r w:rsidRPr="00E212D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D571F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любителският риболов е разрешен единствено извън санитарно-охранителната зона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водоема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в следните участъци:</w:t>
      </w:r>
    </w:p>
    <w:p w:rsidR="00227883" w:rsidRPr="00145B74" w:rsidRDefault="00227883" w:rsidP="003C78E2">
      <w:pPr>
        <w:tabs>
          <w:tab w:val="left" w:pos="0"/>
        </w:tabs>
        <w:spacing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- участък от ферибот – гр. Свищов с координати 43.622329°N, 25.350992°Е до СБА Свищов с координати 43.618127°N, 25.374397°Е;</w:t>
      </w:r>
    </w:p>
    <w:p w:rsidR="00227883" w:rsidRPr="00145B74" w:rsidRDefault="00227883" w:rsidP="003C78E2">
      <w:pPr>
        <w:tabs>
          <w:tab w:val="left" w:pos="0"/>
        </w:tabs>
        <w:spacing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участък от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л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иман Свилоза с координати 43.6480887°N, 25.303817°Е до р. км 560 с координати 43.651534°N, 25.284720°Е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 Кула, общ. Кула;</w:t>
      </w:r>
    </w:p>
    <w:p w:rsidR="00227883" w:rsidRPr="00EA48B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 Полетковци, общ. Кула;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яз. Рабиша;</w:t>
      </w:r>
    </w:p>
    <w:p w:rsidR="00227883" w:rsidRPr="006818C6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р. Д</w:t>
      </w:r>
      <w:r>
        <w:rPr>
          <w:rFonts w:ascii="Verdana" w:eastAsia="PMingLiU" w:hAnsi="Verdana"/>
          <w:sz w:val="20"/>
          <w:szCs w:val="20"/>
          <w:lang w:val="bg-BG" w:eastAsia="bg-BG"/>
        </w:rPr>
        <w:t>унав:</w:t>
      </w:r>
    </w:p>
    <w:p w:rsidR="00227883" w:rsidRPr="006818C6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825 до р. км 810;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</w:p>
    <w:p w:rsidR="00227883" w:rsidRPr="006818C6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769 до р. км 764;</w:t>
      </w:r>
    </w:p>
    <w:p w:rsidR="00227883" w:rsidRPr="008B489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791 до р. км 789.</w:t>
      </w:r>
    </w:p>
    <w:p w:rsidR="00227883" w:rsidRPr="00145B74" w:rsidRDefault="00227883" w:rsidP="003C78E2">
      <w:pPr>
        <w:tabs>
          <w:tab w:val="left" w:pos="0"/>
          <w:tab w:val="left" w:pos="709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Враца</w:t>
      </w:r>
    </w:p>
    <w:p w:rsidR="00227883" w:rsidRPr="008124EC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</w:t>
      </w:r>
      <w:r>
        <w:rPr>
          <w:rFonts w:ascii="Verdana" w:eastAsia="PMingLiU" w:hAnsi="Verdana"/>
          <w:sz w:val="20"/>
          <w:szCs w:val="20"/>
          <w:lang w:val="bg-BG" w:eastAsia="bg-BG"/>
        </w:rPr>
        <w:t xml:space="preserve"> Дъбника;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р. Искър – в участъка от</w:t>
      </w:r>
      <w:r>
        <w:rPr>
          <w:rFonts w:ascii="Verdana" w:eastAsia="PMingLiU" w:hAnsi="Verdana"/>
          <w:sz w:val="20"/>
          <w:szCs w:val="20"/>
          <w:lang w:eastAsia="bg-BG"/>
        </w:rPr>
        <w:t xml:space="preserve"> </w:t>
      </w:r>
      <w:r>
        <w:rPr>
          <w:rFonts w:ascii="Verdana" w:eastAsia="PMingLiU" w:hAnsi="Verdana"/>
          <w:sz w:val="20"/>
          <w:szCs w:val="20"/>
          <w:lang w:val="bg-BG" w:eastAsia="bg-BG"/>
        </w:rPr>
        <w:t>река Радовенска чешма, с. Радовене до ВЕЦ Кунино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>,</w:t>
      </w:r>
      <w:r>
        <w:rPr>
          <w:rFonts w:ascii="Verdana" w:eastAsia="PMingLiU" w:hAnsi="Verdana"/>
          <w:sz w:val="20"/>
          <w:szCs w:val="20"/>
          <w:lang w:val="bg-BG" w:eastAsia="bg-BG"/>
        </w:rPr>
        <w:t xml:space="preserve"> с. Кунино, общ. Роман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>;</w:t>
      </w:r>
    </w:p>
    <w:p w:rsidR="00227883" w:rsidRPr="008B489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от </w:t>
      </w:r>
      <w:r w:rsidRPr="00584A12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км 706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650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  <w:tab w:val="left" w:pos="709"/>
        </w:tabs>
        <w:spacing w:before="12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227883" w:rsidRPr="008B489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2" w:firstLine="567"/>
        <w:contextualSpacing/>
        <w:jc w:val="both"/>
        <w:textAlignment w:val="baseline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Кюстендил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2" w:firstLine="567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Дренов дол, общ. Кюстендил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Дяково, общ Дупница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любителският риболов е разрешен единствено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извън санитарно-охранителната зона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водоема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B43C57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ru-RU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Кърджали</w:t>
      </w:r>
    </w:p>
    <w:p w:rsidR="00227883" w:rsidRPr="00145B74" w:rsidRDefault="00227883" w:rsidP="003C78E2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Кърджали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Pr="00145B74" w:rsidRDefault="00227883" w:rsidP="003C78E2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-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яз. Мъглене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ind w:left="709" w:hanging="567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lastRenderedPageBreak/>
        <w:tab/>
        <w:t>Област Ловеч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Сопот;</w:t>
      </w:r>
    </w:p>
    <w:p w:rsidR="00227883" w:rsidRPr="0093111A" w:rsidRDefault="00227883" w:rsidP="003C78E2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Славяни „Кантон 5”, местност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и</w:t>
      </w: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Горни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и Долни </w:t>
      </w: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Кайлък, землището на с. Славяни,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общ. Ловеч.</w:t>
      </w:r>
    </w:p>
    <w:p w:rsidR="00227883" w:rsidRPr="00145B74" w:rsidRDefault="00227883" w:rsidP="003C78E2">
      <w:pPr>
        <w:tabs>
          <w:tab w:val="left" w:pos="0"/>
          <w:tab w:val="left" w:pos="709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Монтана</w:t>
      </w:r>
    </w:p>
    <w:p w:rsidR="00227883" w:rsidRDefault="00227883" w:rsidP="003C78E2">
      <w:pPr>
        <w:tabs>
          <w:tab w:val="left" w:pos="0"/>
          <w:tab w:val="left" w:pos="709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р. Дунав в района от р. км 76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4 </w:t>
      </w:r>
      <w:r w:rsidRPr="00584A12">
        <w:rPr>
          <w:rFonts w:ascii="Verdana" w:eastAsia="PMingLiU" w:hAnsi="Verdana"/>
          <w:color w:val="000000"/>
          <w:sz w:val="20"/>
          <w:szCs w:val="20"/>
          <w:lang w:val="bg-BG"/>
        </w:rPr>
        <w:t>до р. км 706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Огоста – от бреговата ивица на 200 метра от водовземната кула с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координати 43.398965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23.200534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западно, през полуостров „Расника“ </w:t>
      </w:r>
      <w:r w:rsidRPr="00014A8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до района на „Живовската чешма“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 координати 43.388600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23.159784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  <w:tab w:val="left" w:pos="709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Пазарджик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Батак;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Доспат;</w:t>
      </w:r>
    </w:p>
    <w:p w:rsidR="00227883" w:rsidRPr="00625B36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Въча.</w:t>
      </w:r>
    </w:p>
    <w:p w:rsidR="00227883" w:rsidRPr="005B6480" w:rsidRDefault="00227883" w:rsidP="003C78E2">
      <w:pPr>
        <w:tabs>
          <w:tab w:val="left" w:pos="0"/>
        </w:tabs>
        <w:overflowPunct w:val="0"/>
        <w:autoSpaceDE w:val="0"/>
        <w:autoSpaceDN w:val="0"/>
        <w:adjustRightInd w:val="0"/>
        <w:spacing w:before="120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5B648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Перник</w:t>
      </w:r>
    </w:p>
    <w:p w:rsidR="00227883" w:rsidRPr="00145B74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Брезнишки извор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Плевен</w:t>
      </w:r>
    </w:p>
    <w:p w:rsidR="00227883" w:rsidRPr="00145B74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яз. Горни Дъбник, общ. Горни Дъбник;</w:t>
      </w:r>
    </w:p>
    <w:p w:rsidR="00227883" w:rsidRPr="008B7189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Телиш, общ. Червен бряг;</w:t>
      </w:r>
    </w:p>
    <w:p w:rsidR="00227883" w:rsidRPr="008B7189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Кайлъка;</w:t>
      </w:r>
    </w:p>
    <w:p w:rsidR="00227883" w:rsidRPr="008B7189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Тотлебенов вал;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 от източната част на ферибота в гр. Никопол от р. км 598 до р. км 594 в землището на общ. Никопол;</w:t>
      </w:r>
    </w:p>
    <w:p w:rsidR="00227883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 от р. км</w:t>
      </w:r>
      <w:r>
        <w:rPr>
          <w:rFonts w:ascii="Verdana" w:hAnsi="Verdana"/>
          <w:sz w:val="20"/>
          <w:szCs w:val="20"/>
          <w:lang w:val="bg-BG" w:eastAsia="bg-BG"/>
        </w:rPr>
        <w:t xml:space="preserve"> 618 при с. Дъбован до пристанище Загражден;</w:t>
      </w:r>
    </w:p>
    <w:p w:rsidR="00227883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</w:t>
      </w:r>
      <w:r>
        <w:rPr>
          <w:rFonts w:ascii="Verdana" w:hAnsi="Verdana"/>
          <w:sz w:val="20"/>
          <w:szCs w:val="20"/>
          <w:lang w:val="bg-BG" w:eastAsia="bg-BG"/>
        </w:rPr>
        <w:t xml:space="preserve"> от р. км 579 до р. км 575;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р. Дунав – в продължение на 1 км от двете страни на пристанище Сомовит, с изключение на бреговата ивица на пристанището;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</w:t>
      </w:r>
      <w:r>
        <w:rPr>
          <w:rFonts w:ascii="Verdana" w:hAnsi="Verdana"/>
          <w:sz w:val="20"/>
          <w:szCs w:val="20"/>
          <w:lang w:val="bg-BG" w:eastAsia="bg-BG"/>
        </w:rPr>
        <w:t xml:space="preserve"> Дунав от р. км 644 до р. км 640</w:t>
      </w:r>
      <w:r w:rsidRPr="00145B74">
        <w:rPr>
          <w:rFonts w:ascii="Verdana" w:hAnsi="Verdana"/>
          <w:sz w:val="20"/>
          <w:szCs w:val="20"/>
          <w:lang w:val="bg-BG" w:eastAsia="bg-BG"/>
        </w:rPr>
        <w:t xml:space="preserve"> в землището на общ. Долна Митрополия.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Пловдив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–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водоема;</w:t>
      </w:r>
    </w:p>
    <w:p w:rsidR="00227883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Климент;</w:t>
      </w:r>
    </w:p>
    <w:p w:rsidR="00227883" w:rsidRPr="00145B74" w:rsidRDefault="00227883" w:rsidP="003C78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Пясъчник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Разград</w:t>
      </w:r>
    </w:p>
    <w:p w:rsidR="00227883" w:rsidRDefault="00227883" w:rsidP="003C78E2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Бели Лом;</w:t>
      </w:r>
    </w:p>
    <w:p w:rsidR="00227883" w:rsidRDefault="00227883" w:rsidP="003C78E2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Пчелина 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Pr="00F56398" w:rsidRDefault="00227883" w:rsidP="003C78E2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Пчелина 2</w:t>
      </w:r>
      <w:r w:rsidRPr="00F56398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ab/>
        <w:t>Област Русе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– землището на гр. Русе от бетонната площадка при входа на лимана на РККЗ - Русе с координати 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43.845755°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25.943399°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до края на улица Мостова с координати 43.8571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26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25.955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472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Янтра – десния бряг в землището на гр. Бяла с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43.463842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25.725058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моста на Кольо Фичето с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43.469624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25.725693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Pr="005269F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– землището на гр. Мартен, от буна до стената на граничен пост с координати 43.914517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26.068838°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точка с координати 43.924898°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26.073531°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Силистра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37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37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(кейовата стена в дунавската градина на гр. Силистра);</w:t>
      </w:r>
    </w:p>
    <w:p w:rsidR="00227883" w:rsidRPr="00086C5B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(кейовата стена на пристанище в гр. Тутракан).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Сливен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Ковачево;</w:t>
      </w:r>
    </w:p>
    <w:p w:rsidR="00227883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баластриера „Самуиловска дупка“, с. Самуилово, обл. Сливен; 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Смолян</w:t>
      </w:r>
    </w:p>
    <w:p w:rsidR="00227883" w:rsidRDefault="00227883" w:rsidP="003C78E2">
      <w:pPr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Доспат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27883" w:rsidRPr="00014A8E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яз. Въча -</w:t>
      </w:r>
      <w:r w:rsidRPr="00D67FC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27883" w:rsidRPr="00145B74" w:rsidRDefault="00227883" w:rsidP="003C78E2">
      <w:pPr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-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Цанков камък.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София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Душанци;</w:t>
      </w:r>
    </w:p>
    <w:p w:rsidR="00227883" w:rsidRPr="00994757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ru-RU" w:eastAsia="bg-BG"/>
        </w:rPr>
        <w:t>яз. Огняново;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Искър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водоема;</w:t>
      </w:r>
    </w:p>
    <w:p w:rsidR="00227883" w:rsidRPr="00066487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яз. </w:t>
      </w:r>
      <w:r w:rsidRPr="005212B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Бебреш - любителският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риболов е разрешен </w:t>
      </w:r>
      <w:r w:rsidRPr="005212B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единствено извън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>санитарно-</w:t>
      </w:r>
      <w:r w:rsidRPr="005212B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охранителната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зона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на водоема;</w:t>
      </w:r>
    </w:p>
    <w:p w:rsidR="00227883" w:rsidRPr="004C54E7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>яз. Бакър дере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всички 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>баластриери на територията на област София.</w:t>
      </w:r>
    </w:p>
    <w:p w:rsidR="00227883" w:rsidRPr="008B2047" w:rsidRDefault="00227883" w:rsidP="003C78E2">
      <w:pPr>
        <w:tabs>
          <w:tab w:val="left" w:pos="0"/>
        </w:tabs>
        <w:spacing w:before="12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lastRenderedPageBreak/>
        <w:tab/>
        <w:t>Област Стара Загора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Копринка.</w:t>
      </w:r>
    </w:p>
    <w:p w:rsidR="00227883" w:rsidRPr="00145B74" w:rsidRDefault="00227883" w:rsidP="003C78E2">
      <w:pPr>
        <w:tabs>
          <w:tab w:val="left" w:pos="0"/>
          <w:tab w:val="left" w:pos="709"/>
        </w:tabs>
        <w:spacing w:before="120" w:line="360" w:lineRule="auto"/>
        <w:ind w:left="709"/>
        <w:jc w:val="both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</w:t>
      </w:r>
      <w:r w:rsidRPr="00145B74">
        <w:rPr>
          <w:rFonts w:ascii="Arial" w:hAnsi="Arial" w:cs="Arial"/>
          <w:color w:val="222222"/>
          <w:sz w:val="21"/>
          <w:szCs w:val="21"/>
          <w:shd w:val="clear" w:color="auto" w:fill="FFFFFF"/>
          <w:lang w:val="bg-BG"/>
        </w:rPr>
        <w:t xml:space="preserve"> </w:t>
      </w:r>
      <w:r w:rsidRPr="00145B74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  <w:t>Търговище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Ястребино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Default="00227883" w:rsidP="003C78E2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Съединение;</w:t>
      </w:r>
    </w:p>
    <w:p w:rsidR="00227883" w:rsidRDefault="00227883" w:rsidP="003C78E2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Царевци;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Красноселци.</w:t>
      </w:r>
    </w:p>
    <w:p w:rsidR="00227883" w:rsidRDefault="00227883" w:rsidP="003C78E2">
      <w:pPr>
        <w:tabs>
          <w:tab w:val="left" w:pos="0"/>
        </w:tabs>
        <w:spacing w:before="120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Хасково</w:t>
      </w:r>
    </w:p>
    <w:p w:rsidR="00227883" w:rsidRPr="00907466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Орешец</w:t>
      </w:r>
      <w:r w:rsidRPr="00907466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27883" w:rsidRPr="00145B74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Тракиец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145B74" w:rsidRDefault="00227883" w:rsidP="003C78E2">
      <w:pPr>
        <w:tabs>
          <w:tab w:val="left" w:pos="0"/>
        </w:tabs>
        <w:spacing w:before="120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Шумен</w:t>
      </w:r>
    </w:p>
    <w:p w:rsidR="00227883" w:rsidRPr="005212BE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1418" w:hanging="698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824F3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Тича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– </w:t>
      </w:r>
      <w:r w:rsidRPr="00824F39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 на водоема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27883" w:rsidRPr="00824F39" w:rsidRDefault="00227883" w:rsidP="003C78E2">
      <w:pPr>
        <w:tabs>
          <w:tab w:val="left" w:pos="0"/>
        </w:tabs>
        <w:spacing w:before="120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824F3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Ямбол</w:t>
      </w:r>
    </w:p>
    <w:p w:rsidR="00227883" w:rsidRPr="00625B36" w:rsidRDefault="00227883" w:rsidP="003C78E2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Малко Шарково.</w:t>
      </w:r>
    </w:p>
    <w:p w:rsidR="00227883" w:rsidRPr="00145B74" w:rsidRDefault="00227883" w:rsidP="003C78E2">
      <w:pPr>
        <w:spacing w:before="120"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 xml:space="preserve">II. 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Любителският риболов през тъмната част на денонощието се извършва в следните часове: </w:t>
      </w:r>
    </w:p>
    <w:p w:rsidR="00227883" w:rsidRPr="00145B74" w:rsidRDefault="00227883" w:rsidP="003C78E2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а) от 20:30 ч. до 06:00 ч. - за месец април;</w:t>
      </w:r>
    </w:p>
    <w:p w:rsidR="00227883" w:rsidRPr="00145B74" w:rsidRDefault="00227883" w:rsidP="003C78E2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б) от 22:00 ч. до 05:00 ч. - за месеците май, юни и юли;</w:t>
      </w:r>
    </w:p>
    <w:p w:rsidR="00227883" w:rsidRPr="00145B74" w:rsidRDefault="00227883" w:rsidP="003C78E2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в) от 21:00 ч. до 06:00 ч. - за месеците август, септември и октомври;</w:t>
      </w:r>
    </w:p>
    <w:p w:rsidR="00227883" w:rsidRPr="00BC0209" w:rsidRDefault="00227883" w:rsidP="003C78E2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 xml:space="preserve">г) </w:t>
      </w:r>
      <w:r>
        <w:rPr>
          <w:rFonts w:ascii="Verdana" w:eastAsia="PMingLiU" w:hAnsi="Verdana"/>
          <w:sz w:val="20"/>
          <w:szCs w:val="20"/>
          <w:lang w:val="bg-BG"/>
        </w:rPr>
        <w:t xml:space="preserve">от </w:t>
      </w:r>
      <w:r w:rsidRPr="00512F83">
        <w:rPr>
          <w:rFonts w:ascii="Verdana" w:eastAsia="PMingLiU" w:hAnsi="Verdana"/>
          <w:sz w:val="20"/>
          <w:szCs w:val="20"/>
          <w:lang w:val="bg-BG"/>
        </w:rPr>
        <w:t xml:space="preserve">00:00 </w:t>
      </w:r>
      <w:r>
        <w:rPr>
          <w:rFonts w:ascii="Verdana" w:eastAsia="PMingLiU" w:hAnsi="Verdana"/>
          <w:sz w:val="20"/>
          <w:szCs w:val="20"/>
          <w:lang w:val="bg-BG"/>
        </w:rPr>
        <w:t xml:space="preserve">до 06:30 ч. и 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от 18:30 ч. до </w:t>
      </w:r>
      <w:r w:rsidRPr="00512F83">
        <w:rPr>
          <w:rFonts w:ascii="Verdana" w:eastAsia="PMingLiU" w:hAnsi="Verdana"/>
          <w:sz w:val="20"/>
          <w:szCs w:val="20"/>
          <w:lang w:val="bg-BG"/>
        </w:rPr>
        <w:t>24</w:t>
      </w:r>
      <w:r w:rsidRPr="00145B74">
        <w:rPr>
          <w:rFonts w:ascii="Verdana" w:eastAsia="PMingLiU" w:hAnsi="Verdana"/>
          <w:sz w:val="20"/>
          <w:szCs w:val="20"/>
          <w:lang w:val="bg-BG"/>
        </w:rPr>
        <w:t>:0</w:t>
      </w:r>
      <w:r>
        <w:rPr>
          <w:rFonts w:ascii="Verdana" w:eastAsia="PMingLiU" w:hAnsi="Verdana"/>
          <w:sz w:val="20"/>
          <w:szCs w:val="20"/>
          <w:lang w:val="bg-BG"/>
        </w:rPr>
        <w:t>0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ч. </w:t>
      </w:r>
      <w:r>
        <w:rPr>
          <w:rFonts w:ascii="Verdana" w:eastAsia="PMingLiU" w:hAnsi="Verdana"/>
          <w:sz w:val="20"/>
          <w:szCs w:val="20"/>
          <w:lang w:val="bg-BG"/>
        </w:rPr>
        <w:t xml:space="preserve">на 1 </w:t>
      </w:r>
      <w:r w:rsidRPr="00145B74">
        <w:rPr>
          <w:rFonts w:ascii="Verdana" w:eastAsia="PMingLiU" w:hAnsi="Verdana"/>
          <w:sz w:val="20"/>
          <w:szCs w:val="20"/>
          <w:lang w:val="bg-BG"/>
        </w:rPr>
        <w:t>ноември.</w:t>
      </w:r>
    </w:p>
    <w:p w:rsidR="00227883" w:rsidRDefault="00227883" w:rsidP="003C78E2">
      <w:pPr>
        <w:spacing w:before="12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ab/>
        <w:t xml:space="preserve">ІІІ. </w:t>
      </w:r>
      <w:r w:rsidRPr="00145B74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 на земеделието</w:t>
      </w:r>
      <w:r>
        <w:rPr>
          <w:rFonts w:ascii="Verdana" w:eastAsia="PMingLiU" w:hAnsi="Verdana"/>
          <w:sz w:val="20"/>
          <w:szCs w:val="20"/>
          <w:lang w:val="bg-BG"/>
        </w:rPr>
        <w:t xml:space="preserve"> и храните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и Изпълнителна агенция по рибарство и аквакултури.</w:t>
      </w:r>
    </w:p>
    <w:p w:rsidR="00227883" w:rsidRPr="00145B74" w:rsidRDefault="00227883" w:rsidP="003C78E2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sz w:val="20"/>
          <w:szCs w:val="20"/>
          <w:lang w:val="bg-BG"/>
        </w:rPr>
        <w:tab/>
        <w:t>Географските координати са изписани в градуси и десетични части от градуса.</w:t>
      </w:r>
    </w:p>
    <w:p w:rsidR="00227883" w:rsidRDefault="00227883" w:rsidP="003C78E2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 в посочените водни обекти, въведени по силата на други нормативни и административни актове.</w:t>
      </w:r>
    </w:p>
    <w:p w:rsidR="00227883" w:rsidRPr="00145B74" w:rsidRDefault="00227883" w:rsidP="003C78E2">
      <w:pPr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9415AB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ото пред административния орган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27883" w:rsidRPr="00145B74" w:rsidRDefault="00227883" w:rsidP="003C78E2">
      <w:pPr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lastRenderedPageBreak/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227883" w:rsidRPr="00145B74" w:rsidRDefault="00227883" w:rsidP="003C78E2">
      <w:pPr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227883" w:rsidRDefault="00227883" w:rsidP="003C78E2">
      <w:pPr>
        <w:spacing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EA130F" w:rsidRPr="00145B74" w:rsidRDefault="00EA130F" w:rsidP="003C78E2">
      <w:pPr>
        <w:spacing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bookmarkStart w:id="0" w:name="_GoBack"/>
      <w:bookmarkEnd w:id="0"/>
    </w:p>
    <w:p w:rsidR="00227883" w:rsidRPr="00DF2E7E" w:rsidRDefault="00227883" w:rsidP="003C78E2">
      <w:pPr>
        <w:spacing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 xml:space="preserve">МИНИСТЪР </w:t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>НА ЗЕМЕДЕЛИЕТО И ХРАНИТЕ</w:t>
      </w: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>:</w:t>
      </w:r>
    </w:p>
    <w:p w:rsidR="00401497" w:rsidRPr="00401497" w:rsidRDefault="00227883" w:rsidP="003C78E2">
      <w:pPr>
        <w:spacing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DF2E7E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Д-Р ГЕОРГИ ТАХОВ</w:t>
      </w:r>
    </w:p>
    <w:sectPr w:rsidR="00401497" w:rsidRPr="00401497" w:rsidSect="003C01AF">
      <w:pgSz w:w="12240" w:h="15840"/>
      <w:pgMar w:top="1560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4D" w:rsidRDefault="0080564D" w:rsidP="00292030">
      <w:r>
        <w:separator/>
      </w:r>
    </w:p>
  </w:endnote>
  <w:endnote w:type="continuationSeparator" w:id="0">
    <w:p w:rsidR="0080564D" w:rsidRDefault="0080564D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4D" w:rsidRDefault="0080564D" w:rsidP="00292030">
      <w:r>
        <w:separator/>
      </w:r>
    </w:p>
  </w:footnote>
  <w:footnote w:type="continuationSeparator" w:id="0">
    <w:p w:rsidR="0080564D" w:rsidRDefault="0080564D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14947"/>
    <w:rsid w:val="000529FB"/>
    <w:rsid w:val="00063EFF"/>
    <w:rsid w:val="000959CE"/>
    <w:rsid w:val="000E7F3F"/>
    <w:rsid w:val="00121B82"/>
    <w:rsid w:val="00121FEF"/>
    <w:rsid w:val="0015138D"/>
    <w:rsid w:val="00156B73"/>
    <w:rsid w:val="001F707C"/>
    <w:rsid w:val="00227883"/>
    <w:rsid w:val="0027427B"/>
    <w:rsid w:val="00292030"/>
    <w:rsid w:val="00293D5A"/>
    <w:rsid w:val="002A5791"/>
    <w:rsid w:val="002C3A9B"/>
    <w:rsid w:val="002D3B64"/>
    <w:rsid w:val="002E5364"/>
    <w:rsid w:val="002F231B"/>
    <w:rsid w:val="003442B0"/>
    <w:rsid w:val="003679FE"/>
    <w:rsid w:val="003A4AF9"/>
    <w:rsid w:val="003C01AF"/>
    <w:rsid w:val="003C1924"/>
    <w:rsid w:val="003C78E2"/>
    <w:rsid w:val="003F704E"/>
    <w:rsid w:val="00401497"/>
    <w:rsid w:val="0040301E"/>
    <w:rsid w:val="00431249"/>
    <w:rsid w:val="00434ACC"/>
    <w:rsid w:val="00452B27"/>
    <w:rsid w:val="004558E7"/>
    <w:rsid w:val="00473AE4"/>
    <w:rsid w:val="00477D27"/>
    <w:rsid w:val="004A1B6E"/>
    <w:rsid w:val="004D54B5"/>
    <w:rsid w:val="004F11B3"/>
    <w:rsid w:val="004F1F1C"/>
    <w:rsid w:val="005110B3"/>
    <w:rsid w:val="00531221"/>
    <w:rsid w:val="00535C9C"/>
    <w:rsid w:val="00555A94"/>
    <w:rsid w:val="005659E8"/>
    <w:rsid w:val="005A467B"/>
    <w:rsid w:val="005A5998"/>
    <w:rsid w:val="005A7A92"/>
    <w:rsid w:val="005C1CFD"/>
    <w:rsid w:val="00625B36"/>
    <w:rsid w:val="006A0141"/>
    <w:rsid w:val="006D05AC"/>
    <w:rsid w:val="006E2856"/>
    <w:rsid w:val="006E2C08"/>
    <w:rsid w:val="007064F0"/>
    <w:rsid w:val="00723961"/>
    <w:rsid w:val="007650A9"/>
    <w:rsid w:val="007A6EE9"/>
    <w:rsid w:val="007B0E99"/>
    <w:rsid w:val="007E15C4"/>
    <w:rsid w:val="007F1E56"/>
    <w:rsid w:val="0080564D"/>
    <w:rsid w:val="00814FD8"/>
    <w:rsid w:val="00816F52"/>
    <w:rsid w:val="008174E8"/>
    <w:rsid w:val="00840966"/>
    <w:rsid w:val="00865F6F"/>
    <w:rsid w:val="008B6889"/>
    <w:rsid w:val="008D1792"/>
    <w:rsid w:val="00903B0B"/>
    <w:rsid w:val="00940C43"/>
    <w:rsid w:val="00960C7D"/>
    <w:rsid w:val="009A2A1F"/>
    <w:rsid w:val="009D1891"/>
    <w:rsid w:val="009D56C8"/>
    <w:rsid w:val="00A17FAF"/>
    <w:rsid w:val="00A54B6D"/>
    <w:rsid w:val="00A77312"/>
    <w:rsid w:val="00AE77F2"/>
    <w:rsid w:val="00B22705"/>
    <w:rsid w:val="00B231ED"/>
    <w:rsid w:val="00B6041E"/>
    <w:rsid w:val="00B77478"/>
    <w:rsid w:val="00BA5A25"/>
    <w:rsid w:val="00BC19E0"/>
    <w:rsid w:val="00BE48F6"/>
    <w:rsid w:val="00BE65EF"/>
    <w:rsid w:val="00C42BCF"/>
    <w:rsid w:val="00C43042"/>
    <w:rsid w:val="00C612EF"/>
    <w:rsid w:val="00CC1E30"/>
    <w:rsid w:val="00CD4763"/>
    <w:rsid w:val="00D3337A"/>
    <w:rsid w:val="00D555FD"/>
    <w:rsid w:val="00D61E9F"/>
    <w:rsid w:val="00DB35F3"/>
    <w:rsid w:val="00DD0424"/>
    <w:rsid w:val="00DD31F9"/>
    <w:rsid w:val="00E0582A"/>
    <w:rsid w:val="00E25183"/>
    <w:rsid w:val="00E33C6F"/>
    <w:rsid w:val="00E42B4F"/>
    <w:rsid w:val="00E46AB9"/>
    <w:rsid w:val="00E47BE7"/>
    <w:rsid w:val="00E70266"/>
    <w:rsid w:val="00E93FDF"/>
    <w:rsid w:val="00E97234"/>
    <w:rsid w:val="00EA130F"/>
    <w:rsid w:val="00ED4E0B"/>
    <w:rsid w:val="00ED605C"/>
    <w:rsid w:val="00F375FB"/>
    <w:rsid w:val="00F4366F"/>
    <w:rsid w:val="00F43CB1"/>
    <w:rsid w:val="00F64A54"/>
    <w:rsid w:val="00F83975"/>
    <w:rsid w:val="00FB15C8"/>
    <w:rsid w:val="00FC10AB"/>
    <w:rsid w:val="00FF2BC8"/>
    <w:rsid w:val="00FF44E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848E6"/>
  <w15:docId w15:val="{F74E5C10-C9B6-4C3A-B3E7-04F2BEF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ISimeonov@mzh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Stanislav Stoyanov</cp:lastModifiedBy>
  <cp:revision>5</cp:revision>
  <dcterms:created xsi:type="dcterms:W3CDTF">2025-02-20T15:00:00Z</dcterms:created>
  <dcterms:modified xsi:type="dcterms:W3CDTF">2025-02-21T09:25:00Z</dcterms:modified>
</cp:coreProperties>
</file>