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DA5CA" w14:textId="77777777" w:rsidR="00723961" w:rsidRPr="00B77478" w:rsidRDefault="00723961" w:rsidP="003116DC">
      <w:pPr>
        <w:pStyle w:val="Heading1"/>
        <w:spacing w:line="360" w:lineRule="auto"/>
        <w:jc w:val="center"/>
        <w:rPr>
          <w:rFonts w:ascii="Verdana" w:hAnsi="Verdana"/>
          <w:sz w:val="32"/>
          <w:szCs w:val="32"/>
          <w:lang w:val="en-US"/>
        </w:rPr>
      </w:pPr>
      <w:r w:rsidRPr="00C80F87">
        <w:rPr>
          <w:rFonts w:ascii="Verdana" w:hAnsi="Verdana"/>
          <w:sz w:val="20"/>
          <w:szCs w:val="20"/>
        </w:rPr>
        <w:t xml:space="preserve">Уведомление за </w:t>
      </w:r>
      <w:r>
        <w:rPr>
          <w:rFonts w:ascii="Verdana" w:hAnsi="Verdana"/>
          <w:sz w:val="20"/>
          <w:szCs w:val="20"/>
        </w:rPr>
        <w:t>стартира</w:t>
      </w:r>
      <w:r w:rsidR="003116DC">
        <w:rPr>
          <w:rFonts w:ascii="Verdana" w:hAnsi="Verdana"/>
          <w:sz w:val="20"/>
          <w:szCs w:val="20"/>
        </w:rPr>
        <w:t>ли</w:t>
      </w:r>
      <w:r w:rsidRPr="00C80F87">
        <w:rPr>
          <w:rFonts w:ascii="Verdana" w:hAnsi="Verdana"/>
          <w:sz w:val="20"/>
          <w:szCs w:val="20"/>
        </w:rPr>
        <w:t xml:space="preserve"> </w:t>
      </w:r>
      <w:r w:rsidR="00364BD4">
        <w:rPr>
          <w:rFonts w:ascii="Verdana" w:hAnsi="Verdana"/>
          <w:sz w:val="20"/>
          <w:szCs w:val="20"/>
        </w:rPr>
        <w:t>Обществени консултации</w:t>
      </w:r>
      <w:r w:rsidR="003116DC">
        <w:rPr>
          <w:rFonts w:ascii="Verdana" w:hAnsi="Verdana"/>
          <w:sz w:val="20"/>
          <w:szCs w:val="20"/>
        </w:rPr>
        <w:t xml:space="preserve"> относно </w:t>
      </w:r>
      <w:r w:rsidR="003116DC" w:rsidRPr="003116DC">
        <w:rPr>
          <w:rFonts w:ascii="Verdana" w:hAnsi="Verdana"/>
          <w:sz w:val="20"/>
          <w:szCs w:val="20"/>
        </w:rPr>
        <w:t>функционирането на Регламента относно общата политика в областта на рибарството</w:t>
      </w:r>
      <w:r w:rsidR="003116DC">
        <w:rPr>
          <w:rFonts w:ascii="Verdana" w:hAnsi="Verdana"/>
          <w:sz w:val="20"/>
          <w:szCs w:val="20"/>
        </w:rPr>
        <w:t xml:space="preserve"> (</w:t>
      </w:r>
      <w:r w:rsidR="003116DC" w:rsidRPr="003116DC">
        <w:rPr>
          <w:rFonts w:ascii="Verdana" w:hAnsi="Verdana"/>
          <w:sz w:val="20"/>
          <w:szCs w:val="20"/>
        </w:rPr>
        <w:t>Регламент (ЕС) № 1380/2013</w:t>
      </w:r>
      <w:r w:rsidR="003116DC">
        <w:rPr>
          <w:rFonts w:ascii="Verdana" w:hAnsi="Verdana"/>
          <w:sz w:val="20"/>
          <w:szCs w:val="20"/>
        </w:rPr>
        <w:t>)</w:t>
      </w:r>
    </w:p>
    <w:p w14:paraId="7B8E24D3" w14:textId="77777777" w:rsidR="00364BD4" w:rsidRPr="00364BD4" w:rsidRDefault="00364BD4" w:rsidP="00364BD4">
      <w:pPr>
        <w:spacing w:line="360" w:lineRule="auto"/>
        <w:jc w:val="both"/>
        <w:rPr>
          <w:rFonts w:ascii="Verdana" w:eastAsia="Calibri" w:hAnsi="Verdana" w:cs="Arial"/>
          <w:sz w:val="20"/>
          <w:szCs w:val="20"/>
          <w:lang w:val="bg-BG"/>
        </w:rPr>
      </w:pPr>
    </w:p>
    <w:p w14:paraId="1727A8F8" w14:textId="1C959D21" w:rsidR="00364BD4" w:rsidRPr="00364BD4" w:rsidRDefault="00364BD4" w:rsidP="00364BD4">
      <w:pPr>
        <w:spacing w:before="60" w:after="60"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364BD4">
        <w:rPr>
          <w:rFonts w:ascii="Verdana" w:eastAsia="Calibri" w:hAnsi="Verdana" w:cs="Arial"/>
          <w:sz w:val="20"/>
          <w:szCs w:val="20"/>
          <w:lang w:val="bg-BG"/>
        </w:rPr>
        <w:t xml:space="preserve">Целта на настоящата обществена консултация е да се съберат коментари и мнения относно функционирането на </w:t>
      </w:r>
      <w:r w:rsidRPr="003116DC">
        <w:rPr>
          <w:rFonts w:ascii="Verdana" w:eastAsia="Calibri" w:hAnsi="Verdana" w:cs="Arial"/>
          <w:b/>
          <w:sz w:val="20"/>
          <w:szCs w:val="20"/>
          <w:lang w:val="bg-BG"/>
        </w:rPr>
        <w:t>Регламента относно общата политика в областта на рибарството</w:t>
      </w:r>
      <w:r w:rsidRPr="00364BD4">
        <w:rPr>
          <w:rFonts w:ascii="Verdana" w:eastAsia="Calibri" w:hAnsi="Verdana" w:cs="Arial"/>
          <w:sz w:val="20"/>
          <w:szCs w:val="20"/>
          <w:lang w:val="bg-BG"/>
        </w:rPr>
        <w:t xml:space="preserve"> (ОПОР) (</w:t>
      </w:r>
      <w:hyperlink r:id="rId7" w:history="1">
        <w:r w:rsidRPr="00364BD4">
          <w:rPr>
            <w:rStyle w:val="Hyperlink"/>
            <w:rFonts w:ascii="Verdana" w:eastAsia="Calibri" w:hAnsi="Verdana" w:cs="Arial"/>
            <w:sz w:val="20"/>
            <w:szCs w:val="20"/>
            <w:lang w:val="bg-BG"/>
          </w:rPr>
          <w:t>Регламент (ЕС) № 1380/2013</w:t>
        </w:r>
      </w:hyperlink>
      <w:r w:rsidRPr="00364BD4">
        <w:rPr>
          <w:rFonts w:ascii="Verdana" w:eastAsia="Calibri" w:hAnsi="Verdana" w:cs="Arial"/>
          <w:sz w:val="20"/>
          <w:szCs w:val="20"/>
          <w:lang w:val="bg-BG"/>
        </w:rPr>
        <w:t>), за да се подпомогне оценката на посочения регламент.</w:t>
      </w:r>
    </w:p>
    <w:p w14:paraId="6789DE60" w14:textId="77777777" w:rsidR="00364BD4" w:rsidRPr="00364BD4" w:rsidRDefault="00364BD4" w:rsidP="00364BD4">
      <w:pPr>
        <w:spacing w:before="60" w:after="60"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364BD4">
        <w:rPr>
          <w:rFonts w:ascii="Verdana" w:eastAsia="Calibri" w:hAnsi="Verdana" w:cs="Arial"/>
          <w:sz w:val="20"/>
          <w:szCs w:val="20"/>
          <w:lang w:val="bg-BG"/>
        </w:rPr>
        <w:t>При оценката ще бъде разгледано как действа съществуващият Регламент относно ОПОР към днешна дата и ще се прецени как правната уредба позволява да се постигнат настоящите му цели и да се отговори на възникващите предизвикателства. Ще бъдат обхванати всички действия в рамките на ЕС и външните действия във връзка с Регламента относно ОПОР.</w:t>
      </w:r>
    </w:p>
    <w:p w14:paraId="2F24F021" w14:textId="77777777" w:rsidR="00364BD4" w:rsidRPr="00364BD4" w:rsidRDefault="00364BD4" w:rsidP="00364BD4">
      <w:pPr>
        <w:spacing w:before="60" w:after="60"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364BD4">
        <w:rPr>
          <w:rFonts w:ascii="Verdana" w:eastAsia="Calibri" w:hAnsi="Verdana" w:cs="Arial"/>
          <w:sz w:val="20"/>
          <w:szCs w:val="20"/>
          <w:lang w:val="bg-BG"/>
        </w:rPr>
        <w:t xml:space="preserve">При оценката ще бъде направен преглед на въздействието на Регламента относно ОПОР върху </w:t>
      </w:r>
      <w:r w:rsidRPr="003116DC">
        <w:rPr>
          <w:rFonts w:ascii="Verdana" w:eastAsia="Calibri" w:hAnsi="Verdana" w:cs="Arial"/>
          <w:b/>
          <w:sz w:val="20"/>
          <w:szCs w:val="20"/>
          <w:lang w:val="bg-BG"/>
        </w:rPr>
        <w:t>опазването на морските биологични ресурси</w:t>
      </w:r>
      <w:r w:rsidRPr="00364BD4">
        <w:rPr>
          <w:rFonts w:ascii="Verdana" w:eastAsia="Calibri" w:hAnsi="Verdana" w:cs="Arial"/>
          <w:sz w:val="20"/>
          <w:szCs w:val="20"/>
          <w:lang w:val="bg-BG"/>
        </w:rPr>
        <w:t xml:space="preserve"> и </w:t>
      </w:r>
      <w:r w:rsidRPr="003116DC">
        <w:rPr>
          <w:rFonts w:ascii="Verdana" w:eastAsia="Calibri" w:hAnsi="Verdana" w:cs="Arial"/>
          <w:b/>
          <w:sz w:val="20"/>
          <w:szCs w:val="20"/>
          <w:lang w:val="bg-BG"/>
        </w:rPr>
        <w:t>управлението на риболова и флотите</w:t>
      </w:r>
      <w:r w:rsidRPr="00364BD4">
        <w:rPr>
          <w:rFonts w:ascii="Verdana" w:eastAsia="Calibri" w:hAnsi="Verdana" w:cs="Arial"/>
          <w:sz w:val="20"/>
          <w:szCs w:val="20"/>
          <w:lang w:val="bg-BG"/>
        </w:rPr>
        <w:t xml:space="preserve">, </w:t>
      </w:r>
      <w:r w:rsidRPr="00B91B40">
        <w:rPr>
          <w:rFonts w:ascii="Verdana" w:eastAsia="Calibri" w:hAnsi="Verdana" w:cs="Arial"/>
          <w:b/>
          <w:sz w:val="20"/>
          <w:szCs w:val="20"/>
          <w:lang w:val="bg-BG"/>
        </w:rPr>
        <w:t>експлоатиращи такива ресурси,</w:t>
      </w:r>
      <w:r w:rsidRPr="00364BD4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3116DC">
        <w:rPr>
          <w:rFonts w:ascii="Verdana" w:eastAsia="Calibri" w:hAnsi="Verdana" w:cs="Arial"/>
          <w:b/>
          <w:sz w:val="20"/>
          <w:szCs w:val="20"/>
          <w:lang w:val="bg-BG"/>
        </w:rPr>
        <w:t>веригата на доставки</w:t>
      </w:r>
      <w:r w:rsidRPr="00364BD4">
        <w:rPr>
          <w:rFonts w:ascii="Verdana" w:eastAsia="Calibri" w:hAnsi="Verdana" w:cs="Arial"/>
          <w:sz w:val="20"/>
          <w:szCs w:val="20"/>
          <w:lang w:val="bg-BG"/>
        </w:rPr>
        <w:t xml:space="preserve">, </w:t>
      </w:r>
      <w:r w:rsidRPr="00B91B40">
        <w:rPr>
          <w:rFonts w:ascii="Verdana" w:eastAsia="Calibri" w:hAnsi="Verdana" w:cs="Arial"/>
          <w:sz w:val="20"/>
          <w:szCs w:val="20"/>
          <w:lang w:val="bg-BG"/>
        </w:rPr>
        <w:t>потребителите</w:t>
      </w:r>
      <w:r w:rsidRPr="00CF411F">
        <w:rPr>
          <w:rFonts w:ascii="Verdana" w:eastAsia="Calibri" w:hAnsi="Verdana" w:cs="Arial"/>
          <w:sz w:val="20"/>
          <w:szCs w:val="20"/>
          <w:lang w:val="bg-BG"/>
        </w:rPr>
        <w:t xml:space="preserve"> и </w:t>
      </w:r>
      <w:r w:rsidRPr="00B91B40">
        <w:rPr>
          <w:rFonts w:ascii="Verdana" w:eastAsia="Calibri" w:hAnsi="Verdana" w:cs="Arial"/>
          <w:sz w:val="20"/>
          <w:szCs w:val="20"/>
          <w:lang w:val="bg-BG"/>
        </w:rPr>
        <w:t>публичните</w:t>
      </w:r>
      <w:r w:rsidRPr="003116DC">
        <w:rPr>
          <w:rFonts w:ascii="Verdana" w:eastAsia="Calibri" w:hAnsi="Verdana" w:cs="Arial"/>
          <w:b/>
          <w:sz w:val="20"/>
          <w:szCs w:val="20"/>
          <w:lang w:val="bg-BG"/>
        </w:rPr>
        <w:t xml:space="preserve"> органи във всички държави — членки на ЕС</w:t>
      </w:r>
      <w:r w:rsidRPr="00364BD4">
        <w:rPr>
          <w:rFonts w:ascii="Verdana" w:eastAsia="Calibri" w:hAnsi="Verdana" w:cs="Arial"/>
          <w:sz w:val="20"/>
          <w:szCs w:val="20"/>
          <w:lang w:val="bg-BG"/>
        </w:rPr>
        <w:t>, през последните 10 години от прилагането му (2014—2024 г.), като се разчита на по-ранните консултации и приноса, предоставен като подготовка за Съобщението на Комисията „Общата политика в областта на рибарството днес и утре“ (</w:t>
      </w:r>
      <w:hyperlink r:id="rId8" w:history="1">
        <w:r w:rsidRPr="00364BD4">
          <w:rPr>
            <w:rStyle w:val="Hyperlink"/>
            <w:rFonts w:ascii="Verdana" w:eastAsia="Calibri" w:hAnsi="Verdana" w:cs="Arial"/>
            <w:sz w:val="20"/>
            <w:szCs w:val="20"/>
            <w:lang w:val="bg-BG"/>
          </w:rPr>
          <w:t>COM/2023/103</w:t>
        </w:r>
      </w:hyperlink>
      <w:r w:rsidRPr="00364BD4">
        <w:rPr>
          <w:rFonts w:ascii="Verdana" w:eastAsia="Calibri" w:hAnsi="Verdana" w:cs="Arial"/>
          <w:sz w:val="20"/>
          <w:szCs w:val="20"/>
          <w:lang w:val="bg-BG"/>
        </w:rPr>
        <w:t>)</w:t>
      </w:r>
      <w:r>
        <w:rPr>
          <w:rFonts w:ascii="Verdana" w:eastAsia="Calibri" w:hAnsi="Verdana" w:cs="Arial"/>
          <w:sz w:val="20"/>
          <w:szCs w:val="20"/>
          <w:lang w:val="bg-BG"/>
        </w:rPr>
        <w:t>.</w:t>
      </w:r>
    </w:p>
    <w:p w14:paraId="371CE101" w14:textId="77777777" w:rsidR="00364BD4" w:rsidRPr="00364BD4" w:rsidRDefault="00364BD4" w:rsidP="00364BD4">
      <w:pPr>
        <w:spacing w:before="60" w:after="60"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364BD4">
        <w:rPr>
          <w:rFonts w:ascii="Verdana" w:eastAsia="Calibri" w:hAnsi="Verdana" w:cs="Arial"/>
          <w:sz w:val="20"/>
          <w:szCs w:val="20"/>
          <w:lang w:val="bg-BG"/>
        </w:rPr>
        <w:t>Въпросите са организирани около четири от петте стандартни критерия за оценка, използвани от Европейската комисия, за да се прецени до каква степен Регламентът относно ОПОР:</w:t>
      </w:r>
    </w:p>
    <w:p w14:paraId="69F0B3FC" w14:textId="77777777" w:rsidR="00364BD4" w:rsidRDefault="00364BD4" w:rsidP="00364BD4">
      <w:pPr>
        <w:pStyle w:val="ListParagraph"/>
        <w:numPr>
          <w:ilvl w:val="0"/>
          <w:numId w:val="8"/>
        </w:numPr>
        <w:spacing w:before="60" w:after="60" w:line="360" w:lineRule="auto"/>
        <w:ind w:left="720" w:firstLine="0"/>
        <w:jc w:val="both"/>
        <w:rPr>
          <w:rFonts w:ascii="Verdana" w:eastAsia="Calibri" w:hAnsi="Verdana" w:cs="Arial"/>
          <w:lang w:val="bg-BG"/>
        </w:rPr>
      </w:pPr>
      <w:r w:rsidRPr="00364BD4">
        <w:rPr>
          <w:rFonts w:ascii="Verdana" w:eastAsia="Calibri" w:hAnsi="Verdana" w:cs="Arial"/>
          <w:lang w:val="bg-BG"/>
        </w:rPr>
        <w:t>е ефективен за удовлетворяване на очакванията и постигане на заложените в него цели;</w:t>
      </w:r>
    </w:p>
    <w:p w14:paraId="5235B578" w14:textId="77777777" w:rsidR="00364BD4" w:rsidRDefault="00364BD4" w:rsidP="00364BD4">
      <w:pPr>
        <w:pStyle w:val="ListParagraph"/>
        <w:numPr>
          <w:ilvl w:val="0"/>
          <w:numId w:val="8"/>
        </w:numPr>
        <w:spacing w:before="60" w:after="60" w:line="360" w:lineRule="auto"/>
        <w:ind w:left="720" w:firstLine="0"/>
        <w:jc w:val="both"/>
        <w:rPr>
          <w:rFonts w:ascii="Verdana" w:eastAsia="Calibri" w:hAnsi="Verdana" w:cs="Arial"/>
          <w:lang w:val="bg-BG"/>
        </w:rPr>
      </w:pPr>
      <w:r w:rsidRPr="00364BD4">
        <w:rPr>
          <w:rFonts w:ascii="Verdana" w:eastAsia="Calibri" w:hAnsi="Verdana" w:cs="Arial"/>
          <w:lang w:val="bg-BG"/>
        </w:rPr>
        <w:t>е ефикасен от гледна точка на разходната ефективност и пропорционалността на действителните разходи спрямо ползите;</w:t>
      </w:r>
    </w:p>
    <w:p w14:paraId="717F9E26" w14:textId="77777777" w:rsidR="00364BD4" w:rsidRDefault="00364BD4" w:rsidP="00364BD4">
      <w:pPr>
        <w:pStyle w:val="ListParagraph"/>
        <w:numPr>
          <w:ilvl w:val="0"/>
          <w:numId w:val="8"/>
        </w:numPr>
        <w:spacing w:before="60" w:after="60" w:line="360" w:lineRule="auto"/>
        <w:ind w:left="720" w:firstLine="0"/>
        <w:jc w:val="both"/>
        <w:rPr>
          <w:rFonts w:ascii="Verdana" w:eastAsia="Calibri" w:hAnsi="Verdana" w:cs="Arial"/>
          <w:lang w:val="bg-BG"/>
        </w:rPr>
      </w:pPr>
      <w:r w:rsidRPr="00364BD4">
        <w:rPr>
          <w:rFonts w:ascii="Verdana" w:eastAsia="Calibri" w:hAnsi="Verdana" w:cs="Arial"/>
          <w:lang w:val="bg-BG"/>
        </w:rPr>
        <w:t>е уместен от гледна точка на настоящите и нововъзникващите нужди;</w:t>
      </w:r>
    </w:p>
    <w:p w14:paraId="47E304AD" w14:textId="77777777" w:rsidR="00401497" w:rsidRDefault="00364BD4" w:rsidP="00364BD4">
      <w:pPr>
        <w:pStyle w:val="ListParagraph"/>
        <w:numPr>
          <w:ilvl w:val="0"/>
          <w:numId w:val="8"/>
        </w:numPr>
        <w:spacing w:before="60" w:after="60" w:line="360" w:lineRule="auto"/>
        <w:ind w:left="720" w:firstLine="0"/>
        <w:jc w:val="both"/>
        <w:rPr>
          <w:rFonts w:ascii="Verdana" w:eastAsia="Calibri" w:hAnsi="Verdana" w:cs="Arial"/>
          <w:lang w:val="bg-BG"/>
        </w:rPr>
      </w:pPr>
      <w:r w:rsidRPr="00364BD4">
        <w:rPr>
          <w:rFonts w:ascii="Verdana" w:eastAsia="Calibri" w:hAnsi="Verdana" w:cs="Arial"/>
          <w:lang w:val="bg-BG"/>
        </w:rPr>
        <w:t>е съгласуван (във вътрешен и във външен план с други интервенции на ЕС или международни споразумения).</w:t>
      </w:r>
    </w:p>
    <w:p w14:paraId="6B3737D6" w14:textId="77777777" w:rsidR="00364BD4" w:rsidRDefault="00364BD4" w:rsidP="00364BD4">
      <w:pPr>
        <w:spacing w:before="60" w:after="60"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364BD4">
        <w:rPr>
          <w:rFonts w:ascii="Verdana" w:eastAsia="Calibri" w:hAnsi="Verdana" w:cs="Arial"/>
          <w:sz w:val="20"/>
          <w:szCs w:val="20"/>
          <w:lang w:val="bg-BG"/>
        </w:rPr>
        <w:t xml:space="preserve">Тези критерии представляват </w:t>
      </w:r>
      <w:hyperlink r:id="rId9" w:history="1">
        <w:r w:rsidRPr="00400897">
          <w:rPr>
            <w:rStyle w:val="Hyperlink"/>
            <w:rFonts w:ascii="Verdana" w:eastAsia="Calibri" w:hAnsi="Verdana" w:cs="Arial"/>
            <w:sz w:val="20"/>
            <w:szCs w:val="20"/>
            <w:lang w:val="bg-BG"/>
          </w:rPr>
          <w:t>набор от принципи</w:t>
        </w:r>
      </w:hyperlink>
      <w:r w:rsidRPr="00364BD4">
        <w:rPr>
          <w:rFonts w:ascii="Verdana" w:eastAsia="Calibri" w:hAnsi="Verdana" w:cs="Arial"/>
          <w:sz w:val="20"/>
          <w:szCs w:val="20"/>
          <w:lang w:val="bg-BG"/>
        </w:rPr>
        <w:t>, използвани от Европейската комисия за оценка на качеството и въздействието на политиките и разпоредбите, за да се гарантира, че политиките на ЕС са добре разработени и че носят реални ползи за гражданите и предприятията в ЕС.</w:t>
      </w:r>
    </w:p>
    <w:p w14:paraId="40660886" w14:textId="7D9312BA" w:rsidR="00400897" w:rsidRDefault="00CF411F" w:rsidP="00400897">
      <w:pPr>
        <w:spacing w:before="60" w:after="60"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>
        <w:rPr>
          <w:rFonts w:ascii="Verdana" w:eastAsia="Calibri" w:hAnsi="Verdana" w:cs="Arial"/>
          <w:sz w:val="20"/>
          <w:szCs w:val="20"/>
          <w:lang w:val="bg-BG"/>
        </w:rPr>
        <w:lastRenderedPageBreak/>
        <w:t>За да</w:t>
      </w:r>
      <w:r w:rsidR="00400897">
        <w:rPr>
          <w:rFonts w:ascii="Verdana" w:eastAsia="Calibri" w:hAnsi="Verdana" w:cs="Arial"/>
          <w:sz w:val="20"/>
          <w:szCs w:val="20"/>
          <w:lang w:val="bg-BG"/>
        </w:rPr>
        <w:t xml:space="preserve"> участвате в Обществените консултации относно </w:t>
      </w:r>
      <w:r w:rsidR="00400897" w:rsidRPr="00364BD4">
        <w:rPr>
          <w:rFonts w:ascii="Verdana" w:eastAsia="Calibri" w:hAnsi="Verdana" w:cs="Arial"/>
          <w:sz w:val="20"/>
          <w:szCs w:val="20"/>
          <w:lang w:val="bg-BG"/>
        </w:rPr>
        <w:t xml:space="preserve">функционирането на Регламента относно </w:t>
      </w:r>
      <w:r w:rsidR="00400897">
        <w:rPr>
          <w:rFonts w:ascii="Verdana" w:eastAsia="Calibri" w:hAnsi="Verdana" w:cs="Arial"/>
          <w:sz w:val="20"/>
          <w:szCs w:val="20"/>
          <w:lang w:val="bg-BG"/>
        </w:rPr>
        <w:t>ОПОР</w:t>
      </w:r>
      <w:r w:rsidR="003116DC">
        <w:rPr>
          <w:rFonts w:ascii="Verdana" w:eastAsia="Calibri" w:hAnsi="Verdana" w:cs="Arial"/>
          <w:sz w:val="20"/>
          <w:szCs w:val="20"/>
          <w:lang w:val="bg-BG"/>
        </w:rPr>
        <w:t xml:space="preserve">, в срок до </w:t>
      </w:r>
      <w:r w:rsidR="003116DC" w:rsidRPr="003116DC">
        <w:rPr>
          <w:rFonts w:ascii="Verdana" w:eastAsia="Calibri" w:hAnsi="Verdana" w:cs="Arial"/>
          <w:b/>
          <w:sz w:val="20"/>
          <w:szCs w:val="20"/>
          <w:lang w:val="bg-BG"/>
        </w:rPr>
        <w:t>21 април 2025 г.</w:t>
      </w:r>
      <w:r w:rsidR="003116DC">
        <w:rPr>
          <w:rFonts w:ascii="Verdana" w:eastAsia="Calibri" w:hAnsi="Verdana" w:cs="Arial"/>
          <w:b/>
          <w:sz w:val="20"/>
          <w:szCs w:val="20"/>
          <w:lang w:val="bg-BG"/>
        </w:rPr>
        <w:t xml:space="preserve"> </w:t>
      </w:r>
      <w:r w:rsidR="003116DC">
        <w:rPr>
          <w:rFonts w:ascii="Verdana" w:eastAsia="Calibri" w:hAnsi="Verdana" w:cs="Arial"/>
          <w:sz w:val="20"/>
          <w:szCs w:val="20"/>
          <w:lang w:val="bg-BG"/>
        </w:rPr>
        <w:t>можете да попълните</w:t>
      </w:r>
      <w:r w:rsidR="00400897">
        <w:rPr>
          <w:rFonts w:ascii="Verdana" w:eastAsia="Calibri" w:hAnsi="Verdana" w:cs="Arial"/>
          <w:sz w:val="20"/>
          <w:szCs w:val="20"/>
          <w:lang w:val="bg-BG"/>
        </w:rPr>
        <w:t xml:space="preserve"> въпросника</w:t>
      </w:r>
      <w:r w:rsidR="00DA1F1A">
        <w:rPr>
          <w:rFonts w:ascii="Verdana" w:eastAsia="Calibri" w:hAnsi="Verdana" w:cs="Arial"/>
          <w:sz w:val="20"/>
          <w:szCs w:val="20"/>
          <w:lang w:val="bg-BG"/>
        </w:rPr>
        <w:t>, публикуван</w:t>
      </w:r>
      <w:r w:rsidR="003116DC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="00400897">
        <w:rPr>
          <w:rFonts w:ascii="Verdana" w:eastAsia="Calibri" w:hAnsi="Verdana" w:cs="Arial"/>
          <w:sz w:val="20"/>
          <w:szCs w:val="20"/>
          <w:lang w:val="bg-BG"/>
        </w:rPr>
        <w:t>на специално създадената от Европейската комисия</w:t>
      </w:r>
      <w:r w:rsidR="00B91B40">
        <w:rPr>
          <w:rFonts w:ascii="Verdana" w:eastAsia="Calibri" w:hAnsi="Verdana" w:cs="Arial"/>
          <w:sz w:val="20"/>
          <w:szCs w:val="20"/>
          <w:lang w:val="bg-BG"/>
        </w:rPr>
        <w:t xml:space="preserve"> (ЕК)</w:t>
      </w:r>
      <w:r w:rsidR="00400897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hyperlink r:id="rId10" w:history="1">
        <w:r w:rsidR="00400897" w:rsidRPr="00400897">
          <w:rPr>
            <w:rStyle w:val="Hyperlink"/>
            <w:rFonts w:ascii="Verdana" w:eastAsia="Calibri" w:hAnsi="Verdana" w:cs="Arial"/>
            <w:sz w:val="20"/>
            <w:szCs w:val="20"/>
            <w:lang w:val="bg-BG"/>
          </w:rPr>
          <w:t>интернет страница</w:t>
        </w:r>
      </w:hyperlink>
      <w:r w:rsidR="00DA1F1A">
        <w:rPr>
          <w:rFonts w:ascii="Verdana" w:eastAsia="Calibri" w:hAnsi="Verdana" w:cs="Arial"/>
          <w:sz w:val="20"/>
          <w:szCs w:val="20"/>
          <w:lang w:val="bg-BG"/>
        </w:rPr>
        <w:t xml:space="preserve"> относно настоящите консултации</w:t>
      </w:r>
      <w:r w:rsidR="003116DC">
        <w:rPr>
          <w:rFonts w:ascii="Verdana" w:eastAsia="Calibri" w:hAnsi="Verdana" w:cs="Arial"/>
          <w:sz w:val="20"/>
          <w:szCs w:val="20"/>
          <w:lang w:val="bg-BG"/>
        </w:rPr>
        <w:t xml:space="preserve">. </w:t>
      </w:r>
      <w:r w:rsidR="000D55A4">
        <w:rPr>
          <w:rFonts w:ascii="Verdana" w:eastAsia="Calibri" w:hAnsi="Verdana" w:cs="Arial"/>
          <w:sz w:val="20"/>
          <w:szCs w:val="20"/>
          <w:lang w:val="bg-BG"/>
        </w:rPr>
        <w:t xml:space="preserve">Повече информация относно инициативата, можете да откриете на </w:t>
      </w:r>
      <w:hyperlink r:id="rId11" w:history="1">
        <w:r w:rsidR="000D55A4" w:rsidRPr="00B91B40">
          <w:rPr>
            <w:rStyle w:val="Hyperlink"/>
            <w:rFonts w:ascii="Verdana" w:eastAsia="Calibri" w:hAnsi="Verdana" w:cs="Arial"/>
            <w:sz w:val="20"/>
            <w:szCs w:val="20"/>
            <w:lang w:val="bg-BG"/>
          </w:rPr>
          <w:t>интернет страницата на Генерална дирекция „Морско дело и рибарство“</w:t>
        </w:r>
      </w:hyperlink>
      <w:r w:rsidR="000D55A4">
        <w:rPr>
          <w:rFonts w:ascii="Verdana" w:eastAsia="Calibri" w:hAnsi="Verdana" w:cs="Arial"/>
          <w:sz w:val="20"/>
          <w:szCs w:val="20"/>
          <w:lang w:val="bg-BG"/>
        </w:rPr>
        <w:t xml:space="preserve"> към ЕК.</w:t>
      </w:r>
      <w:bookmarkStart w:id="0" w:name="_GoBack"/>
      <w:bookmarkEnd w:id="0"/>
    </w:p>
    <w:sectPr w:rsidR="00400897" w:rsidSect="003C01AF">
      <w:pgSz w:w="12240" w:h="15840"/>
      <w:pgMar w:top="1560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790CE" w14:textId="77777777" w:rsidR="00F67892" w:rsidRDefault="00F67892" w:rsidP="00292030">
      <w:r>
        <w:separator/>
      </w:r>
    </w:p>
  </w:endnote>
  <w:endnote w:type="continuationSeparator" w:id="0">
    <w:p w14:paraId="5EE8A685" w14:textId="77777777" w:rsidR="00F67892" w:rsidRDefault="00F67892" w:rsidP="0029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8E501" w14:textId="77777777" w:rsidR="00F67892" w:rsidRDefault="00F67892" w:rsidP="00292030">
      <w:r>
        <w:separator/>
      </w:r>
    </w:p>
  </w:footnote>
  <w:footnote w:type="continuationSeparator" w:id="0">
    <w:p w14:paraId="217EEA15" w14:textId="77777777" w:rsidR="00F67892" w:rsidRDefault="00F67892" w:rsidP="0029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205"/>
    <w:multiLevelType w:val="hybridMultilevel"/>
    <w:tmpl w:val="A5E49B46"/>
    <w:lvl w:ilvl="0" w:tplc="BDDC470A">
      <w:start w:val="1"/>
      <w:numFmt w:val="upperRoman"/>
      <w:lvlText w:val="%1."/>
      <w:lvlJc w:val="left"/>
      <w:pPr>
        <w:ind w:left="1849" w:hanging="11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E906EDC"/>
    <w:multiLevelType w:val="hybridMultilevel"/>
    <w:tmpl w:val="147AFBB0"/>
    <w:lvl w:ilvl="0" w:tplc="61B8414A">
      <w:numFmt w:val="bullet"/>
      <w:lvlText w:val="-"/>
      <w:lvlJc w:val="left"/>
      <w:pPr>
        <w:ind w:left="108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45604"/>
    <w:multiLevelType w:val="hybridMultilevel"/>
    <w:tmpl w:val="B1CEABAA"/>
    <w:lvl w:ilvl="0" w:tplc="0C1E1AA0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72D"/>
    <w:multiLevelType w:val="hybridMultilevel"/>
    <w:tmpl w:val="43C07C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E81B58"/>
    <w:multiLevelType w:val="hybridMultilevel"/>
    <w:tmpl w:val="672EAC0A"/>
    <w:lvl w:ilvl="0" w:tplc="A61E5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F0722E"/>
    <w:multiLevelType w:val="hybridMultilevel"/>
    <w:tmpl w:val="F9BC27A4"/>
    <w:lvl w:ilvl="0" w:tplc="2ACA14D2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6E69BD"/>
    <w:multiLevelType w:val="hybridMultilevel"/>
    <w:tmpl w:val="DB980986"/>
    <w:lvl w:ilvl="0" w:tplc="F7866A56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61"/>
    <w:rsid w:val="00014947"/>
    <w:rsid w:val="000529FB"/>
    <w:rsid w:val="00063EFF"/>
    <w:rsid w:val="000959CE"/>
    <w:rsid w:val="000D166E"/>
    <w:rsid w:val="000D55A4"/>
    <w:rsid w:val="000E7F3F"/>
    <w:rsid w:val="00121B82"/>
    <w:rsid w:val="00121FEF"/>
    <w:rsid w:val="00156B73"/>
    <w:rsid w:val="001F707C"/>
    <w:rsid w:val="0027427B"/>
    <w:rsid w:val="00292030"/>
    <w:rsid w:val="002A5791"/>
    <w:rsid w:val="002C3A9B"/>
    <w:rsid w:val="002D3B64"/>
    <w:rsid w:val="002E5364"/>
    <w:rsid w:val="002F231B"/>
    <w:rsid w:val="003116DC"/>
    <w:rsid w:val="00364BD4"/>
    <w:rsid w:val="003679FE"/>
    <w:rsid w:val="003A4AF9"/>
    <w:rsid w:val="003C01AF"/>
    <w:rsid w:val="003F704E"/>
    <w:rsid w:val="00400897"/>
    <w:rsid w:val="00401497"/>
    <w:rsid w:val="0040301E"/>
    <w:rsid w:val="00431249"/>
    <w:rsid w:val="00434ACC"/>
    <w:rsid w:val="00452B27"/>
    <w:rsid w:val="004558E7"/>
    <w:rsid w:val="00473AE4"/>
    <w:rsid w:val="00477D27"/>
    <w:rsid w:val="004A1B6E"/>
    <w:rsid w:val="004D54B5"/>
    <w:rsid w:val="00531221"/>
    <w:rsid w:val="00535C9C"/>
    <w:rsid w:val="00555A94"/>
    <w:rsid w:val="005659E8"/>
    <w:rsid w:val="005A467B"/>
    <w:rsid w:val="005A5998"/>
    <w:rsid w:val="005A7A92"/>
    <w:rsid w:val="005C1CFD"/>
    <w:rsid w:val="00660BA2"/>
    <w:rsid w:val="006D05AC"/>
    <w:rsid w:val="007064F0"/>
    <w:rsid w:val="00723961"/>
    <w:rsid w:val="007650A9"/>
    <w:rsid w:val="007A6EE9"/>
    <w:rsid w:val="007B0E99"/>
    <w:rsid w:val="007E15C4"/>
    <w:rsid w:val="007F1E56"/>
    <w:rsid w:val="00814FD8"/>
    <w:rsid w:val="00816F52"/>
    <w:rsid w:val="008174E8"/>
    <w:rsid w:val="00840966"/>
    <w:rsid w:val="00865F6F"/>
    <w:rsid w:val="008B58C9"/>
    <w:rsid w:val="008B6889"/>
    <w:rsid w:val="008D1792"/>
    <w:rsid w:val="00903B0B"/>
    <w:rsid w:val="00940C43"/>
    <w:rsid w:val="00960C7D"/>
    <w:rsid w:val="009A2A1F"/>
    <w:rsid w:val="009D56C8"/>
    <w:rsid w:val="00A54B6D"/>
    <w:rsid w:val="00A77312"/>
    <w:rsid w:val="00B22705"/>
    <w:rsid w:val="00B6041E"/>
    <w:rsid w:val="00B77478"/>
    <w:rsid w:val="00B91B40"/>
    <w:rsid w:val="00BA5A25"/>
    <w:rsid w:val="00BE48F6"/>
    <w:rsid w:val="00C42BCF"/>
    <w:rsid w:val="00C43042"/>
    <w:rsid w:val="00C612EF"/>
    <w:rsid w:val="00CC1E30"/>
    <w:rsid w:val="00CD4763"/>
    <w:rsid w:val="00CF411F"/>
    <w:rsid w:val="00D3337A"/>
    <w:rsid w:val="00D555FD"/>
    <w:rsid w:val="00DA1F1A"/>
    <w:rsid w:val="00DB35F3"/>
    <w:rsid w:val="00DD0424"/>
    <w:rsid w:val="00DD31F9"/>
    <w:rsid w:val="00E0582A"/>
    <w:rsid w:val="00E25183"/>
    <w:rsid w:val="00E33C6F"/>
    <w:rsid w:val="00E42B4F"/>
    <w:rsid w:val="00E47BE7"/>
    <w:rsid w:val="00E70266"/>
    <w:rsid w:val="00E97234"/>
    <w:rsid w:val="00ED4E0B"/>
    <w:rsid w:val="00ED605C"/>
    <w:rsid w:val="00F10592"/>
    <w:rsid w:val="00F375FB"/>
    <w:rsid w:val="00F4366F"/>
    <w:rsid w:val="00F43CB1"/>
    <w:rsid w:val="00F64A54"/>
    <w:rsid w:val="00F67892"/>
    <w:rsid w:val="00F83975"/>
    <w:rsid w:val="00FC10AB"/>
    <w:rsid w:val="00FF2BC8"/>
    <w:rsid w:val="00FF44E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C3548"/>
  <w15:docId w15:val="{243B7C20-112F-4A83-AF1C-FFEF7201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DefaultParagraphFont"/>
    <w:rsid w:val="000E7F3F"/>
  </w:style>
  <w:style w:type="paragraph" w:styleId="BalloonText">
    <w:name w:val="Balloon Text"/>
    <w:basedOn w:val="Normal"/>
    <w:link w:val="BalloonTextChar"/>
    <w:uiPriority w:val="99"/>
    <w:semiHidden/>
    <w:unhideWhenUsed/>
    <w:rsid w:val="00D55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64BD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4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1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1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11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10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6722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divBdr>
                      <w:divsChild>
                        <w:div w:id="61482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2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4642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s-and-fisheries.ec.europa.eu/publications/common-fisheries-policy-today-and-tomorrow-fisheries-and-oceans-pact-towards-sustainable-science_en?prefLang=bg&amp;etrans=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BG/TXT/?uri=CELEX%3A32013R1380&amp;qid=17381549614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eans-and-fisheries.ec.europa.eu/news/commission-opens-public-consultation-common-fisheries-policy-regulation-2025-01-27_en?prefLang=bg&amp;etrans=b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c.europa.eu/eusurvey/runner/CFP_Regulation_Evalu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ission.europa.eu/law/law-making-process/planning-and-proposing-law/better-regulation_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Lidiya Rashkova</cp:lastModifiedBy>
  <cp:revision>2</cp:revision>
  <dcterms:created xsi:type="dcterms:W3CDTF">2025-01-30T07:54:00Z</dcterms:created>
  <dcterms:modified xsi:type="dcterms:W3CDTF">2025-01-30T07:54:00Z</dcterms:modified>
</cp:coreProperties>
</file>