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0" w:rsidRPr="00AA4758" w:rsidRDefault="00FC7166" w:rsidP="00AA4758">
      <w:pPr>
        <w:pStyle w:val="BodyTextIndent"/>
        <w:spacing w:after="0" w:line="360" w:lineRule="auto"/>
        <w:ind w:left="0" w:firstLine="708"/>
        <w:jc w:val="both"/>
        <w:rPr>
          <w:rFonts w:ascii="Verdana" w:hAnsi="Verdana"/>
          <w:b/>
          <w:sz w:val="20"/>
          <w:szCs w:val="20"/>
          <w:lang w:val="en-US"/>
        </w:rPr>
      </w:pPr>
      <w:r w:rsidRPr="00AA4758">
        <w:rPr>
          <w:rFonts w:ascii="Verdana" w:hAnsi="Verdana"/>
          <w:b/>
          <w:sz w:val="20"/>
          <w:szCs w:val="20"/>
        </w:rPr>
        <w:t xml:space="preserve">Уведомление за стартиране на производство по издаване на общ административен акт (Заповед) на министъра на земеделието и храните за </w:t>
      </w:r>
      <w:r w:rsidR="00AC1F4E" w:rsidRPr="00AA4758">
        <w:rPr>
          <w:rFonts w:ascii="Verdana" w:hAnsi="Verdana"/>
          <w:b/>
          <w:sz w:val="20"/>
          <w:szCs w:val="20"/>
        </w:rPr>
        <w:t>определяне на водни обекти за зарибяване през 2025 година, съгласно чл. 22a, ал. 5 от Закона за рибарството и аквакултурите</w:t>
      </w:r>
      <w:r w:rsidR="00AC1F4E" w:rsidRPr="00AA4758">
        <w:rPr>
          <w:rFonts w:ascii="Verdana" w:hAnsi="Verdana"/>
          <w:b/>
          <w:sz w:val="20"/>
          <w:szCs w:val="20"/>
          <w:lang w:val="en-US"/>
        </w:rPr>
        <w:t>.</w:t>
      </w:r>
    </w:p>
    <w:p w:rsidR="00AC1F4E" w:rsidRPr="00AA4758" w:rsidRDefault="00017690" w:rsidP="00AA475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A4758">
        <w:rPr>
          <w:rFonts w:ascii="Verdana" w:eastAsia="Calibri" w:hAnsi="Verdana" w:cs="Arial"/>
          <w:sz w:val="20"/>
          <w:szCs w:val="20"/>
        </w:rPr>
        <w:t xml:space="preserve">На основание чл. 66 и следващите от Административнопроцесуалния кодекс Ви уведомявам за стартиране на производство по издаване на общ административен акт (заповед) </w:t>
      </w:r>
      <w:r w:rsidRPr="00AA4758">
        <w:rPr>
          <w:rFonts w:ascii="Verdana" w:eastAsia="Times New Roman" w:hAnsi="Verdana" w:cs="Times New Roman"/>
          <w:sz w:val="20"/>
          <w:szCs w:val="20"/>
        </w:rPr>
        <w:t>на министъра на земеделието</w:t>
      </w:r>
      <w:r w:rsidR="00027F46" w:rsidRPr="00AA4758">
        <w:rPr>
          <w:rFonts w:ascii="Verdana" w:eastAsia="Times New Roman" w:hAnsi="Verdana" w:cs="Times New Roman"/>
          <w:sz w:val="20"/>
          <w:szCs w:val="20"/>
        </w:rPr>
        <w:t xml:space="preserve"> и храните</w:t>
      </w:r>
      <w:r w:rsidR="00AC1F4E" w:rsidRPr="00AA4758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AC1F4E" w:rsidRPr="00AA4758">
        <w:rPr>
          <w:rFonts w:ascii="Verdana" w:eastAsia="Times New Roman" w:hAnsi="Verdana" w:cs="Times New Roman"/>
          <w:sz w:val="20"/>
          <w:szCs w:val="20"/>
        </w:rPr>
        <w:t>за</w:t>
      </w:r>
      <w:r w:rsidRPr="00AA475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C1F4E" w:rsidRPr="00AA4758">
        <w:rPr>
          <w:rFonts w:ascii="Verdana" w:eastAsia="Times New Roman" w:hAnsi="Verdana" w:cs="Times New Roman"/>
          <w:sz w:val="20"/>
          <w:szCs w:val="20"/>
        </w:rPr>
        <w:t>определяне на водни обекти за зарибяване през 2025 година, съгласно чл. 22a, ал. 5 от Закона за рибарството и аквакултурите.</w:t>
      </w:r>
    </w:p>
    <w:p w:rsidR="00582FE4" w:rsidRDefault="00582FE4" w:rsidP="00AA4758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82FE4">
        <w:rPr>
          <w:rFonts w:ascii="Verdana" w:hAnsi="Verdana"/>
          <w:sz w:val="20"/>
          <w:szCs w:val="20"/>
        </w:rPr>
        <w:t>Целта на предложението е да бъдат определени водни обекти, в които лицата, разпространяващи билети за любителски риболов, могат да</w:t>
      </w:r>
      <w:r>
        <w:rPr>
          <w:rFonts w:ascii="Verdana" w:hAnsi="Verdana"/>
          <w:sz w:val="20"/>
          <w:szCs w:val="20"/>
        </w:rPr>
        <w:t xml:space="preserve"> извършват зарибявания през 2025</w:t>
      </w:r>
      <w:r w:rsidRPr="00582FE4">
        <w:rPr>
          <w:rFonts w:ascii="Verdana" w:hAnsi="Verdana"/>
          <w:sz w:val="20"/>
          <w:szCs w:val="20"/>
        </w:rPr>
        <w:t xml:space="preserve"> г., разходвайки средства в размер не по-малко от 5 на сто от стойността на продадените от тях през предходната година билети за любителски риболов.</w:t>
      </w:r>
    </w:p>
    <w:p w:rsidR="00BD45D9" w:rsidRPr="00AA4758" w:rsidRDefault="00017690" w:rsidP="00AA4758">
      <w:pPr>
        <w:spacing w:after="0"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  <w:r w:rsidRPr="00AA4758">
        <w:rPr>
          <w:rFonts w:ascii="Verdana" w:eastAsia="Times New Roman" w:hAnsi="Verdana" w:cs="Times New Roman"/>
          <w:sz w:val="20"/>
          <w:szCs w:val="20"/>
        </w:rPr>
        <w:t>Уведомявам Ви, че може да участвате в производството като</w:t>
      </w:r>
      <w:r w:rsidRPr="00AA4758">
        <w:rPr>
          <w:rFonts w:ascii="Verdana" w:eastAsia="Calibri" w:hAnsi="Verdana" w:cs="Arial"/>
          <w:sz w:val="20"/>
          <w:szCs w:val="20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5" w:history="1"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office</w:t>
        </w:r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proofErr w:type="spellStart"/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iara</w:t>
        </w:r>
        <w:proofErr w:type="spellEnd"/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government</w:t>
        </w:r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proofErr w:type="spellStart"/>
        <w:r w:rsidRPr="00AA4758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bg</w:t>
        </w:r>
        <w:proofErr w:type="spellEnd"/>
      </w:hyperlink>
    </w:p>
    <w:p w:rsidR="00FA7A66" w:rsidRPr="00AA4758" w:rsidRDefault="00FA7A66" w:rsidP="00AA475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AA4758">
        <w:rPr>
          <w:rFonts w:ascii="Verdana" w:hAnsi="Verdana"/>
          <w:sz w:val="20"/>
          <w:szCs w:val="20"/>
        </w:rPr>
        <w:br w:type="page"/>
      </w:r>
    </w:p>
    <w:p w:rsidR="00720ED2" w:rsidRPr="00AA4758" w:rsidRDefault="009D51BF" w:rsidP="00AA4758">
      <w:pPr>
        <w:pStyle w:val="BodyText"/>
        <w:spacing w:line="360" w:lineRule="auto"/>
        <w:rPr>
          <w:rFonts w:ascii="Verdana" w:hAnsi="Verdana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  <w:lang w:val="en-US"/>
        </w:rPr>
        <w:lastRenderedPageBreak/>
        <w:drawing>
          <wp:anchor distT="0" distB="0" distL="0" distR="0" simplePos="0" relativeHeight="251660288" behindDoc="0" locked="0" layoutInCell="1" allowOverlap="1" wp14:anchorId="00414E51" wp14:editId="6466197E">
            <wp:simplePos x="0" y="0"/>
            <wp:positionH relativeFrom="page">
              <wp:posOffset>6292520</wp:posOffset>
            </wp:positionH>
            <wp:positionV relativeFrom="paragraph">
              <wp:posOffset>1270</wp:posOffset>
            </wp:positionV>
            <wp:extent cx="819150" cy="771525"/>
            <wp:effectExtent l="0" t="0" r="0" b="9525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6C4D" w:rsidRPr="00AA4758">
        <w:rPr>
          <w:rFonts w:ascii="Verdana" w:hAnsi="Verdana"/>
          <w:noProof/>
          <w:sz w:val="20"/>
          <w:szCs w:val="20"/>
          <w:lang w:val="en-US"/>
        </w:rPr>
        <w:drawing>
          <wp:anchor distT="0" distB="0" distL="0" distR="0" simplePos="0" relativeHeight="251659264" behindDoc="0" locked="0" layoutInCell="1" allowOverlap="1" wp14:anchorId="3BECED16" wp14:editId="0B5045F4">
            <wp:simplePos x="0" y="0"/>
            <wp:positionH relativeFrom="page">
              <wp:posOffset>834974</wp:posOffset>
            </wp:positionH>
            <wp:positionV relativeFrom="paragraph">
              <wp:posOffset>-48234</wp:posOffset>
            </wp:positionV>
            <wp:extent cx="695325" cy="816610"/>
            <wp:effectExtent l="0" t="0" r="9525" b="254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ED2" w:rsidRPr="00AA4758" w:rsidRDefault="00720ED2" w:rsidP="00616C4D">
      <w:pPr>
        <w:pStyle w:val="Title"/>
        <w:spacing w:before="0" w:line="360" w:lineRule="auto"/>
        <w:ind w:left="707" w:firstLine="427"/>
        <w:rPr>
          <w:rFonts w:ascii="Verdana" w:hAnsi="Verdana"/>
          <w:sz w:val="20"/>
          <w:szCs w:val="20"/>
        </w:rPr>
      </w:pPr>
      <w:r w:rsidRPr="00AA4758">
        <w:rPr>
          <w:rFonts w:ascii="Verdana" w:hAnsi="Verdana"/>
          <w:w w:val="95"/>
          <w:sz w:val="20"/>
          <w:szCs w:val="20"/>
        </w:rPr>
        <w:t>Р</w:t>
      </w:r>
      <w:r w:rsidRPr="00AA4758">
        <w:rPr>
          <w:rFonts w:ascii="Verdana" w:hAnsi="Verdana"/>
          <w:spacing w:val="-1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Е</w:t>
      </w:r>
      <w:r w:rsidRPr="00AA4758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П</w:t>
      </w:r>
      <w:r w:rsidRPr="00AA4758">
        <w:rPr>
          <w:rFonts w:ascii="Verdana" w:hAnsi="Verdana"/>
          <w:spacing w:val="-8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У</w:t>
      </w:r>
      <w:r w:rsidRPr="00AA4758">
        <w:rPr>
          <w:rFonts w:ascii="Verdana" w:hAnsi="Verdana"/>
          <w:spacing w:val="-1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Б</w:t>
      </w:r>
      <w:r w:rsidRPr="00AA4758">
        <w:rPr>
          <w:rFonts w:ascii="Verdana" w:hAnsi="Verdana"/>
          <w:spacing w:val="-7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Л</w:t>
      </w:r>
      <w:r w:rsidRPr="00AA4758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1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К</w:t>
      </w:r>
      <w:r w:rsidRPr="00AA4758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50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Б</w:t>
      </w:r>
      <w:r w:rsidRPr="00AA4758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Ъ</w:t>
      </w:r>
      <w:r w:rsidRPr="00AA4758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Л</w:t>
      </w:r>
      <w:r w:rsidRPr="00AA4758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Г</w:t>
      </w:r>
      <w:r w:rsidRPr="00AA4758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Р</w:t>
      </w:r>
      <w:r w:rsidRPr="00AA4758">
        <w:rPr>
          <w:rFonts w:ascii="Verdana" w:hAnsi="Verdana"/>
          <w:spacing w:val="-1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Я</w:t>
      </w:r>
    </w:p>
    <w:p w:rsidR="00720ED2" w:rsidRPr="00AA4758" w:rsidRDefault="00720ED2" w:rsidP="00616C4D">
      <w:pPr>
        <w:pStyle w:val="BodyText"/>
        <w:spacing w:line="360" w:lineRule="auto"/>
        <w:ind w:left="707" w:firstLine="427"/>
        <w:jc w:val="left"/>
        <w:rPr>
          <w:rFonts w:ascii="Verdana" w:hAnsi="Verdana"/>
          <w:sz w:val="20"/>
          <w:szCs w:val="20"/>
        </w:rPr>
      </w:pP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з</w:t>
      </w:r>
      <w:r w:rsidRPr="00AA4758">
        <w:rPr>
          <w:rFonts w:ascii="Verdana" w:hAnsi="Verdana"/>
          <w:spacing w:val="-2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п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ъ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л</w:t>
      </w:r>
      <w:r w:rsidRPr="00AA4758">
        <w:rPr>
          <w:rFonts w:ascii="Verdana" w:hAnsi="Verdana"/>
          <w:spacing w:val="-2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н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т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е</w:t>
      </w:r>
      <w:r w:rsidRPr="00AA4758">
        <w:rPr>
          <w:rFonts w:ascii="Verdana" w:hAnsi="Verdana"/>
          <w:spacing w:val="-27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л</w:t>
      </w:r>
      <w:r w:rsidRPr="00AA4758">
        <w:rPr>
          <w:rFonts w:ascii="Verdana" w:hAnsi="Verdana"/>
          <w:spacing w:val="-2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н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94"/>
          <w:sz w:val="20"/>
          <w:szCs w:val="20"/>
        </w:rPr>
        <w:t xml:space="preserve"> </w:t>
      </w:r>
      <w:proofErr w:type="spellStart"/>
      <w:r w:rsidR="00A25697">
        <w:rPr>
          <w:rFonts w:ascii="Verdana" w:hAnsi="Verdana"/>
          <w:w w:val="95"/>
          <w:sz w:val="20"/>
          <w:szCs w:val="20"/>
        </w:rPr>
        <w:t>а</w:t>
      </w:r>
      <w:proofErr w:type="spellEnd"/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г</w:t>
      </w:r>
      <w:r w:rsidRPr="00AA4758">
        <w:rPr>
          <w:rFonts w:ascii="Verdana" w:hAnsi="Verdana"/>
          <w:spacing w:val="-25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е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н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ц</w:t>
      </w:r>
      <w:r w:rsidRPr="00AA4758">
        <w:rPr>
          <w:rFonts w:ascii="Verdana" w:hAnsi="Verdana"/>
          <w:spacing w:val="-2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я</w:t>
      </w:r>
      <w:r w:rsidRPr="00AA4758">
        <w:rPr>
          <w:rFonts w:ascii="Verdana" w:hAnsi="Verdana"/>
          <w:spacing w:val="96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п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о</w:t>
      </w:r>
      <w:r w:rsidRPr="00AA4758">
        <w:rPr>
          <w:rFonts w:ascii="Verdana" w:hAnsi="Verdana"/>
          <w:spacing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р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б</w:t>
      </w:r>
      <w:r w:rsidRPr="00AA4758">
        <w:rPr>
          <w:rFonts w:ascii="Verdana" w:hAnsi="Verdana"/>
          <w:spacing w:val="-25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р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с</w:t>
      </w:r>
      <w:r w:rsidRPr="00AA4758">
        <w:rPr>
          <w:rFonts w:ascii="Verdana" w:hAnsi="Verdana"/>
          <w:spacing w:val="-25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т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в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о</w:t>
      </w:r>
      <w:r w:rsidRPr="00AA4758">
        <w:rPr>
          <w:rFonts w:ascii="Verdana" w:hAnsi="Verdana"/>
          <w:spacing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  <w:r w:rsidRPr="00AA4758">
        <w:rPr>
          <w:rFonts w:ascii="Verdana" w:hAnsi="Verdana"/>
          <w:spacing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к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в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а</w:t>
      </w:r>
      <w:r w:rsidRPr="00AA4758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к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у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л</w:t>
      </w:r>
      <w:r w:rsidRPr="00AA4758">
        <w:rPr>
          <w:rFonts w:ascii="Verdana" w:hAnsi="Verdana"/>
          <w:spacing w:val="-21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т</w:t>
      </w:r>
      <w:r w:rsidRPr="00AA4758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у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р</w:t>
      </w:r>
      <w:r w:rsidRPr="00AA4758">
        <w:rPr>
          <w:rFonts w:ascii="Verdana" w:hAnsi="Verdana"/>
          <w:spacing w:val="-24"/>
          <w:w w:val="95"/>
          <w:sz w:val="20"/>
          <w:szCs w:val="20"/>
        </w:rPr>
        <w:t xml:space="preserve"> </w:t>
      </w:r>
      <w:r w:rsidRPr="00AA4758">
        <w:rPr>
          <w:rFonts w:ascii="Verdana" w:hAnsi="Verdana"/>
          <w:w w:val="95"/>
          <w:sz w:val="20"/>
          <w:szCs w:val="20"/>
        </w:rPr>
        <w:t>и</w:t>
      </w:r>
    </w:p>
    <w:p w:rsidR="00720ED2" w:rsidRPr="00AA4758" w:rsidRDefault="00720ED2" w:rsidP="00AA4758">
      <w:pPr>
        <w:pStyle w:val="Header"/>
        <w:spacing w:line="360" w:lineRule="auto"/>
        <w:rPr>
          <w:rFonts w:ascii="Verdana" w:hAnsi="Verdana"/>
        </w:rPr>
      </w:pPr>
    </w:p>
    <w:p w:rsidR="00720ED2" w:rsidRPr="00AA4758" w:rsidRDefault="00720ED2" w:rsidP="00AA4758">
      <w:pPr>
        <w:pStyle w:val="Header"/>
        <w:spacing w:line="360" w:lineRule="auto"/>
        <w:rPr>
          <w:rFonts w:ascii="Verdana" w:hAnsi="Verdana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firstLine="4253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ОДОБРЯВАМ: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left="3828" w:firstLine="425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Д-Р ГЕОРГИ ТАХОВ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left="3687" w:firstLine="561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МИНИСТЪР</w:t>
      </w:r>
      <w:r w:rsidRPr="00720ED2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НА</w:t>
      </w:r>
      <w:r w:rsidRPr="00720ED2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ЗЕМЕДЕЛИЕТО И ХРАНИТЕ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firstLine="4253"/>
        <w:rPr>
          <w:rFonts w:ascii="Verdana" w:eastAsia="Verdana" w:hAnsi="Verdana" w:cs="Verdana"/>
          <w:b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ДО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Д-Р ГЕОРГИ ТАХОВ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МИНИСТЪР НА ЗЕМЕДЕЛИЕТО И ХРАНИТЕ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ЧРЕЗ: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ДЕЯН СТРАТЕВ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ЗАМЕСТНИК-МИНИСТЪР</w:t>
      </w:r>
      <w:r w:rsidRPr="00720ED2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НА</w:t>
      </w:r>
      <w:r w:rsidRPr="00720ED2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ЗЕМЕДЕЛИЕТО И ХРАНИТЕ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8260C4" w:rsidRPr="00720ED2" w:rsidRDefault="008260C4" w:rsidP="00AA4758">
      <w:pPr>
        <w:widowControl w:val="0"/>
        <w:autoSpaceDE w:val="0"/>
        <w:autoSpaceDN w:val="0"/>
        <w:spacing w:after="0" w:line="360" w:lineRule="auto"/>
        <w:ind w:right="4233"/>
        <w:rPr>
          <w:rFonts w:ascii="Verdana" w:eastAsia="Verdana" w:hAnsi="Verdana" w:cs="Verdana"/>
          <w:b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right="49"/>
        <w:jc w:val="center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</w:t>
      </w:r>
      <w:r w:rsidRPr="00720ED2">
        <w:rPr>
          <w:rFonts w:ascii="Verdana" w:eastAsia="Verdana" w:hAnsi="Verdana" w:cs="Verdana"/>
          <w:b/>
          <w:spacing w:val="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О</w:t>
      </w:r>
      <w:r w:rsidRPr="00720ED2">
        <w:rPr>
          <w:rFonts w:ascii="Verdana" w:eastAsia="Verdana" w:hAnsi="Verdana" w:cs="Verdana"/>
          <w:b/>
          <w:spacing w:val="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К</w:t>
      </w:r>
      <w:r w:rsidRPr="00720ED2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Л</w:t>
      </w:r>
      <w:r w:rsidRPr="00720ED2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А</w:t>
      </w:r>
      <w:r w:rsidRPr="00720ED2">
        <w:rPr>
          <w:rFonts w:ascii="Verdana" w:eastAsia="Verdana" w:hAnsi="Verdana" w:cs="Verdana"/>
          <w:b/>
          <w:spacing w:val="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Д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 w:rsidRPr="00720ED2">
        <w:rPr>
          <w:rFonts w:ascii="Verdana" w:eastAsia="Verdana" w:hAnsi="Verdana" w:cs="Verdana"/>
          <w:sz w:val="20"/>
          <w:szCs w:val="20"/>
        </w:rPr>
        <w:t>oт</w:t>
      </w:r>
      <w:proofErr w:type="spellEnd"/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sz w:val="20"/>
          <w:szCs w:val="20"/>
        </w:rPr>
        <w:t>д-р Николай Георгиев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–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изпълнителен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директор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Изпълнителна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агенция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</w:t>
      </w:r>
      <w:r w:rsidRPr="00720ED2">
        <w:rPr>
          <w:rFonts w:ascii="Verdana" w:eastAsia="Verdana" w:hAnsi="Verdana" w:cs="Verdana"/>
          <w:spacing w:val="-67"/>
          <w:sz w:val="20"/>
          <w:szCs w:val="20"/>
        </w:rPr>
        <w:t xml:space="preserve">  </w:t>
      </w:r>
      <w:r w:rsidRPr="00720ED2">
        <w:rPr>
          <w:rFonts w:ascii="Verdana" w:eastAsia="Verdana" w:hAnsi="Verdana" w:cs="Verdana"/>
          <w:sz w:val="20"/>
          <w:szCs w:val="20"/>
        </w:rPr>
        <w:t>рибарство и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аквакултури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(ИАРА)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20ED2" w:rsidRPr="00AA4758" w:rsidRDefault="00720ED2" w:rsidP="00AA4758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Относно</w:t>
      </w:r>
      <w:r w:rsidRPr="00720ED2">
        <w:rPr>
          <w:rFonts w:ascii="Verdana" w:eastAsia="Verdana" w:hAnsi="Verdana" w:cs="Verdana"/>
          <w:sz w:val="20"/>
          <w:szCs w:val="20"/>
        </w:rPr>
        <w:t>:</w:t>
      </w:r>
      <w:r w:rsidRPr="00720ED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Проект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заповед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министъра</w:t>
      </w:r>
      <w:r w:rsidRPr="00720ED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земеделието</w:t>
      </w:r>
      <w:r w:rsidRPr="00720ED2">
        <w:rPr>
          <w:rFonts w:ascii="Verdana" w:eastAsia="Verdana" w:hAnsi="Verdana" w:cs="Verdana"/>
          <w:spacing w:val="-8"/>
          <w:sz w:val="20"/>
          <w:szCs w:val="20"/>
        </w:rPr>
        <w:t xml:space="preserve"> и храните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определяне</w:t>
      </w:r>
      <w:r w:rsidRPr="00720ED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 водни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обекти</w:t>
      </w:r>
      <w:r w:rsidRPr="00720ED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-6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зарибяване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през 2025 година, съгласно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чл. 22a,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ал.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5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от</w:t>
      </w:r>
      <w:r w:rsidRPr="00720ED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Закона</w:t>
      </w:r>
      <w:r w:rsidRPr="00720ED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рибарството</w:t>
      </w:r>
      <w:r w:rsidRPr="00720ED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аквакултурите.</w:t>
      </w:r>
    </w:p>
    <w:p w:rsidR="008260C4" w:rsidRPr="00AA4758" w:rsidRDefault="008260C4" w:rsidP="00AA4758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A0AAC" w:rsidRPr="00720ED2" w:rsidRDefault="003A0AAC" w:rsidP="00AA4758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20ED2" w:rsidRPr="00AA4758" w:rsidRDefault="00720ED2" w:rsidP="00AA4758">
      <w:pPr>
        <w:widowControl w:val="0"/>
        <w:autoSpaceDE w:val="0"/>
        <w:autoSpaceDN w:val="0"/>
        <w:spacing w:after="0" w:line="360" w:lineRule="auto"/>
        <w:ind w:firstLine="720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УВАЖАЕМИ</w:t>
      </w:r>
      <w:r w:rsidRPr="00720ED2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ГОСПОДИН</w:t>
      </w:r>
      <w:r w:rsidRPr="00720ED2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МИНИСТЪР,</w:t>
      </w:r>
    </w:p>
    <w:p w:rsidR="003A0AAC" w:rsidRPr="00720ED2" w:rsidRDefault="003A0AAC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right="193" w:firstLine="720"/>
        <w:jc w:val="both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sz w:val="20"/>
          <w:szCs w:val="20"/>
        </w:rPr>
        <w:t>Съгласно чл. 22а, ал. 1 от Закона за рибарството и аквакултурите (ЗРА) билетите</w:t>
      </w:r>
      <w:r w:rsidR="00EF0E11">
        <w:rPr>
          <w:rFonts w:ascii="Verdana" w:eastAsia="Verdana" w:hAnsi="Verdana" w:cs="Verdana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любителски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риболов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се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отпечатват</w:t>
      </w:r>
      <w:r w:rsidRPr="00720ED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от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ИАРА</w:t>
      </w:r>
      <w:r w:rsidRPr="00720ED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се</w:t>
      </w:r>
      <w:r w:rsidRPr="00720ED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разпространяват</w:t>
      </w:r>
      <w:r w:rsidRPr="00720ED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чрез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териториалните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PMingLiU" w:hAnsi="Verdana" w:cs="Verdana"/>
          <w:color w:val="000000"/>
          <w:sz w:val="20"/>
          <w:szCs w:val="20"/>
          <w:lang w:eastAsia="bg-BG"/>
        </w:rPr>
        <w:t>ѝ</w:t>
      </w:r>
      <w:r w:rsidRPr="00720ED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звена,</w:t>
      </w:r>
      <w:r w:rsidRPr="00720ED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държавните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горски</w:t>
      </w:r>
      <w:r w:rsidRPr="00720ED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стопанства,</w:t>
      </w:r>
      <w:r w:rsidRPr="00720ED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държавните</w:t>
      </w:r>
      <w:r w:rsidRPr="00720ED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ловни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стопанства,</w:t>
      </w:r>
      <w:r w:rsidRPr="00720ED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организациите</w:t>
      </w:r>
      <w:r w:rsidRPr="00720ED2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="00861CBB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="00EF0E11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чл.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11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от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ЗРА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други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лица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при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условия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ред,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определени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наредба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министъра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земеделието и храните. В разпоредбата на чл. 22а, ал. 5 от същия закон е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посочено, че лицата, които разпространяват билети за любителски риболов, разходват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ежегодно не по-малко от 5 на сто от стойността на продадените от тях през предходната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година билети за любителски риболов за зарибяване на обектите по чл. 3, ал. 1, т. 1 и 2</w:t>
      </w:r>
      <w:r w:rsidR="00861CBB">
        <w:rPr>
          <w:rFonts w:ascii="Verdana" w:eastAsia="Verdana" w:hAnsi="Verdana" w:cs="Verdana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 </w:t>
      </w:r>
      <w:r w:rsidRPr="00720ED2">
        <w:rPr>
          <w:rFonts w:ascii="Verdana" w:eastAsia="Verdana" w:hAnsi="Verdana" w:cs="Verdana"/>
          <w:sz w:val="20"/>
          <w:szCs w:val="20"/>
        </w:rPr>
        <w:t>от</w:t>
      </w:r>
      <w:r w:rsidRPr="00720ED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ЗРА,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определени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любителски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lastRenderedPageBreak/>
        <w:t>риболов.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right="274" w:firstLine="720"/>
        <w:jc w:val="both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sz w:val="20"/>
          <w:szCs w:val="20"/>
        </w:rPr>
        <w:t>Зарибяването има своите положителни аспекти, които могат да окажат благоприятно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въздействие върху състоянието на рибните популации. Извършването на зарибителни мероприятия ще повиши рибните ресурси във вътрешните водоеми. От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друга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страна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ще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се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засили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интереса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любители-риболовци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 xml:space="preserve">към 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  </w:t>
      </w:r>
      <w:r w:rsidRPr="00720ED2">
        <w:rPr>
          <w:rFonts w:ascii="Verdana" w:eastAsia="Verdana" w:hAnsi="Verdana" w:cs="Verdana"/>
          <w:sz w:val="20"/>
          <w:szCs w:val="20"/>
        </w:rPr>
        <w:t>осъществяване на любителски риболов, което ще спомогне за изграждането на един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доста по-атрактивен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сектор.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right="193" w:firstLine="720"/>
        <w:jc w:val="both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sz w:val="20"/>
          <w:szCs w:val="20"/>
        </w:rPr>
        <w:t>Ежегодно, по предложение на изпълнителния директор на ИАРА, министърът на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 xml:space="preserve">земеделието и храните със заповед определя обектите за зарибяване по чл. 22а, ал. 5 от ЗРА. В тази връзка началниците на отдели „Рибарство и контрол“ на Главна дирекция „Рибарство и контрол“ направиха предложения за водоеми, които да бъдат определени за зарибяване със средства по реда на чл. 22а, ал. 5 от ЗРА. В проекта на заповед са включени естествени и изкуствени водни обекти или зони от тях, използвани за любителски риболов. Следва да се има предвид, че в язовирите определени за аквакултури в рибностопанско отношение, съгласно чл. 15, ал. 3 от </w:t>
      </w:r>
      <w:r w:rsidRPr="00720ED2">
        <w:rPr>
          <w:rFonts w:ascii="Verdana" w:eastAsia="Verdana" w:hAnsi="Verdana" w:cs="Verdana"/>
          <w:i/>
          <w:sz w:val="20"/>
          <w:szCs w:val="20"/>
        </w:rPr>
        <w:t>Наредба № 37 от 10.11.2008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</w:t>
      </w:r>
      <w:r w:rsidRPr="00720ED2">
        <w:rPr>
          <w:rFonts w:ascii="Verdana" w:eastAsia="Verdana" w:hAnsi="Verdana" w:cs="Verdana"/>
          <w:sz w:val="20"/>
          <w:szCs w:val="20"/>
        </w:rPr>
        <w:t xml:space="preserve">, когато няма извършена регистрация по реда на </w:t>
      </w:r>
      <w:hyperlink r:id="rId8" w:history="1">
        <w:r w:rsidRPr="00AA4758">
          <w:rPr>
            <w:rFonts w:ascii="Verdana" w:eastAsia="Verdana" w:hAnsi="Verdana" w:cs="Verdana"/>
            <w:color w:val="000000"/>
            <w:sz w:val="20"/>
            <w:szCs w:val="20"/>
          </w:rPr>
          <w:t>чл. 25 от ЗРА</w:t>
        </w:r>
      </w:hyperlink>
      <w:r w:rsidRPr="00720ED2">
        <w:rPr>
          <w:rFonts w:ascii="Verdana" w:eastAsia="Verdana" w:hAnsi="Verdana" w:cs="Verdana"/>
          <w:sz w:val="20"/>
          <w:szCs w:val="20"/>
        </w:rPr>
        <w:t>, любителският риболов е разрешен.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firstLine="720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УВАЖАЕМИ</w:t>
      </w:r>
      <w:r w:rsidRPr="00720ED2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ГОСПОДИН</w:t>
      </w:r>
      <w:r w:rsidRPr="00720ED2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МИНИСТЪР,</w:t>
      </w:r>
    </w:p>
    <w:p w:rsidR="00720ED2" w:rsidRPr="00192C05" w:rsidRDefault="00720ED2" w:rsidP="00AA4758">
      <w:pPr>
        <w:widowControl w:val="0"/>
        <w:autoSpaceDE w:val="0"/>
        <w:autoSpaceDN w:val="0"/>
        <w:spacing w:after="0" w:line="360" w:lineRule="auto"/>
        <w:ind w:firstLine="720"/>
        <w:rPr>
          <w:rFonts w:ascii="Verdana" w:eastAsia="Verdana" w:hAnsi="Verdana" w:cs="Verdana"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right="198" w:firstLine="720"/>
        <w:jc w:val="both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sz w:val="20"/>
          <w:szCs w:val="20"/>
        </w:rPr>
        <w:t>С оглед на гореизложеното, моля за Вашето разпореждане да бъде стартирана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процедура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чл.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66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следващите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от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Административнопроцесуалния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кодекс</w:t>
      </w:r>
      <w:r w:rsidRPr="00720ED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издаване</w:t>
      </w:r>
      <w:r w:rsidRPr="00720ED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 общ административен акт - заповед за определяне на обектите за зарибяване по чл.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22a, ал. 5 от ЗРА през 2025 г. Проектът на заповед следва да бъде публикуван на електронните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страници на Министерство на земеделието и храните и ИАРА за осигуряване на възможност на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заинтересованите страни да се запознаят с проекта и да участват в административното</w:t>
      </w:r>
      <w:r w:rsidRPr="00720ED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производство</w:t>
      </w:r>
      <w:r w:rsidRPr="00720ED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по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издаването</w:t>
      </w:r>
      <w:r w:rsidRPr="00720ED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му.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firstLine="720"/>
        <w:rPr>
          <w:rFonts w:ascii="Verdana" w:eastAsia="Verdana" w:hAnsi="Verdana" w:cs="Verdana"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ind w:firstLine="720"/>
        <w:rPr>
          <w:rFonts w:ascii="Verdana" w:eastAsia="Verdana" w:hAnsi="Verdana" w:cs="Verdana"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  <w:u w:val="thick"/>
        </w:rPr>
        <w:t>Приложение</w:t>
      </w:r>
      <w:r w:rsidRPr="00720ED2">
        <w:rPr>
          <w:rFonts w:ascii="Verdana" w:eastAsia="Verdana" w:hAnsi="Verdana" w:cs="Verdana"/>
          <w:b/>
          <w:sz w:val="20"/>
          <w:szCs w:val="20"/>
        </w:rPr>
        <w:t>:</w:t>
      </w:r>
      <w:r w:rsidRPr="00720ED2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Проект</w:t>
      </w:r>
      <w:r w:rsidRPr="00720ED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на</w:t>
      </w:r>
      <w:r w:rsidRPr="00720ED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sz w:val="20"/>
          <w:szCs w:val="20"/>
        </w:rPr>
        <w:t>заповед.</w:t>
      </w:r>
    </w:p>
    <w:p w:rsidR="003A0AAC" w:rsidRPr="00720ED2" w:rsidRDefault="003A0AAC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С</w:t>
      </w:r>
      <w:r w:rsidRPr="00720ED2">
        <w:rPr>
          <w:rFonts w:ascii="Verdana" w:eastAsia="Verdana" w:hAnsi="Verdana" w:cs="Verdana"/>
          <w:b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УВАЖЕНИЕ,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Д-Р НИКОЛАЙ ГЕОРГИЕВ</w:t>
      </w:r>
    </w:p>
    <w:p w:rsidR="00720ED2" w:rsidRPr="00AA4758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ИЗПЪЛНИТЕЛЕН</w:t>
      </w:r>
      <w:r w:rsidRPr="00720ED2">
        <w:rPr>
          <w:rFonts w:ascii="Verdana" w:eastAsia="Verdana" w:hAnsi="Verdana" w:cs="Verdana"/>
          <w:b/>
          <w:spacing w:val="-6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ДИРЕКТОР</w:t>
      </w:r>
    </w:p>
    <w:p w:rsidR="003A0AAC" w:rsidRPr="00720ED2" w:rsidRDefault="003A0AAC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СЪГЛАСУВАЛ:</w:t>
      </w:r>
    </w:p>
    <w:p w:rsidR="00720ED2" w:rsidRPr="00720ED2" w:rsidRDefault="00720ED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ДЕЯН СТРАТЕВ</w:t>
      </w:r>
    </w:p>
    <w:p w:rsidR="003A0AAC" w:rsidRPr="00AA4758" w:rsidRDefault="00720ED2" w:rsidP="00AA4758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 w:rsidRPr="00720ED2">
        <w:rPr>
          <w:rFonts w:ascii="Verdana" w:eastAsia="Verdana" w:hAnsi="Verdana" w:cs="Verdana"/>
          <w:b/>
          <w:sz w:val="20"/>
          <w:szCs w:val="20"/>
        </w:rPr>
        <w:t>ЗАМЕСТНИК</w:t>
      </w:r>
      <w:r w:rsidRPr="00720ED2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-</w:t>
      </w:r>
      <w:r w:rsidRPr="00720ED2">
        <w:rPr>
          <w:rFonts w:ascii="Verdana" w:eastAsia="Verdana" w:hAnsi="Verdana" w:cs="Verdana"/>
          <w:b/>
          <w:spacing w:val="-4"/>
          <w:sz w:val="20"/>
          <w:szCs w:val="20"/>
        </w:rPr>
        <w:t xml:space="preserve"> </w:t>
      </w:r>
      <w:r w:rsidRPr="00720ED2">
        <w:rPr>
          <w:rFonts w:ascii="Verdana" w:eastAsia="Verdana" w:hAnsi="Verdana" w:cs="Verdana"/>
          <w:b/>
          <w:sz w:val="20"/>
          <w:szCs w:val="20"/>
        </w:rPr>
        <w:t>МИНИСТЪР</w:t>
      </w:r>
      <w:r w:rsidR="003A0AAC" w:rsidRPr="00AA4758">
        <w:rPr>
          <w:rFonts w:ascii="Verdana" w:eastAsia="Verdana" w:hAnsi="Verdana" w:cs="Verdana"/>
          <w:b/>
          <w:sz w:val="20"/>
          <w:szCs w:val="20"/>
        </w:rPr>
        <w:br w:type="page"/>
      </w:r>
    </w:p>
    <w:p w:rsidR="003A0AAC" w:rsidRPr="00AA4758" w:rsidRDefault="003A0AAC" w:rsidP="00AA4758">
      <w:pPr>
        <w:tabs>
          <w:tab w:val="left" w:pos="0"/>
          <w:tab w:val="left" w:pos="1703"/>
          <w:tab w:val="left" w:pos="1843"/>
          <w:tab w:val="left" w:pos="2410"/>
        </w:tabs>
        <w:spacing w:after="0" w:line="360" w:lineRule="auto"/>
        <w:ind w:right="-96"/>
        <w:jc w:val="both"/>
        <w:rPr>
          <w:rFonts w:ascii="Verdana" w:eastAsia="PMingLiU" w:hAnsi="Verdana"/>
          <w:sz w:val="20"/>
          <w:szCs w:val="20"/>
        </w:rPr>
      </w:pPr>
    </w:p>
    <w:p w:rsidR="003A0AAC" w:rsidRPr="00AA4758" w:rsidRDefault="003A0AAC" w:rsidP="00AA4758">
      <w:pPr>
        <w:tabs>
          <w:tab w:val="left" w:pos="0"/>
          <w:tab w:val="left" w:pos="1703"/>
          <w:tab w:val="left" w:pos="1843"/>
          <w:tab w:val="left" w:pos="2410"/>
        </w:tabs>
        <w:spacing w:after="0" w:line="360" w:lineRule="auto"/>
        <w:ind w:right="-96"/>
        <w:jc w:val="both"/>
        <w:rPr>
          <w:rFonts w:ascii="Verdana" w:eastAsia="PMingLiU" w:hAnsi="Verdana"/>
          <w:sz w:val="20"/>
          <w:szCs w:val="20"/>
        </w:rPr>
      </w:pPr>
    </w:p>
    <w:p w:rsidR="003A0AAC" w:rsidRPr="00AA4758" w:rsidRDefault="003A0AAC" w:rsidP="00AA4758">
      <w:pPr>
        <w:tabs>
          <w:tab w:val="left" w:pos="0"/>
          <w:tab w:val="left" w:pos="1703"/>
          <w:tab w:val="left" w:pos="1843"/>
          <w:tab w:val="left" w:pos="2410"/>
        </w:tabs>
        <w:spacing w:after="0" w:line="360" w:lineRule="auto"/>
        <w:ind w:right="-96"/>
        <w:jc w:val="both"/>
        <w:rPr>
          <w:rFonts w:ascii="Verdana" w:eastAsia="PMingLiU" w:hAnsi="Verdana"/>
          <w:sz w:val="20"/>
          <w:szCs w:val="20"/>
        </w:rPr>
      </w:pPr>
    </w:p>
    <w:p w:rsidR="003A0AAC" w:rsidRPr="00AA4758" w:rsidRDefault="003A0AAC" w:rsidP="00AA4758">
      <w:pPr>
        <w:tabs>
          <w:tab w:val="left" w:pos="0"/>
          <w:tab w:val="left" w:pos="1703"/>
          <w:tab w:val="left" w:pos="1843"/>
          <w:tab w:val="left" w:pos="2410"/>
        </w:tabs>
        <w:spacing w:after="0" w:line="360" w:lineRule="auto"/>
        <w:ind w:right="-96"/>
        <w:jc w:val="both"/>
        <w:rPr>
          <w:rFonts w:ascii="Verdana" w:eastAsia="PMingLiU" w:hAnsi="Verdana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rPr>
          <w:rFonts w:ascii="Verdana" w:eastAsia="Calibri" w:hAnsi="Verdana" w:cs="Arial"/>
          <w:noProof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421BF7BC" wp14:editId="45FBCB67">
            <wp:simplePos x="0" y="0"/>
            <wp:positionH relativeFrom="column">
              <wp:posOffset>2357755</wp:posOffset>
            </wp:positionH>
            <wp:positionV relativeFrom="paragraph">
              <wp:posOffset>-154940</wp:posOffset>
            </wp:positionV>
            <wp:extent cx="1266190" cy="1257300"/>
            <wp:effectExtent l="0" t="0" r="0" b="0"/>
            <wp:wrapNone/>
            <wp:docPr id="6" name="Picture 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 xml:space="preserve">   </w:t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</w:r>
      <w:r w:rsidRPr="00AA4758">
        <w:rPr>
          <w:rFonts w:ascii="Verdana" w:eastAsia="PMingLiU" w:hAnsi="Verdana"/>
          <w:b/>
          <w:bCs/>
          <w:noProof/>
          <w:spacing w:val="40"/>
          <w:sz w:val="20"/>
          <w:szCs w:val="20"/>
        </w:rPr>
        <w:tab/>
        <w:t>ПРОЕКТ</w:t>
      </w: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Cs/>
          <w:noProof/>
          <w:spacing w:val="40"/>
          <w:sz w:val="20"/>
          <w:szCs w:val="20"/>
        </w:rPr>
      </w:pPr>
      <w:r w:rsidRPr="00AA4758">
        <w:rPr>
          <w:rFonts w:ascii="Verdana" w:eastAsia="PMingLiU" w:hAnsi="Verdana"/>
          <w:bCs/>
          <w:noProof/>
          <w:spacing w:val="40"/>
          <w:sz w:val="20"/>
          <w:szCs w:val="20"/>
        </w:rPr>
        <w:t>РЕПУБЛИКА БЪЛГАРИЯ</w:t>
      </w: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</w:rPr>
      </w:pPr>
      <w:r w:rsidRPr="00AA4758">
        <w:rPr>
          <w:rFonts w:ascii="Verdana" w:eastAsia="PMingLiU" w:hAnsi="Verdana"/>
          <w:bCs/>
          <w:noProof/>
          <w:spacing w:val="40"/>
          <w:sz w:val="20"/>
          <w:szCs w:val="20"/>
        </w:rPr>
        <w:t>Министър на земеделието и храните</w:t>
      </w:r>
    </w:p>
    <w:p w:rsidR="003A0AAC" w:rsidRPr="00AA4758" w:rsidRDefault="003A0AAC" w:rsidP="00AA4758">
      <w:pPr>
        <w:spacing w:after="0" w:line="360" w:lineRule="auto"/>
        <w:ind w:right="-514"/>
        <w:rPr>
          <w:rFonts w:ascii="Verdana" w:eastAsia="PMingLiU" w:hAnsi="Verdana"/>
          <w:noProof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right="-514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  <w:r w:rsidRPr="00AA4758">
        <w:rPr>
          <w:rFonts w:ascii="Verdana" w:eastAsia="PMingLiU" w:hAnsi="Verdana"/>
          <w:noProof/>
          <w:sz w:val="20"/>
          <w:szCs w:val="20"/>
        </w:rPr>
        <w:tab/>
      </w: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</w:rPr>
      </w:pPr>
    </w:p>
    <w:p w:rsidR="003A0AAC" w:rsidRPr="00AA4758" w:rsidRDefault="003A0AAC" w:rsidP="00AA4758">
      <w:pPr>
        <w:keepNext/>
        <w:spacing w:after="0" w:line="360" w:lineRule="auto"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sz w:val="20"/>
          <w:szCs w:val="20"/>
        </w:rPr>
        <w:t>З А П О В Е Д</w:t>
      </w:r>
    </w:p>
    <w:p w:rsidR="003A0AAC" w:rsidRPr="00AA4758" w:rsidRDefault="003A0AAC" w:rsidP="00AA4758">
      <w:pPr>
        <w:spacing w:after="0" w:line="360" w:lineRule="auto"/>
        <w:jc w:val="center"/>
        <w:rPr>
          <w:rFonts w:ascii="Verdana" w:eastAsia="PMingLiU" w:hAnsi="Verdana"/>
          <w:noProof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sz w:val="20"/>
          <w:szCs w:val="20"/>
        </w:rPr>
        <w:t>№ РД ............................</w:t>
      </w:r>
    </w:p>
    <w:p w:rsidR="003A0AAC" w:rsidRPr="00AA4758" w:rsidRDefault="003A0AAC" w:rsidP="00AA4758">
      <w:pPr>
        <w:spacing w:after="0"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sz w:val="20"/>
          <w:szCs w:val="20"/>
        </w:rPr>
        <w:t>гр. София,................2025 г.</w:t>
      </w:r>
    </w:p>
    <w:p w:rsidR="003A0AAC" w:rsidRPr="00AA4758" w:rsidRDefault="003A0AAC" w:rsidP="00AA4758">
      <w:pPr>
        <w:spacing w:after="0"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 xml:space="preserve">На основание чл. 22а, ал. 6 от Закона за рибарството и аквакултурите (ЗРА), чл. 3, ал. 1 и чл. 5, ал. 2 от Устройствения правилник на Министерство на земеделието и храните </w:t>
      </w:r>
      <w:r w:rsidRPr="00AA4758">
        <w:rPr>
          <w:rFonts w:ascii="Verdana" w:eastAsia="PMingLiU" w:hAnsi="Verdana"/>
          <w:noProof/>
          <w:sz w:val="20"/>
          <w:szCs w:val="20"/>
        </w:rPr>
        <w:t>/Обн. ДВ. бр. 82 от 18.10.2019 г./</w:t>
      </w: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 xml:space="preserve">, във връзка с осигуряване на възможност да се извършва зарибяване с цел благоприятно въздействие върху състоянието на рибните популации в обекти, в които се извършва любителски риболов, както и одобрен </w:t>
      </w:r>
      <w:r w:rsidRPr="00AA4758">
        <w:rPr>
          <w:rFonts w:ascii="Verdana" w:eastAsia="PMingLiU" w:hAnsi="Verdana"/>
          <w:noProof/>
          <w:sz w:val="20"/>
          <w:szCs w:val="20"/>
        </w:rPr>
        <w:t>доклад с рег. № …………………../………………… на д-р Николай Георгиев - изпълнителен директор на Изпълнителна агенция по рибарство и аквакултури (ИАРА)</w:t>
      </w:r>
    </w:p>
    <w:p w:rsidR="003A0AAC" w:rsidRPr="00AA4758" w:rsidRDefault="003A0AAC" w:rsidP="00AA4758">
      <w:pPr>
        <w:spacing w:after="0" w:line="360" w:lineRule="auto"/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bCs/>
          <w:noProof/>
          <w:color w:val="000000"/>
          <w:sz w:val="20"/>
          <w:szCs w:val="20"/>
        </w:rPr>
        <w:t>Н А Р Е Ж Д А М:</w:t>
      </w:r>
    </w:p>
    <w:p w:rsidR="003A0AAC" w:rsidRPr="00AA4758" w:rsidRDefault="003A0AAC" w:rsidP="00AA4758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>І</w:t>
      </w: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. Определям водни обекти за зарибяване през 2025 година съгласно чл. 22а, ал. 5 от ЗРА, както следва: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1. На територията на област Благоевград: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баластриерен водоем „Бистрака“;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водоем „Лешко“; 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баластриерен водоем „Проевски“;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Струма - разливите между баражите в района на гр. Благоевград;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водоем „Дебрен“;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Бели брег;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Лешнишка – извън участъците попадащи в защитени територии по смисъла на Закона за защитените територии (ЗЗТ);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lastRenderedPageBreak/>
        <w:t>река Мелнишка;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язовири Добротино I и II;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Абланица;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Садово;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притоците на река Благоевградска Бистрица 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притоците на река Санданска Бистрица - извън участъците попадащи в защитени територии по смисъла на ЗЗТ; 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Ощавска 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Влахинска - извън участъците попадащи в защитени територии по смисъла на ЗЗТ; 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горното течение на река Лебнишка 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Канина в района на местността „Беслет“-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Перлеш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Безбог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Стружка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Еловица 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Черна Места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Бяла Места – извън участъците попадащи в защитени територии по смисъла на ЗЗТ. 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2. На територията на област Бургас: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Мандра;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Порой;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езеро Вая -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Велека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Ропотамо – извън участъците попадащи в защитени територии по смисъла на ЗЗТ.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3. На територията на област Варна: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Цонево;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Камчия– извън участъците попадащи в защитени територии по смисъла на ЗЗТ.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lastRenderedPageBreak/>
        <w:t>4. На територията на област Велико Търново: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Леферджа;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Златаришка;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Стара река;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Росица;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Янтра;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Йовковци;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Александър Стамболийски;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отводнителен канал „Запад“ – гр. Свищов.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5. На територията на област Видин: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Кула;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Полетковци;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Рабиша;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Бърза река, землище на община Чупрене;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Лева река, землище на община Чупрене; 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Равна река, землище на община Чупрене.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6. На територията на област Враца: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Дъбника;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Огоста – с. Бутан;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Дунав – от р. км 704 до р. км 702;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Ботуня;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Скът – гр. Мизия, гр. Бяла Слатина.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7. На територията на област Габрово: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Александър Стамболийски;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Росица;</w:t>
      </w:r>
    </w:p>
    <w:p w:rsidR="003A0AAC" w:rsidRPr="00AA4758" w:rsidRDefault="003A0AAC" w:rsidP="00AA4758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Янтра.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8. На територията на област Кърджали: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Кърджали;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Студен кладенец;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Върбица.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9. На територията на област Кюстендил: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Дренов дол;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Дяково;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Бистрица, землище на община Кюстендил.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10. На територията на област Ловеч: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Липака, землище на гр. Ловеч, община Ловеч;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Ледево, землище на с. Врабево, община Троян;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Черни Вит, землище на с. Черни Вит, община Тетевен;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Златна Панега, землище гр. Луковит, община Луковит.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11. На територията на област Монтана: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Огоста;</w:t>
      </w:r>
    </w:p>
    <w:p w:rsidR="003A0AAC" w:rsidRPr="00AA4758" w:rsidRDefault="003A0AAC" w:rsidP="00AA4758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lastRenderedPageBreak/>
        <w:t>река Огоста и притоците ѝ.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 xml:space="preserve">12. На територията на област Пазарджик: 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Марица;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Тополница;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Стара река;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Чепинска;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Луда Яна;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Батак;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Доспат;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Голям Беглик;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баластриера Лозен.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13. На територията на област Перник: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Арката;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Конска;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Секирска;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Струма;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Тръстов дол.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14. На територията на област Плевен: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Телиш;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Тотлебенов вал;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Вит, землището на с. Садовец, община Долни Дъбник;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Искър, землището на гр. Койнаре, община Червен бряг и старо речно корито в землището на с. Староселци, община Искър;</w:t>
      </w:r>
    </w:p>
    <w:p w:rsidR="003A0AAC" w:rsidRPr="00AA4758" w:rsidRDefault="003A0AAC" w:rsidP="00AA4758">
      <w:pPr>
        <w:numPr>
          <w:ilvl w:val="0"/>
          <w:numId w:val="21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Осъм – старо речно корито в землището на гр. Левски.</w:t>
      </w:r>
    </w:p>
    <w:p w:rsidR="003A0AAC" w:rsidRPr="00AA4758" w:rsidRDefault="003A0AAC" w:rsidP="00AA4758">
      <w:pPr>
        <w:spacing w:after="0"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15. На територията на област Пловдив: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Домлян;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Климент;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Марица;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Чая;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Въча – извън участъците попадащи в защитени територии по смисъла на ЗЗТ.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16. На територията на област Разград: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Бели Лом.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17. На територията на област Русе: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Лом;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Янтра;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Дунав.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 xml:space="preserve">18. На територията на област Силистра: 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Дунав – от р. км 376 до р. км 375;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Дунав – от р. км 394 до р. км 391.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19. На територията на област Сливен: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lastRenderedPageBreak/>
        <w:t>язовир Жребчево;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Тунджа – участъка от стената на язовир Жребчево, в землището на село Баня, община Нова Загора, до село Мечкарево, община Сливен;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баластриера по река Тунджа – Самуиловска баластриера, в землището на село Самуилово, община Сливен.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color w:val="000000"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20. На територията на област Смолян: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Доспат;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Цанков камък;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Въча;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Тешел;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Златоград;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Въча – извън участъците попадащи в защитени територии по смисъла на ЗЗТ; 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Арда; 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Буйновска; 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Черна; 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Триградска – извън ЗМ „Триградско ждрело“;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река Девинска – извън ЗМ „Поречието на р. Девинска“; </w:t>
      </w:r>
    </w:p>
    <w:p w:rsidR="003A0AAC" w:rsidRPr="00AA4758" w:rsidRDefault="003A0AAC" w:rsidP="00AA4758">
      <w:pPr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noProof/>
          <w:color w:val="000000"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езеро Киряков гьол /Рибката/.</w:t>
      </w:r>
    </w:p>
    <w:p w:rsidR="003A0AAC" w:rsidRPr="00AA4758" w:rsidRDefault="003A0AAC" w:rsidP="00AA4758">
      <w:pPr>
        <w:tabs>
          <w:tab w:val="left" w:pos="5775"/>
        </w:tabs>
        <w:spacing w:after="0" w:line="360" w:lineRule="auto"/>
        <w:ind w:firstLine="708"/>
        <w:jc w:val="both"/>
        <w:rPr>
          <w:rFonts w:ascii="Verdana" w:hAnsi="Verdana"/>
          <w:b/>
          <w:noProof/>
          <w:color w:val="000000"/>
          <w:sz w:val="20"/>
          <w:szCs w:val="20"/>
        </w:rPr>
      </w:pPr>
      <w:r w:rsidRPr="00AA4758">
        <w:rPr>
          <w:rFonts w:ascii="Verdana" w:hAnsi="Verdana"/>
          <w:b/>
          <w:noProof/>
          <w:color w:val="000000"/>
          <w:sz w:val="20"/>
          <w:szCs w:val="20"/>
        </w:rPr>
        <w:t>21. На територията на област София:</w:t>
      </w:r>
      <w:r w:rsidRPr="00AA4758">
        <w:rPr>
          <w:rFonts w:ascii="Verdana" w:hAnsi="Verdana"/>
          <w:b/>
          <w:noProof/>
          <w:color w:val="000000"/>
          <w:sz w:val="20"/>
          <w:szCs w:val="20"/>
        </w:rPr>
        <w:tab/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color w:val="000000"/>
          <w:sz w:val="20"/>
          <w:szCs w:val="20"/>
        </w:rPr>
        <w:t>язовир Бебреш;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color w:val="000000"/>
          <w:sz w:val="20"/>
          <w:szCs w:val="20"/>
        </w:rPr>
        <w:t>язовир Огняново;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color w:val="000000"/>
          <w:sz w:val="20"/>
          <w:szCs w:val="20"/>
        </w:rPr>
        <w:t>язовир Панчарево.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22. На територията на област Стара Загора: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Жребчево;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Копринка;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река Марица – извън участъците попадащи в защитени територии по смисъла на ЗЗТ;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баластриери по река Тунджа – източно от с. Ягода до с. Зимница.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23. На територията на област Търговище: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Ястребино;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Съединение (Бистра).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24. На територията на област Хасково: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Тракиец;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Ивайловград.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25. На територията на област Шумен: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Тича.</w:t>
      </w:r>
    </w:p>
    <w:p w:rsidR="003A0AAC" w:rsidRPr="00AA4758" w:rsidRDefault="003A0AAC" w:rsidP="00AA4758">
      <w:pPr>
        <w:spacing w:after="0" w:line="360" w:lineRule="auto"/>
        <w:ind w:left="708"/>
        <w:jc w:val="both"/>
        <w:rPr>
          <w:rFonts w:ascii="Verdana" w:hAnsi="Verdana"/>
          <w:b/>
          <w:noProof/>
          <w:sz w:val="20"/>
          <w:szCs w:val="20"/>
        </w:rPr>
      </w:pPr>
      <w:r w:rsidRPr="00AA4758">
        <w:rPr>
          <w:rFonts w:ascii="Verdana" w:hAnsi="Verdana"/>
          <w:b/>
          <w:noProof/>
          <w:sz w:val="20"/>
          <w:szCs w:val="20"/>
        </w:rPr>
        <w:t>26. На територията на област Ямбол: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язовир Двата чучура;</w:t>
      </w:r>
    </w:p>
    <w:p w:rsidR="003A0AAC" w:rsidRPr="00AA4758" w:rsidRDefault="003A0AAC" w:rsidP="00AA4758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баластриерни водоеми „Долен герен“, в землището на град Елхово.</w:t>
      </w:r>
    </w:p>
    <w:p w:rsidR="003A0AAC" w:rsidRPr="00AA4758" w:rsidRDefault="003A0AAC" w:rsidP="00AA4758">
      <w:pPr>
        <w:tabs>
          <w:tab w:val="left" w:pos="0"/>
        </w:tabs>
        <w:spacing w:after="0" w:line="360" w:lineRule="auto"/>
        <w:ind w:firstLine="720"/>
        <w:jc w:val="both"/>
        <w:rPr>
          <w:rFonts w:ascii="Verdana" w:hAnsi="Verdana"/>
          <w:noProof/>
          <w:color w:val="000000"/>
          <w:sz w:val="20"/>
          <w:szCs w:val="20"/>
          <w:shd w:val="clear" w:color="auto" w:fill="FEFEFE"/>
        </w:rPr>
      </w:pPr>
    </w:p>
    <w:p w:rsidR="003A0AAC" w:rsidRPr="00AA4758" w:rsidRDefault="003A0AAC" w:rsidP="00AA4758">
      <w:pPr>
        <w:tabs>
          <w:tab w:val="left" w:pos="0"/>
        </w:tabs>
        <w:spacing w:after="0" w:line="360" w:lineRule="auto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lastRenderedPageBreak/>
        <w:tab/>
      </w:r>
      <w:r w:rsidRPr="00AA4758">
        <w:rPr>
          <w:rFonts w:ascii="Verdana" w:eastAsia="PMingLiU" w:hAnsi="Verdana"/>
          <w:b/>
          <w:noProof/>
          <w:sz w:val="20"/>
          <w:szCs w:val="20"/>
        </w:rPr>
        <w:t xml:space="preserve">II. </w:t>
      </w:r>
      <w:r w:rsidRPr="00AA4758">
        <w:rPr>
          <w:rFonts w:ascii="Verdana" w:eastAsia="PMingLiU" w:hAnsi="Verdana"/>
          <w:noProof/>
          <w:sz w:val="20"/>
          <w:szCs w:val="20"/>
        </w:rPr>
        <w:t xml:space="preserve">За извършване на зарибяване (разселване на риба и/или други водни организми) в рибностопанските обекти по т. I се съставя протокол за зарибяване по образец съгласно Приложение № 3 </w:t>
      </w:r>
      <w:r w:rsidRPr="00AA4758">
        <w:rPr>
          <w:rFonts w:ascii="Verdana" w:hAnsi="Verdana"/>
          <w:noProof/>
          <w:sz w:val="20"/>
          <w:szCs w:val="20"/>
        </w:rPr>
        <w:t>към чл. 20, ал. 1 от Наредба № 37 от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аквакултурите, като се спазват следните изисквания: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 xml:space="preserve">Протоколът се съставя от комисия, чийто състав се определя от ръководителя на териториалното звено на ИАРА, на чиято територия се намира обектът. В комисията задължително се включват: инспектор от териториалното звено на ИАРА, ветеринарен лекар - служител на Българската агенция по безопасност на храните, представител на собственика на обекта, представител на ползвателя на обекта в случай, че има такива. При разселване на риба и/или други водни организми в рибностопанските обекти по </w:t>
      </w:r>
      <w:r w:rsidRPr="00AA4758">
        <w:rPr>
          <w:rStyle w:val="newdocreference"/>
          <w:rFonts w:ascii="Verdana" w:hAnsi="Verdana"/>
          <w:noProof/>
          <w:sz w:val="20"/>
          <w:szCs w:val="20"/>
        </w:rPr>
        <w:t>чл. 3, ал. 1, т. 1 от ЗРА</w:t>
      </w:r>
      <w:r w:rsidRPr="00AA4758">
        <w:rPr>
          <w:rFonts w:ascii="Verdana" w:hAnsi="Verdana"/>
          <w:noProof/>
          <w:sz w:val="20"/>
          <w:szCs w:val="20"/>
        </w:rPr>
        <w:t xml:space="preserve"> в комисията се включват и представители на регионалните инспекции по околна среда и води и териториалните поделения на Изпълнителната агенция по горите.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Лицата, които ще извършват зарибяване, уведомяват ръководителя на съответното териториално звено на ИАРА не по-късно от три дни преди датата, определена за зарибяването.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Разселването на риба и/или други водни организми се извършва в присъствието на комисията по т. 1, а заверяването на протокола се извършва от ръководителя на съответното териториално звено на ИАРА.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Разселените количества се описват по вид, възраст, средно единично тегло, количество и общо тегло.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Към протокола за зарибяване задължително се прилага ветеринарномедицинско свидетелство, удостоверяващо здравословното състояние на зарибителния материал. Когато зарибяването е с есетрови риби, се изисква и генетичен сертификат.</w:t>
      </w:r>
    </w:p>
    <w:p w:rsidR="003A0AAC" w:rsidRPr="00AA4758" w:rsidRDefault="003A0AAC" w:rsidP="00AA4758">
      <w:pPr>
        <w:pStyle w:val="ListParagraph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Verdana" w:hAnsi="Verdana"/>
          <w:noProof/>
          <w:sz w:val="20"/>
          <w:szCs w:val="20"/>
        </w:rPr>
      </w:pPr>
      <w:r w:rsidRPr="00AA4758">
        <w:rPr>
          <w:rFonts w:ascii="Verdana" w:hAnsi="Verdana"/>
          <w:noProof/>
          <w:sz w:val="20"/>
          <w:szCs w:val="20"/>
        </w:rPr>
        <w:t>Протоколът се съставя в 3 екземпляра: един за ползвателя на обекта, един за собственика на обекта и един за ИАРА. На останалите членове на комисията и на лицето, което извършва зарибяването се предоставя копие от протокола.</w:t>
      </w:r>
    </w:p>
    <w:p w:rsidR="003A0AAC" w:rsidRPr="00AA4758" w:rsidRDefault="003A0AAC" w:rsidP="00AA4758">
      <w:pPr>
        <w:pStyle w:val="ListParagraph"/>
        <w:spacing w:after="0" w:line="360" w:lineRule="auto"/>
        <w:ind w:left="709"/>
        <w:jc w:val="both"/>
        <w:rPr>
          <w:rFonts w:ascii="Verdana" w:hAnsi="Verdana"/>
          <w:noProof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>III.</w:t>
      </w: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 xml:space="preserve"> При извършване на зарибяване се спазват правилата за осъществяване на процеса по разселване на риба и други водни организми съгласно Методика за зарибяване, утвърдена със Заповед № РД-574 от 30.11.2022 г. на изпълнителния директор на ИАРА.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>IV. При избор на обект за зарибяване по т. I с приоритет да бъдат: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-  язовирите публична държавна собственост;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 xml:space="preserve">- язовирите държавна собственост, категоризирани за любителски риболов в Наредба № 37 от 10.11.2008 г. за ползването на язовирите - държавна собственост, в </w:t>
      </w:r>
      <w:r w:rsidRPr="00AA4758">
        <w:rPr>
          <w:rFonts w:ascii="Verdana" w:eastAsia="PMingLiU" w:hAnsi="Verdana"/>
          <w:noProof/>
          <w:color w:val="000000"/>
          <w:sz w:val="20"/>
          <w:szCs w:val="20"/>
        </w:rPr>
        <w:lastRenderedPageBreak/>
        <w:t>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аквакултурите;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- водни обекти, определени съгласно чл. 32, ал. 4 от Закона за рибарството и аквакултурите, в които любителския риболов е разрешен в периода на размножаване на рибите и другите водни организми.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 xml:space="preserve">Дейностите по зарибяване във водните обекти по т. I следва да са съобразени с всички действащи конкретни мерки за управление и опазване въведени за съответния воден обект </w:t>
      </w:r>
      <w:r w:rsidRPr="00AA4758">
        <w:rPr>
          <w:rFonts w:ascii="Verdana" w:eastAsia="PMingLiU" w:hAnsi="Verdana"/>
          <w:color w:val="000000"/>
          <w:sz w:val="20"/>
          <w:szCs w:val="20"/>
        </w:rPr>
        <w:t>по силата на други нормативни и административни актове</w:t>
      </w: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Заповедта подлежи на обжалване по реда на Административнопроцесуалния кодекс в едномесечен срок от съобщението за издаването ѝ, или в 14-дневен срок от отделните съобщения до лицата, участвали в производството пред административния орган.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Заповедта да се публикува на електронните страници на Министерството на земеделието и храните и ИАРА.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noProof/>
          <w:color w:val="000000"/>
          <w:sz w:val="20"/>
          <w:szCs w:val="20"/>
        </w:rPr>
        <w:t>Контрол по изпълнение на заповедта възлагам на изпълнителния директор на ИАРА.</w:t>
      </w:r>
    </w:p>
    <w:p w:rsidR="003A0AAC" w:rsidRPr="00AA4758" w:rsidRDefault="003A0AAC" w:rsidP="00AA4758">
      <w:pPr>
        <w:spacing w:after="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</w:p>
    <w:p w:rsidR="003A0AAC" w:rsidRPr="00AA4758" w:rsidRDefault="003A0AAC" w:rsidP="00AA4758">
      <w:pPr>
        <w:spacing w:after="0" w:line="360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>МИНИСТЪР НА ЗЕМЕДЕЛИЕТО И ХРАНИТЕ:</w:t>
      </w:r>
    </w:p>
    <w:p w:rsidR="003A0AAC" w:rsidRPr="00AA4758" w:rsidRDefault="003A0AAC" w:rsidP="00AA4758">
      <w:pPr>
        <w:spacing w:after="0" w:line="360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ab/>
      </w:r>
    </w:p>
    <w:p w:rsidR="003A0AAC" w:rsidRPr="00AA4758" w:rsidRDefault="003A0AAC" w:rsidP="00AA4758">
      <w:pPr>
        <w:spacing w:after="0" w:line="360" w:lineRule="auto"/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  <w:r w:rsidRPr="00AA4758">
        <w:rPr>
          <w:rFonts w:ascii="Verdana" w:eastAsia="PMingLiU" w:hAnsi="Verdana"/>
          <w:b/>
          <w:noProof/>
          <w:color w:val="000000"/>
          <w:sz w:val="20"/>
          <w:szCs w:val="20"/>
        </w:rPr>
        <w:t>Д-Р ГЕОРГИ ТАХОВ</w:t>
      </w:r>
    </w:p>
    <w:p w:rsidR="003A0AAC" w:rsidRPr="00AA4758" w:rsidRDefault="003A0AAC" w:rsidP="00AA4758">
      <w:pPr>
        <w:spacing w:line="360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</w:rPr>
      </w:pPr>
    </w:p>
    <w:p w:rsidR="00716482" w:rsidRPr="00AA4758" w:rsidRDefault="00716482" w:rsidP="00AA4758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sectPr w:rsidR="00716482" w:rsidRPr="00AA4758" w:rsidSect="00AA10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19"/>
    <w:multiLevelType w:val="hybridMultilevel"/>
    <w:tmpl w:val="D55479B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70D5"/>
    <w:multiLevelType w:val="hybridMultilevel"/>
    <w:tmpl w:val="292AB26E"/>
    <w:lvl w:ilvl="0" w:tplc="CF0A4A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6702A9"/>
    <w:multiLevelType w:val="hybridMultilevel"/>
    <w:tmpl w:val="6E2E6A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6A38"/>
    <w:multiLevelType w:val="hybridMultilevel"/>
    <w:tmpl w:val="48BE349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D11140"/>
    <w:multiLevelType w:val="hybridMultilevel"/>
    <w:tmpl w:val="C2CE0A5E"/>
    <w:lvl w:ilvl="0" w:tplc="2E5C0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FC3C3D"/>
    <w:multiLevelType w:val="hybridMultilevel"/>
    <w:tmpl w:val="76D085C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490E"/>
    <w:multiLevelType w:val="hybridMultilevel"/>
    <w:tmpl w:val="5B72B778"/>
    <w:lvl w:ilvl="0" w:tplc="5AA00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852A69"/>
    <w:multiLevelType w:val="hybridMultilevel"/>
    <w:tmpl w:val="0B24A352"/>
    <w:lvl w:ilvl="0" w:tplc="AA38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9719FE"/>
    <w:multiLevelType w:val="hybridMultilevel"/>
    <w:tmpl w:val="CB2CE7EA"/>
    <w:lvl w:ilvl="0" w:tplc="F95E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EF0A2F"/>
    <w:multiLevelType w:val="hybridMultilevel"/>
    <w:tmpl w:val="A96C06C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DE8"/>
    <w:multiLevelType w:val="hybridMultilevel"/>
    <w:tmpl w:val="281E5924"/>
    <w:lvl w:ilvl="0" w:tplc="35149EDA">
      <w:numFmt w:val="bullet"/>
      <w:lvlText w:val="-"/>
      <w:lvlJc w:val="left"/>
      <w:pPr>
        <w:ind w:left="1776" w:hanging="360"/>
      </w:pPr>
      <w:rPr>
        <w:rFonts w:ascii="Times New Roman" w:eastAsia="PMingLiU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A4A3544"/>
    <w:multiLevelType w:val="hybridMultilevel"/>
    <w:tmpl w:val="70445F52"/>
    <w:lvl w:ilvl="0" w:tplc="106ED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B0768D"/>
    <w:multiLevelType w:val="hybridMultilevel"/>
    <w:tmpl w:val="70644358"/>
    <w:lvl w:ilvl="0" w:tplc="A60CA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5B417E0"/>
    <w:multiLevelType w:val="hybridMultilevel"/>
    <w:tmpl w:val="5C34915C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B6CC2"/>
    <w:multiLevelType w:val="hybridMultilevel"/>
    <w:tmpl w:val="5DDE983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33388"/>
    <w:multiLevelType w:val="hybridMultilevel"/>
    <w:tmpl w:val="5F56BE9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4EF3"/>
    <w:multiLevelType w:val="hybridMultilevel"/>
    <w:tmpl w:val="2DBCE64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2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94085"/>
    <w:multiLevelType w:val="hybridMultilevel"/>
    <w:tmpl w:val="94DAF5B0"/>
    <w:lvl w:ilvl="0" w:tplc="C3DC5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20"/>
  </w:num>
  <w:num w:numId="7">
    <w:abstractNumId w:val="0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2"/>
  </w:num>
  <w:num w:numId="14">
    <w:abstractNumId w:val="17"/>
  </w:num>
  <w:num w:numId="15">
    <w:abstractNumId w:val="5"/>
  </w:num>
  <w:num w:numId="16">
    <w:abstractNumId w:val="23"/>
  </w:num>
  <w:num w:numId="17">
    <w:abstractNumId w:val="15"/>
  </w:num>
  <w:num w:numId="18">
    <w:abstractNumId w:val="21"/>
  </w:num>
  <w:num w:numId="19">
    <w:abstractNumId w:val="1"/>
  </w:num>
  <w:num w:numId="20">
    <w:abstractNumId w:val="8"/>
  </w:num>
  <w:num w:numId="21">
    <w:abstractNumId w:val="11"/>
  </w:num>
  <w:num w:numId="22">
    <w:abstractNumId w:val="14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1"/>
    <w:rsid w:val="00003074"/>
    <w:rsid w:val="000073A2"/>
    <w:rsid w:val="00010A00"/>
    <w:rsid w:val="00017690"/>
    <w:rsid w:val="00017EA6"/>
    <w:rsid w:val="00025736"/>
    <w:rsid w:val="00027F46"/>
    <w:rsid w:val="000529D9"/>
    <w:rsid w:val="0005487C"/>
    <w:rsid w:val="00062771"/>
    <w:rsid w:val="00077E03"/>
    <w:rsid w:val="00117F76"/>
    <w:rsid w:val="00152446"/>
    <w:rsid w:val="00192C05"/>
    <w:rsid w:val="0029221B"/>
    <w:rsid w:val="003628E4"/>
    <w:rsid w:val="003A0AAC"/>
    <w:rsid w:val="003A68B0"/>
    <w:rsid w:val="003C0005"/>
    <w:rsid w:val="00480518"/>
    <w:rsid w:val="00492F13"/>
    <w:rsid w:val="004B59C8"/>
    <w:rsid w:val="004D0685"/>
    <w:rsid w:val="00582FE4"/>
    <w:rsid w:val="005C4201"/>
    <w:rsid w:val="00616C4D"/>
    <w:rsid w:val="00652A95"/>
    <w:rsid w:val="006610A1"/>
    <w:rsid w:val="00671EA3"/>
    <w:rsid w:val="006A6052"/>
    <w:rsid w:val="006D0731"/>
    <w:rsid w:val="006D3CFA"/>
    <w:rsid w:val="006E4960"/>
    <w:rsid w:val="00710C8C"/>
    <w:rsid w:val="00716482"/>
    <w:rsid w:val="00720ED2"/>
    <w:rsid w:val="00727DEC"/>
    <w:rsid w:val="00744904"/>
    <w:rsid w:val="00807BCB"/>
    <w:rsid w:val="00812CEC"/>
    <w:rsid w:val="008260C4"/>
    <w:rsid w:val="00861CBB"/>
    <w:rsid w:val="00862D82"/>
    <w:rsid w:val="00885026"/>
    <w:rsid w:val="00932BDA"/>
    <w:rsid w:val="00936AF2"/>
    <w:rsid w:val="00991AF5"/>
    <w:rsid w:val="009D51BF"/>
    <w:rsid w:val="009E4126"/>
    <w:rsid w:val="00A20E9A"/>
    <w:rsid w:val="00A24B94"/>
    <w:rsid w:val="00A25697"/>
    <w:rsid w:val="00A2616E"/>
    <w:rsid w:val="00A44922"/>
    <w:rsid w:val="00A5247E"/>
    <w:rsid w:val="00AA1041"/>
    <w:rsid w:val="00AA4758"/>
    <w:rsid w:val="00AC1F4E"/>
    <w:rsid w:val="00AF468D"/>
    <w:rsid w:val="00B03B39"/>
    <w:rsid w:val="00B73671"/>
    <w:rsid w:val="00B74C93"/>
    <w:rsid w:val="00BB2512"/>
    <w:rsid w:val="00BD45D9"/>
    <w:rsid w:val="00BE244B"/>
    <w:rsid w:val="00C33ABB"/>
    <w:rsid w:val="00C476BA"/>
    <w:rsid w:val="00C875C1"/>
    <w:rsid w:val="00CE6279"/>
    <w:rsid w:val="00D354D0"/>
    <w:rsid w:val="00DC54FA"/>
    <w:rsid w:val="00DE0B00"/>
    <w:rsid w:val="00E14940"/>
    <w:rsid w:val="00E92334"/>
    <w:rsid w:val="00E945BB"/>
    <w:rsid w:val="00EC53C7"/>
    <w:rsid w:val="00EF0E11"/>
    <w:rsid w:val="00EF4576"/>
    <w:rsid w:val="00F13DE3"/>
    <w:rsid w:val="00F31CE8"/>
    <w:rsid w:val="00F32F92"/>
    <w:rsid w:val="00F77713"/>
    <w:rsid w:val="00F96296"/>
    <w:rsid w:val="00FA7A66"/>
    <w:rsid w:val="00FB44C5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EB37B-F3EF-48FB-B427-FDAE59C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24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27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92F1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2F13"/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24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446"/>
    <w:rPr>
      <w:color w:val="0000FF" w:themeColor="hyperlink"/>
      <w:u w:val="single"/>
    </w:rPr>
  </w:style>
  <w:style w:type="numbering" w:customStyle="1" w:styleId="1">
    <w:name w:val="Без списък1"/>
    <w:next w:val="NoList"/>
    <w:semiHidden/>
    <w:rsid w:val="00152446"/>
  </w:style>
  <w:style w:type="paragraph" w:styleId="Header">
    <w:name w:val="header"/>
    <w:basedOn w:val="Normal"/>
    <w:link w:val="HeaderChar"/>
    <w:uiPriority w:val="99"/>
    <w:rsid w:val="00152446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244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15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1524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52446"/>
    <w:pPr>
      <w:tabs>
        <w:tab w:val="center" w:pos="4536"/>
        <w:tab w:val="right" w:pos="9072"/>
      </w:tabs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2446"/>
    <w:rPr>
      <w:rFonts w:ascii="Times New Roman" w:eastAsia="PMingLiU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2446"/>
  </w:style>
  <w:style w:type="paragraph" w:customStyle="1" w:styleId="CharCharCharCharCharCharCharCharCharCharCharCharCharCharCharCharCharCharCharChar1Char">
    <w:name w:val="Char Char Char Char Char Char Char Char Char Char Char Char Char Char Char Char Char Char Char Char1 Char"/>
    <w:basedOn w:val="Normal"/>
    <w:rsid w:val="001524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152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rsid w:val="00152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5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rsid w:val="001524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44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446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5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446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m">
    <w:name w:val="m"/>
    <w:basedOn w:val="Normal"/>
    <w:rsid w:val="001524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524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152446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FC7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7166"/>
  </w:style>
  <w:style w:type="paragraph" w:styleId="Title">
    <w:name w:val="Title"/>
    <w:basedOn w:val="Normal"/>
    <w:link w:val="TitleChar"/>
    <w:uiPriority w:val="1"/>
    <w:qFormat/>
    <w:rsid w:val="00720ED2"/>
    <w:pPr>
      <w:widowControl w:val="0"/>
      <w:autoSpaceDE w:val="0"/>
      <w:autoSpaceDN w:val="0"/>
      <w:spacing w:before="90" w:after="0" w:line="240" w:lineRule="auto"/>
      <w:ind w:left="137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0E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DefaultParagraphFont"/>
    <w:rsid w:val="003A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552|8|25|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Simeonov@mzh.government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2217</Words>
  <Characters>12639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Stanislav Stoyanov</cp:lastModifiedBy>
  <cp:revision>3</cp:revision>
  <dcterms:created xsi:type="dcterms:W3CDTF">2025-01-23T15:55:00Z</dcterms:created>
  <dcterms:modified xsi:type="dcterms:W3CDTF">2025-01-24T07:18:00Z</dcterms:modified>
</cp:coreProperties>
</file>