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FEB22" w14:textId="77777777" w:rsidR="00ED095C" w:rsidRPr="00ED095C" w:rsidRDefault="00ED095C">
      <w:pPr>
        <w:rPr>
          <w:rFonts w:ascii="Verdana" w:hAnsi="Verdana"/>
          <w:sz w:val="20"/>
          <w:szCs w:val="20"/>
        </w:rPr>
      </w:pPr>
    </w:p>
    <w:tbl>
      <w:tblPr>
        <w:tblW w:w="15650" w:type="dxa"/>
        <w:jc w:val="center"/>
        <w:tblBorders>
          <w:top w:val="single" w:sz="12" w:space="0" w:color="2E74B5"/>
          <w:left w:val="single" w:sz="12" w:space="0" w:color="2E74B5"/>
          <w:bottom w:val="single" w:sz="12" w:space="0" w:color="2E74B5"/>
          <w:right w:val="single" w:sz="12" w:space="0" w:color="2E74B5"/>
          <w:insideH w:val="single" w:sz="12" w:space="0" w:color="2E74B5"/>
          <w:insideV w:val="single" w:sz="12" w:space="0" w:color="2E74B5"/>
        </w:tblBorders>
        <w:tblLayout w:type="fixed"/>
        <w:tblLook w:val="0000" w:firstRow="0" w:lastRow="0" w:firstColumn="0" w:lastColumn="0" w:noHBand="0" w:noVBand="0"/>
      </w:tblPr>
      <w:tblGrid>
        <w:gridCol w:w="15650"/>
      </w:tblGrid>
      <w:tr w:rsidR="00C975B4" w:rsidRPr="00F413E2" w14:paraId="667A25CB" w14:textId="77777777" w:rsidTr="00B706DB">
        <w:trPr>
          <w:trHeight w:val="958"/>
          <w:jc w:val="center"/>
        </w:trPr>
        <w:tc>
          <w:tcPr>
            <w:tcW w:w="15650" w:type="dxa"/>
            <w:shd w:val="clear" w:color="auto" w:fill="BDD6EE"/>
          </w:tcPr>
          <w:p w14:paraId="59F1AA65" w14:textId="77777777" w:rsidR="00330507" w:rsidRPr="00B706DB" w:rsidRDefault="00330507" w:rsidP="00CD02E0">
            <w:pPr>
              <w:tabs>
                <w:tab w:val="left" w:pos="2190"/>
              </w:tabs>
              <w:ind w:left="284" w:right="284"/>
              <w:jc w:val="center"/>
              <w:rPr>
                <w:rFonts w:ascii="Verdana" w:hAnsi="Verdana"/>
                <w:spacing w:val="-4"/>
                <w:sz w:val="22"/>
                <w:szCs w:val="22"/>
              </w:rPr>
            </w:pPr>
          </w:p>
          <w:p w14:paraId="646FD7FE" w14:textId="57509164" w:rsidR="00C975B4" w:rsidRPr="004674B8" w:rsidRDefault="00CD02E0" w:rsidP="00BF5D30">
            <w:pPr>
              <w:tabs>
                <w:tab w:val="left" w:pos="2190"/>
              </w:tabs>
              <w:spacing w:line="360" w:lineRule="auto"/>
              <w:jc w:val="center"/>
              <w:rPr>
                <w:rFonts w:ascii="Verdana" w:hAnsi="Verdana"/>
                <w:b/>
                <w:spacing w:val="50"/>
              </w:rPr>
            </w:pPr>
            <w:r w:rsidRPr="004674B8">
              <w:rPr>
                <w:rFonts w:ascii="Verdana" w:hAnsi="Verdana"/>
                <w:b/>
                <w:spacing w:val="50"/>
              </w:rPr>
              <w:t>СПРАВКА</w:t>
            </w:r>
          </w:p>
          <w:p w14:paraId="31BE240F" w14:textId="6C40299E" w:rsidR="00E220AD" w:rsidRPr="002C65BA" w:rsidRDefault="00CD02E0" w:rsidP="004674B8">
            <w:pPr>
              <w:spacing w:line="360" w:lineRule="auto"/>
              <w:ind w:left="283" w:right="283"/>
              <w:jc w:val="center"/>
              <w:rPr>
                <w:rFonts w:ascii="Verdana" w:hAnsi="Verdana"/>
                <w:b/>
                <w:sz w:val="20"/>
                <w:szCs w:val="20"/>
                <w:lang w:val="ru-RU" w:eastAsia="en-US"/>
              </w:rPr>
            </w:pPr>
            <w:r w:rsidRPr="002C65BA">
              <w:rPr>
                <w:rFonts w:ascii="Verdana" w:hAnsi="Verdana"/>
                <w:b/>
                <w:sz w:val="20"/>
                <w:szCs w:val="20"/>
              </w:rPr>
              <w:t>ЗА ОТРАЗЯВАНЕ НА ПОСТЪПИЛИТЕ ПРЕДЛОЖЕНИЯ И СТАНОВИЩА ОТ ОБЩЕСТВЕНА</w:t>
            </w:r>
            <w:r w:rsidR="004674B8" w:rsidRPr="002C65BA">
              <w:rPr>
                <w:rFonts w:ascii="Verdana" w:hAnsi="Verdana"/>
                <w:b/>
                <w:sz w:val="20"/>
                <w:szCs w:val="20"/>
              </w:rPr>
              <w:t>ТА</w:t>
            </w:r>
            <w:r w:rsidRPr="002C65BA">
              <w:rPr>
                <w:rFonts w:ascii="Verdana" w:hAnsi="Verdana"/>
                <w:b/>
                <w:sz w:val="20"/>
                <w:szCs w:val="20"/>
              </w:rPr>
              <w:t xml:space="preserve"> КОНСУЛТАЦИЯ</w:t>
            </w:r>
            <w:r w:rsidR="00606101">
              <w:rPr>
                <w:rFonts w:ascii="Verdana" w:hAnsi="Verdana"/>
                <w:b/>
                <w:sz w:val="20"/>
                <w:szCs w:val="20"/>
              </w:rPr>
              <w:t xml:space="preserve"> </w:t>
            </w:r>
            <w:r w:rsidR="00606101" w:rsidRPr="00606101">
              <w:rPr>
                <w:rFonts w:ascii="Verdana" w:hAnsi="Verdana"/>
                <w:b/>
                <w:sz w:val="20"/>
                <w:szCs w:val="20"/>
                <w:lang w:val="ru-RU" w:eastAsia="en-US"/>
              </w:rPr>
              <w:t xml:space="preserve">ПО ПРОЕКТА НА </w:t>
            </w:r>
            <w:r w:rsidR="0069380D" w:rsidRPr="0069380D">
              <w:rPr>
                <w:rFonts w:ascii="Verdana" w:hAnsi="Verdana"/>
                <w:b/>
                <w:sz w:val="20"/>
                <w:szCs w:val="20"/>
                <w:lang w:val="ru-RU" w:eastAsia="en-US"/>
              </w:rPr>
              <w:t>ПОСТАНОВЛЕНИЕ НА МИНИСТЕРСКИЯ СЪВЕТ ЗА ОПРЕДЕЛЯНЕ НА ПРАВИЛА ЗА ПРИЛАГАНЕ НА ПОДХОДА „ВОДЕНО ОТ ОБЩНОСТИТЕ МЕСТНО РАЗВИТИЕ“ ЗА ПЕРИОДА 2021 – 2027 Г.</w:t>
            </w:r>
          </w:p>
        </w:tc>
      </w:tr>
    </w:tbl>
    <w:p w14:paraId="7708CE7C" w14:textId="77777777" w:rsidR="00230821" w:rsidRPr="00ED095C" w:rsidRDefault="00230821">
      <w:pPr>
        <w:rPr>
          <w:rFonts w:ascii="Verdana" w:hAnsi="Verdana"/>
          <w:sz w:val="20"/>
          <w:szCs w:val="20"/>
        </w:rPr>
      </w:pPr>
    </w:p>
    <w:tbl>
      <w:tblPr>
        <w:tblW w:w="15649" w:type="dxa"/>
        <w:jc w:val="center"/>
        <w:tblBorders>
          <w:top w:val="single" w:sz="12" w:space="0" w:color="2E74B5"/>
          <w:left w:val="single" w:sz="12" w:space="0" w:color="2E74B5"/>
          <w:bottom w:val="single" w:sz="12" w:space="0" w:color="2E74B5"/>
          <w:right w:val="single" w:sz="12" w:space="0" w:color="2E74B5"/>
          <w:insideV w:val="single" w:sz="12" w:space="0" w:color="2E74B5"/>
        </w:tblBorders>
        <w:tblLayout w:type="fixed"/>
        <w:tblLook w:val="0000" w:firstRow="0" w:lastRow="0" w:firstColumn="0" w:lastColumn="0" w:noHBand="0" w:noVBand="0"/>
      </w:tblPr>
      <w:tblGrid>
        <w:gridCol w:w="569"/>
        <w:gridCol w:w="2692"/>
        <w:gridCol w:w="6237"/>
        <w:gridCol w:w="1629"/>
        <w:gridCol w:w="4522"/>
      </w:tblGrid>
      <w:tr w:rsidR="00E220AD" w:rsidRPr="00F413E2" w14:paraId="1F91426D" w14:textId="77777777" w:rsidTr="00B706DB">
        <w:trPr>
          <w:tblHeader/>
          <w:jc w:val="center"/>
        </w:trPr>
        <w:tc>
          <w:tcPr>
            <w:tcW w:w="569" w:type="dxa"/>
            <w:tcBorders>
              <w:top w:val="single" w:sz="12" w:space="0" w:color="2E74B5"/>
              <w:bottom w:val="single" w:sz="12" w:space="0" w:color="2E74B5"/>
            </w:tcBorders>
            <w:shd w:val="clear" w:color="auto" w:fill="DEEAF6"/>
            <w:vAlign w:val="center"/>
          </w:tcPr>
          <w:p w14:paraId="27E660E9" w14:textId="77777777" w:rsidR="00E220AD" w:rsidRPr="00F413E2" w:rsidRDefault="00E220AD" w:rsidP="00E220AD">
            <w:pPr>
              <w:tabs>
                <w:tab w:val="left" w:pos="192"/>
              </w:tabs>
              <w:jc w:val="center"/>
              <w:rPr>
                <w:rFonts w:ascii="Verdana" w:hAnsi="Verdana"/>
                <w:b/>
                <w:sz w:val="20"/>
                <w:szCs w:val="20"/>
              </w:rPr>
            </w:pPr>
            <w:r w:rsidRPr="00F413E2">
              <w:rPr>
                <w:rFonts w:ascii="Verdana" w:hAnsi="Verdana"/>
                <w:b/>
                <w:sz w:val="20"/>
                <w:szCs w:val="20"/>
              </w:rPr>
              <w:t>№</w:t>
            </w:r>
          </w:p>
        </w:tc>
        <w:tc>
          <w:tcPr>
            <w:tcW w:w="2692" w:type="dxa"/>
            <w:tcBorders>
              <w:top w:val="single" w:sz="12" w:space="0" w:color="2E74B5"/>
              <w:bottom w:val="single" w:sz="12" w:space="0" w:color="2E74B5"/>
            </w:tcBorders>
            <w:shd w:val="clear" w:color="auto" w:fill="DEEAF6"/>
            <w:vAlign w:val="center"/>
          </w:tcPr>
          <w:p w14:paraId="4C2099D8" w14:textId="77777777" w:rsidR="00E220AD" w:rsidRPr="00F413E2" w:rsidRDefault="00E220AD" w:rsidP="00C5589F">
            <w:pPr>
              <w:spacing w:before="40"/>
              <w:jc w:val="center"/>
              <w:rPr>
                <w:rFonts w:ascii="Verdana" w:hAnsi="Verdana"/>
                <w:b/>
                <w:sz w:val="20"/>
                <w:szCs w:val="20"/>
              </w:rPr>
            </w:pPr>
            <w:r w:rsidRPr="00F413E2">
              <w:rPr>
                <w:rFonts w:ascii="Verdana" w:hAnsi="Verdana"/>
                <w:b/>
                <w:sz w:val="20"/>
                <w:szCs w:val="20"/>
              </w:rPr>
              <w:t>Организация/</w:t>
            </w:r>
            <w:r w:rsidR="00230821" w:rsidRPr="00F413E2">
              <w:rPr>
                <w:rFonts w:ascii="Verdana" w:hAnsi="Verdana"/>
                <w:b/>
                <w:sz w:val="20"/>
                <w:szCs w:val="20"/>
              </w:rPr>
              <w:br/>
            </w:r>
            <w:r w:rsidRPr="00F413E2">
              <w:rPr>
                <w:rFonts w:ascii="Verdana" w:hAnsi="Verdana"/>
                <w:b/>
                <w:sz w:val="20"/>
                <w:szCs w:val="20"/>
              </w:rPr>
              <w:t>потребител</w:t>
            </w:r>
          </w:p>
          <w:p w14:paraId="19BACD16" w14:textId="77777777" w:rsidR="005424B9" w:rsidRPr="00C5589F" w:rsidRDefault="00291E9B" w:rsidP="00C5589F">
            <w:pPr>
              <w:spacing w:after="40"/>
              <w:jc w:val="center"/>
              <w:rPr>
                <w:rFonts w:ascii="Verdana" w:hAnsi="Verdana"/>
                <w:b/>
                <w:sz w:val="14"/>
                <w:szCs w:val="14"/>
              </w:rPr>
            </w:pPr>
            <w:r w:rsidRPr="00C5589F">
              <w:rPr>
                <w:rFonts w:ascii="Verdana" w:hAnsi="Verdana"/>
                <w:b/>
                <w:sz w:val="14"/>
                <w:szCs w:val="14"/>
              </w:rPr>
              <w:t>(</w:t>
            </w:r>
            <w:r w:rsidR="005424B9" w:rsidRPr="00C5589F">
              <w:rPr>
                <w:rFonts w:ascii="Verdana" w:hAnsi="Verdana"/>
                <w:b/>
                <w:sz w:val="14"/>
                <w:szCs w:val="14"/>
              </w:rPr>
              <w:t>вкл. начина на получаване на предложението</w:t>
            </w:r>
            <w:r w:rsidRPr="00C5589F">
              <w:rPr>
                <w:rFonts w:ascii="Verdana" w:hAnsi="Verdana"/>
                <w:b/>
                <w:sz w:val="14"/>
                <w:szCs w:val="14"/>
              </w:rPr>
              <w:t>)</w:t>
            </w:r>
          </w:p>
        </w:tc>
        <w:tc>
          <w:tcPr>
            <w:tcW w:w="6237" w:type="dxa"/>
            <w:tcBorders>
              <w:top w:val="single" w:sz="12" w:space="0" w:color="2E74B5"/>
              <w:bottom w:val="single" w:sz="12" w:space="0" w:color="2E74B5"/>
            </w:tcBorders>
            <w:shd w:val="clear" w:color="auto" w:fill="DEEAF6"/>
            <w:vAlign w:val="center"/>
          </w:tcPr>
          <w:p w14:paraId="2E5A81C3" w14:textId="77777777" w:rsidR="00E220AD" w:rsidRPr="00F413E2" w:rsidRDefault="00E220AD" w:rsidP="00E220AD">
            <w:pPr>
              <w:jc w:val="center"/>
              <w:rPr>
                <w:rFonts w:ascii="Verdana" w:hAnsi="Verdana"/>
                <w:b/>
                <w:sz w:val="20"/>
                <w:szCs w:val="20"/>
              </w:rPr>
            </w:pPr>
            <w:r w:rsidRPr="00F413E2">
              <w:rPr>
                <w:rFonts w:ascii="Verdana" w:hAnsi="Verdana"/>
                <w:b/>
                <w:sz w:val="20"/>
                <w:szCs w:val="20"/>
              </w:rPr>
              <w:t>Бележки и предложения</w:t>
            </w:r>
          </w:p>
        </w:tc>
        <w:tc>
          <w:tcPr>
            <w:tcW w:w="1629" w:type="dxa"/>
            <w:tcBorders>
              <w:top w:val="single" w:sz="12" w:space="0" w:color="2E74B5"/>
              <w:bottom w:val="single" w:sz="12" w:space="0" w:color="2E74B5"/>
            </w:tcBorders>
            <w:shd w:val="clear" w:color="auto" w:fill="DEEAF6"/>
            <w:vAlign w:val="center"/>
          </w:tcPr>
          <w:p w14:paraId="6130D53A" w14:textId="77777777" w:rsidR="00E220AD" w:rsidRPr="00F413E2" w:rsidRDefault="00E220AD" w:rsidP="00E220AD">
            <w:pPr>
              <w:jc w:val="center"/>
              <w:rPr>
                <w:rFonts w:ascii="Verdana" w:hAnsi="Verdana"/>
                <w:b/>
                <w:sz w:val="20"/>
                <w:szCs w:val="20"/>
              </w:rPr>
            </w:pPr>
            <w:r w:rsidRPr="00F413E2">
              <w:rPr>
                <w:rFonts w:ascii="Verdana" w:hAnsi="Verdana"/>
                <w:b/>
                <w:sz w:val="20"/>
                <w:szCs w:val="20"/>
              </w:rPr>
              <w:t>Приети/</w:t>
            </w:r>
          </w:p>
          <w:p w14:paraId="29710589" w14:textId="77777777" w:rsidR="00E220AD" w:rsidRPr="00F413E2" w:rsidRDefault="00E220AD" w:rsidP="00E220AD">
            <w:pPr>
              <w:jc w:val="center"/>
              <w:rPr>
                <w:rFonts w:ascii="Verdana" w:hAnsi="Verdana"/>
                <w:b/>
                <w:sz w:val="20"/>
                <w:szCs w:val="20"/>
              </w:rPr>
            </w:pPr>
            <w:r w:rsidRPr="00F413E2">
              <w:rPr>
                <w:rFonts w:ascii="Verdana" w:hAnsi="Verdana"/>
                <w:b/>
                <w:sz w:val="20"/>
                <w:szCs w:val="20"/>
              </w:rPr>
              <w:t>неприети</w:t>
            </w:r>
          </w:p>
        </w:tc>
        <w:tc>
          <w:tcPr>
            <w:tcW w:w="4522" w:type="dxa"/>
            <w:tcBorders>
              <w:top w:val="single" w:sz="12" w:space="0" w:color="2E74B5"/>
              <w:bottom w:val="single" w:sz="12" w:space="0" w:color="2E74B5"/>
            </w:tcBorders>
            <w:shd w:val="clear" w:color="auto" w:fill="DEEAF6"/>
            <w:vAlign w:val="center"/>
          </w:tcPr>
          <w:p w14:paraId="6FEE2F16" w14:textId="77777777" w:rsidR="00E220AD" w:rsidRPr="00F413E2" w:rsidRDefault="00E220AD" w:rsidP="00E220AD">
            <w:pPr>
              <w:jc w:val="center"/>
              <w:rPr>
                <w:rFonts w:ascii="Verdana" w:hAnsi="Verdana"/>
                <w:sz w:val="20"/>
                <w:szCs w:val="20"/>
              </w:rPr>
            </w:pPr>
            <w:r w:rsidRPr="00F413E2">
              <w:rPr>
                <w:rFonts w:ascii="Verdana" w:hAnsi="Verdana"/>
                <w:b/>
                <w:sz w:val="20"/>
                <w:szCs w:val="20"/>
              </w:rPr>
              <w:t>Мотиви</w:t>
            </w:r>
          </w:p>
        </w:tc>
      </w:tr>
      <w:tr w:rsidR="002F4DEC" w:rsidRPr="00F413E2" w14:paraId="7AEBD886" w14:textId="77777777" w:rsidTr="00B706DB">
        <w:trPr>
          <w:jc w:val="center"/>
        </w:trPr>
        <w:tc>
          <w:tcPr>
            <w:tcW w:w="569" w:type="dxa"/>
            <w:tcBorders>
              <w:top w:val="single" w:sz="12" w:space="0" w:color="2E74B5"/>
            </w:tcBorders>
            <w:shd w:val="clear" w:color="auto" w:fill="auto"/>
          </w:tcPr>
          <w:p w14:paraId="1271FB7D" w14:textId="61CE19B9" w:rsidR="002F4DEC" w:rsidRPr="00B706DB" w:rsidRDefault="002F4DEC" w:rsidP="00B706DB">
            <w:pPr>
              <w:pStyle w:val="ListParagraph"/>
              <w:numPr>
                <w:ilvl w:val="0"/>
                <w:numId w:val="31"/>
              </w:numPr>
              <w:tabs>
                <w:tab w:val="left" w:pos="192"/>
              </w:tabs>
              <w:spacing w:before="60" w:after="20" w:line="360" w:lineRule="auto"/>
              <w:rPr>
                <w:rFonts w:ascii="Verdana" w:hAnsi="Verdana"/>
                <w:b/>
                <w:sz w:val="20"/>
                <w:szCs w:val="20"/>
              </w:rPr>
            </w:pPr>
          </w:p>
        </w:tc>
        <w:tc>
          <w:tcPr>
            <w:tcW w:w="2692" w:type="dxa"/>
            <w:vMerge w:val="restart"/>
            <w:tcBorders>
              <w:top w:val="single" w:sz="12" w:space="0" w:color="2E74B5"/>
            </w:tcBorders>
            <w:shd w:val="clear" w:color="auto" w:fill="auto"/>
          </w:tcPr>
          <w:p w14:paraId="5EE178D0" w14:textId="28A5A666" w:rsidR="002F4DEC" w:rsidRPr="00EF1053" w:rsidRDefault="002F4DEC" w:rsidP="00EF1053">
            <w:pPr>
              <w:spacing w:before="60" w:after="20"/>
              <w:rPr>
                <w:rFonts w:ascii="Verdana" w:hAnsi="Verdana"/>
                <w:spacing w:val="-2"/>
                <w:sz w:val="20"/>
                <w:szCs w:val="20"/>
              </w:rPr>
            </w:pPr>
            <w:r w:rsidRPr="00EF1053">
              <w:rPr>
                <w:rFonts w:ascii="Verdana" w:hAnsi="Verdana"/>
                <w:spacing w:val="-2"/>
                <w:sz w:val="20"/>
                <w:szCs w:val="20"/>
              </w:rPr>
              <w:t>Иван Атанасов Алексиев</w:t>
            </w:r>
          </w:p>
          <w:p w14:paraId="03627CF6" w14:textId="06EBA336" w:rsidR="002F4DEC" w:rsidRPr="00EF1053" w:rsidRDefault="002F4DEC" w:rsidP="00EF1053">
            <w:pPr>
              <w:spacing w:before="60" w:after="20"/>
              <w:rPr>
                <w:rFonts w:ascii="Verdana" w:hAnsi="Verdana"/>
                <w:spacing w:val="-2"/>
                <w:sz w:val="20"/>
                <w:szCs w:val="20"/>
              </w:rPr>
            </w:pPr>
            <w:r w:rsidRPr="00EF1053">
              <w:rPr>
                <w:rFonts w:ascii="Verdana" w:hAnsi="Verdana"/>
                <w:spacing w:val="-2"/>
                <w:sz w:val="20"/>
                <w:szCs w:val="20"/>
              </w:rPr>
              <w:t>Председател на УС на СНЦ МИРГ Поморие</w:t>
            </w:r>
          </w:p>
          <w:p w14:paraId="54BEEAF1" w14:textId="77777777" w:rsidR="002F4DEC" w:rsidRDefault="002F4DEC" w:rsidP="00EF1053">
            <w:pPr>
              <w:spacing w:before="60" w:after="20"/>
              <w:rPr>
                <w:rFonts w:ascii="Verdana" w:hAnsi="Verdana"/>
                <w:spacing w:val="-2"/>
                <w:sz w:val="20"/>
                <w:szCs w:val="20"/>
              </w:rPr>
            </w:pPr>
            <w:r w:rsidRPr="00EF1053">
              <w:rPr>
                <w:rFonts w:ascii="Verdana" w:hAnsi="Verdana"/>
                <w:spacing w:val="-2"/>
                <w:sz w:val="20"/>
                <w:szCs w:val="20"/>
              </w:rPr>
              <w:t xml:space="preserve">Кмет на Община Поморие </w:t>
            </w:r>
          </w:p>
          <w:p w14:paraId="39C9B6C3" w14:textId="2E32ACC9" w:rsidR="002F4DEC" w:rsidRPr="006B054D" w:rsidRDefault="002F4DEC" w:rsidP="00EF1053">
            <w:pPr>
              <w:spacing w:before="60" w:after="20"/>
              <w:rPr>
                <w:rFonts w:ascii="Verdana" w:hAnsi="Verdana"/>
                <w:spacing w:val="-2"/>
                <w:sz w:val="20"/>
                <w:szCs w:val="20"/>
              </w:rPr>
            </w:pPr>
            <w:r w:rsidRPr="006B054D">
              <w:rPr>
                <w:rFonts w:ascii="Verdana" w:hAnsi="Verdana"/>
                <w:spacing w:val="-2"/>
                <w:sz w:val="20"/>
                <w:szCs w:val="20"/>
              </w:rPr>
              <w:t>(</w:t>
            </w:r>
            <w:r>
              <w:rPr>
                <w:rFonts w:ascii="Verdana" w:hAnsi="Verdana"/>
                <w:spacing w:val="-2"/>
                <w:sz w:val="20"/>
                <w:szCs w:val="20"/>
              </w:rPr>
              <w:t>Портал за обществени консултации</w:t>
            </w:r>
            <w:r>
              <w:rPr>
                <w:rFonts w:ascii="Verdana" w:hAnsi="Verdana"/>
                <w:spacing w:val="-2"/>
                <w:sz w:val="20"/>
                <w:szCs w:val="20"/>
                <w:lang w:val="en-US"/>
              </w:rPr>
              <w:t xml:space="preserve"> на</w:t>
            </w:r>
            <w:r>
              <w:rPr>
                <w:rFonts w:ascii="Verdana" w:hAnsi="Verdana"/>
                <w:spacing w:val="-2"/>
                <w:sz w:val="20"/>
                <w:szCs w:val="20"/>
              </w:rPr>
              <w:t xml:space="preserve"> </w:t>
            </w:r>
            <w:r w:rsidR="00B706DB">
              <w:rPr>
                <w:rFonts w:ascii="Verdana" w:hAnsi="Verdana"/>
                <w:spacing w:val="-2"/>
                <w:sz w:val="20"/>
                <w:szCs w:val="20"/>
              </w:rPr>
              <w:br/>
            </w:r>
            <w:r>
              <w:rPr>
                <w:rFonts w:ascii="Verdana" w:hAnsi="Verdana"/>
                <w:spacing w:val="-2"/>
                <w:sz w:val="20"/>
                <w:szCs w:val="20"/>
                <w:lang w:val="en-US"/>
              </w:rPr>
              <w:t xml:space="preserve">1 </w:t>
            </w:r>
            <w:r>
              <w:rPr>
                <w:rFonts w:ascii="Verdana" w:hAnsi="Verdana"/>
                <w:spacing w:val="-2"/>
                <w:sz w:val="20"/>
                <w:szCs w:val="20"/>
              </w:rPr>
              <w:t>ноември 2024</w:t>
            </w:r>
            <w:r w:rsidRPr="00E61871">
              <w:rPr>
                <w:rFonts w:ascii="Verdana" w:hAnsi="Verdana"/>
                <w:spacing w:val="-2"/>
                <w:sz w:val="20"/>
                <w:szCs w:val="20"/>
              </w:rPr>
              <w:t xml:space="preserve"> г.</w:t>
            </w:r>
            <w:r w:rsidRPr="006B054D">
              <w:rPr>
                <w:rFonts w:ascii="Verdana" w:hAnsi="Verdana"/>
                <w:spacing w:val="-2"/>
                <w:sz w:val="20"/>
                <w:szCs w:val="20"/>
              </w:rPr>
              <w:t>)</w:t>
            </w:r>
          </w:p>
        </w:tc>
        <w:tc>
          <w:tcPr>
            <w:tcW w:w="6237" w:type="dxa"/>
            <w:tcBorders>
              <w:top w:val="single" w:sz="12" w:space="0" w:color="2E74B5"/>
            </w:tcBorders>
            <w:shd w:val="clear" w:color="auto" w:fill="auto"/>
          </w:tcPr>
          <w:p w14:paraId="4BFBDEAB" w14:textId="57EBE4E4" w:rsidR="002F4DEC" w:rsidRPr="006A20CC" w:rsidRDefault="002F4DEC" w:rsidP="006A20CC">
            <w:pPr>
              <w:spacing w:before="60" w:after="20"/>
              <w:jc w:val="both"/>
              <w:rPr>
                <w:rFonts w:ascii="Verdana" w:hAnsi="Verdana"/>
                <w:spacing w:val="2"/>
                <w:sz w:val="20"/>
                <w:szCs w:val="20"/>
              </w:rPr>
            </w:pPr>
            <w:r>
              <w:rPr>
                <w:rFonts w:ascii="Verdana" w:hAnsi="Verdana"/>
                <w:spacing w:val="2"/>
                <w:sz w:val="20"/>
                <w:szCs w:val="20"/>
              </w:rPr>
              <w:t>Във връзка с публикуван п</w:t>
            </w:r>
            <w:r w:rsidRPr="00A0377F">
              <w:rPr>
                <w:rFonts w:ascii="Verdana" w:hAnsi="Verdana"/>
                <w:spacing w:val="2"/>
                <w:sz w:val="20"/>
                <w:szCs w:val="20"/>
              </w:rPr>
              <w:t>роект на Постановление на Министерския съвет за определяне на правила за прилагане на подхода „Водено от общностите местно развитие“ за периода 2021 – 2027 г., за обществено обсъждане на 08.10.2024</w:t>
            </w:r>
            <w:r>
              <w:rPr>
                <w:rFonts w:ascii="Verdana" w:hAnsi="Verdana"/>
                <w:spacing w:val="2"/>
                <w:sz w:val="20"/>
                <w:szCs w:val="20"/>
              </w:rPr>
              <w:t xml:space="preserve"> </w:t>
            </w:r>
            <w:r w:rsidRPr="00A0377F">
              <w:rPr>
                <w:rFonts w:ascii="Verdana" w:hAnsi="Verdana"/>
                <w:spacing w:val="2"/>
                <w:sz w:val="20"/>
                <w:szCs w:val="20"/>
              </w:rPr>
              <w:t>г., моля да вземете предвид следните предложения/коментари:</w:t>
            </w:r>
          </w:p>
        </w:tc>
        <w:tc>
          <w:tcPr>
            <w:tcW w:w="1629" w:type="dxa"/>
            <w:tcBorders>
              <w:top w:val="single" w:sz="12" w:space="0" w:color="2E74B5"/>
            </w:tcBorders>
            <w:shd w:val="clear" w:color="auto" w:fill="auto"/>
          </w:tcPr>
          <w:p w14:paraId="4D606ECE" w14:textId="01A77C6F" w:rsidR="002F4DEC" w:rsidRPr="004674B8" w:rsidRDefault="002F4DEC" w:rsidP="00C135C1">
            <w:pPr>
              <w:spacing w:before="60" w:after="20"/>
              <w:rPr>
                <w:rFonts w:ascii="Verdana" w:hAnsi="Verdana"/>
                <w:sz w:val="20"/>
                <w:szCs w:val="20"/>
              </w:rPr>
            </w:pPr>
          </w:p>
        </w:tc>
        <w:tc>
          <w:tcPr>
            <w:tcW w:w="4522" w:type="dxa"/>
            <w:tcBorders>
              <w:top w:val="single" w:sz="12" w:space="0" w:color="2E74B5"/>
            </w:tcBorders>
            <w:shd w:val="clear" w:color="auto" w:fill="auto"/>
          </w:tcPr>
          <w:p w14:paraId="0787AC5B" w14:textId="77777777" w:rsidR="002F4DEC" w:rsidRPr="00C135C1" w:rsidRDefault="002F4DEC" w:rsidP="00E86A7C">
            <w:pPr>
              <w:spacing w:before="60" w:after="20"/>
              <w:rPr>
                <w:rFonts w:ascii="Verdana" w:hAnsi="Verdana"/>
                <w:sz w:val="20"/>
                <w:szCs w:val="20"/>
                <w:lang w:val="en-US"/>
              </w:rPr>
            </w:pPr>
          </w:p>
        </w:tc>
      </w:tr>
      <w:tr w:rsidR="002F4DEC" w:rsidRPr="00F413E2" w14:paraId="451F006E" w14:textId="77777777" w:rsidTr="00B706DB">
        <w:trPr>
          <w:jc w:val="center"/>
        </w:trPr>
        <w:tc>
          <w:tcPr>
            <w:tcW w:w="569" w:type="dxa"/>
            <w:shd w:val="clear" w:color="auto" w:fill="auto"/>
          </w:tcPr>
          <w:p w14:paraId="73608A60" w14:textId="77777777" w:rsidR="002F4DEC" w:rsidRPr="00483A6F" w:rsidRDefault="002F4DEC" w:rsidP="00483A6F">
            <w:pPr>
              <w:tabs>
                <w:tab w:val="left" w:pos="192"/>
              </w:tabs>
              <w:spacing w:before="60" w:after="20" w:line="360" w:lineRule="auto"/>
              <w:ind w:left="57"/>
              <w:rPr>
                <w:rFonts w:ascii="Verdana" w:hAnsi="Verdana"/>
                <w:b/>
                <w:sz w:val="20"/>
                <w:szCs w:val="20"/>
              </w:rPr>
            </w:pPr>
          </w:p>
        </w:tc>
        <w:tc>
          <w:tcPr>
            <w:tcW w:w="2692" w:type="dxa"/>
            <w:vMerge/>
            <w:shd w:val="clear" w:color="auto" w:fill="auto"/>
          </w:tcPr>
          <w:p w14:paraId="59A97C60" w14:textId="77777777" w:rsidR="002F4DEC" w:rsidRDefault="002F4DEC" w:rsidP="003C147F">
            <w:pPr>
              <w:spacing w:before="60" w:after="20"/>
              <w:rPr>
                <w:rFonts w:ascii="Verdana" w:hAnsi="Verdana"/>
                <w:spacing w:val="-2"/>
                <w:sz w:val="20"/>
                <w:szCs w:val="20"/>
              </w:rPr>
            </w:pPr>
          </w:p>
        </w:tc>
        <w:tc>
          <w:tcPr>
            <w:tcW w:w="6237" w:type="dxa"/>
            <w:shd w:val="clear" w:color="auto" w:fill="auto"/>
          </w:tcPr>
          <w:p w14:paraId="46DADD56" w14:textId="05CED8BF" w:rsidR="002F4DEC" w:rsidRPr="00EC6A9E" w:rsidRDefault="002F4DEC" w:rsidP="00EC6A9E">
            <w:pPr>
              <w:spacing w:before="60" w:after="20"/>
              <w:jc w:val="both"/>
              <w:rPr>
                <w:rFonts w:ascii="Verdana" w:hAnsi="Verdana"/>
                <w:spacing w:val="2"/>
                <w:sz w:val="20"/>
                <w:szCs w:val="20"/>
              </w:rPr>
            </w:pPr>
            <w:r w:rsidRPr="00EC6A9E">
              <w:rPr>
                <w:rFonts w:ascii="Verdana" w:hAnsi="Verdana"/>
                <w:spacing w:val="2"/>
                <w:sz w:val="20"/>
                <w:szCs w:val="20"/>
              </w:rPr>
              <w:t>1. Наличие на  противоречие в следните два члена на проекта на ПМС и по-конкретно чл. 30, т. 1 и чл. 31, ал. 2, т. 2, което следва да се изчисти, а именно:</w:t>
            </w:r>
          </w:p>
          <w:p w14:paraId="2B0EE749" w14:textId="1FEE4216"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Чл. 30. Комитетът по чл. 21, ал. 1 или оценителната комисия по чл. 22, ал. 1 предлага на ръководителя на УО на СПРЗСР/УО на ПМДРА за отхвърляне стратегиите:</w:t>
            </w:r>
          </w:p>
          <w:p w14:paraId="1A9AB822" w14:textId="7DEC75B3"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1. за които няма осигурен финансов ресурс;</w:t>
            </w:r>
          </w:p>
          <w:p w14:paraId="7A79894A" w14:textId="436582D1"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2. получили по-малко от минимално допустимият брой точки при оценка на качество на стратегията, или</w:t>
            </w:r>
          </w:p>
          <w:p w14:paraId="1CFAB5B6" w14:textId="7C3CC0F0" w:rsidR="002F4DEC" w:rsidRPr="00EC6A9E" w:rsidRDefault="002F4DEC" w:rsidP="0066563D">
            <w:pPr>
              <w:tabs>
                <w:tab w:val="left" w:pos="192"/>
                <w:tab w:val="left" w:pos="372"/>
                <w:tab w:val="left" w:pos="588"/>
              </w:tabs>
              <w:spacing w:before="60" w:after="20"/>
              <w:jc w:val="both"/>
              <w:rPr>
                <w:rFonts w:ascii="Verdana" w:hAnsi="Verdana"/>
                <w:sz w:val="20"/>
                <w:szCs w:val="20"/>
              </w:rPr>
            </w:pPr>
            <w:r w:rsidRPr="00EC6A9E">
              <w:rPr>
                <w:rFonts w:ascii="Verdana" w:hAnsi="Verdana"/>
                <w:sz w:val="20"/>
                <w:szCs w:val="20"/>
              </w:rPr>
              <w:t>3. по-малко от минимално допустимата обща/оконча</w:t>
            </w:r>
            <w:r w:rsidR="00ED095C">
              <w:rPr>
                <w:rFonts w:ascii="Verdana" w:hAnsi="Verdana"/>
                <w:sz w:val="20"/>
                <w:szCs w:val="20"/>
                <w:lang w:val="en-US"/>
              </w:rPr>
              <w:t>-</w:t>
            </w:r>
            <w:r w:rsidRPr="00EC6A9E">
              <w:rPr>
                <w:rFonts w:ascii="Verdana" w:hAnsi="Verdana"/>
                <w:sz w:val="20"/>
                <w:szCs w:val="20"/>
              </w:rPr>
              <w:t>телна оценка.</w:t>
            </w:r>
          </w:p>
          <w:p w14:paraId="2B8FD88D" w14:textId="21C254A7"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Чл. 31. (1) Комитетът/оценителната комисия изготвя оценителен доклад за дейността си до ръководителя на УО на СПРЗСР/УО на ПМДРА.</w:t>
            </w:r>
          </w:p>
          <w:p w14:paraId="545E2F93" w14:textId="3D8D9B80"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(2) Докладът по ал. 1 включва:</w:t>
            </w:r>
          </w:p>
          <w:p w14:paraId="425316F3" w14:textId="77DF3633"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1. списък на одобрените за финансиране стратегии за ВОМР, подредени по реда на тяхното класиране, и максималния размер на финансирането, което да бъде предоставено за всяка от тях;</w:t>
            </w:r>
          </w:p>
          <w:p w14:paraId="0B8BB2F7" w14:textId="52743ECB"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lastRenderedPageBreak/>
              <w:t>2. списък на стратегии за ВОМР, подредени по реда на тяхното класиране, които успешно са преминали оценяването, но за които не достига финансиране;</w:t>
            </w:r>
          </w:p>
          <w:p w14:paraId="18F8BA3A" w14:textId="102C4FA8"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3. списък на отхвърлените стратегии за ВОМР и основанието за отхвърлянето им;</w:t>
            </w:r>
          </w:p>
          <w:p w14:paraId="3E712B99" w14:textId="1E79B5AE" w:rsidR="002F4DEC" w:rsidRPr="00EC6A9E" w:rsidRDefault="002F4DEC" w:rsidP="00EC6A9E">
            <w:pPr>
              <w:spacing w:before="60" w:after="20"/>
              <w:jc w:val="both"/>
              <w:rPr>
                <w:rFonts w:ascii="Verdana" w:hAnsi="Verdana"/>
                <w:sz w:val="20"/>
                <w:szCs w:val="20"/>
              </w:rPr>
            </w:pPr>
            <w:r w:rsidRPr="00EC6A9E">
              <w:rPr>
                <w:rFonts w:ascii="Verdana" w:hAnsi="Verdana"/>
                <w:sz w:val="20"/>
                <w:szCs w:val="20"/>
              </w:rPr>
              <w:t>4. списък на оттеглените по време на оценката стратегии.</w:t>
            </w:r>
          </w:p>
          <w:p w14:paraId="56155500" w14:textId="69FB1FD7" w:rsidR="002F4DEC" w:rsidRPr="001A1452" w:rsidRDefault="002F4DEC" w:rsidP="00EC6A9E">
            <w:pPr>
              <w:spacing w:before="60" w:after="20"/>
              <w:jc w:val="both"/>
              <w:rPr>
                <w:rFonts w:ascii="Verdana" w:hAnsi="Verdana"/>
                <w:sz w:val="20"/>
                <w:szCs w:val="20"/>
              </w:rPr>
            </w:pPr>
            <w:r w:rsidRPr="00EC6A9E">
              <w:rPr>
                <w:rFonts w:ascii="Verdana" w:hAnsi="Verdana"/>
                <w:sz w:val="20"/>
                <w:szCs w:val="20"/>
              </w:rPr>
              <w:t>В този смисъл Стратегии за ВОМР, които успешно са преминали оценяването, но за които не достига финансов ресурс очевидно би следвало да остават в резервния списък, както и досега, а не да подлежат на отхвърляне на същото основание.</w:t>
            </w:r>
          </w:p>
        </w:tc>
        <w:tc>
          <w:tcPr>
            <w:tcW w:w="1629" w:type="dxa"/>
            <w:shd w:val="clear" w:color="auto" w:fill="auto"/>
          </w:tcPr>
          <w:p w14:paraId="0B6AD0F2" w14:textId="0DD178B2" w:rsidR="002F4DEC" w:rsidRPr="00C135C1" w:rsidRDefault="002F4DEC" w:rsidP="001366C8">
            <w:pPr>
              <w:spacing w:before="60" w:after="20"/>
              <w:rPr>
                <w:rFonts w:ascii="Verdana" w:hAnsi="Verdana"/>
                <w:color w:val="FF0000"/>
                <w:sz w:val="20"/>
                <w:szCs w:val="20"/>
              </w:rPr>
            </w:pPr>
            <w:r w:rsidRPr="001366C8">
              <w:rPr>
                <w:rFonts w:ascii="Verdana" w:hAnsi="Verdana"/>
                <w:sz w:val="20"/>
                <w:szCs w:val="20"/>
              </w:rPr>
              <w:lastRenderedPageBreak/>
              <w:t>Приема се</w:t>
            </w:r>
          </w:p>
        </w:tc>
        <w:tc>
          <w:tcPr>
            <w:tcW w:w="4522" w:type="dxa"/>
            <w:shd w:val="clear" w:color="auto" w:fill="auto"/>
          </w:tcPr>
          <w:p w14:paraId="1BDE95A1" w14:textId="77777777" w:rsidR="002F4DEC" w:rsidRPr="004674B8" w:rsidRDefault="002F4DEC" w:rsidP="00E86A7C">
            <w:pPr>
              <w:spacing w:before="60" w:after="20"/>
              <w:rPr>
                <w:rFonts w:ascii="Verdana" w:hAnsi="Verdana"/>
                <w:sz w:val="20"/>
                <w:szCs w:val="20"/>
              </w:rPr>
            </w:pPr>
          </w:p>
        </w:tc>
      </w:tr>
      <w:tr w:rsidR="005576E3" w:rsidRPr="00F413E2" w14:paraId="6F0FE91F" w14:textId="77777777" w:rsidTr="00B706DB">
        <w:trPr>
          <w:jc w:val="center"/>
        </w:trPr>
        <w:tc>
          <w:tcPr>
            <w:tcW w:w="569" w:type="dxa"/>
            <w:shd w:val="clear" w:color="auto" w:fill="auto"/>
          </w:tcPr>
          <w:p w14:paraId="5254832D" w14:textId="77777777" w:rsidR="005576E3" w:rsidRPr="00483A6F" w:rsidRDefault="005576E3" w:rsidP="00483A6F">
            <w:pPr>
              <w:tabs>
                <w:tab w:val="left" w:pos="192"/>
              </w:tabs>
              <w:spacing w:before="60" w:after="20" w:line="360" w:lineRule="auto"/>
              <w:ind w:left="57"/>
              <w:rPr>
                <w:rFonts w:ascii="Verdana" w:hAnsi="Verdana"/>
                <w:b/>
                <w:sz w:val="20"/>
                <w:szCs w:val="20"/>
              </w:rPr>
            </w:pPr>
          </w:p>
        </w:tc>
        <w:tc>
          <w:tcPr>
            <w:tcW w:w="2692" w:type="dxa"/>
            <w:shd w:val="clear" w:color="auto" w:fill="auto"/>
          </w:tcPr>
          <w:p w14:paraId="0F39448B" w14:textId="77777777" w:rsidR="005576E3" w:rsidRDefault="005576E3" w:rsidP="003C147F">
            <w:pPr>
              <w:spacing w:before="60" w:after="20"/>
              <w:rPr>
                <w:rFonts w:ascii="Verdana" w:hAnsi="Verdana"/>
                <w:spacing w:val="-2"/>
                <w:sz w:val="20"/>
                <w:szCs w:val="20"/>
              </w:rPr>
            </w:pPr>
          </w:p>
        </w:tc>
        <w:tc>
          <w:tcPr>
            <w:tcW w:w="6237" w:type="dxa"/>
            <w:shd w:val="clear" w:color="auto" w:fill="auto"/>
          </w:tcPr>
          <w:p w14:paraId="23075141" w14:textId="6FF8D2A2" w:rsidR="005576E3" w:rsidRPr="009C5E05" w:rsidRDefault="00485630" w:rsidP="009C5E05">
            <w:pPr>
              <w:spacing w:before="60" w:after="20"/>
              <w:jc w:val="both"/>
              <w:rPr>
                <w:rFonts w:ascii="Verdana" w:hAnsi="Verdana"/>
                <w:sz w:val="20"/>
                <w:szCs w:val="20"/>
              </w:rPr>
            </w:pPr>
            <w:r>
              <w:rPr>
                <w:rFonts w:ascii="Verdana" w:hAnsi="Verdana"/>
                <w:sz w:val="20"/>
                <w:szCs w:val="20"/>
              </w:rPr>
              <w:t xml:space="preserve">2. </w:t>
            </w:r>
            <w:r w:rsidR="00C0329D">
              <w:rPr>
                <w:rFonts w:ascii="Verdana" w:hAnsi="Verdana"/>
                <w:sz w:val="20"/>
                <w:szCs w:val="20"/>
              </w:rPr>
              <w:t>Съгласно Ч</w:t>
            </w:r>
            <w:r w:rsidR="008E185E" w:rsidRPr="008E185E">
              <w:rPr>
                <w:rFonts w:ascii="Verdana" w:hAnsi="Verdana"/>
                <w:sz w:val="20"/>
                <w:szCs w:val="20"/>
              </w:rPr>
              <w:t>л. 41. (3) Максималният размер на финансовата помощ за МИГ/МИРГ за операциите, включително дейности за сътрудничество и тяхната подготовка, финансирани от ЕЗФРСР/ЕФМДРА, е в размер до 10 на сто от бюджета за проекти в стратегията за ВОМР от ЕЗФРСР/ЕФМДРА. – моля за предефиниране на процентното съотношение предвид обективност при формиране на целите на стратегиите.</w:t>
            </w:r>
          </w:p>
        </w:tc>
        <w:tc>
          <w:tcPr>
            <w:tcW w:w="1629" w:type="dxa"/>
            <w:shd w:val="clear" w:color="auto" w:fill="auto"/>
          </w:tcPr>
          <w:p w14:paraId="6AC4EC66" w14:textId="33DEB2CF" w:rsidR="005576E3" w:rsidRPr="00C135C1" w:rsidRDefault="00606101" w:rsidP="001366C8">
            <w:pPr>
              <w:spacing w:before="60" w:after="20"/>
              <w:rPr>
                <w:rFonts w:ascii="Verdana" w:hAnsi="Verdana"/>
                <w:color w:val="FF0000"/>
                <w:sz w:val="20"/>
                <w:szCs w:val="20"/>
              </w:rPr>
            </w:pPr>
            <w:r w:rsidRPr="001366C8">
              <w:rPr>
                <w:rFonts w:ascii="Verdana" w:hAnsi="Verdana"/>
                <w:sz w:val="20"/>
                <w:szCs w:val="20"/>
              </w:rPr>
              <w:t>Приема се</w:t>
            </w:r>
          </w:p>
        </w:tc>
        <w:tc>
          <w:tcPr>
            <w:tcW w:w="4522" w:type="dxa"/>
            <w:shd w:val="clear" w:color="auto" w:fill="auto"/>
          </w:tcPr>
          <w:p w14:paraId="1FADF154" w14:textId="77777777" w:rsidR="005576E3" w:rsidRPr="004674B8" w:rsidRDefault="005576E3" w:rsidP="00E86A7C">
            <w:pPr>
              <w:spacing w:before="60" w:after="20"/>
              <w:rPr>
                <w:rFonts w:ascii="Verdana" w:hAnsi="Verdana"/>
                <w:sz w:val="20"/>
                <w:szCs w:val="20"/>
              </w:rPr>
            </w:pPr>
          </w:p>
        </w:tc>
      </w:tr>
      <w:tr w:rsidR="00DA41AF" w:rsidRPr="00F413E2" w14:paraId="51BED601" w14:textId="77777777" w:rsidTr="00B634C1">
        <w:trPr>
          <w:jc w:val="center"/>
        </w:trPr>
        <w:tc>
          <w:tcPr>
            <w:tcW w:w="569" w:type="dxa"/>
            <w:tcBorders>
              <w:bottom w:val="single" w:sz="12" w:space="0" w:color="2E74B5"/>
            </w:tcBorders>
            <w:shd w:val="clear" w:color="auto" w:fill="auto"/>
          </w:tcPr>
          <w:p w14:paraId="40C7D651" w14:textId="77777777" w:rsidR="00DA41AF" w:rsidRPr="00483A6F" w:rsidRDefault="00DA41AF" w:rsidP="00483A6F">
            <w:pPr>
              <w:tabs>
                <w:tab w:val="left" w:pos="192"/>
              </w:tabs>
              <w:spacing w:before="60" w:after="20" w:line="360" w:lineRule="auto"/>
              <w:ind w:left="57"/>
              <w:rPr>
                <w:rFonts w:ascii="Verdana" w:hAnsi="Verdana"/>
                <w:b/>
                <w:sz w:val="20"/>
                <w:szCs w:val="20"/>
              </w:rPr>
            </w:pPr>
          </w:p>
        </w:tc>
        <w:tc>
          <w:tcPr>
            <w:tcW w:w="2692" w:type="dxa"/>
            <w:tcBorders>
              <w:bottom w:val="single" w:sz="12" w:space="0" w:color="2E74B5"/>
            </w:tcBorders>
            <w:shd w:val="clear" w:color="auto" w:fill="auto"/>
          </w:tcPr>
          <w:p w14:paraId="4D75B485" w14:textId="77777777" w:rsidR="00DA41AF" w:rsidRDefault="00DA41AF" w:rsidP="003C147F">
            <w:pPr>
              <w:spacing w:before="60" w:after="20"/>
              <w:rPr>
                <w:rFonts w:ascii="Verdana" w:hAnsi="Verdana"/>
                <w:spacing w:val="-2"/>
                <w:sz w:val="20"/>
                <w:szCs w:val="20"/>
              </w:rPr>
            </w:pPr>
          </w:p>
        </w:tc>
        <w:tc>
          <w:tcPr>
            <w:tcW w:w="6237" w:type="dxa"/>
            <w:tcBorders>
              <w:bottom w:val="single" w:sz="12" w:space="0" w:color="2E74B5"/>
            </w:tcBorders>
            <w:shd w:val="clear" w:color="auto" w:fill="auto"/>
          </w:tcPr>
          <w:p w14:paraId="379B3D04" w14:textId="4B98C972" w:rsidR="00DA41AF" w:rsidRPr="0057793C" w:rsidRDefault="00C0329D" w:rsidP="009C5E05">
            <w:pPr>
              <w:spacing w:before="60" w:after="20"/>
              <w:jc w:val="both"/>
              <w:rPr>
                <w:rFonts w:ascii="Verdana" w:hAnsi="Verdana"/>
                <w:spacing w:val="4"/>
                <w:sz w:val="20"/>
                <w:szCs w:val="20"/>
              </w:rPr>
            </w:pPr>
            <w:r w:rsidRPr="0057793C">
              <w:rPr>
                <w:rFonts w:ascii="Verdana" w:hAnsi="Verdana"/>
                <w:spacing w:val="4"/>
                <w:sz w:val="20"/>
                <w:szCs w:val="20"/>
              </w:rPr>
              <w:t>3. Съгласно Чл. 28 (3), „(3) Техническа и финансова оценка се извършва три лица, определени от ръководителят на УО на СПРЗСР и изпълнителният директор на ДФЗ съгласно чл. 21, ал. 3 и 4, съответно – от ръководителят на УО на ПМДРА, съгласно чл. 22.“, моля за предефиниране на текстa относим за ПМДРА, и редуциране на лицата извършващи техническата и финансова оценка определени от Ръководителя на УО на ПМДРА от три на две, с оглед опростяване и намаляване на административната тежест, ускоряване на процеса при оценката на проектните предложения, и възможността за ефективно, навременно и качествено изпълнение на Стратегиите за ВОМР.</w:t>
            </w:r>
          </w:p>
        </w:tc>
        <w:tc>
          <w:tcPr>
            <w:tcW w:w="1629" w:type="dxa"/>
            <w:tcBorders>
              <w:bottom w:val="single" w:sz="12" w:space="0" w:color="2E74B5"/>
            </w:tcBorders>
            <w:shd w:val="clear" w:color="auto" w:fill="auto"/>
          </w:tcPr>
          <w:p w14:paraId="59808F1B" w14:textId="5CF02F5B" w:rsidR="00DA41AF" w:rsidRPr="00606101" w:rsidRDefault="00DA41AF" w:rsidP="001366C8">
            <w:pPr>
              <w:spacing w:before="60" w:after="20"/>
              <w:rPr>
                <w:rFonts w:ascii="Verdana" w:hAnsi="Verdana"/>
                <w:color w:val="FF0000"/>
                <w:sz w:val="20"/>
                <w:szCs w:val="20"/>
              </w:rPr>
            </w:pPr>
            <w:r w:rsidRPr="001366C8">
              <w:rPr>
                <w:rFonts w:ascii="Verdana" w:hAnsi="Verdana"/>
                <w:sz w:val="20"/>
                <w:szCs w:val="20"/>
              </w:rPr>
              <w:t>Приема се</w:t>
            </w:r>
          </w:p>
        </w:tc>
        <w:tc>
          <w:tcPr>
            <w:tcW w:w="4522" w:type="dxa"/>
            <w:tcBorders>
              <w:bottom w:val="single" w:sz="12" w:space="0" w:color="2E74B5"/>
            </w:tcBorders>
            <w:shd w:val="clear" w:color="auto" w:fill="auto"/>
          </w:tcPr>
          <w:p w14:paraId="33FED1AE" w14:textId="77777777" w:rsidR="00DA41AF" w:rsidRPr="004674B8" w:rsidRDefault="00DA41AF" w:rsidP="00E86A7C">
            <w:pPr>
              <w:spacing w:before="60" w:after="20"/>
              <w:rPr>
                <w:rFonts w:ascii="Verdana" w:hAnsi="Verdana"/>
                <w:sz w:val="20"/>
                <w:szCs w:val="20"/>
              </w:rPr>
            </w:pPr>
          </w:p>
        </w:tc>
      </w:tr>
      <w:tr w:rsidR="00FD2807" w:rsidRPr="00F413E2" w14:paraId="4F87E8BD" w14:textId="77777777" w:rsidTr="00B634C1">
        <w:trPr>
          <w:jc w:val="center"/>
        </w:trPr>
        <w:tc>
          <w:tcPr>
            <w:tcW w:w="569" w:type="dxa"/>
            <w:tcBorders>
              <w:top w:val="single" w:sz="12" w:space="0" w:color="2E74B5"/>
              <w:bottom w:val="nil"/>
            </w:tcBorders>
            <w:shd w:val="clear" w:color="auto" w:fill="auto"/>
          </w:tcPr>
          <w:p w14:paraId="406B7CA1" w14:textId="758A7B04" w:rsidR="00FD2807" w:rsidRPr="00B634C1" w:rsidRDefault="00FD2807" w:rsidP="00B634C1">
            <w:pPr>
              <w:pStyle w:val="ListParagraph"/>
              <w:numPr>
                <w:ilvl w:val="0"/>
                <w:numId w:val="31"/>
              </w:numPr>
              <w:tabs>
                <w:tab w:val="left" w:pos="192"/>
              </w:tabs>
              <w:spacing w:before="60" w:after="20" w:line="360" w:lineRule="auto"/>
              <w:rPr>
                <w:rFonts w:ascii="Verdana" w:hAnsi="Verdana"/>
                <w:b/>
                <w:sz w:val="20"/>
                <w:szCs w:val="20"/>
              </w:rPr>
            </w:pPr>
          </w:p>
        </w:tc>
        <w:tc>
          <w:tcPr>
            <w:tcW w:w="2692" w:type="dxa"/>
            <w:vMerge w:val="restart"/>
            <w:tcBorders>
              <w:top w:val="single" w:sz="12" w:space="0" w:color="2E74B5"/>
              <w:bottom w:val="nil"/>
            </w:tcBorders>
            <w:shd w:val="clear" w:color="auto" w:fill="auto"/>
          </w:tcPr>
          <w:p w14:paraId="49E3F861" w14:textId="055B2272" w:rsidR="00FD2807" w:rsidRDefault="00FD2807" w:rsidP="00A43684">
            <w:pPr>
              <w:spacing w:before="60" w:after="20"/>
              <w:rPr>
                <w:rFonts w:ascii="Verdana" w:hAnsi="Verdana"/>
                <w:spacing w:val="-2"/>
                <w:sz w:val="20"/>
                <w:szCs w:val="20"/>
              </w:rPr>
            </w:pPr>
            <w:r w:rsidRPr="00FD2807">
              <w:rPr>
                <w:rFonts w:ascii="Verdana" w:hAnsi="Verdana"/>
                <w:spacing w:val="-2"/>
                <w:sz w:val="20"/>
                <w:szCs w:val="20"/>
              </w:rPr>
              <w:t>office@vomr.bg</w:t>
            </w:r>
          </w:p>
          <w:p w14:paraId="76991370" w14:textId="32011E55" w:rsidR="00FD2807" w:rsidRDefault="00FD2807" w:rsidP="00A43684">
            <w:pPr>
              <w:spacing w:before="60" w:after="20"/>
              <w:rPr>
                <w:rFonts w:ascii="Verdana" w:hAnsi="Verdana"/>
                <w:spacing w:val="-2"/>
                <w:sz w:val="20"/>
                <w:szCs w:val="20"/>
              </w:rPr>
            </w:pPr>
            <w:r w:rsidRPr="00FD2807">
              <w:rPr>
                <w:rFonts w:ascii="Verdana" w:hAnsi="Verdana"/>
                <w:spacing w:val="-2"/>
                <w:sz w:val="20"/>
                <w:szCs w:val="20"/>
              </w:rPr>
              <w:t>(Порта</w:t>
            </w:r>
            <w:r>
              <w:rPr>
                <w:rFonts w:ascii="Verdana" w:hAnsi="Verdana"/>
                <w:spacing w:val="-2"/>
                <w:sz w:val="20"/>
                <w:szCs w:val="20"/>
              </w:rPr>
              <w:t xml:space="preserve">л за обществени консултации на </w:t>
            </w:r>
            <w:r w:rsidR="00B634C1">
              <w:rPr>
                <w:rFonts w:ascii="Verdana" w:hAnsi="Verdana"/>
                <w:spacing w:val="-2"/>
                <w:sz w:val="20"/>
                <w:szCs w:val="20"/>
              </w:rPr>
              <w:br/>
            </w:r>
            <w:r>
              <w:rPr>
                <w:rFonts w:ascii="Verdana" w:hAnsi="Verdana"/>
                <w:spacing w:val="-2"/>
                <w:sz w:val="20"/>
                <w:szCs w:val="20"/>
              </w:rPr>
              <w:t>5</w:t>
            </w:r>
            <w:r w:rsidRPr="00FD2807">
              <w:rPr>
                <w:rFonts w:ascii="Verdana" w:hAnsi="Verdana"/>
                <w:spacing w:val="-2"/>
                <w:sz w:val="20"/>
                <w:szCs w:val="20"/>
              </w:rPr>
              <w:t xml:space="preserve"> ноември 2024 г.)</w:t>
            </w:r>
          </w:p>
        </w:tc>
        <w:tc>
          <w:tcPr>
            <w:tcW w:w="6237" w:type="dxa"/>
            <w:tcBorders>
              <w:top w:val="single" w:sz="12" w:space="0" w:color="2E74B5"/>
              <w:bottom w:val="nil"/>
            </w:tcBorders>
            <w:shd w:val="clear" w:color="auto" w:fill="auto"/>
          </w:tcPr>
          <w:p w14:paraId="698B9F8E" w14:textId="0748A046" w:rsidR="00FD2807" w:rsidRPr="001A1452" w:rsidRDefault="00FD2807" w:rsidP="00FD2807">
            <w:pPr>
              <w:spacing w:before="60" w:after="20"/>
              <w:jc w:val="both"/>
              <w:rPr>
                <w:rFonts w:ascii="Verdana" w:hAnsi="Verdana"/>
                <w:sz w:val="20"/>
                <w:szCs w:val="20"/>
              </w:rPr>
            </w:pPr>
            <w:r w:rsidRPr="00FD2807">
              <w:rPr>
                <w:rFonts w:ascii="Verdana" w:hAnsi="Verdana"/>
                <w:sz w:val="20"/>
                <w:szCs w:val="20"/>
              </w:rPr>
              <w:t>Коментари на Национална асоциация на местните инициативни групи в България</w:t>
            </w:r>
          </w:p>
        </w:tc>
        <w:tc>
          <w:tcPr>
            <w:tcW w:w="1629" w:type="dxa"/>
            <w:tcBorders>
              <w:top w:val="single" w:sz="12" w:space="0" w:color="2E74B5"/>
              <w:bottom w:val="nil"/>
            </w:tcBorders>
            <w:shd w:val="clear" w:color="auto" w:fill="auto"/>
          </w:tcPr>
          <w:p w14:paraId="2C74EBC5" w14:textId="77777777" w:rsidR="00FD2807" w:rsidRPr="004674B8" w:rsidRDefault="00FD2807" w:rsidP="005B3673">
            <w:pPr>
              <w:spacing w:before="60" w:after="20"/>
              <w:rPr>
                <w:rFonts w:ascii="Verdana" w:hAnsi="Verdana"/>
                <w:sz w:val="20"/>
                <w:szCs w:val="20"/>
              </w:rPr>
            </w:pPr>
          </w:p>
        </w:tc>
        <w:tc>
          <w:tcPr>
            <w:tcW w:w="4522" w:type="dxa"/>
            <w:tcBorders>
              <w:top w:val="single" w:sz="12" w:space="0" w:color="2E74B5"/>
              <w:bottom w:val="nil"/>
            </w:tcBorders>
            <w:shd w:val="clear" w:color="auto" w:fill="auto"/>
          </w:tcPr>
          <w:p w14:paraId="1C85AE99" w14:textId="77777777" w:rsidR="00FD2807" w:rsidRPr="004674B8" w:rsidRDefault="00FD2807" w:rsidP="005B3673">
            <w:pPr>
              <w:spacing w:before="60" w:after="20" w:line="360" w:lineRule="auto"/>
              <w:rPr>
                <w:rFonts w:ascii="Verdana" w:hAnsi="Verdana"/>
                <w:sz w:val="20"/>
                <w:szCs w:val="20"/>
              </w:rPr>
            </w:pPr>
          </w:p>
        </w:tc>
      </w:tr>
      <w:tr w:rsidR="00FD2807" w:rsidRPr="00F413E2" w14:paraId="74135B0E" w14:textId="77777777" w:rsidTr="00B634C1">
        <w:trPr>
          <w:jc w:val="center"/>
        </w:trPr>
        <w:tc>
          <w:tcPr>
            <w:tcW w:w="569" w:type="dxa"/>
            <w:tcBorders>
              <w:top w:val="nil"/>
            </w:tcBorders>
            <w:shd w:val="clear" w:color="auto" w:fill="auto"/>
          </w:tcPr>
          <w:p w14:paraId="5DCF8FBD" w14:textId="77777777" w:rsidR="00FD2807" w:rsidRPr="005B3673" w:rsidRDefault="00FD2807" w:rsidP="005B3673">
            <w:pPr>
              <w:tabs>
                <w:tab w:val="left" w:pos="192"/>
              </w:tabs>
              <w:spacing w:before="60" w:after="20" w:line="360" w:lineRule="auto"/>
              <w:ind w:left="57"/>
              <w:rPr>
                <w:rFonts w:ascii="Verdana" w:hAnsi="Verdana"/>
                <w:b/>
                <w:sz w:val="20"/>
                <w:szCs w:val="20"/>
              </w:rPr>
            </w:pPr>
          </w:p>
        </w:tc>
        <w:tc>
          <w:tcPr>
            <w:tcW w:w="2692" w:type="dxa"/>
            <w:vMerge/>
            <w:tcBorders>
              <w:top w:val="nil"/>
            </w:tcBorders>
            <w:shd w:val="clear" w:color="auto" w:fill="auto"/>
          </w:tcPr>
          <w:p w14:paraId="7ECA3D51" w14:textId="77777777" w:rsidR="00FD2807" w:rsidRDefault="00FD2807" w:rsidP="00A43684">
            <w:pPr>
              <w:spacing w:before="60" w:after="20"/>
              <w:rPr>
                <w:rFonts w:ascii="Verdana" w:hAnsi="Verdana"/>
                <w:spacing w:val="-2"/>
                <w:sz w:val="20"/>
                <w:szCs w:val="20"/>
              </w:rPr>
            </w:pPr>
          </w:p>
        </w:tc>
        <w:tc>
          <w:tcPr>
            <w:tcW w:w="6237" w:type="dxa"/>
            <w:tcBorders>
              <w:top w:val="nil"/>
            </w:tcBorders>
            <w:shd w:val="clear" w:color="auto" w:fill="auto"/>
          </w:tcPr>
          <w:p w14:paraId="2F9F4FB4" w14:textId="260EF3C4" w:rsidR="00FD2807" w:rsidRPr="00D03343" w:rsidRDefault="00D03343" w:rsidP="00D03343">
            <w:pPr>
              <w:spacing w:before="60" w:after="20"/>
              <w:jc w:val="both"/>
              <w:rPr>
                <w:rFonts w:ascii="Verdana" w:hAnsi="Verdana"/>
                <w:spacing w:val="-4"/>
                <w:sz w:val="20"/>
                <w:szCs w:val="20"/>
              </w:rPr>
            </w:pPr>
            <w:r w:rsidRPr="00D03343">
              <w:rPr>
                <w:rFonts w:ascii="Verdana" w:hAnsi="Verdana"/>
                <w:spacing w:val="-4"/>
                <w:sz w:val="20"/>
                <w:szCs w:val="20"/>
              </w:rPr>
              <w:t>1. От наименованието на раздел 1, глава втора да отпадне „Отговорен УО“ предвид схемата на финансиране на подхода.</w:t>
            </w:r>
          </w:p>
        </w:tc>
        <w:tc>
          <w:tcPr>
            <w:tcW w:w="1629" w:type="dxa"/>
            <w:tcBorders>
              <w:top w:val="nil"/>
            </w:tcBorders>
            <w:shd w:val="clear" w:color="auto" w:fill="auto"/>
          </w:tcPr>
          <w:p w14:paraId="0DC168DC" w14:textId="0555924D" w:rsidR="00FD2807" w:rsidRPr="005B3673" w:rsidRDefault="00FD2807" w:rsidP="001366C8">
            <w:pPr>
              <w:spacing w:before="60" w:after="20"/>
              <w:rPr>
                <w:rFonts w:ascii="Verdana" w:hAnsi="Verdana"/>
                <w:color w:val="FF0000"/>
                <w:sz w:val="20"/>
                <w:szCs w:val="20"/>
              </w:rPr>
            </w:pPr>
            <w:r w:rsidRPr="001366C8">
              <w:rPr>
                <w:rFonts w:ascii="Verdana" w:hAnsi="Verdana"/>
                <w:sz w:val="20"/>
                <w:szCs w:val="20"/>
              </w:rPr>
              <w:t>Приема се</w:t>
            </w:r>
          </w:p>
        </w:tc>
        <w:tc>
          <w:tcPr>
            <w:tcW w:w="4522" w:type="dxa"/>
            <w:tcBorders>
              <w:top w:val="nil"/>
            </w:tcBorders>
            <w:shd w:val="clear" w:color="auto" w:fill="auto"/>
          </w:tcPr>
          <w:p w14:paraId="4FE089CD" w14:textId="77777777" w:rsidR="00FD2807" w:rsidRPr="004674B8" w:rsidRDefault="00FD2807" w:rsidP="005B3673">
            <w:pPr>
              <w:spacing w:before="60" w:after="20" w:line="360" w:lineRule="auto"/>
              <w:rPr>
                <w:rFonts w:ascii="Verdana" w:hAnsi="Verdana"/>
                <w:sz w:val="20"/>
                <w:szCs w:val="20"/>
              </w:rPr>
            </w:pPr>
          </w:p>
        </w:tc>
      </w:tr>
      <w:tr w:rsidR="005B3673" w:rsidRPr="00F413E2" w14:paraId="5BE9F6B3" w14:textId="77777777" w:rsidTr="00B706DB">
        <w:trPr>
          <w:jc w:val="center"/>
        </w:trPr>
        <w:tc>
          <w:tcPr>
            <w:tcW w:w="569" w:type="dxa"/>
            <w:shd w:val="clear" w:color="auto" w:fill="auto"/>
          </w:tcPr>
          <w:p w14:paraId="0C8E9312" w14:textId="77777777" w:rsidR="005B3673" w:rsidRPr="005B3673" w:rsidRDefault="005B3673" w:rsidP="005B3673">
            <w:pPr>
              <w:tabs>
                <w:tab w:val="left" w:pos="192"/>
              </w:tabs>
              <w:spacing w:before="60" w:after="20" w:line="360" w:lineRule="auto"/>
              <w:ind w:left="57"/>
              <w:rPr>
                <w:rFonts w:ascii="Verdana" w:hAnsi="Verdana"/>
                <w:b/>
                <w:sz w:val="20"/>
                <w:szCs w:val="20"/>
              </w:rPr>
            </w:pPr>
          </w:p>
        </w:tc>
        <w:tc>
          <w:tcPr>
            <w:tcW w:w="2692" w:type="dxa"/>
            <w:shd w:val="clear" w:color="auto" w:fill="auto"/>
          </w:tcPr>
          <w:p w14:paraId="54ACE178" w14:textId="77777777" w:rsidR="005B3673" w:rsidRDefault="005B3673" w:rsidP="00A43684">
            <w:pPr>
              <w:spacing w:before="60" w:after="20"/>
              <w:rPr>
                <w:rFonts w:ascii="Verdana" w:hAnsi="Verdana"/>
                <w:spacing w:val="-2"/>
                <w:sz w:val="20"/>
                <w:szCs w:val="20"/>
              </w:rPr>
            </w:pPr>
          </w:p>
        </w:tc>
        <w:tc>
          <w:tcPr>
            <w:tcW w:w="6237" w:type="dxa"/>
            <w:shd w:val="clear" w:color="auto" w:fill="auto"/>
          </w:tcPr>
          <w:p w14:paraId="0752A0D3" w14:textId="2C9D2CB0" w:rsidR="005B3673" w:rsidRPr="001A1452" w:rsidRDefault="00D03343" w:rsidP="00D03343">
            <w:pPr>
              <w:spacing w:before="60" w:after="20"/>
              <w:jc w:val="both"/>
              <w:rPr>
                <w:rFonts w:ascii="Verdana" w:hAnsi="Verdana"/>
                <w:sz w:val="20"/>
                <w:szCs w:val="20"/>
              </w:rPr>
            </w:pPr>
            <w:r>
              <w:rPr>
                <w:rFonts w:ascii="Verdana" w:hAnsi="Verdana"/>
                <w:sz w:val="20"/>
                <w:szCs w:val="20"/>
              </w:rPr>
              <w:t xml:space="preserve">2. </w:t>
            </w:r>
            <w:r w:rsidRPr="00D03343">
              <w:rPr>
                <w:rFonts w:ascii="Verdana" w:hAnsi="Verdana"/>
                <w:sz w:val="20"/>
                <w:szCs w:val="20"/>
              </w:rPr>
              <w:t>Във връзка с кратките срокове за създаване на Комитет за координация на подхода и липсата на дейности през 2024 г. чл. 11 и § 2 да се прилагат от 2025 г.</w:t>
            </w:r>
          </w:p>
        </w:tc>
        <w:tc>
          <w:tcPr>
            <w:tcW w:w="1629" w:type="dxa"/>
            <w:shd w:val="clear" w:color="auto" w:fill="auto"/>
          </w:tcPr>
          <w:p w14:paraId="07F0652B" w14:textId="2E5DB901" w:rsidR="005B3673" w:rsidRPr="005B3673" w:rsidRDefault="005B3673" w:rsidP="00E7505C">
            <w:pPr>
              <w:spacing w:before="60" w:after="20"/>
              <w:rPr>
                <w:rFonts w:ascii="Verdana" w:hAnsi="Verdana"/>
                <w:color w:val="FF0000"/>
                <w:sz w:val="20"/>
                <w:szCs w:val="20"/>
              </w:rPr>
            </w:pPr>
            <w:r w:rsidRPr="00E7505C">
              <w:rPr>
                <w:rFonts w:ascii="Verdana" w:hAnsi="Verdana"/>
                <w:sz w:val="20"/>
                <w:szCs w:val="20"/>
              </w:rPr>
              <w:t>Приема се</w:t>
            </w:r>
          </w:p>
        </w:tc>
        <w:tc>
          <w:tcPr>
            <w:tcW w:w="4522" w:type="dxa"/>
            <w:shd w:val="clear" w:color="auto" w:fill="auto"/>
          </w:tcPr>
          <w:p w14:paraId="2C65E409" w14:textId="77777777" w:rsidR="005B3673" w:rsidRPr="004674B8" w:rsidRDefault="005B3673" w:rsidP="005B3673">
            <w:pPr>
              <w:spacing w:before="60" w:after="20" w:line="360" w:lineRule="auto"/>
              <w:rPr>
                <w:rFonts w:ascii="Verdana" w:hAnsi="Verdana"/>
                <w:sz w:val="20"/>
                <w:szCs w:val="20"/>
              </w:rPr>
            </w:pPr>
          </w:p>
        </w:tc>
      </w:tr>
      <w:tr w:rsidR="00FD2807" w:rsidRPr="00F413E2" w14:paraId="429A606F" w14:textId="77777777" w:rsidTr="00B706DB">
        <w:trPr>
          <w:jc w:val="center"/>
        </w:trPr>
        <w:tc>
          <w:tcPr>
            <w:tcW w:w="569" w:type="dxa"/>
            <w:shd w:val="clear" w:color="auto" w:fill="auto"/>
          </w:tcPr>
          <w:p w14:paraId="68F6E5FD" w14:textId="77777777" w:rsidR="00FD2807" w:rsidRPr="005B3673" w:rsidRDefault="00FD2807" w:rsidP="005B3673">
            <w:pPr>
              <w:tabs>
                <w:tab w:val="left" w:pos="192"/>
              </w:tabs>
              <w:spacing w:before="60" w:after="20" w:line="360" w:lineRule="auto"/>
              <w:ind w:left="57"/>
              <w:rPr>
                <w:rFonts w:ascii="Verdana" w:hAnsi="Verdana"/>
                <w:b/>
                <w:sz w:val="20"/>
                <w:szCs w:val="20"/>
              </w:rPr>
            </w:pPr>
          </w:p>
        </w:tc>
        <w:tc>
          <w:tcPr>
            <w:tcW w:w="2692" w:type="dxa"/>
            <w:shd w:val="clear" w:color="auto" w:fill="auto"/>
          </w:tcPr>
          <w:p w14:paraId="62E207A1" w14:textId="77777777" w:rsidR="00FD2807" w:rsidRDefault="00FD2807" w:rsidP="00A43684">
            <w:pPr>
              <w:spacing w:before="60" w:after="20"/>
              <w:rPr>
                <w:rFonts w:ascii="Verdana" w:hAnsi="Verdana"/>
                <w:spacing w:val="-2"/>
                <w:sz w:val="20"/>
                <w:szCs w:val="20"/>
              </w:rPr>
            </w:pPr>
          </w:p>
        </w:tc>
        <w:tc>
          <w:tcPr>
            <w:tcW w:w="6237" w:type="dxa"/>
            <w:shd w:val="clear" w:color="auto" w:fill="auto"/>
          </w:tcPr>
          <w:p w14:paraId="144B9AD6" w14:textId="62ACA489" w:rsidR="00FD2807" w:rsidRPr="001A1452" w:rsidRDefault="00D03343" w:rsidP="00D03343">
            <w:pPr>
              <w:spacing w:before="60" w:after="20"/>
              <w:jc w:val="both"/>
              <w:rPr>
                <w:rFonts w:ascii="Verdana" w:hAnsi="Verdana"/>
                <w:sz w:val="20"/>
                <w:szCs w:val="20"/>
              </w:rPr>
            </w:pPr>
            <w:r>
              <w:rPr>
                <w:rFonts w:ascii="Verdana" w:hAnsi="Verdana"/>
                <w:sz w:val="20"/>
                <w:szCs w:val="20"/>
              </w:rPr>
              <w:t xml:space="preserve">3. </w:t>
            </w:r>
            <w:r w:rsidRPr="00D03343">
              <w:rPr>
                <w:rFonts w:ascii="Verdana" w:hAnsi="Verdana"/>
                <w:sz w:val="20"/>
                <w:szCs w:val="20"/>
              </w:rPr>
              <w:t>В чл.4, ал. 2, т. 2 да се уточни, че не се допуска финансиране на едни и същи дейности на ниво проект.</w:t>
            </w:r>
          </w:p>
        </w:tc>
        <w:tc>
          <w:tcPr>
            <w:tcW w:w="1629" w:type="dxa"/>
            <w:shd w:val="clear" w:color="auto" w:fill="auto"/>
          </w:tcPr>
          <w:p w14:paraId="337FB412" w14:textId="2B8E8250" w:rsidR="00FD2807" w:rsidRPr="005B3673" w:rsidRDefault="00FD2807" w:rsidP="00E7505C">
            <w:pPr>
              <w:spacing w:before="60" w:after="20"/>
              <w:rPr>
                <w:rFonts w:ascii="Verdana" w:hAnsi="Verdana"/>
                <w:color w:val="FF0000"/>
                <w:sz w:val="20"/>
                <w:szCs w:val="20"/>
              </w:rPr>
            </w:pPr>
            <w:r w:rsidRPr="00E7505C">
              <w:rPr>
                <w:rFonts w:ascii="Verdana" w:hAnsi="Verdana"/>
                <w:sz w:val="20"/>
                <w:szCs w:val="20"/>
              </w:rPr>
              <w:t>Приема се</w:t>
            </w:r>
          </w:p>
        </w:tc>
        <w:tc>
          <w:tcPr>
            <w:tcW w:w="4522" w:type="dxa"/>
            <w:shd w:val="clear" w:color="auto" w:fill="auto"/>
          </w:tcPr>
          <w:p w14:paraId="452BF673" w14:textId="77777777" w:rsidR="00FD2807" w:rsidRPr="004674B8" w:rsidRDefault="00FD2807" w:rsidP="005B3673">
            <w:pPr>
              <w:spacing w:before="60" w:after="20" w:line="360" w:lineRule="auto"/>
              <w:rPr>
                <w:rFonts w:ascii="Verdana" w:hAnsi="Verdana"/>
                <w:sz w:val="20"/>
                <w:szCs w:val="20"/>
              </w:rPr>
            </w:pPr>
          </w:p>
        </w:tc>
      </w:tr>
      <w:tr w:rsidR="00FD2807" w:rsidRPr="00F413E2" w14:paraId="52472A4B" w14:textId="77777777" w:rsidTr="00B706DB">
        <w:trPr>
          <w:jc w:val="center"/>
        </w:trPr>
        <w:tc>
          <w:tcPr>
            <w:tcW w:w="569" w:type="dxa"/>
            <w:shd w:val="clear" w:color="auto" w:fill="auto"/>
          </w:tcPr>
          <w:p w14:paraId="1BC3BCAA" w14:textId="77777777" w:rsidR="00FD2807" w:rsidRPr="005B3673" w:rsidRDefault="00FD2807" w:rsidP="005B3673">
            <w:pPr>
              <w:tabs>
                <w:tab w:val="left" w:pos="192"/>
              </w:tabs>
              <w:spacing w:before="60" w:after="20" w:line="360" w:lineRule="auto"/>
              <w:ind w:left="57"/>
              <w:rPr>
                <w:rFonts w:ascii="Verdana" w:hAnsi="Verdana"/>
                <w:b/>
                <w:sz w:val="20"/>
                <w:szCs w:val="20"/>
              </w:rPr>
            </w:pPr>
          </w:p>
        </w:tc>
        <w:tc>
          <w:tcPr>
            <w:tcW w:w="2692" w:type="dxa"/>
            <w:shd w:val="clear" w:color="auto" w:fill="auto"/>
          </w:tcPr>
          <w:p w14:paraId="3F2977E3" w14:textId="77777777" w:rsidR="00FD2807" w:rsidRDefault="00FD2807" w:rsidP="00A43684">
            <w:pPr>
              <w:spacing w:before="60" w:after="20"/>
              <w:rPr>
                <w:rFonts w:ascii="Verdana" w:hAnsi="Verdana"/>
                <w:spacing w:val="-2"/>
                <w:sz w:val="20"/>
                <w:szCs w:val="20"/>
              </w:rPr>
            </w:pPr>
          </w:p>
        </w:tc>
        <w:tc>
          <w:tcPr>
            <w:tcW w:w="6237" w:type="dxa"/>
            <w:shd w:val="clear" w:color="auto" w:fill="auto"/>
          </w:tcPr>
          <w:p w14:paraId="34E9124D" w14:textId="074124F4" w:rsidR="00FD2807" w:rsidRPr="001A1452" w:rsidRDefault="00D03343" w:rsidP="00D03343">
            <w:pPr>
              <w:spacing w:before="60" w:after="20"/>
              <w:jc w:val="both"/>
              <w:rPr>
                <w:rFonts w:ascii="Verdana" w:hAnsi="Verdana"/>
                <w:sz w:val="20"/>
                <w:szCs w:val="20"/>
              </w:rPr>
            </w:pPr>
            <w:r>
              <w:rPr>
                <w:rFonts w:ascii="Verdana" w:hAnsi="Verdana"/>
                <w:sz w:val="20"/>
                <w:szCs w:val="20"/>
              </w:rPr>
              <w:t xml:space="preserve">4. </w:t>
            </w:r>
            <w:r w:rsidRPr="00D03343">
              <w:rPr>
                <w:rFonts w:ascii="Verdana" w:hAnsi="Verdana"/>
                <w:sz w:val="20"/>
                <w:szCs w:val="20"/>
              </w:rPr>
              <w:t>В чл. 36, ал. 2 обръщаме внимание, че няма условия и ред за одобрение на процедури, които ще са различни от минималните изисквания.</w:t>
            </w:r>
          </w:p>
        </w:tc>
        <w:tc>
          <w:tcPr>
            <w:tcW w:w="1629" w:type="dxa"/>
            <w:shd w:val="clear" w:color="auto" w:fill="auto"/>
          </w:tcPr>
          <w:p w14:paraId="6C6FD30F" w14:textId="6A9222AF" w:rsidR="00FD2807" w:rsidRPr="005B3673" w:rsidRDefault="00FD2807" w:rsidP="00E00E90">
            <w:pPr>
              <w:spacing w:before="60" w:after="20"/>
              <w:rPr>
                <w:rFonts w:ascii="Verdana" w:hAnsi="Verdana"/>
                <w:color w:val="FF0000"/>
                <w:sz w:val="20"/>
                <w:szCs w:val="20"/>
              </w:rPr>
            </w:pPr>
            <w:r w:rsidRPr="00E00E90">
              <w:rPr>
                <w:rFonts w:ascii="Verdana" w:hAnsi="Verdana"/>
                <w:sz w:val="20"/>
                <w:szCs w:val="20"/>
              </w:rPr>
              <w:t>Приема се</w:t>
            </w:r>
          </w:p>
        </w:tc>
        <w:tc>
          <w:tcPr>
            <w:tcW w:w="4522" w:type="dxa"/>
            <w:shd w:val="clear" w:color="auto" w:fill="auto"/>
          </w:tcPr>
          <w:p w14:paraId="1900E468" w14:textId="77777777" w:rsidR="00FD2807" w:rsidRPr="004674B8" w:rsidRDefault="00FD2807" w:rsidP="005B3673">
            <w:pPr>
              <w:spacing w:before="60" w:after="20" w:line="360" w:lineRule="auto"/>
              <w:rPr>
                <w:rFonts w:ascii="Verdana" w:hAnsi="Verdana"/>
                <w:sz w:val="20"/>
                <w:szCs w:val="20"/>
              </w:rPr>
            </w:pPr>
          </w:p>
        </w:tc>
      </w:tr>
      <w:tr w:rsidR="00FD2807" w:rsidRPr="00F413E2" w14:paraId="60C68D45" w14:textId="77777777" w:rsidTr="00B706DB">
        <w:trPr>
          <w:jc w:val="center"/>
        </w:trPr>
        <w:tc>
          <w:tcPr>
            <w:tcW w:w="569" w:type="dxa"/>
            <w:shd w:val="clear" w:color="auto" w:fill="auto"/>
          </w:tcPr>
          <w:p w14:paraId="04954477" w14:textId="77777777" w:rsidR="00FD2807" w:rsidRPr="005B3673" w:rsidRDefault="00FD2807" w:rsidP="005B3673">
            <w:pPr>
              <w:tabs>
                <w:tab w:val="left" w:pos="192"/>
              </w:tabs>
              <w:spacing w:before="60" w:after="20" w:line="360" w:lineRule="auto"/>
              <w:ind w:left="57"/>
              <w:rPr>
                <w:rFonts w:ascii="Verdana" w:hAnsi="Verdana"/>
                <w:b/>
                <w:sz w:val="20"/>
                <w:szCs w:val="20"/>
              </w:rPr>
            </w:pPr>
          </w:p>
        </w:tc>
        <w:tc>
          <w:tcPr>
            <w:tcW w:w="2692" w:type="dxa"/>
            <w:shd w:val="clear" w:color="auto" w:fill="auto"/>
          </w:tcPr>
          <w:p w14:paraId="6D703F54" w14:textId="77777777" w:rsidR="00FD2807" w:rsidRDefault="00FD2807" w:rsidP="00A43684">
            <w:pPr>
              <w:spacing w:before="60" w:after="20"/>
              <w:rPr>
                <w:rFonts w:ascii="Verdana" w:hAnsi="Verdana"/>
                <w:spacing w:val="-2"/>
                <w:sz w:val="20"/>
                <w:szCs w:val="20"/>
              </w:rPr>
            </w:pPr>
          </w:p>
        </w:tc>
        <w:tc>
          <w:tcPr>
            <w:tcW w:w="6237" w:type="dxa"/>
            <w:shd w:val="clear" w:color="auto" w:fill="auto"/>
          </w:tcPr>
          <w:p w14:paraId="063A58E7" w14:textId="4AE9071C" w:rsidR="00FD2807" w:rsidRPr="001A1452" w:rsidRDefault="00D03343" w:rsidP="00D03343">
            <w:pPr>
              <w:spacing w:before="60" w:after="20"/>
              <w:jc w:val="both"/>
              <w:rPr>
                <w:rFonts w:ascii="Verdana" w:hAnsi="Verdana"/>
                <w:sz w:val="20"/>
                <w:szCs w:val="20"/>
              </w:rPr>
            </w:pPr>
            <w:r>
              <w:rPr>
                <w:rFonts w:ascii="Verdana" w:hAnsi="Verdana"/>
                <w:sz w:val="20"/>
                <w:szCs w:val="20"/>
              </w:rPr>
              <w:t xml:space="preserve">5. </w:t>
            </w:r>
            <w:r w:rsidRPr="00D03343">
              <w:rPr>
                <w:rFonts w:ascii="Verdana" w:hAnsi="Verdana"/>
                <w:sz w:val="20"/>
                <w:szCs w:val="20"/>
              </w:rPr>
              <w:t>В чл. 41, ал.2 да се допълни, като се посочи, че кандидатът трябва да е предвиден в съответната мярка.</w:t>
            </w:r>
          </w:p>
        </w:tc>
        <w:tc>
          <w:tcPr>
            <w:tcW w:w="1629" w:type="dxa"/>
            <w:shd w:val="clear" w:color="auto" w:fill="auto"/>
          </w:tcPr>
          <w:p w14:paraId="0771523D" w14:textId="05E08D3F" w:rsidR="00FD2807" w:rsidRPr="005B3673" w:rsidRDefault="00FD2807" w:rsidP="00E7505C">
            <w:pPr>
              <w:spacing w:before="60" w:after="20"/>
              <w:rPr>
                <w:rFonts w:ascii="Verdana" w:hAnsi="Verdana"/>
                <w:color w:val="FF0000"/>
                <w:sz w:val="20"/>
                <w:szCs w:val="20"/>
              </w:rPr>
            </w:pPr>
            <w:r w:rsidRPr="00E7505C">
              <w:rPr>
                <w:rFonts w:ascii="Verdana" w:hAnsi="Verdana"/>
                <w:sz w:val="20"/>
                <w:szCs w:val="20"/>
              </w:rPr>
              <w:t>Приема се</w:t>
            </w:r>
          </w:p>
        </w:tc>
        <w:tc>
          <w:tcPr>
            <w:tcW w:w="4522" w:type="dxa"/>
            <w:shd w:val="clear" w:color="auto" w:fill="auto"/>
          </w:tcPr>
          <w:p w14:paraId="216CAA1B" w14:textId="77777777" w:rsidR="00FD2807" w:rsidRPr="004674B8" w:rsidRDefault="00FD2807" w:rsidP="005B3673">
            <w:pPr>
              <w:spacing w:before="60" w:after="20" w:line="360" w:lineRule="auto"/>
              <w:rPr>
                <w:rFonts w:ascii="Verdana" w:hAnsi="Verdana"/>
                <w:sz w:val="20"/>
                <w:szCs w:val="20"/>
              </w:rPr>
            </w:pPr>
          </w:p>
        </w:tc>
      </w:tr>
      <w:tr w:rsidR="0064536C" w:rsidRPr="00F413E2" w14:paraId="5FBE5966" w14:textId="77777777" w:rsidTr="00B706DB">
        <w:trPr>
          <w:jc w:val="center"/>
        </w:trPr>
        <w:tc>
          <w:tcPr>
            <w:tcW w:w="569" w:type="dxa"/>
            <w:shd w:val="clear" w:color="auto" w:fill="auto"/>
          </w:tcPr>
          <w:p w14:paraId="63683DCC" w14:textId="77777777" w:rsidR="0064536C" w:rsidRPr="005B3673" w:rsidRDefault="0064536C" w:rsidP="005B3673">
            <w:pPr>
              <w:tabs>
                <w:tab w:val="left" w:pos="192"/>
              </w:tabs>
              <w:spacing w:before="60" w:after="20" w:line="360" w:lineRule="auto"/>
              <w:ind w:left="57"/>
              <w:rPr>
                <w:rFonts w:ascii="Verdana" w:hAnsi="Verdana"/>
                <w:b/>
                <w:sz w:val="20"/>
                <w:szCs w:val="20"/>
              </w:rPr>
            </w:pPr>
          </w:p>
        </w:tc>
        <w:tc>
          <w:tcPr>
            <w:tcW w:w="2692" w:type="dxa"/>
            <w:shd w:val="clear" w:color="auto" w:fill="auto"/>
          </w:tcPr>
          <w:p w14:paraId="31179FF7" w14:textId="77777777" w:rsidR="0064536C" w:rsidRDefault="0064536C" w:rsidP="00A43684">
            <w:pPr>
              <w:spacing w:before="60" w:after="20"/>
              <w:rPr>
                <w:rFonts w:ascii="Verdana" w:hAnsi="Verdana"/>
                <w:spacing w:val="-2"/>
                <w:sz w:val="20"/>
                <w:szCs w:val="20"/>
              </w:rPr>
            </w:pPr>
          </w:p>
        </w:tc>
        <w:tc>
          <w:tcPr>
            <w:tcW w:w="6237" w:type="dxa"/>
            <w:shd w:val="clear" w:color="auto" w:fill="auto"/>
          </w:tcPr>
          <w:p w14:paraId="72608CEF" w14:textId="5C390065" w:rsidR="0064536C" w:rsidRPr="001A1452" w:rsidRDefault="00D03343" w:rsidP="00D03343">
            <w:pPr>
              <w:spacing w:before="60" w:after="20"/>
              <w:jc w:val="both"/>
              <w:rPr>
                <w:rFonts w:ascii="Verdana" w:hAnsi="Verdana"/>
                <w:sz w:val="20"/>
                <w:szCs w:val="20"/>
              </w:rPr>
            </w:pPr>
            <w:r>
              <w:rPr>
                <w:rFonts w:ascii="Verdana" w:hAnsi="Verdana"/>
                <w:sz w:val="20"/>
                <w:szCs w:val="20"/>
              </w:rPr>
              <w:t xml:space="preserve">6. </w:t>
            </w:r>
            <w:r w:rsidRPr="00D03343">
              <w:rPr>
                <w:rFonts w:ascii="Verdana" w:hAnsi="Verdana"/>
                <w:sz w:val="20"/>
                <w:szCs w:val="20"/>
              </w:rPr>
              <w:t>От чл. 41, ал. 3 да се изключат дейностите за сътрудничество или да се увеличи максималния размер на финансирането.</w:t>
            </w:r>
          </w:p>
        </w:tc>
        <w:tc>
          <w:tcPr>
            <w:tcW w:w="1629" w:type="dxa"/>
            <w:shd w:val="clear" w:color="auto" w:fill="auto"/>
          </w:tcPr>
          <w:p w14:paraId="7D0BB497" w14:textId="129759D8" w:rsidR="0064536C" w:rsidRPr="005B3673" w:rsidRDefault="0064536C" w:rsidP="00E7505C">
            <w:pPr>
              <w:spacing w:before="60" w:after="20"/>
              <w:rPr>
                <w:rFonts w:ascii="Verdana" w:hAnsi="Verdana"/>
                <w:color w:val="FF0000"/>
                <w:sz w:val="20"/>
                <w:szCs w:val="20"/>
              </w:rPr>
            </w:pPr>
            <w:r w:rsidRPr="00E7505C">
              <w:rPr>
                <w:rFonts w:ascii="Verdana" w:hAnsi="Verdana"/>
                <w:sz w:val="20"/>
                <w:szCs w:val="20"/>
              </w:rPr>
              <w:t>Приема се</w:t>
            </w:r>
          </w:p>
        </w:tc>
        <w:tc>
          <w:tcPr>
            <w:tcW w:w="4522" w:type="dxa"/>
            <w:shd w:val="clear" w:color="auto" w:fill="auto"/>
          </w:tcPr>
          <w:p w14:paraId="451C0A27" w14:textId="77777777" w:rsidR="0064536C" w:rsidRPr="004674B8" w:rsidRDefault="0064536C" w:rsidP="005B3673">
            <w:pPr>
              <w:spacing w:before="60" w:after="20" w:line="360" w:lineRule="auto"/>
              <w:rPr>
                <w:rFonts w:ascii="Verdana" w:hAnsi="Verdana"/>
                <w:sz w:val="20"/>
                <w:szCs w:val="20"/>
              </w:rPr>
            </w:pPr>
          </w:p>
        </w:tc>
      </w:tr>
      <w:tr w:rsidR="005B3673" w:rsidRPr="00F413E2" w14:paraId="5ACEB409" w14:textId="77777777" w:rsidTr="00ED095C">
        <w:trPr>
          <w:jc w:val="center"/>
        </w:trPr>
        <w:tc>
          <w:tcPr>
            <w:tcW w:w="569" w:type="dxa"/>
            <w:tcBorders>
              <w:bottom w:val="single" w:sz="12" w:space="0" w:color="2E74B5"/>
            </w:tcBorders>
            <w:shd w:val="clear" w:color="auto" w:fill="auto"/>
          </w:tcPr>
          <w:p w14:paraId="1A49A4DB" w14:textId="77777777" w:rsidR="005B3673" w:rsidRPr="003C147F" w:rsidRDefault="005B3673" w:rsidP="005B3673">
            <w:pPr>
              <w:pStyle w:val="ListParagraph"/>
              <w:tabs>
                <w:tab w:val="left" w:pos="192"/>
              </w:tabs>
              <w:spacing w:before="60" w:after="20" w:line="360" w:lineRule="auto"/>
              <w:ind w:left="57"/>
              <w:rPr>
                <w:rFonts w:ascii="Verdana" w:hAnsi="Verdana"/>
                <w:b/>
                <w:sz w:val="20"/>
                <w:szCs w:val="20"/>
              </w:rPr>
            </w:pPr>
          </w:p>
        </w:tc>
        <w:tc>
          <w:tcPr>
            <w:tcW w:w="2692" w:type="dxa"/>
            <w:tcBorders>
              <w:bottom w:val="single" w:sz="12" w:space="0" w:color="2E74B5"/>
            </w:tcBorders>
            <w:shd w:val="clear" w:color="auto" w:fill="auto"/>
          </w:tcPr>
          <w:p w14:paraId="164625A0" w14:textId="77777777" w:rsidR="005B3673" w:rsidRDefault="005B3673" w:rsidP="00A43684">
            <w:pPr>
              <w:spacing w:before="60" w:after="20"/>
              <w:rPr>
                <w:rFonts w:ascii="Verdana" w:hAnsi="Verdana"/>
                <w:spacing w:val="-2"/>
                <w:sz w:val="20"/>
                <w:szCs w:val="20"/>
              </w:rPr>
            </w:pPr>
          </w:p>
        </w:tc>
        <w:tc>
          <w:tcPr>
            <w:tcW w:w="6237" w:type="dxa"/>
            <w:tcBorders>
              <w:bottom w:val="single" w:sz="12" w:space="0" w:color="2E74B5"/>
            </w:tcBorders>
            <w:shd w:val="clear" w:color="auto" w:fill="auto"/>
          </w:tcPr>
          <w:p w14:paraId="1C1E2A38" w14:textId="5BC1CFBB" w:rsidR="005B3673" w:rsidRPr="001A1452" w:rsidRDefault="00D03343" w:rsidP="00D03343">
            <w:pPr>
              <w:spacing w:before="60" w:after="20"/>
              <w:jc w:val="both"/>
              <w:rPr>
                <w:rFonts w:ascii="Verdana" w:hAnsi="Verdana"/>
                <w:sz w:val="20"/>
                <w:szCs w:val="20"/>
              </w:rPr>
            </w:pPr>
            <w:r>
              <w:rPr>
                <w:rFonts w:ascii="Verdana" w:hAnsi="Verdana"/>
                <w:sz w:val="20"/>
                <w:szCs w:val="20"/>
              </w:rPr>
              <w:t>7.</w:t>
            </w:r>
            <w:r w:rsidRPr="00D03343">
              <w:rPr>
                <w:rFonts w:ascii="Verdana" w:hAnsi="Verdana"/>
                <w:sz w:val="20"/>
                <w:szCs w:val="20"/>
              </w:rPr>
              <w:t xml:space="preserve"> В чл. 47, ал. 2 да се предвиди, че МИГ/МИРГ имат право да извършва посещение на място на бенефициентите.</w:t>
            </w:r>
          </w:p>
        </w:tc>
        <w:tc>
          <w:tcPr>
            <w:tcW w:w="1629" w:type="dxa"/>
            <w:tcBorders>
              <w:bottom w:val="single" w:sz="12" w:space="0" w:color="2E74B5"/>
            </w:tcBorders>
            <w:shd w:val="clear" w:color="auto" w:fill="auto"/>
          </w:tcPr>
          <w:p w14:paraId="4C465792" w14:textId="056EB93D" w:rsidR="005B3673" w:rsidRPr="00E7505C" w:rsidRDefault="005B3673" w:rsidP="00E7505C">
            <w:pPr>
              <w:spacing w:before="60" w:after="20"/>
              <w:rPr>
                <w:rFonts w:ascii="Verdana" w:hAnsi="Verdana"/>
                <w:sz w:val="20"/>
                <w:szCs w:val="20"/>
              </w:rPr>
            </w:pPr>
            <w:r w:rsidRPr="00E7505C">
              <w:rPr>
                <w:rFonts w:ascii="Verdana" w:hAnsi="Verdana"/>
                <w:sz w:val="20"/>
                <w:szCs w:val="20"/>
              </w:rPr>
              <w:t>Приема се</w:t>
            </w:r>
          </w:p>
        </w:tc>
        <w:tc>
          <w:tcPr>
            <w:tcW w:w="4522" w:type="dxa"/>
            <w:tcBorders>
              <w:bottom w:val="single" w:sz="12" w:space="0" w:color="2E74B5"/>
            </w:tcBorders>
            <w:shd w:val="clear" w:color="auto" w:fill="auto"/>
          </w:tcPr>
          <w:p w14:paraId="419A62D7" w14:textId="77777777" w:rsidR="005B3673" w:rsidRPr="004674B8" w:rsidRDefault="005B3673" w:rsidP="005B3673">
            <w:pPr>
              <w:spacing w:before="60" w:after="20" w:line="360" w:lineRule="auto"/>
              <w:rPr>
                <w:rFonts w:ascii="Verdana" w:hAnsi="Verdana"/>
                <w:sz w:val="20"/>
                <w:szCs w:val="20"/>
              </w:rPr>
            </w:pPr>
          </w:p>
        </w:tc>
      </w:tr>
      <w:tr w:rsidR="00D04489" w:rsidRPr="00F413E2" w14:paraId="60622614" w14:textId="77777777" w:rsidTr="00ED095C">
        <w:trPr>
          <w:jc w:val="center"/>
        </w:trPr>
        <w:tc>
          <w:tcPr>
            <w:tcW w:w="569" w:type="dxa"/>
            <w:tcBorders>
              <w:top w:val="single" w:sz="12" w:space="0" w:color="2E74B5"/>
              <w:bottom w:val="nil"/>
            </w:tcBorders>
            <w:shd w:val="clear" w:color="auto" w:fill="auto"/>
          </w:tcPr>
          <w:p w14:paraId="3F9058A3" w14:textId="77777777" w:rsidR="00D04489" w:rsidRPr="00B634C1" w:rsidRDefault="00D04489" w:rsidP="00B634C1">
            <w:pPr>
              <w:pStyle w:val="ListParagraph"/>
              <w:numPr>
                <w:ilvl w:val="0"/>
                <w:numId w:val="31"/>
              </w:numPr>
              <w:tabs>
                <w:tab w:val="left" w:pos="192"/>
              </w:tabs>
              <w:spacing w:before="60" w:after="20" w:line="360" w:lineRule="auto"/>
              <w:rPr>
                <w:rFonts w:ascii="Verdana" w:hAnsi="Verdana"/>
                <w:b/>
                <w:sz w:val="20"/>
                <w:szCs w:val="20"/>
              </w:rPr>
            </w:pPr>
          </w:p>
        </w:tc>
        <w:tc>
          <w:tcPr>
            <w:tcW w:w="2692" w:type="dxa"/>
            <w:vMerge w:val="restart"/>
            <w:tcBorders>
              <w:top w:val="single" w:sz="12" w:space="0" w:color="2E74B5"/>
              <w:bottom w:val="nil"/>
            </w:tcBorders>
            <w:shd w:val="clear" w:color="auto" w:fill="auto"/>
          </w:tcPr>
          <w:p w14:paraId="000072C4" w14:textId="4B12F95F" w:rsidR="00D04489" w:rsidRDefault="00D04489" w:rsidP="001F2019">
            <w:pPr>
              <w:spacing w:before="60" w:after="20"/>
              <w:rPr>
                <w:rFonts w:ascii="Verdana" w:hAnsi="Verdana"/>
                <w:spacing w:val="-2"/>
                <w:sz w:val="20"/>
                <w:szCs w:val="20"/>
                <w:lang w:val="en-US"/>
              </w:rPr>
            </w:pPr>
            <w:r w:rsidRPr="00670165">
              <w:rPr>
                <w:rFonts w:ascii="Verdana" w:hAnsi="Verdana"/>
                <w:spacing w:val="-2"/>
                <w:sz w:val="20"/>
                <w:szCs w:val="20"/>
                <w:lang w:val="en-US"/>
              </w:rPr>
              <w:t>МИГ Костенец</w:t>
            </w:r>
          </w:p>
          <w:p w14:paraId="1FA53FA8" w14:textId="43A8210E" w:rsidR="00D04489" w:rsidRPr="00A43684" w:rsidRDefault="00D04489" w:rsidP="001F2019">
            <w:pPr>
              <w:spacing w:before="60" w:after="20"/>
              <w:rPr>
                <w:rFonts w:ascii="Verdana" w:hAnsi="Verdana"/>
                <w:spacing w:val="-2"/>
                <w:sz w:val="20"/>
                <w:szCs w:val="20"/>
                <w:lang w:val="en-US"/>
              </w:rPr>
            </w:pPr>
            <w:r>
              <w:rPr>
                <w:rFonts w:ascii="Verdana" w:hAnsi="Verdana"/>
                <w:spacing w:val="-2"/>
                <w:sz w:val="20"/>
                <w:szCs w:val="20"/>
                <w:lang w:val="en-US"/>
              </w:rPr>
              <w:t>(</w:t>
            </w:r>
            <w:r>
              <w:rPr>
                <w:rFonts w:ascii="Verdana" w:hAnsi="Verdana"/>
                <w:spacing w:val="-2"/>
                <w:sz w:val="20"/>
                <w:szCs w:val="20"/>
              </w:rPr>
              <w:t xml:space="preserve">Портал за обществени консултации на </w:t>
            </w:r>
            <w:r w:rsidR="00B634C1">
              <w:rPr>
                <w:rFonts w:ascii="Verdana" w:hAnsi="Verdana"/>
                <w:spacing w:val="-2"/>
                <w:sz w:val="20"/>
                <w:szCs w:val="20"/>
              </w:rPr>
              <w:br/>
            </w:r>
            <w:r>
              <w:rPr>
                <w:rFonts w:ascii="Verdana" w:hAnsi="Verdana"/>
                <w:spacing w:val="-2"/>
                <w:sz w:val="20"/>
                <w:szCs w:val="20"/>
                <w:lang w:val="en-US"/>
              </w:rPr>
              <w:t>7</w:t>
            </w:r>
            <w:r>
              <w:rPr>
                <w:rFonts w:ascii="Verdana" w:hAnsi="Verdana"/>
                <w:spacing w:val="-2"/>
                <w:sz w:val="20"/>
                <w:szCs w:val="20"/>
              </w:rPr>
              <w:t xml:space="preserve"> ноември 2024 г.</w:t>
            </w:r>
            <w:r>
              <w:rPr>
                <w:rFonts w:ascii="Verdana" w:hAnsi="Verdana"/>
                <w:spacing w:val="-2"/>
                <w:sz w:val="20"/>
                <w:szCs w:val="20"/>
                <w:lang w:val="en-US"/>
              </w:rPr>
              <w:t>)</w:t>
            </w:r>
          </w:p>
        </w:tc>
        <w:tc>
          <w:tcPr>
            <w:tcW w:w="6237" w:type="dxa"/>
            <w:tcBorders>
              <w:top w:val="single" w:sz="12" w:space="0" w:color="2E74B5"/>
              <w:bottom w:val="nil"/>
            </w:tcBorders>
            <w:shd w:val="clear" w:color="auto" w:fill="auto"/>
          </w:tcPr>
          <w:p w14:paraId="2187CCBA" w14:textId="2A62C637" w:rsidR="00D04489" w:rsidRPr="001A1452" w:rsidRDefault="00D04489" w:rsidP="00D04489">
            <w:pPr>
              <w:spacing w:before="60" w:after="20"/>
              <w:rPr>
                <w:rFonts w:ascii="Verdana" w:hAnsi="Verdana"/>
                <w:sz w:val="20"/>
                <w:szCs w:val="20"/>
              </w:rPr>
            </w:pPr>
            <w:r w:rsidRPr="00670165">
              <w:rPr>
                <w:rFonts w:ascii="Verdana" w:hAnsi="Verdana"/>
                <w:sz w:val="20"/>
                <w:szCs w:val="20"/>
              </w:rPr>
              <w:t>Коментари от МИГ Костенец</w:t>
            </w:r>
          </w:p>
        </w:tc>
        <w:tc>
          <w:tcPr>
            <w:tcW w:w="1629" w:type="dxa"/>
            <w:tcBorders>
              <w:top w:val="single" w:sz="12" w:space="0" w:color="2E74B5"/>
              <w:bottom w:val="nil"/>
            </w:tcBorders>
            <w:shd w:val="clear" w:color="auto" w:fill="auto"/>
          </w:tcPr>
          <w:p w14:paraId="71C5B3FD" w14:textId="77777777" w:rsidR="00D04489" w:rsidRPr="004674B8" w:rsidRDefault="00D04489" w:rsidP="005B3673">
            <w:pPr>
              <w:spacing w:before="60" w:after="20"/>
              <w:rPr>
                <w:rFonts w:ascii="Verdana" w:hAnsi="Verdana"/>
                <w:sz w:val="20"/>
                <w:szCs w:val="20"/>
              </w:rPr>
            </w:pPr>
          </w:p>
        </w:tc>
        <w:tc>
          <w:tcPr>
            <w:tcW w:w="4522" w:type="dxa"/>
            <w:tcBorders>
              <w:top w:val="single" w:sz="12" w:space="0" w:color="2E74B5"/>
              <w:bottom w:val="nil"/>
            </w:tcBorders>
            <w:shd w:val="clear" w:color="auto" w:fill="auto"/>
          </w:tcPr>
          <w:p w14:paraId="4896E87F" w14:textId="18BDDDF4" w:rsidR="00667B50" w:rsidRPr="004674B8" w:rsidRDefault="00667B50" w:rsidP="004F3C34">
            <w:pPr>
              <w:spacing w:before="60" w:after="20"/>
              <w:jc w:val="both"/>
              <w:rPr>
                <w:rFonts w:ascii="Verdana" w:hAnsi="Verdana"/>
                <w:sz w:val="20"/>
                <w:szCs w:val="20"/>
              </w:rPr>
            </w:pPr>
          </w:p>
        </w:tc>
      </w:tr>
      <w:tr w:rsidR="00D04489" w:rsidRPr="00F413E2" w14:paraId="06BD3B69" w14:textId="77777777" w:rsidTr="00ED095C">
        <w:trPr>
          <w:jc w:val="center"/>
        </w:trPr>
        <w:tc>
          <w:tcPr>
            <w:tcW w:w="569" w:type="dxa"/>
            <w:tcBorders>
              <w:top w:val="nil"/>
            </w:tcBorders>
            <w:shd w:val="clear" w:color="auto" w:fill="auto"/>
          </w:tcPr>
          <w:p w14:paraId="478125F8" w14:textId="77777777" w:rsidR="00D04489" w:rsidRPr="003C147F" w:rsidRDefault="00D04489" w:rsidP="002840D4">
            <w:pPr>
              <w:pStyle w:val="ListParagraph"/>
              <w:tabs>
                <w:tab w:val="left" w:pos="192"/>
              </w:tabs>
              <w:spacing w:before="60" w:after="20" w:line="360" w:lineRule="auto"/>
              <w:ind w:left="57"/>
              <w:rPr>
                <w:rFonts w:ascii="Verdana" w:hAnsi="Verdana"/>
                <w:b/>
                <w:sz w:val="20"/>
                <w:szCs w:val="20"/>
              </w:rPr>
            </w:pPr>
          </w:p>
        </w:tc>
        <w:tc>
          <w:tcPr>
            <w:tcW w:w="2692" w:type="dxa"/>
            <w:vMerge/>
            <w:tcBorders>
              <w:top w:val="nil"/>
            </w:tcBorders>
            <w:shd w:val="clear" w:color="auto" w:fill="auto"/>
          </w:tcPr>
          <w:p w14:paraId="409A8378" w14:textId="77777777" w:rsidR="00D04489" w:rsidRDefault="00D04489" w:rsidP="00A43684">
            <w:pPr>
              <w:spacing w:before="60" w:after="20"/>
              <w:rPr>
                <w:rFonts w:ascii="Verdana" w:hAnsi="Verdana"/>
                <w:spacing w:val="-2"/>
                <w:sz w:val="20"/>
                <w:szCs w:val="20"/>
              </w:rPr>
            </w:pPr>
          </w:p>
        </w:tc>
        <w:tc>
          <w:tcPr>
            <w:tcW w:w="6237" w:type="dxa"/>
            <w:tcBorders>
              <w:top w:val="nil"/>
            </w:tcBorders>
            <w:shd w:val="clear" w:color="auto" w:fill="auto"/>
          </w:tcPr>
          <w:p w14:paraId="76DCDA87" w14:textId="761FE2A2" w:rsidR="00D04489" w:rsidRPr="0057793C" w:rsidRDefault="00D04489" w:rsidP="00670165">
            <w:pPr>
              <w:spacing w:before="60" w:after="20"/>
              <w:jc w:val="both"/>
              <w:rPr>
                <w:rFonts w:ascii="Verdana" w:hAnsi="Verdana"/>
                <w:spacing w:val="-4"/>
                <w:sz w:val="20"/>
                <w:szCs w:val="20"/>
              </w:rPr>
            </w:pPr>
            <w:r w:rsidRPr="0057793C">
              <w:rPr>
                <w:rFonts w:ascii="Verdana" w:hAnsi="Verdana"/>
                <w:spacing w:val="-4"/>
                <w:sz w:val="20"/>
                <w:szCs w:val="20"/>
              </w:rPr>
              <w:t xml:space="preserve">I. Предлагаме в чл. 34. от проекта за ПМС „(1) Местната инициативна група/МИРГ в срок до 15 февруари на следващата календарна година изготвя и представя на УО на СПРЗСР/ УО на ПМДРА годишен доклад за отчитане изпълнението на стратегията за ВОМР. Годишният доклад се одобрява от колективния върховен и колективния управителен орган на МИГ/МИРГ.) да отпадне изречение второ „Годишният доклад се одобрява от колективния върховен и колективния управителен орган на МИГ/МИРГ“ </w:t>
            </w:r>
            <w:r w:rsidRPr="0057793C">
              <w:rPr>
                <w:rFonts w:ascii="Verdana" w:hAnsi="Verdana"/>
                <w:spacing w:val="-4"/>
                <w:sz w:val="20"/>
                <w:szCs w:val="20"/>
              </w:rPr>
              <w:lastRenderedPageBreak/>
              <w:t>или да бъде изменено на „Годишният доклад се одобрява от колективния управителен орган на МИГ/МИРГ“.</w:t>
            </w:r>
          </w:p>
          <w:p w14:paraId="6AAE625B" w14:textId="2335CC36" w:rsidR="00D04489" w:rsidRPr="0057793C" w:rsidRDefault="00D04489" w:rsidP="00670165">
            <w:pPr>
              <w:spacing w:before="60" w:after="20"/>
              <w:jc w:val="both"/>
              <w:rPr>
                <w:rFonts w:ascii="Verdana" w:hAnsi="Verdana"/>
                <w:spacing w:val="-4"/>
                <w:sz w:val="20"/>
                <w:szCs w:val="20"/>
              </w:rPr>
            </w:pPr>
            <w:r w:rsidRPr="0057793C">
              <w:rPr>
                <w:rFonts w:ascii="Verdana" w:hAnsi="Verdana"/>
                <w:spacing w:val="-4"/>
                <w:sz w:val="20"/>
                <w:szCs w:val="20"/>
              </w:rPr>
              <w:t>Мотиви: Изискването годишният доклад да се одобрява от Общото събрание на МИГ не съществува в момента. Необходимостта, в началото на годината – най-натоварения период за МИГ, когато те подготвят годишните си заявки за плащане, годишни отчети и доклади към различни институции, извършват годишно счетоводно приключване и др., да провеждат общо събрание само за одобрение на конкретния доклад, представлява нова, необоснована и значителна административна тежест за екипите на МИГ. Годишните доклади се изготвят до 15 февруари и съгласно чл. 47 ал. 5 от проекта на ПМС от одобрението им от УО зависят плащанията за интервенцията за управление, мониторинг и оценка на стратегията на МИГ за годината. Общите събрания на МИГ най-често включват над 30-40 членове, свикването и провеждането им се осъществява по подробно регламентирана в закона и устава процедура, определяща сроковете  и начините за връчването на поканите на всички членове, която ангажира значителен времеви и човешки ресурс.</w:t>
            </w:r>
          </w:p>
          <w:p w14:paraId="02B26D69" w14:textId="4158F779" w:rsidR="00D04489" w:rsidRPr="0057793C" w:rsidRDefault="00D04489" w:rsidP="00670165">
            <w:pPr>
              <w:spacing w:before="60" w:after="20"/>
              <w:jc w:val="both"/>
              <w:rPr>
                <w:rFonts w:ascii="Verdana" w:hAnsi="Verdana"/>
                <w:spacing w:val="-4"/>
                <w:sz w:val="20"/>
                <w:szCs w:val="20"/>
              </w:rPr>
            </w:pPr>
            <w:r w:rsidRPr="0057793C">
              <w:rPr>
                <w:rFonts w:ascii="Verdana" w:hAnsi="Verdana"/>
                <w:spacing w:val="-4"/>
                <w:sz w:val="20"/>
                <w:szCs w:val="20"/>
              </w:rPr>
              <w:t xml:space="preserve">Одобряването на отчети от Общото събрание на ЮЛНЦ е уредено в Закона за юридическите лица с нестопанска цел. Съгласно чл. 25 ал. 1 т. 11 от ЗЮЛНЦ, Общото събрание „приема отчета за дейността на управителния съвет“. Този отчет съдържа информация за цялата дейност на МИГ, включително за изпълнение на Стратегията за ВОМР. В чл. 40 ал. 2 от ЗЮЛНЦ е описано задължителното съдържание на годишните доклади на ЮЛНЦ. В ал. 3 на същия член е регламентиран и срокът за публикуване на годишните доклади за дейността и ГФО в Регистъра на ЮЛНЦ, воден от Агенцията по вписванията – до 30 септември на годината, следваща годината, за която се отнасят. В ПМС се създава ново задължение с нов срок, които считаме за ненужни. Изготвяне на годишен доклад </w:t>
            </w:r>
            <w:r w:rsidRPr="0057793C">
              <w:rPr>
                <w:rFonts w:ascii="Verdana" w:hAnsi="Verdana"/>
                <w:spacing w:val="-4"/>
                <w:sz w:val="20"/>
                <w:szCs w:val="20"/>
              </w:rPr>
              <w:lastRenderedPageBreak/>
              <w:t>за изпълнение на СВОМР е административно задължение на МИГ по конкретния договор за финансиране, със съдържание, определено от Управляващия орган, което е редно да се извършва от административния екип на МИГ и като част от оперативната дейност за управление на МИГ да се одобрява само от Управителния орган на МИГ (УС). Практиката е МИГ да свиква общото събрание в удобен за тях период, когато има повече въпроси за решаване, от компетентността на този орган, и не е обосновано свикването му да се изисква преди 15 февруари единствено за одобрение на още един годишен доклад, който не е регламентиран в ЗЮЛНЦ.</w:t>
            </w:r>
          </w:p>
        </w:tc>
        <w:tc>
          <w:tcPr>
            <w:tcW w:w="1629" w:type="dxa"/>
            <w:tcBorders>
              <w:top w:val="nil"/>
            </w:tcBorders>
            <w:shd w:val="clear" w:color="auto" w:fill="auto"/>
          </w:tcPr>
          <w:p w14:paraId="121C0E51" w14:textId="03498612" w:rsidR="00D04489" w:rsidRPr="004674B8" w:rsidRDefault="00D04489" w:rsidP="005B3673">
            <w:pPr>
              <w:spacing w:before="60" w:after="20"/>
              <w:rPr>
                <w:rFonts w:ascii="Verdana" w:hAnsi="Verdana"/>
                <w:sz w:val="20"/>
                <w:szCs w:val="20"/>
              </w:rPr>
            </w:pPr>
            <w:r w:rsidRPr="00E00E90">
              <w:rPr>
                <w:rFonts w:ascii="Verdana" w:hAnsi="Verdana"/>
                <w:sz w:val="20"/>
                <w:szCs w:val="20"/>
              </w:rPr>
              <w:lastRenderedPageBreak/>
              <w:t>Не се приема</w:t>
            </w:r>
          </w:p>
        </w:tc>
        <w:tc>
          <w:tcPr>
            <w:tcW w:w="4522" w:type="dxa"/>
            <w:tcBorders>
              <w:top w:val="nil"/>
            </w:tcBorders>
            <w:shd w:val="clear" w:color="auto" w:fill="auto"/>
          </w:tcPr>
          <w:p w14:paraId="387B9638" w14:textId="77777777" w:rsidR="004F3C34" w:rsidRPr="004F3C34" w:rsidRDefault="004F3C34" w:rsidP="004F3C34">
            <w:pPr>
              <w:spacing w:before="60" w:after="20"/>
              <w:jc w:val="both"/>
              <w:rPr>
                <w:rFonts w:ascii="Verdana" w:hAnsi="Verdana"/>
                <w:sz w:val="20"/>
                <w:szCs w:val="20"/>
              </w:rPr>
            </w:pPr>
            <w:r w:rsidRPr="004F3C34">
              <w:rPr>
                <w:rFonts w:ascii="Verdana" w:hAnsi="Verdana"/>
                <w:sz w:val="20"/>
                <w:szCs w:val="20"/>
              </w:rPr>
              <w:t>Въведеното задължение е във връзка с препоръки от одит на Сметаната палата.</w:t>
            </w:r>
          </w:p>
          <w:p w14:paraId="595E039B" w14:textId="783EC4CC" w:rsidR="00D04489" w:rsidRPr="004674B8" w:rsidRDefault="004F3C34" w:rsidP="004F3C34">
            <w:pPr>
              <w:spacing w:before="60" w:after="20"/>
              <w:jc w:val="both"/>
              <w:rPr>
                <w:rFonts w:ascii="Verdana" w:hAnsi="Verdana"/>
                <w:sz w:val="20"/>
                <w:szCs w:val="20"/>
              </w:rPr>
            </w:pPr>
            <w:r w:rsidRPr="004F3C34">
              <w:rPr>
                <w:rFonts w:ascii="Verdana" w:hAnsi="Verdana"/>
                <w:sz w:val="20"/>
                <w:szCs w:val="20"/>
              </w:rPr>
              <w:t>Годишният доклад не е идентичен с годишните отчети, задължителни по правилата на ЗЮЛНЦ.</w:t>
            </w:r>
          </w:p>
        </w:tc>
      </w:tr>
      <w:tr w:rsidR="00670165" w:rsidRPr="00F413E2" w14:paraId="3346710A" w14:textId="77777777" w:rsidTr="00B706DB">
        <w:trPr>
          <w:jc w:val="center"/>
        </w:trPr>
        <w:tc>
          <w:tcPr>
            <w:tcW w:w="569" w:type="dxa"/>
            <w:shd w:val="clear" w:color="auto" w:fill="auto"/>
          </w:tcPr>
          <w:p w14:paraId="658D8F6E" w14:textId="77777777" w:rsidR="00670165" w:rsidRPr="003C147F" w:rsidRDefault="00670165"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02C45624" w14:textId="77777777" w:rsidR="00670165" w:rsidRDefault="00670165" w:rsidP="00A43684">
            <w:pPr>
              <w:spacing w:before="60" w:after="20"/>
              <w:rPr>
                <w:rFonts w:ascii="Verdana" w:hAnsi="Verdana"/>
                <w:spacing w:val="-2"/>
                <w:sz w:val="20"/>
                <w:szCs w:val="20"/>
              </w:rPr>
            </w:pPr>
          </w:p>
        </w:tc>
        <w:tc>
          <w:tcPr>
            <w:tcW w:w="6237" w:type="dxa"/>
            <w:shd w:val="clear" w:color="auto" w:fill="auto"/>
          </w:tcPr>
          <w:p w14:paraId="73B3A9F6" w14:textId="63CAD603" w:rsidR="00C91C64" w:rsidRPr="0057793C" w:rsidRDefault="00C91C64" w:rsidP="00C91C64">
            <w:pPr>
              <w:spacing w:before="60" w:after="20"/>
              <w:jc w:val="both"/>
              <w:rPr>
                <w:rFonts w:ascii="Verdana" w:hAnsi="Verdana"/>
                <w:spacing w:val="-4"/>
                <w:sz w:val="20"/>
                <w:szCs w:val="20"/>
              </w:rPr>
            </w:pPr>
            <w:r w:rsidRPr="0057793C">
              <w:rPr>
                <w:rFonts w:ascii="Verdana" w:hAnsi="Verdana"/>
                <w:spacing w:val="-4"/>
                <w:sz w:val="20"/>
                <w:szCs w:val="20"/>
              </w:rPr>
              <w:t>II. Предлагаме в чл. 39, ал. 8 текста „(8) Председателят, секретарят и помощник-оценителите трябва да притежават необходимата квалификация и опит съобразно вида на оценяваните проекти. ….“ да отпадне или да се промени на „Председателят, секретарят и членовете с право на глас на оценителната комисия, помощник-оценителите и наблюдателите трябва да притежават необходимата професионална компетентност за изпълнение на задачите, възложени им със заповедта за назначаване на комисията“ – по аналогия с текста на чл. 17 ал. 1 от ПМС № 23/2023 г.</w:t>
            </w:r>
          </w:p>
          <w:p w14:paraId="41295B20" w14:textId="690CC89E" w:rsidR="00670165" w:rsidRPr="0057793C" w:rsidRDefault="00C91C64" w:rsidP="00C91C64">
            <w:pPr>
              <w:spacing w:before="60" w:after="20"/>
              <w:jc w:val="both"/>
              <w:rPr>
                <w:rFonts w:ascii="Verdana" w:hAnsi="Verdana"/>
                <w:spacing w:val="-4"/>
                <w:sz w:val="20"/>
                <w:szCs w:val="20"/>
              </w:rPr>
            </w:pPr>
            <w:r w:rsidRPr="0057793C">
              <w:rPr>
                <w:rFonts w:ascii="Verdana" w:hAnsi="Verdana"/>
                <w:spacing w:val="-4"/>
                <w:sz w:val="20"/>
                <w:szCs w:val="20"/>
              </w:rPr>
              <w:t>Мотиви: На първо място, същото изискване към членовете на комисията – външни оценители вече фигурира в ал. 5 на същия член. На следващо място – председателят и секретарят не са членове с право на глас и не участват в оценката на проектите, а извършват административна работа, поради което не е обосновано да се изисква да притежават „квалификация и опит съобразно вида на оценяваните проекти“, а съобразно задачите им в комисията.</w:t>
            </w:r>
          </w:p>
        </w:tc>
        <w:tc>
          <w:tcPr>
            <w:tcW w:w="1629" w:type="dxa"/>
            <w:shd w:val="clear" w:color="auto" w:fill="auto"/>
          </w:tcPr>
          <w:p w14:paraId="6A99AF5E" w14:textId="72CE1101" w:rsidR="00670165" w:rsidRPr="002840D4" w:rsidRDefault="00670165" w:rsidP="00667B50">
            <w:pPr>
              <w:spacing w:before="60" w:after="20"/>
              <w:rPr>
                <w:rFonts w:ascii="Verdana" w:hAnsi="Verdana"/>
                <w:color w:val="FF0000"/>
                <w:sz w:val="20"/>
                <w:szCs w:val="20"/>
              </w:rPr>
            </w:pPr>
            <w:r w:rsidRPr="00667B50">
              <w:rPr>
                <w:rFonts w:ascii="Verdana" w:hAnsi="Verdana"/>
                <w:sz w:val="20"/>
                <w:szCs w:val="20"/>
              </w:rPr>
              <w:t>Приема се</w:t>
            </w:r>
          </w:p>
        </w:tc>
        <w:tc>
          <w:tcPr>
            <w:tcW w:w="4522" w:type="dxa"/>
            <w:shd w:val="clear" w:color="auto" w:fill="auto"/>
          </w:tcPr>
          <w:p w14:paraId="24E9AAB4" w14:textId="77777777" w:rsidR="00670165" w:rsidRPr="004674B8" w:rsidRDefault="00670165" w:rsidP="005B3673">
            <w:pPr>
              <w:spacing w:before="60" w:after="20" w:line="360" w:lineRule="auto"/>
              <w:rPr>
                <w:rFonts w:ascii="Verdana" w:hAnsi="Verdana"/>
                <w:sz w:val="20"/>
                <w:szCs w:val="20"/>
              </w:rPr>
            </w:pPr>
          </w:p>
        </w:tc>
      </w:tr>
      <w:tr w:rsidR="00670165" w:rsidRPr="00F413E2" w14:paraId="06526DB7" w14:textId="77777777" w:rsidTr="00B706DB">
        <w:trPr>
          <w:jc w:val="center"/>
        </w:trPr>
        <w:tc>
          <w:tcPr>
            <w:tcW w:w="569" w:type="dxa"/>
            <w:shd w:val="clear" w:color="auto" w:fill="auto"/>
          </w:tcPr>
          <w:p w14:paraId="4CAB776F" w14:textId="77777777" w:rsidR="00670165" w:rsidRPr="003C147F" w:rsidRDefault="00670165"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6911CA31" w14:textId="77777777" w:rsidR="00670165" w:rsidRDefault="00670165" w:rsidP="00A43684">
            <w:pPr>
              <w:spacing w:before="60" w:after="20"/>
              <w:rPr>
                <w:rFonts w:ascii="Verdana" w:hAnsi="Verdana"/>
                <w:spacing w:val="-2"/>
                <w:sz w:val="20"/>
                <w:szCs w:val="20"/>
              </w:rPr>
            </w:pPr>
          </w:p>
        </w:tc>
        <w:tc>
          <w:tcPr>
            <w:tcW w:w="6237" w:type="dxa"/>
            <w:shd w:val="clear" w:color="auto" w:fill="auto"/>
          </w:tcPr>
          <w:p w14:paraId="5DBB2303" w14:textId="1865A96D" w:rsidR="00C91C64" w:rsidRPr="00DD3FFE" w:rsidRDefault="00C91C64" w:rsidP="00C91C64">
            <w:pPr>
              <w:spacing w:before="60" w:after="20"/>
              <w:jc w:val="both"/>
              <w:rPr>
                <w:rFonts w:ascii="Verdana" w:hAnsi="Verdana"/>
                <w:spacing w:val="-2"/>
                <w:sz w:val="20"/>
                <w:szCs w:val="20"/>
              </w:rPr>
            </w:pPr>
            <w:r w:rsidRPr="00DD3FFE">
              <w:rPr>
                <w:rFonts w:ascii="Verdana" w:hAnsi="Verdana"/>
                <w:spacing w:val="-2"/>
                <w:sz w:val="20"/>
                <w:szCs w:val="20"/>
              </w:rPr>
              <w:t>III. Предлагаме член 40 да отпадне или ал. 1 „(1) Местната инициативна група/МИРГ изпраща покана за участие на наблюдатели до УО на СПРЗСР/УО на ПМДРА.“</w:t>
            </w:r>
          </w:p>
          <w:p w14:paraId="4B0BF9D7" w14:textId="1B946F80" w:rsidR="00C91C64" w:rsidRPr="00DD3FFE" w:rsidRDefault="00C91C64" w:rsidP="00C91C64">
            <w:pPr>
              <w:spacing w:before="60" w:after="20"/>
              <w:jc w:val="both"/>
              <w:rPr>
                <w:rFonts w:ascii="Verdana" w:hAnsi="Verdana"/>
                <w:spacing w:val="-2"/>
                <w:sz w:val="20"/>
                <w:szCs w:val="20"/>
              </w:rPr>
            </w:pPr>
            <w:r w:rsidRPr="00DD3FFE">
              <w:rPr>
                <w:rFonts w:ascii="Verdana" w:hAnsi="Verdana"/>
                <w:spacing w:val="-2"/>
                <w:sz w:val="20"/>
                <w:szCs w:val="20"/>
              </w:rPr>
              <w:lastRenderedPageBreak/>
              <w:t>да се промени на</w:t>
            </w:r>
          </w:p>
          <w:p w14:paraId="37A1E8F2" w14:textId="41FEB139" w:rsidR="00C91C64" w:rsidRPr="00DD3FFE" w:rsidRDefault="00C91C64" w:rsidP="00C91C64">
            <w:pPr>
              <w:spacing w:before="60" w:after="20"/>
              <w:jc w:val="both"/>
              <w:rPr>
                <w:rFonts w:ascii="Verdana" w:hAnsi="Verdana"/>
                <w:spacing w:val="-2"/>
                <w:sz w:val="20"/>
                <w:szCs w:val="20"/>
              </w:rPr>
            </w:pPr>
            <w:r w:rsidRPr="00DD3FFE">
              <w:rPr>
                <w:rFonts w:ascii="Verdana" w:hAnsi="Verdana"/>
                <w:spacing w:val="-2"/>
                <w:sz w:val="20"/>
                <w:szCs w:val="20"/>
              </w:rPr>
              <w:t>„Местната инициативна група/МИРГ изпраща покана за участие на наблюдатели до ДФЗ/УО на ПМДРА“ като следващите алинеи да бъдат коригирани, съобразно тази промяна.</w:t>
            </w:r>
          </w:p>
          <w:p w14:paraId="6A86B714" w14:textId="5972605B" w:rsidR="00670165" w:rsidRPr="001A1452" w:rsidRDefault="00C91C64" w:rsidP="00C91C64">
            <w:pPr>
              <w:spacing w:before="60" w:after="20"/>
              <w:jc w:val="both"/>
              <w:rPr>
                <w:rFonts w:ascii="Verdana" w:hAnsi="Verdana"/>
                <w:sz w:val="20"/>
                <w:szCs w:val="20"/>
              </w:rPr>
            </w:pPr>
            <w:r w:rsidRPr="00DD3FFE">
              <w:rPr>
                <w:rFonts w:ascii="Verdana" w:hAnsi="Verdana"/>
                <w:spacing w:val="-2"/>
                <w:sz w:val="20"/>
                <w:szCs w:val="20"/>
              </w:rPr>
              <w:t>Мотиви: Съгласно чл. 43 и 44 от проекта на ПМС, органът, който извършва проверка и одобрява проведените процедури за оценка и проекти към МИГ е ДФЗ. Изпращането на покана за наблюдатели до УО на СПРЗСР и последващата процедура, завършваща с изготвяне на доклад, представляват единствено административна тежест, както за МИГ, така и за УО на СПРЗСР, тъй като този доклад няма за резултат одобрение на проведената оценка. Независимо от това дали са участвали наблюдатели от страна на УО на СПРЗСР  и дали техния доклад е положителен, той не ангажира експертите от ДФЗ с констатациите в него и те на самостоятелно основание извършват цялостна проверка и одобряват оценителната процедура и проектите. Практиката по оперативните програми от настоящия програмен период, показа че участието на наблюдател има смисъл и подпомага законосъобразното извършване на оценката, когато наблюдателят е лице, което впоследствие участва в одобрението на самия оценителен доклад на МИГ.</w:t>
            </w:r>
          </w:p>
        </w:tc>
        <w:tc>
          <w:tcPr>
            <w:tcW w:w="1629" w:type="dxa"/>
            <w:shd w:val="clear" w:color="auto" w:fill="auto"/>
          </w:tcPr>
          <w:p w14:paraId="4D2A6F14" w14:textId="10903E8F" w:rsidR="00670165" w:rsidRPr="002840D4" w:rsidRDefault="00670165" w:rsidP="00667B50">
            <w:pPr>
              <w:spacing w:before="60" w:after="20"/>
              <w:rPr>
                <w:rFonts w:ascii="Verdana" w:hAnsi="Verdana"/>
                <w:color w:val="FF0000"/>
                <w:sz w:val="20"/>
                <w:szCs w:val="20"/>
              </w:rPr>
            </w:pPr>
            <w:r w:rsidRPr="00667B50">
              <w:rPr>
                <w:rFonts w:ascii="Verdana" w:hAnsi="Verdana"/>
                <w:sz w:val="20"/>
                <w:szCs w:val="20"/>
              </w:rPr>
              <w:lastRenderedPageBreak/>
              <w:t>Приема се</w:t>
            </w:r>
            <w:r w:rsidR="00667B50" w:rsidRPr="00667B50">
              <w:rPr>
                <w:rFonts w:ascii="Verdana" w:hAnsi="Verdana"/>
                <w:sz w:val="20"/>
                <w:szCs w:val="20"/>
              </w:rPr>
              <w:t xml:space="preserve"> по принцип</w:t>
            </w:r>
          </w:p>
        </w:tc>
        <w:tc>
          <w:tcPr>
            <w:tcW w:w="4522" w:type="dxa"/>
            <w:shd w:val="clear" w:color="auto" w:fill="auto"/>
          </w:tcPr>
          <w:p w14:paraId="6FF432EC" w14:textId="4B529108" w:rsidR="00670165" w:rsidRPr="004674B8" w:rsidRDefault="00667B50" w:rsidP="003243DC">
            <w:pPr>
              <w:spacing w:before="60" w:after="20"/>
              <w:jc w:val="both"/>
              <w:rPr>
                <w:rFonts w:ascii="Verdana" w:hAnsi="Verdana"/>
                <w:sz w:val="20"/>
                <w:szCs w:val="20"/>
              </w:rPr>
            </w:pPr>
            <w:r>
              <w:rPr>
                <w:rFonts w:ascii="Verdana" w:hAnsi="Verdana"/>
                <w:sz w:val="20"/>
                <w:szCs w:val="20"/>
              </w:rPr>
              <w:t>Считаме, че е необходимо поканата да се изпраща и до двата органа.</w:t>
            </w:r>
          </w:p>
        </w:tc>
      </w:tr>
      <w:tr w:rsidR="00670165" w:rsidRPr="00F413E2" w14:paraId="1B2EDDB8" w14:textId="77777777" w:rsidTr="00B706DB">
        <w:trPr>
          <w:jc w:val="center"/>
        </w:trPr>
        <w:tc>
          <w:tcPr>
            <w:tcW w:w="569" w:type="dxa"/>
            <w:shd w:val="clear" w:color="auto" w:fill="auto"/>
          </w:tcPr>
          <w:p w14:paraId="30CA1418" w14:textId="77777777" w:rsidR="00670165" w:rsidRPr="003C147F" w:rsidRDefault="00670165"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5371A9D2" w14:textId="77777777" w:rsidR="00670165" w:rsidRDefault="00670165" w:rsidP="00A43684">
            <w:pPr>
              <w:spacing w:before="60" w:after="20"/>
              <w:rPr>
                <w:rFonts w:ascii="Verdana" w:hAnsi="Verdana"/>
                <w:spacing w:val="-2"/>
                <w:sz w:val="20"/>
                <w:szCs w:val="20"/>
              </w:rPr>
            </w:pPr>
          </w:p>
        </w:tc>
        <w:tc>
          <w:tcPr>
            <w:tcW w:w="6237" w:type="dxa"/>
            <w:shd w:val="clear" w:color="auto" w:fill="auto"/>
          </w:tcPr>
          <w:p w14:paraId="1C61A51E" w14:textId="77777777" w:rsidR="003439C8" w:rsidRPr="0057793C" w:rsidRDefault="003439C8" w:rsidP="003439C8">
            <w:pPr>
              <w:spacing w:before="60" w:after="20"/>
              <w:jc w:val="both"/>
              <w:rPr>
                <w:rFonts w:ascii="Verdana" w:hAnsi="Verdana"/>
                <w:spacing w:val="-4"/>
                <w:sz w:val="20"/>
                <w:szCs w:val="20"/>
              </w:rPr>
            </w:pPr>
            <w:r w:rsidRPr="0057793C">
              <w:rPr>
                <w:rFonts w:ascii="Verdana" w:hAnsi="Verdana"/>
                <w:spacing w:val="-4"/>
                <w:sz w:val="20"/>
                <w:szCs w:val="20"/>
              </w:rPr>
              <w:t>IV. Предлагаме да отпадне ал. 7 на чл. 45 „(7) Местната инициативна група/МИРГ носи отговорност за вреди, причинени на бенефициента или на трети лица поради неизпълнение на договорните им задължения.“</w:t>
            </w:r>
          </w:p>
          <w:p w14:paraId="77A0F2C9" w14:textId="71A5BE74" w:rsidR="003439C8" w:rsidRPr="0057793C" w:rsidRDefault="003439C8" w:rsidP="003439C8">
            <w:pPr>
              <w:spacing w:before="60" w:after="20"/>
              <w:jc w:val="both"/>
              <w:rPr>
                <w:rFonts w:ascii="Verdana" w:hAnsi="Verdana"/>
                <w:spacing w:val="-4"/>
                <w:sz w:val="20"/>
                <w:szCs w:val="20"/>
              </w:rPr>
            </w:pPr>
            <w:r w:rsidRPr="0057793C">
              <w:rPr>
                <w:rFonts w:ascii="Verdana" w:hAnsi="Verdana"/>
                <w:spacing w:val="-4"/>
                <w:sz w:val="20"/>
                <w:szCs w:val="20"/>
              </w:rPr>
              <w:t>или да се промени на:</w:t>
            </w:r>
          </w:p>
          <w:p w14:paraId="2E676132" w14:textId="23647EC2" w:rsidR="003439C8" w:rsidRPr="0057793C" w:rsidRDefault="003439C8" w:rsidP="003439C8">
            <w:pPr>
              <w:spacing w:before="60" w:after="20"/>
              <w:jc w:val="both"/>
              <w:rPr>
                <w:rFonts w:ascii="Verdana" w:hAnsi="Verdana"/>
                <w:spacing w:val="-4"/>
                <w:sz w:val="20"/>
                <w:szCs w:val="20"/>
              </w:rPr>
            </w:pPr>
            <w:r w:rsidRPr="0057793C">
              <w:rPr>
                <w:rFonts w:ascii="Verdana" w:hAnsi="Verdana"/>
                <w:spacing w:val="-4"/>
                <w:sz w:val="20"/>
                <w:szCs w:val="20"/>
              </w:rPr>
              <w:t>„Всяка от страните по административния договор носи отговорност за вреди, причинени на останалите страни по договора поради неизпълнение на договорните ѝ задължения“.</w:t>
            </w:r>
          </w:p>
          <w:p w14:paraId="1709DBE2" w14:textId="08475306" w:rsidR="003439C8" w:rsidRPr="0057793C" w:rsidRDefault="003439C8" w:rsidP="003439C8">
            <w:pPr>
              <w:spacing w:before="60" w:after="20"/>
              <w:jc w:val="both"/>
              <w:rPr>
                <w:rFonts w:ascii="Verdana" w:hAnsi="Verdana"/>
                <w:spacing w:val="-4"/>
                <w:sz w:val="20"/>
                <w:szCs w:val="20"/>
              </w:rPr>
            </w:pPr>
            <w:r w:rsidRPr="0057793C">
              <w:rPr>
                <w:rFonts w:ascii="Verdana" w:hAnsi="Verdana"/>
                <w:spacing w:val="-4"/>
                <w:sz w:val="20"/>
                <w:szCs w:val="20"/>
              </w:rPr>
              <w:lastRenderedPageBreak/>
              <w:t>Мотиви: В настоящата си редакция нормата е неясна и формулировката ѝ предполага МИГ да носи отговорност за вреди причинени на бенефициенти или неопределен кръг трети лица вследствие на неизпълнение на договорните задължения на самия бенефициент или третите лица, което противоречи с основните правни принципи за носене на отговорност за собствените си действия. От нормата не става ясно и пред кого се носи тази отговорност.</w:t>
            </w:r>
          </w:p>
          <w:p w14:paraId="4A8CB39B" w14:textId="79AB6F07" w:rsidR="00670165" w:rsidRPr="0057793C" w:rsidRDefault="003439C8" w:rsidP="003439C8">
            <w:pPr>
              <w:spacing w:before="60" w:after="20"/>
              <w:jc w:val="both"/>
              <w:rPr>
                <w:rFonts w:ascii="Verdana" w:hAnsi="Verdana"/>
                <w:spacing w:val="-4"/>
                <w:sz w:val="20"/>
                <w:szCs w:val="20"/>
              </w:rPr>
            </w:pPr>
            <w:r w:rsidRPr="0057793C">
              <w:rPr>
                <w:rFonts w:ascii="Verdana" w:hAnsi="Verdana"/>
                <w:spacing w:val="-4"/>
                <w:sz w:val="20"/>
                <w:szCs w:val="20"/>
              </w:rPr>
              <w:t>Доколкото МИГ е само една от страните по тристранния договор, тази норма въвежда неравнопоставеност, като се оказва, че само една от страните по договора следва да носи отговорност и то тази страна, която има най-малки правомощия и задължения след сключването му – основно да осъществява мониторинг, неизпълнението на които трудно биха могли да причинят вреди.</w:t>
            </w:r>
          </w:p>
        </w:tc>
        <w:tc>
          <w:tcPr>
            <w:tcW w:w="1629" w:type="dxa"/>
            <w:shd w:val="clear" w:color="auto" w:fill="auto"/>
          </w:tcPr>
          <w:p w14:paraId="12D324BE" w14:textId="5ABDF878" w:rsidR="00670165" w:rsidRPr="002840D4" w:rsidRDefault="00670165" w:rsidP="00667B50">
            <w:pPr>
              <w:spacing w:before="60" w:after="20"/>
              <w:rPr>
                <w:rFonts w:ascii="Verdana" w:hAnsi="Verdana"/>
                <w:color w:val="FF0000"/>
                <w:sz w:val="20"/>
                <w:szCs w:val="20"/>
              </w:rPr>
            </w:pPr>
            <w:r w:rsidRPr="00667B50">
              <w:rPr>
                <w:rFonts w:ascii="Verdana" w:hAnsi="Verdana"/>
                <w:sz w:val="20"/>
                <w:szCs w:val="20"/>
              </w:rPr>
              <w:lastRenderedPageBreak/>
              <w:t>Приема се</w:t>
            </w:r>
          </w:p>
        </w:tc>
        <w:tc>
          <w:tcPr>
            <w:tcW w:w="4522" w:type="dxa"/>
            <w:shd w:val="clear" w:color="auto" w:fill="auto"/>
          </w:tcPr>
          <w:p w14:paraId="493541EC" w14:textId="77777777" w:rsidR="00670165" w:rsidRPr="004674B8" w:rsidRDefault="00670165" w:rsidP="005B3673">
            <w:pPr>
              <w:spacing w:before="60" w:after="20" w:line="360" w:lineRule="auto"/>
              <w:rPr>
                <w:rFonts w:ascii="Verdana" w:hAnsi="Verdana"/>
                <w:sz w:val="20"/>
                <w:szCs w:val="20"/>
              </w:rPr>
            </w:pPr>
          </w:p>
        </w:tc>
      </w:tr>
      <w:tr w:rsidR="0064536C" w:rsidRPr="00F413E2" w14:paraId="40D743DE" w14:textId="77777777" w:rsidTr="00B706DB">
        <w:trPr>
          <w:jc w:val="center"/>
        </w:trPr>
        <w:tc>
          <w:tcPr>
            <w:tcW w:w="569" w:type="dxa"/>
            <w:shd w:val="clear" w:color="auto" w:fill="auto"/>
          </w:tcPr>
          <w:p w14:paraId="05B92ED3" w14:textId="77777777" w:rsidR="0064536C" w:rsidRPr="003C147F" w:rsidRDefault="0064536C"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2C45F5B2" w14:textId="77777777" w:rsidR="0064536C" w:rsidRDefault="0064536C" w:rsidP="00A43684">
            <w:pPr>
              <w:spacing w:before="60" w:after="20"/>
              <w:rPr>
                <w:rFonts w:ascii="Verdana" w:hAnsi="Verdana"/>
                <w:spacing w:val="-2"/>
                <w:sz w:val="20"/>
                <w:szCs w:val="20"/>
              </w:rPr>
            </w:pPr>
          </w:p>
        </w:tc>
        <w:tc>
          <w:tcPr>
            <w:tcW w:w="6237" w:type="dxa"/>
            <w:shd w:val="clear" w:color="auto" w:fill="auto"/>
          </w:tcPr>
          <w:p w14:paraId="1BC5832D" w14:textId="458DD4F1" w:rsidR="00E453FE" w:rsidRPr="0057793C" w:rsidRDefault="00E453FE" w:rsidP="00E453FE">
            <w:pPr>
              <w:spacing w:before="60" w:after="20"/>
              <w:jc w:val="both"/>
              <w:rPr>
                <w:rFonts w:ascii="Verdana" w:hAnsi="Verdana"/>
                <w:spacing w:val="-4"/>
                <w:sz w:val="20"/>
                <w:szCs w:val="20"/>
              </w:rPr>
            </w:pPr>
            <w:r w:rsidRPr="0057793C">
              <w:rPr>
                <w:rFonts w:ascii="Verdana" w:hAnsi="Verdana"/>
                <w:spacing w:val="-4"/>
                <w:sz w:val="20"/>
                <w:szCs w:val="20"/>
              </w:rPr>
              <w:t>V. Считаме, че съществува неяснота как и къде ще се определя редът за оценка на проектите на бенефициентите, подадени по СВОМР. От една страна в чл. 1, ал. 1, т. 4 от проекта на ПМС е предвидено, че с постановлението се определя реда за подбор на проектни предложения и предоставяне на безвъзмездна финансова помощ от ЕЗФРСР, оценка, изпълнение и мониторинг на проекти към стратегиите за ВОМР. В самото постановление има включени правила за оценката на проектите. В същото време, в чл. 36, ал. 2 е предвидено че Ръководителя на УО на СПРЗСР утвърждава минимални изисквания за ред за оценка, с които МИГ следва да се съобрази, а в чл. 39 ал. 9 е предвидено, че за подбора на проектни предложения, както и изискванията, на които следва да отговарят лицата, които участват в оценката се прилагат ЗУСЕФСУ и ПМС № 23 от 2023 г.</w:t>
            </w:r>
          </w:p>
          <w:p w14:paraId="12EF8B7A" w14:textId="34DE3948" w:rsidR="0064536C" w:rsidRPr="0057793C" w:rsidRDefault="00E453FE" w:rsidP="00E453FE">
            <w:pPr>
              <w:spacing w:before="60" w:after="20"/>
              <w:jc w:val="both"/>
              <w:rPr>
                <w:rFonts w:ascii="Verdana" w:hAnsi="Verdana"/>
                <w:spacing w:val="-4"/>
                <w:sz w:val="20"/>
                <w:szCs w:val="20"/>
              </w:rPr>
            </w:pPr>
            <w:r w:rsidRPr="0057793C">
              <w:rPr>
                <w:rFonts w:ascii="Verdana" w:hAnsi="Verdana"/>
                <w:spacing w:val="-4"/>
                <w:sz w:val="20"/>
                <w:szCs w:val="20"/>
              </w:rPr>
              <w:t xml:space="preserve">Наличието на множество актове, издадени от различни органи, уреждащи реда за оценка на проектите, ще доведе до същите проблеми, както в програмен период </w:t>
            </w:r>
            <w:r w:rsidRPr="0057793C">
              <w:rPr>
                <w:rFonts w:ascii="Verdana" w:hAnsi="Verdana"/>
                <w:spacing w:val="-4"/>
                <w:sz w:val="20"/>
                <w:szCs w:val="20"/>
              </w:rPr>
              <w:lastRenderedPageBreak/>
              <w:t>2014-2020 – противоречиви правила и неяснота кои норми да се прилагат, водещи до забавяне на процеса по изпълнение на стратегиите. Предлагаме редът за оценка на проектите подадени по Стратегиите за ВОМР да бъде уреден в настоящия проект за постановление и да отпадне препратката към ПМС 23/2023 г., или да бъде указан само един документ, в който ще бъдат уредени, без да бъдат дублирани правила в различни нормативни и административни актове.</w:t>
            </w:r>
          </w:p>
        </w:tc>
        <w:tc>
          <w:tcPr>
            <w:tcW w:w="1629" w:type="dxa"/>
            <w:shd w:val="clear" w:color="auto" w:fill="auto"/>
          </w:tcPr>
          <w:p w14:paraId="0AC68AAF" w14:textId="33F3CC7C" w:rsidR="0064536C" w:rsidRPr="002840D4" w:rsidRDefault="0064536C" w:rsidP="00667B50">
            <w:pPr>
              <w:spacing w:before="60" w:after="20"/>
              <w:rPr>
                <w:rFonts w:ascii="Verdana" w:hAnsi="Verdana"/>
                <w:color w:val="FF0000"/>
                <w:sz w:val="20"/>
                <w:szCs w:val="20"/>
              </w:rPr>
            </w:pPr>
            <w:r w:rsidRPr="00667B50">
              <w:rPr>
                <w:rFonts w:ascii="Verdana" w:hAnsi="Verdana"/>
                <w:sz w:val="20"/>
                <w:szCs w:val="20"/>
              </w:rPr>
              <w:lastRenderedPageBreak/>
              <w:t>Приема се</w:t>
            </w:r>
            <w:r w:rsidR="00667B50" w:rsidRPr="00667B50">
              <w:rPr>
                <w:rFonts w:ascii="Verdana" w:hAnsi="Verdana"/>
                <w:sz w:val="20"/>
                <w:szCs w:val="20"/>
              </w:rPr>
              <w:t xml:space="preserve"> по принцип</w:t>
            </w:r>
          </w:p>
        </w:tc>
        <w:tc>
          <w:tcPr>
            <w:tcW w:w="4522" w:type="dxa"/>
            <w:shd w:val="clear" w:color="auto" w:fill="auto"/>
          </w:tcPr>
          <w:p w14:paraId="7DC31A5C" w14:textId="74612057" w:rsidR="0064536C" w:rsidRPr="004674B8" w:rsidRDefault="00253D15" w:rsidP="004F3C34">
            <w:pPr>
              <w:spacing w:before="60" w:after="20"/>
              <w:jc w:val="both"/>
              <w:rPr>
                <w:rFonts w:ascii="Verdana" w:hAnsi="Verdana"/>
                <w:sz w:val="20"/>
                <w:szCs w:val="20"/>
              </w:rPr>
            </w:pPr>
            <w:r>
              <w:rPr>
                <w:rFonts w:ascii="Verdana" w:hAnsi="Verdana"/>
                <w:sz w:val="20"/>
                <w:szCs w:val="20"/>
              </w:rPr>
              <w:t>Текстът в</w:t>
            </w:r>
            <w:r w:rsidR="00667B50">
              <w:rPr>
                <w:rFonts w:ascii="Verdana" w:hAnsi="Verdana"/>
                <w:sz w:val="20"/>
                <w:szCs w:val="20"/>
              </w:rPr>
              <w:t xml:space="preserve"> настоящото ПМС </w:t>
            </w:r>
            <w:r>
              <w:rPr>
                <w:rFonts w:ascii="Verdana" w:hAnsi="Verdana"/>
                <w:sz w:val="20"/>
                <w:szCs w:val="20"/>
              </w:rPr>
              <w:t xml:space="preserve">е редактиран, като </w:t>
            </w:r>
            <w:r w:rsidR="00667B50">
              <w:rPr>
                <w:rFonts w:ascii="Verdana" w:hAnsi="Verdana"/>
                <w:sz w:val="20"/>
                <w:szCs w:val="20"/>
              </w:rPr>
              <w:t>препращането е само по отношение на изискванията, на които следва да отговарят оценителите.</w:t>
            </w:r>
          </w:p>
        </w:tc>
      </w:tr>
      <w:tr w:rsidR="00163FA0" w:rsidRPr="00F413E2" w14:paraId="353D6994" w14:textId="77777777" w:rsidTr="00B706DB">
        <w:trPr>
          <w:jc w:val="center"/>
        </w:trPr>
        <w:tc>
          <w:tcPr>
            <w:tcW w:w="569" w:type="dxa"/>
            <w:shd w:val="clear" w:color="auto" w:fill="auto"/>
          </w:tcPr>
          <w:p w14:paraId="19AC5755" w14:textId="77777777" w:rsidR="00163FA0" w:rsidRPr="003C147F" w:rsidRDefault="00163FA0"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039F0597" w14:textId="77777777" w:rsidR="00163FA0" w:rsidRDefault="00163FA0" w:rsidP="00A43684">
            <w:pPr>
              <w:spacing w:before="60" w:after="20"/>
              <w:rPr>
                <w:rFonts w:ascii="Verdana" w:hAnsi="Verdana"/>
                <w:spacing w:val="-2"/>
                <w:sz w:val="20"/>
                <w:szCs w:val="20"/>
              </w:rPr>
            </w:pPr>
          </w:p>
        </w:tc>
        <w:tc>
          <w:tcPr>
            <w:tcW w:w="6237" w:type="dxa"/>
            <w:shd w:val="clear" w:color="auto" w:fill="auto"/>
          </w:tcPr>
          <w:p w14:paraId="42F0B244" w14:textId="38073FB0" w:rsidR="00ED257F" w:rsidRPr="0057793C" w:rsidRDefault="00ED257F" w:rsidP="00ED257F">
            <w:pPr>
              <w:spacing w:before="60" w:after="20"/>
              <w:jc w:val="both"/>
              <w:rPr>
                <w:rFonts w:ascii="Verdana" w:hAnsi="Verdana"/>
                <w:spacing w:val="-4"/>
                <w:sz w:val="20"/>
                <w:szCs w:val="20"/>
              </w:rPr>
            </w:pPr>
            <w:r w:rsidRPr="0057793C">
              <w:rPr>
                <w:rFonts w:ascii="Verdana" w:hAnsi="Verdana"/>
                <w:spacing w:val="-4"/>
                <w:sz w:val="20"/>
                <w:szCs w:val="20"/>
              </w:rPr>
              <w:t>VI. Считаме че настоящото постановление не съдържа изчерпателно правилата, които да позволят на МИГ да реализира бъдещите стратегии, в т.ч. разработване на насоки за кандидатстване, обявяване на приеми на проекти и тяхната оценка.</w:t>
            </w:r>
          </w:p>
          <w:p w14:paraId="70369516" w14:textId="21BF3311" w:rsidR="00ED257F" w:rsidRPr="0057793C" w:rsidRDefault="00ED257F" w:rsidP="00ED257F">
            <w:pPr>
              <w:spacing w:before="60" w:after="20"/>
              <w:jc w:val="both"/>
              <w:rPr>
                <w:rFonts w:ascii="Verdana" w:hAnsi="Verdana"/>
                <w:spacing w:val="-4"/>
                <w:sz w:val="20"/>
                <w:szCs w:val="20"/>
              </w:rPr>
            </w:pPr>
            <w:r w:rsidRPr="0057793C">
              <w:rPr>
                <w:rFonts w:ascii="Verdana" w:hAnsi="Verdana"/>
                <w:spacing w:val="-4"/>
                <w:sz w:val="20"/>
                <w:szCs w:val="20"/>
              </w:rPr>
              <w:t>В чл. 16 е предвидено че за процедурата за подбор на стратегии за ВОМР ръководителят на УО на СПРЗСР утвърждава: 1 условия за кандидатстване и 2. условия за изпълнение на одобрените стратегии, но е посочено задължителното съдържание единствено на условията за кандидатстване, не и на условията за изпълнение на Стратегиите.</w:t>
            </w:r>
          </w:p>
          <w:p w14:paraId="6A246B5D" w14:textId="47E98E8B" w:rsidR="00ED257F" w:rsidRPr="0057793C" w:rsidRDefault="00ED257F" w:rsidP="00ED257F">
            <w:pPr>
              <w:spacing w:before="60" w:after="20"/>
              <w:jc w:val="both"/>
              <w:rPr>
                <w:rFonts w:ascii="Verdana" w:hAnsi="Verdana"/>
                <w:spacing w:val="-4"/>
                <w:sz w:val="20"/>
                <w:szCs w:val="20"/>
              </w:rPr>
            </w:pPr>
            <w:r w:rsidRPr="0057793C">
              <w:rPr>
                <w:rFonts w:ascii="Verdana" w:hAnsi="Verdana"/>
                <w:spacing w:val="-4"/>
                <w:sz w:val="20"/>
                <w:szCs w:val="20"/>
              </w:rPr>
              <w:t>В чл. 37 на ПМС 161/2016г., приложимо за МИГ за програмен период 2014-2020, се предвиждаше „ (1) В срок до един месец от датата на сключване на споразумение за изпълнение на стратегия за ВОМР по съответния прием на стратегии УО на програмите по чл. 1, ал. 1 подготвят указания за прием на проекти, подавани по стратегиите за ВОМР. (2) Указанията по ал. 1 включват изискванията към кандидатите и проектите, които ще се финансират по съответните програми в рамките на стратегиите, и условия за изпълнение на проектите.“</w:t>
            </w:r>
          </w:p>
          <w:p w14:paraId="0029A750" w14:textId="6EE7680C" w:rsidR="00ED257F" w:rsidRPr="0057793C" w:rsidRDefault="00ED257F" w:rsidP="00ED257F">
            <w:pPr>
              <w:spacing w:before="60" w:after="20"/>
              <w:jc w:val="both"/>
              <w:rPr>
                <w:rFonts w:ascii="Verdana" w:hAnsi="Verdana"/>
                <w:sz w:val="20"/>
                <w:szCs w:val="20"/>
              </w:rPr>
            </w:pPr>
            <w:r w:rsidRPr="0057793C">
              <w:rPr>
                <w:rFonts w:ascii="Verdana" w:hAnsi="Verdana"/>
                <w:sz w:val="20"/>
                <w:szCs w:val="20"/>
              </w:rPr>
              <w:t>В настоящия проект на ПМС липсва такава норма.</w:t>
            </w:r>
          </w:p>
          <w:p w14:paraId="06A61DB1" w14:textId="244130FD" w:rsidR="00163FA0" w:rsidRPr="0057793C" w:rsidRDefault="00ED257F" w:rsidP="00ED257F">
            <w:pPr>
              <w:spacing w:before="60" w:after="20"/>
              <w:jc w:val="both"/>
              <w:rPr>
                <w:rFonts w:ascii="Verdana" w:hAnsi="Verdana"/>
                <w:spacing w:val="-4"/>
                <w:sz w:val="20"/>
                <w:szCs w:val="20"/>
              </w:rPr>
            </w:pPr>
            <w:r w:rsidRPr="0057793C">
              <w:rPr>
                <w:rFonts w:ascii="Verdana" w:hAnsi="Verdana"/>
                <w:sz w:val="20"/>
                <w:szCs w:val="20"/>
              </w:rPr>
              <w:t xml:space="preserve">В чл. 37 ал. 1 е вменено задължение на МИГ да утвърди Условия за изпълнение на проектите, но на практика условията за изпълнение на проектите и съдържанието </w:t>
            </w:r>
            <w:r w:rsidRPr="0057793C">
              <w:rPr>
                <w:rFonts w:ascii="Verdana" w:hAnsi="Verdana"/>
                <w:sz w:val="20"/>
                <w:szCs w:val="20"/>
              </w:rPr>
              <w:lastRenderedPageBreak/>
              <w:t>на договорите за БФП се определят от финансиращия орган – ДФЗ, който изплаща помощта. МИГ не може да разработи самостоятелни условия, които да са обвързващи за ДФЗ, като същевременно няма норма, задължаваща УО или ДФЗ да предостави минимални правила за изпълнение на проектите към на МИГ и то в конкретен срок. В програмен период 2014-2020 такива условия за подхода ВОМР, включително образци на договори за БФП, бяха разработени 3 години след стартиране на подхода, което доведе до съответното забавяне и трудности при отчитане на проектите. Липсват и норми указващи приложимия режим за минимални помощи за мерките по СВОМР. Смятаме, че липсата на ясни правила по тези въпроси ще доведе до невъзможност за своевременно стартиране на прилагането на одобрените стратегии, за което и без това е налице огромно закъснение, поради което предлагаме да се регламентират допълнително в настоящото ПМС.</w:t>
            </w:r>
          </w:p>
        </w:tc>
        <w:tc>
          <w:tcPr>
            <w:tcW w:w="1629" w:type="dxa"/>
            <w:shd w:val="clear" w:color="auto" w:fill="auto"/>
          </w:tcPr>
          <w:p w14:paraId="2DCDCCBE" w14:textId="24E4EA0D" w:rsidR="00163FA0" w:rsidRPr="000618A0" w:rsidRDefault="00163FA0" w:rsidP="00497423">
            <w:pPr>
              <w:spacing w:before="60" w:after="20"/>
              <w:rPr>
                <w:rFonts w:ascii="Verdana" w:hAnsi="Verdana"/>
                <w:color w:val="FF0000"/>
                <w:sz w:val="20"/>
                <w:szCs w:val="20"/>
              </w:rPr>
            </w:pPr>
            <w:r w:rsidRPr="00497423">
              <w:rPr>
                <w:rFonts w:ascii="Verdana" w:hAnsi="Verdana"/>
                <w:sz w:val="20"/>
                <w:szCs w:val="20"/>
              </w:rPr>
              <w:lastRenderedPageBreak/>
              <w:t>Приема се</w:t>
            </w:r>
            <w:r w:rsidR="00497423" w:rsidRPr="00497423">
              <w:rPr>
                <w:rFonts w:ascii="Verdana" w:hAnsi="Verdana"/>
                <w:sz w:val="20"/>
                <w:szCs w:val="20"/>
              </w:rPr>
              <w:t xml:space="preserve"> по принцип</w:t>
            </w:r>
          </w:p>
        </w:tc>
        <w:tc>
          <w:tcPr>
            <w:tcW w:w="4522" w:type="dxa"/>
            <w:shd w:val="clear" w:color="auto" w:fill="auto"/>
          </w:tcPr>
          <w:p w14:paraId="791A5C81" w14:textId="77777777" w:rsidR="00497423" w:rsidRDefault="00497423" w:rsidP="004F3C34">
            <w:pPr>
              <w:spacing w:before="60" w:after="20"/>
              <w:jc w:val="both"/>
              <w:rPr>
                <w:rFonts w:ascii="Verdana" w:hAnsi="Verdana"/>
                <w:sz w:val="20"/>
                <w:szCs w:val="20"/>
              </w:rPr>
            </w:pPr>
            <w:r>
              <w:rPr>
                <w:rFonts w:ascii="Verdana" w:hAnsi="Verdana"/>
                <w:sz w:val="20"/>
                <w:szCs w:val="20"/>
              </w:rPr>
              <w:t>Условията за изпълнение на стратегиите ще бъдат одобрени от УО след проведено обществено обсъждане.</w:t>
            </w:r>
          </w:p>
          <w:p w14:paraId="70B18A70" w14:textId="715BC722" w:rsidR="00497423" w:rsidRDefault="00497423" w:rsidP="004F3C34">
            <w:pPr>
              <w:spacing w:before="60" w:after="20"/>
              <w:jc w:val="both"/>
              <w:rPr>
                <w:rFonts w:ascii="Verdana" w:hAnsi="Verdana"/>
                <w:sz w:val="20"/>
                <w:szCs w:val="20"/>
              </w:rPr>
            </w:pPr>
            <w:r>
              <w:rPr>
                <w:rFonts w:ascii="Verdana" w:hAnsi="Verdana"/>
                <w:sz w:val="20"/>
                <w:szCs w:val="20"/>
              </w:rPr>
              <w:t>Условията за изпълнение на проектите ще бъдат разработени след утвърждаване и публикуване на условията за изпълнение на стратегиите и следва да бъдат в съответствие с тях.</w:t>
            </w:r>
          </w:p>
          <w:p w14:paraId="4B346CC4" w14:textId="73395262" w:rsidR="00163FA0" w:rsidRPr="004674B8" w:rsidRDefault="00497423" w:rsidP="004F3C34">
            <w:pPr>
              <w:spacing w:before="60" w:after="20"/>
              <w:jc w:val="both"/>
              <w:rPr>
                <w:rFonts w:ascii="Verdana" w:hAnsi="Verdana"/>
                <w:sz w:val="20"/>
                <w:szCs w:val="20"/>
              </w:rPr>
            </w:pPr>
            <w:r w:rsidRPr="00497423">
              <w:rPr>
                <w:rFonts w:ascii="Verdana" w:hAnsi="Verdana"/>
                <w:sz w:val="20"/>
                <w:szCs w:val="20"/>
              </w:rPr>
              <w:t>Създадена е делегация за утвърждаване на указания за приложимия режим за държавни помощи и условия, произтичащи от него.</w:t>
            </w:r>
          </w:p>
        </w:tc>
      </w:tr>
      <w:tr w:rsidR="00163FA0" w:rsidRPr="00F413E2" w14:paraId="2D10F1BA" w14:textId="77777777" w:rsidTr="00ED095C">
        <w:trPr>
          <w:jc w:val="center"/>
        </w:trPr>
        <w:tc>
          <w:tcPr>
            <w:tcW w:w="569" w:type="dxa"/>
            <w:tcBorders>
              <w:bottom w:val="single" w:sz="12" w:space="0" w:color="2E74B5"/>
            </w:tcBorders>
            <w:shd w:val="clear" w:color="auto" w:fill="auto"/>
          </w:tcPr>
          <w:p w14:paraId="1849D53A" w14:textId="035BB814" w:rsidR="00163FA0" w:rsidRPr="003C147F" w:rsidRDefault="00163FA0" w:rsidP="002840D4">
            <w:pPr>
              <w:pStyle w:val="ListParagraph"/>
              <w:tabs>
                <w:tab w:val="left" w:pos="192"/>
              </w:tabs>
              <w:spacing w:before="60" w:after="20" w:line="360" w:lineRule="auto"/>
              <w:ind w:left="57"/>
              <w:rPr>
                <w:rFonts w:ascii="Verdana" w:hAnsi="Verdana"/>
                <w:b/>
                <w:sz w:val="20"/>
                <w:szCs w:val="20"/>
              </w:rPr>
            </w:pPr>
          </w:p>
        </w:tc>
        <w:tc>
          <w:tcPr>
            <w:tcW w:w="2692" w:type="dxa"/>
            <w:tcBorders>
              <w:bottom w:val="single" w:sz="12" w:space="0" w:color="2E74B5"/>
            </w:tcBorders>
            <w:shd w:val="clear" w:color="auto" w:fill="auto"/>
          </w:tcPr>
          <w:p w14:paraId="6385BDFA" w14:textId="77777777" w:rsidR="00163FA0" w:rsidRDefault="00163FA0" w:rsidP="00A43684">
            <w:pPr>
              <w:spacing w:before="60" w:after="20"/>
              <w:rPr>
                <w:rFonts w:ascii="Verdana" w:hAnsi="Verdana"/>
                <w:spacing w:val="-2"/>
                <w:sz w:val="20"/>
                <w:szCs w:val="20"/>
              </w:rPr>
            </w:pPr>
          </w:p>
        </w:tc>
        <w:tc>
          <w:tcPr>
            <w:tcW w:w="6237" w:type="dxa"/>
            <w:tcBorders>
              <w:bottom w:val="single" w:sz="12" w:space="0" w:color="2E74B5"/>
            </w:tcBorders>
            <w:shd w:val="clear" w:color="auto" w:fill="auto"/>
          </w:tcPr>
          <w:p w14:paraId="56BAAB9D" w14:textId="4AEACD96" w:rsidR="001C1B06" w:rsidRPr="001C1B06" w:rsidRDefault="001C1B06" w:rsidP="001C1B06">
            <w:pPr>
              <w:spacing w:before="60" w:after="20"/>
              <w:jc w:val="both"/>
              <w:rPr>
                <w:rFonts w:ascii="Verdana" w:hAnsi="Verdana"/>
                <w:sz w:val="20"/>
                <w:szCs w:val="20"/>
              </w:rPr>
            </w:pPr>
            <w:r w:rsidRPr="001C1B06">
              <w:rPr>
                <w:rFonts w:ascii="Verdana" w:hAnsi="Verdana"/>
                <w:sz w:val="20"/>
                <w:szCs w:val="20"/>
              </w:rPr>
              <w:t>VII. По отношение на съгласуването за прило</w:t>
            </w:r>
            <w:r>
              <w:rPr>
                <w:rFonts w:ascii="Verdana" w:hAnsi="Verdana"/>
                <w:sz w:val="20"/>
                <w:szCs w:val="20"/>
              </w:rPr>
              <w:t>жимия режим за държавни помощи.</w:t>
            </w:r>
          </w:p>
          <w:p w14:paraId="5256802C" w14:textId="77777777" w:rsidR="001C1B06" w:rsidRPr="001C1B06" w:rsidRDefault="001C1B06" w:rsidP="001C1B06">
            <w:pPr>
              <w:spacing w:before="60" w:after="20"/>
              <w:jc w:val="both"/>
              <w:rPr>
                <w:rFonts w:ascii="Verdana" w:hAnsi="Verdana"/>
                <w:sz w:val="20"/>
                <w:szCs w:val="20"/>
              </w:rPr>
            </w:pPr>
            <w:r w:rsidRPr="001C1B06">
              <w:rPr>
                <w:rFonts w:ascii="Verdana" w:hAnsi="Verdana"/>
                <w:sz w:val="20"/>
                <w:szCs w:val="20"/>
              </w:rPr>
              <w:t>Съгласно чл. 16 ал. 3 от проекта на ПМС, проектите на насоки за кандидатстване със стратегии за ВОМР се съгласуват по реда на чл. 26, ал. 3 от ЗУСЕФСУ (за държавни помощи) преди тяхното утвърждаване.</w:t>
            </w:r>
          </w:p>
          <w:p w14:paraId="5960FB4F" w14:textId="4061E1D7" w:rsidR="001C1B06" w:rsidRPr="001C1B06" w:rsidRDefault="001C1B06" w:rsidP="001C1B06">
            <w:pPr>
              <w:spacing w:before="60" w:after="20"/>
              <w:jc w:val="both"/>
              <w:rPr>
                <w:rFonts w:ascii="Verdana" w:hAnsi="Verdana"/>
                <w:sz w:val="20"/>
                <w:szCs w:val="20"/>
              </w:rPr>
            </w:pPr>
            <w:r w:rsidRPr="001C1B06">
              <w:rPr>
                <w:rFonts w:ascii="Verdana" w:hAnsi="Verdana"/>
                <w:sz w:val="20"/>
                <w:szCs w:val="20"/>
              </w:rPr>
              <w:t>В чл. 37 ал. 2 е предвидено, че и МИГ съгласува насоките за кандидатстване с проекти по Стратегиите за съответствие с приложимите правила за държавните помощи с министъра на финансите по реда на чл. 26, ал. 3 на ЗУСЕФСУ.</w:t>
            </w:r>
          </w:p>
          <w:p w14:paraId="2CE9320D" w14:textId="3C762A51" w:rsidR="001C1B06" w:rsidRPr="001C1B06" w:rsidRDefault="001C1B06" w:rsidP="001C1B06">
            <w:pPr>
              <w:spacing w:before="60" w:after="20"/>
              <w:jc w:val="both"/>
              <w:rPr>
                <w:rFonts w:ascii="Verdana" w:hAnsi="Verdana"/>
                <w:sz w:val="20"/>
                <w:szCs w:val="20"/>
              </w:rPr>
            </w:pPr>
            <w:r w:rsidRPr="001C1B06">
              <w:rPr>
                <w:rFonts w:ascii="Verdana" w:hAnsi="Verdana"/>
                <w:sz w:val="20"/>
                <w:szCs w:val="20"/>
              </w:rPr>
              <w:t xml:space="preserve">С процедурите за одобрение на Стратегиите се предоставя освен помощта за управление, мониторинг и оценка на МИГ и помощта за проектите по тези стратегии – т.е. в чл. 16 и чл. 37 става въпрос за една и съща помощ, чието предоставяне вече е съгласувано. </w:t>
            </w:r>
            <w:r w:rsidRPr="001C1B06">
              <w:rPr>
                <w:rFonts w:ascii="Verdana" w:hAnsi="Verdana"/>
                <w:sz w:val="20"/>
                <w:szCs w:val="20"/>
              </w:rPr>
              <w:lastRenderedPageBreak/>
              <w:t>Предлагаме да бъде поискано становище от МФ дали е необходимо повторно съгласуване на насоките за кандидатстване на МИГ по всяка процедура, в контекста и на член 19б от Регламент (ЕС) 2021/1237 на Комисията от 23 юли 2021 година за изменение на Регламент (ЕС) № 651/2014 за обявяване на някои категории помощи за съвместими с вътрешния пазар в приложение на членове 107 и 108 от Договора, съгласно който:</w:t>
            </w:r>
          </w:p>
          <w:p w14:paraId="59E1659C" w14:textId="6AFBA05E" w:rsidR="001C1B06" w:rsidRPr="001C1B06" w:rsidRDefault="001C1B06" w:rsidP="001C1B06">
            <w:pPr>
              <w:spacing w:before="60" w:after="20"/>
              <w:jc w:val="both"/>
              <w:rPr>
                <w:rFonts w:ascii="Verdana" w:hAnsi="Verdana"/>
                <w:sz w:val="20"/>
                <w:szCs w:val="20"/>
              </w:rPr>
            </w:pPr>
            <w:r w:rsidRPr="001C1B06">
              <w:rPr>
                <w:rFonts w:ascii="Verdana" w:hAnsi="Verdana"/>
                <w:sz w:val="20"/>
                <w:szCs w:val="20"/>
              </w:rPr>
              <w:t>„1. Помощите за предприятия, които участват или се възползват от водени от общностите проекти за местно развитие и проекти на оперативните групи в рамките на ЕПИ, посочени в член 19а, параграф 1, са съвместими с вътрешния пазар по смисъла на член 107, параграф 3 от Договора и се освобождават от задължението за уведомяване по член 108, параграф 3 от Договора, ако са изпълнени условията, установени в настоящия член и в глава I.</w:t>
            </w:r>
          </w:p>
          <w:p w14:paraId="1CD60A98" w14:textId="68FAE645" w:rsidR="00163FA0" w:rsidRPr="0057793C" w:rsidRDefault="001C1B06" w:rsidP="001C1B06">
            <w:pPr>
              <w:spacing w:before="60" w:after="20"/>
              <w:jc w:val="both"/>
              <w:rPr>
                <w:rFonts w:ascii="Verdana" w:hAnsi="Verdana"/>
                <w:spacing w:val="-2"/>
                <w:sz w:val="20"/>
                <w:szCs w:val="20"/>
              </w:rPr>
            </w:pPr>
            <w:r w:rsidRPr="0057793C">
              <w:rPr>
                <w:rFonts w:ascii="Verdana" w:hAnsi="Verdana"/>
                <w:spacing w:val="-2"/>
                <w:sz w:val="20"/>
                <w:szCs w:val="20"/>
              </w:rPr>
              <w:t>2. Общият размер на помощта по този член, отпусната за проект, не трябва да надвишава 200 000 EUR за водени от общностите проекти за местно развитие и 350 000 EUR за проекти на оперативните групи в рамките на ЕПИ.“</w:t>
            </w:r>
          </w:p>
        </w:tc>
        <w:tc>
          <w:tcPr>
            <w:tcW w:w="1629" w:type="dxa"/>
            <w:tcBorders>
              <w:bottom w:val="single" w:sz="12" w:space="0" w:color="2E74B5"/>
            </w:tcBorders>
            <w:shd w:val="clear" w:color="auto" w:fill="auto"/>
          </w:tcPr>
          <w:p w14:paraId="5A613CD6" w14:textId="4A66B12A" w:rsidR="00163FA0" w:rsidRPr="000618A0" w:rsidRDefault="00163FA0" w:rsidP="005B3673">
            <w:pPr>
              <w:spacing w:before="60" w:after="20"/>
              <w:rPr>
                <w:rFonts w:ascii="Verdana" w:hAnsi="Verdana"/>
                <w:color w:val="FF0000"/>
                <w:sz w:val="20"/>
                <w:szCs w:val="20"/>
              </w:rPr>
            </w:pPr>
            <w:r w:rsidRPr="008B4F23">
              <w:rPr>
                <w:rFonts w:ascii="Verdana" w:hAnsi="Verdana"/>
                <w:sz w:val="20"/>
                <w:szCs w:val="20"/>
              </w:rPr>
              <w:lastRenderedPageBreak/>
              <w:t>Не се приема</w:t>
            </w:r>
          </w:p>
        </w:tc>
        <w:tc>
          <w:tcPr>
            <w:tcW w:w="4522" w:type="dxa"/>
            <w:tcBorders>
              <w:bottom w:val="single" w:sz="12" w:space="0" w:color="2E74B5"/>
            </w:tcBorders>
            <w:shd w:val="clear" w:color="auto" w:fill="auto"/>
          </w:tcPr>
          <w:p w14:paraId="5F67D2DA" w14:textId="3F32A4A5" w:rsidR="00163FA0" w:rsidRPr="004674B8" w:rsidRDefault="008B4F23" w:rsidP="004F3C34">
            <w:pPr>
              <w:spacing w:before="60" w:after="20"/>
              <w:jc w:val="both"/>
              <w:rPr>
                <w:rFonts w:ascii="Verdana" w:hAnsi="Verdana"/>
                <w:sz w:val="20"/>
                <w:szCs w:val="20"/>
              </w:rPr>
            </w:pPr>
            <w:r>
              <w:rPr>
                <w:rFonts w:ascii="Verdana" w:hAnsi="Verdana"/>
                <w:sz w:val="20"/>
                <w:szCs w:val="20"/>
              </w:rPr>
              <w:t xml:space="preserve">Съгласуването и на двата документа </w:t>
            </w:r>
            <w:r w:rsidR="00BD5021">
              <w:rPr>
                <w:rFonts w:ascii="Verdana" w:hAnsi="Verdana"/>
                <w:sz w:val="20"/>
                <w:szCs w:val="20"/>
              </w:rPr>
              <w:t>кореспондира със</w:t>
            </w:r>
            <w:r>
              <w:rPr>
                <w:rFonts w:ascii="Verdana" w:hAnsi="Verdana"/>
                <w:sz w:val="20"/>
                <w:szCs w:val="20"/>
              </w:rPr>
              <w:t xml:space="preserve"> становище на Министерството на финансите.</w:t>
            </w:r>
          </w:p>
        </w:tc>
      </w:tr>
      <w:tr w:rsidR="003C147F" w:rsidRPr="00F413E2" w14:paraId="23A9BA62" w14:textId="77777777" w:rsidTr="00ED095C">
        <w:trPr>
          <w:jc w:val="center"/>
        </w:trPr>
        <w:tc>
          <w:tcPr>
            <w:tcW w:w="569" w:type="dxa"/>
            <w:tcBorders>
              <w:top w:val="single" w:sz="12" w:space="0" w:color="2E74B5"/>
              <w:bottom w:val="nil"/>
            </w:tcBorders>
            <w:shd w:val="clear" w:color="auto" w:fill="auto"/>
          </w:tcPr>
          <w:p w14:paraId="2C29C8EF" w14:textId="2168BD08" w:rsidR="003C147F" w:rsidRPr="00B634C1" w:rsidRDefault="003C147F" w:rsidP="00B634C1">
            <w:pPr>
              <w:pStyle w:val="ListParagraph"/>
              <w:numPr>
                <w:ilvl w:val="0"/>
                <w:numId w:val="31"/>
              </w:numPr>
              <w:tabs>
                <w:tab w:val="left" w:pos="192"/>
              </w:tabs>
              <w:spacing w:before="60" w:after="20" w:line="360" w:lineRule="auto"/>
              <w:rPr>
                <w:rFonts w:ascii="Verdana" w:hAnsi="Verdana"/>
                <w:b/>
                <w:sz w:val="20"/>
                <w:szCs w:val="20"/>
              </w:rPr>
            </w:pPr>
          </w:p>
        </w:tc>
        <w:tc>
          <w:tcPr>
            <w:tcW w:w="2692" w:type="dxa"/>
            <w:tcBorders>
              <w:top w:val="single" w:sz="12" w:space="0" w:color="2E74B5"/>
              <w:bottom w:val="nil"/>
            </w:tcBorders>
            <w:shd w:val="clear" w:color="auto" w:fill="auto"/>
          </w:tcPr>
          <w:p w14:paraId="5766AD04" w14:textId="3E370EEE" w:rsidR="00E7793C" w:rsidRPr="00E7793C" w:rsidRDefault="00E7793C" w:rsidP="00E7793C">
            <w:pPr>
              <w:spacing w:before="60" w:after="20"/>
              <w:rPr>
                <w:rFonts w:ascii="Verdana" w:hAnsi="Verdana"/>
                <w:spacing w:val="-2"/>
                <w:sz w:val="20"/>
                <w:szCs w:val="20"/>
              </w:rPr>
            </w:pPr>
            <w:r w:rsidRPr="00E7793C">
              <w:rPr>
                <w:rFonts w:ascii="Verdana" w:hAnsi="Verdana"/>
                <w:spacing w:val="-2"/>
                <w:sz w:val="20"/>
                <w:szCs w:val="20"/>
              </w:rPr>
              <w:t>Нели Кадиева</w:t>
            </w:r>
          </w:p>
          <w:p w14:paraId="5A7C2831" w14:textId="23C6DE82" w:rsidR="00E7793C" w:rsidRPr="00DD3FFE" w:rsidRDefault="00E7793C" w:rsidP="00DD3FFE">
            <w:pPr>
              <w:spacing w:before="60" w:after="20"/>
              <w:rPr>
                <w:rFonts w:ascii="Verdana" w:hAnsi="Verdana"/>
                <w:spacing w:val="-2"/>
                <w:sz w:val="20"/>
                <w:szCs w:val="20"/>
              </w:rPr>
            </w:pPr>
            <w:r w:rsidRPr="00DD3FFE">
              <w:rPr>
                <w:rFonts w:ascii="Verdana" w:hAnsi="Verdana"/>
                <w:spacing w:val="-2"/>
                <w:sz w:val="20"/>
                <w:szCs w:val="20"/>
              </w:rPr>
              <w:t>Председател на УС на Асоциация българска национална ЛИДЕР мрежа</w:t>
            </w:r>
          </w:p>
          <w:p w14:paraId="5A0E3331" w14:textId="223BD86B" w:rsidR="003C147F" w:rsidRPr="00DD3FFE" w:rsidRDefault="00A43684" w:rsidP="00DD3FFE">
            <w:pPr>
              <w:spacing w:before="60" w:after="20"/>
              <w:rPr>
                <w:rFonts w:ascii="Verdana" w:hAnsi="Verdana"/>
                <w:spacing w:val="-2"/>
                <w:sz w:val="19"/>
                <w:szCs w:val="19"/>
              </w:rPr>
            </w:pPr>
            <w:r w:rsidRPr="00DD3FFE">
              <w:rPr>
                <w:rFonts w:ascii="Verdana" w:hAnsi="Verdana"/>
                <w:spacing w:val="-2"/>
                <w:sz w:val="20"/>
                <w:szCs w:val="20"/>
              </w:rPr>
              <w:t xml:space="preserve">(Портал за </w:t>
            </w:r>
            <w:r w:rsidR="008877A1">
              <w:rPr>
                <w:rFonts w:ascii="Verdana" w:hAnsi="Verdana"/>
                <w:spacing w:val="-2"/>
                <w:sz w:val="20"/>
                <w:szCs w:val="20"/>
              </w:rPr>
              <w:t xml:space="preserve">обществени консултации на </w:t>
            </w:r>
            <w:r w:rsidR="00B634C1">
              <w:rPr>
                <w:rFonts w:ascii="Verdana" w:hAnsi="Verdana"/>
                <w:spacing w:val="-2"/>
                <w:sz w:val="20"/>
                <w:szCs w:val="20"/>
              </w:rPr>
              <w:br/>
            </w:r>
            <w:r w:rsidR="00ED62C9" w:rsidRPr="00DD3FFE">
              <w:rPr>
                <w:rFonts w:ascii="Verdana" w:hAnsi="Verdana"/>
                <w:spacing w:val="-2"/>
                <w:sz w:val="20"/>
                <w:szCs w:val="20"/>
                <w:lang w:val="en-US"/>
              </w:rPr>
              <w:t>7</w:t>
            </w:r>
            <w:r w:rsidR="008877A1">
              <w:rPr>
                <w:rFonts w:ascii="Verdana" w:hAnsi="Verdana"/>
                <w:spacing w:val="-2"/>
                <w:sz w:val="20"/>
                <w:szCs w:val="20"/>
              </w:rPr>
              <w:t xml:space="preserve"> </w:t>
            </w:r>
            <w:r w:rsidR="001F2019" w:rsidRPr="00DD3FFE">
              <w:rPr>
                <w:rFonts w:ascii="Verdana" w:hAnsi="Verdana"/>
                <w:spacing w:val="-2"/>
                <w:sz w:val="20"/>
                <w:szCs w:val="20"/>
              </w:rPr>
              <w:t>н</w:t>
            </w:r>
            <w:r w:rsidRPr="00DD3FFE">
              <w:rPr>
                <w:rFonts w:ascii="Verdana" w:hAnsi="Verdana"/>
                <w:spacing w:val="-2"/>
                <w:sz w:val="20"/>
                <w:szCs w:val="20"/>
              </w:rPr>
              <w:t>о</w:t>
            </w:r>
            <w:r w:rsidR="001F2019" w:rsidRPr="00DD3FFE">
              <w:rPr>
                <w:rFonts w:ascii="Verdana" w:hAnsi="Verdana"/>
                <w:spacing w:val="-2"/>
                <w:sz w:val="20"/>
                <w:szCs w:val="20"/>
              </w:rPr>
              <w:t>е</w:t>
            </w:r>
            <w:r w:rsidRPr="00DD3FFE">
              <w:rPr>
                <w:rFonts w:ascii="Verdana" w:hAnsi="Verdana"/>
                <w:spacing w:val="-2"/>
                <w:sz w:val="20"/>
                <w:szCs w:val="20"/>
              </w:rPr>
              <w:t>мври 2024 г.)</w:t>
            </w:r>
          </w:p>
        </w:tc>
        <w:tc>
          <w:tcPr>
            <w:tcW w:w="6237" w:type="dxa"/>
            <w:tcBorders>
              <w:top w:val="single" w:sz="12" w:space="0" w:color="2E74B5"/>
              <w:bottom w:val="nil"/>
            </w:tcBorders>
            <w:shd w:val="clear" w:color="auto" w:fill="auto"/>
          </w:tcPr>
          <w:p w14:paraId="6DCECBBE" w14:textId="1942833D" w:rsidR="00E7793C" w:rsidRDefault="00ED62C9" w:rsidP="00ED62C9">
            <w:pPr>
              <w:spacing w:before="60" w:after="20"/>
              <w:jc w:val="both"/>
              <w:rPr>
                <w:rFonts w:ascii="Verdana" w:hAnsi="Verdana"/>
                <w:sz w:val="20"/>
                <w:szCs w:val="20"/>
              </w:rPr>
            </w:pPr>
            <w:r w:rsidRPr="00ED62C9">
              <w:rPr>
                <w:rFonts w:ascii="Verdana" w:hAnsi="Verdana"/>
                <w:sz w:val="20"/>
                <w:szCs w:val="20"/>
              </w:rPr>
              <w:t>Предложения и становища от Асоциация Българска национална ЛИДЕР мрежа</w:t>
            </w:r>
            <w:r w:rsidR="00E7793C">
              <w:rPr>
                <w:rFonts w:ascii="Verdana" w:hAnsi="Verdana"/>
                <w:sz w:val="20"/>
                <w:szCs w:val="20"/>
              </w:rPr>
              <w:t>.</w:t>
            </w:r>
          </w:p>
          <w:p w14:paraId="2C669150" w14:textId="240056B1" w:rsidR="003C147F" w:rsidRPr="00E7793C" w:rsidRDefault="00E7793C" w:rsidP="00E7793C">
            <w:pPr>
              <w:jc w:val="both"/>
              <w:rPr>
                <w:rFonts w:ascii="Verdana" w:hAnsi="Verdana"/>
                <w:sz w:val="20"/>
                <w:szCs w:val="20"/>
              </w:rPr>
            </w:pPr>
            <w:r>
              <w:rPr>
                <w:rFonts w:ascii="Verdana" w:hAnsi="Verdana"/>
                <w:sz w:val="20"/>
                <w:szCs w:val="20"/>
              </w:rPr>
              <w:t>Във връзка с публикуван п</w:t>
            </w:r>
            <w:r w:rsidRPr="00E7793C">
              <w:rPr>
                <w:rFonts w:ascii="Verdana" w:hAnsi="Verdana"/>
                <w:sz w:val="20"/>
                <w:szCs w:val="20"/>
              </w:rPr>
              <w:t>роект на Постановление на Министерския съвет за определяне на правила за прилагане на подхода „Водено от общностите местно развитие“ за периода 2021 – 2027 г., моля да вземете предвид следните предложения/коментари от Асоциация Българска национална ЛИДЕР мрежа, обобщаващи предложения и становища на МИГ:</w:t>
            </w:r>
          </w:p>
        </w:tc>
        <w:tc>
          <w:tcPr>
            <w:tcW w:w="1629" w:type="dxa"/>
            <w:tcBorders>
              <w:top w:val="single" w:sz="12" w:space="0" w:color="2E74B5"/>
              <w:bottom w:val="nil"/>
            </w:tcBorders>
            <w:shd w:val="clear" w:color="auto" w:fill="auto"/>
          </w:tcPr>
          <w:p w14:paraId="316B3C46" w14:textId="77777777" w:rsidR="003C147F" w:rsidRPr="004674B8" w:rsidRDefault="003C147F" w:rsidP="005B3673">
            <w:pPr>
              <w:spacing w:before="60" w:after="20"/>
              <w:rPr>
                <w:rFonts w:ascii="Verdana" w:hAnsi="Verdana"/>
                <w:sz w:val="20"/>
                <w:szCs w:val="20"/>
              </w:rPr>
            </w:pPr>
          </w:p>
        </w:tc>
        <w:tc>
          <w:tcPr>
            <w:tcW w:w="4522" w:type="dxa"/>
            <w:tcBorders>
              <w:top w:val="single" w:sz="12" w:space="0" w:color="2E74B5"/>
              <w:bottom w:val="nil"/>
            </w:tcBorders>
            <w:shd w:val="clear" w:color="auto" w:fill="auto"/>
          </w:tcPr>
          <w:p w14:paraId="79F413D5" w14:textId="77777777" w:rsidR="003C147F" w:rsidRPr="004674B8" w:rsidRDefault="003C147F" w:rsidP="005B3673">
            <w:pPr>
              <w:spacing w:before="60" w:after="20" w:line="360" w:lineRule="auto"/>
              <w:rPr>
                <w:rFonts w:ascii="Verdana" w:hAnsi="Verdana"/>
                <w:sz w:val="20"/>
                <w:szCs w:val="20"/>
              </w:rPr>
            </w:pPr>
          </w:p>
        </w:tc>
      </w:tr>
      <w:tr w:rsidR="005B3673" w:rsidRPr="00F413E2" w14:paraId="2AA81169" w14:textId="77777777" w:rsidTr="00ED095C">
        <w:trPr>
          <w:jc w:val="center"/>
        </w:trPr>
        <w:tc>
          <w:tcPr>
            <w:tcW w:w="569" w:type="dxa"/>
            <w:tcBorders>
              <w:top w:val="nil"/>
            </w:tcBorders>
            <w:shd w:val="clear" w:color="auto" w:fill="auto"/>
          </w:tcPr>
          <w:p w14:paraId="3F4177EC" w14:textId="77777777" w:rsidR="005B3673" w:rsidRPr="003C147F" w:rsidRDefault="005B3673" w:rsidP="002840D4">
            <w:pPr>
              <w:pStyle w:val="ListParagraph"/>
              <w:tabs>
                <w:tab w:val="left" w:pos="192"/>
              </w:tabs>
              <w:spacing w:before="60" w:after="20" w:line="360" w:lineRule="auto"/>
              <w:ind w:left="57"/>
              <w:rPr>
                <w:rFonts w:ascii="Verdana" w:hAnsi="Verdana"/>
                <w:b/>
                <w:sz w:val="20"/>
                <w:szCs w:val="20"/>
              </w:rPr>
            </w:pPr>
          </w:p>
        </w:tc>
        <w:tc>
          <w:tcPr>
            <w:tcW w:w="2692" w:type="dxa"/>
            <w:tcBorders>
              <w:top w:val="nil"/>
            </w:tcBorders>
            <w:shd w:val="clear" w:color="auto" w:fill="auto"/>
          </w:tcPr>
          <w:p w14:paraId="4DA266BC" w14:textId="77777777" w:rsidR="005B3673" w:rsidRDefault="005B3673" w:rsidP="00A43684">
            <w:pPr>
              <w:spacing w:before="60" w:after="20"/>
              <w:rPr>
                <w:rFonts w:ascii="Verdana" w:hAnsi="Verdana"/>
                <w:spacing w:val="-2"/>
                <w:sz w:val="20"/>
                <w:szCs w:val="20"/>
              </w:rPr>
            </w:pPr>
          </w:p>
        </w:tc>
        <w:tc>
          <w:tcPr>
            <w:tcW w:w="6237" w:type="dxa"/>
            <w:tcBorders>
              <w:top w:val="nil"/>
            </w:tcBorders>
            <w:shd w:val="clear" w:color="auto" w:fill="auto"/>
          </w:tcPr>
          <w:p w14:paraId="7682EDB3" w14:textId="75378CE1" w:rsidR="00AD7689" w:rsidRPr="00AD7689" w:rsidRDefault="001C64B3" w:rsidP="00AD7689">
            <w:pPr>
              <w:spacing w:before="60" w:after="20"/>
              <w:jc w:val="both"/>
              <w:rPr>
                <w:rFonts w:ascii="Verdana" w:hAnsi="Verdana"/>
                <w:sz w:val="20"/>
                <w:szCs w:val="20"/>
              </w:rPr>
            </w:pPr>
            <w:r>
              <w:rPr>
                <w:rFonts w:ascii="Verdana" w:hAnsi="Verdana"/>
                <w:sz w:val="20"/>
                <w:szCs w:val="20"/>
              </w:rPr>
              <w:t xml:space="preserve">1. </w:t>
            </w:r>
            <w:r w:rsidR="00AD7689" w:rsidRPr="00AD7689">
              <w:rPr>
                <w:rFonts w:ascii="Verdana" w:hAnsi="Verdana"/>
                <w:sz w:val="20"/>
                <w:szCs w:val="20"/>
              </w:rPr>
              <w:t>Обща информация относно прилагане подхода ВОМР през програмен период 2021 – 2027 г.</w:t>
            </w:r>
          </w:p>
          <w:p w14:paraId="17E5D65A" w14:textId="2FA68AC6" w:rsidR="00AD7689" w:rsidRPr="00AD7689" w:rsidRDefault="00AD7689" w:rsidP="00AD7689">
            <w:pPr>
              <w:spacing w:before="60" w:after="20"/>
              <w:jc w:val="both"/>
              <w:rPr>
                <w:rFonts w:ascii="Verdana" w:hAnsi="Verdana"/>
                <w:sz w:val="20"/>
                <w:szCs w:val="20"/>
              </w:rPr>
            </w:pPr>
            <w:r w:rsidRPr="00AD7689">
              <w:rPr>
                <w:rFonts w:ascii="Verdana" w:hAnsi="Verdana"/>
                <w:sz w:val="20"/>
                <w:szCs w:val="20"/>
              </w:rPr>
              <w:t xml:space="preserve">В проекта на ПМС за подхода ВОМР, не са отразени в </w:t>
            </w:r>
            <w:r w:rsidRPr="00AD7689">
              <w:rPr>
                <w:rFonts w:ascii="Verdana" w:hAnsi="Verdana"/>
                <w:sz w:val="20"/>
                <w:szCs w:val="20"/>
              </w:rPr>
              <w:lastRenderedPageBreak/>
              <w:t>пълна степен принципите, залегнали в документа Концепция за реализиране на подхода ВОМР през програмен период 2021 – 2027 г. (подписан от ръководителите на всички УО), представен по време на Комитета за наблюдение на СПРЗСР 2023-2027 г., а именно – на стр.</w:t>
            </w:r>
            <w:r w:rsidR="001C64B3">
              <w:rPr>
                <w:rFonts w:ascii="Verdana" w:hAnsi="Verdana"/>
                <w:sz w:val="20"/>
                <w:szCs w:val="20"/>
              </w:rPr>
              <w:t xml:space="preserve"> </w:t>
            </w:r>
            <w:r w:rsidRPr="00AD7689">
              <w:rPr>
                <w:rFonts w:ascii="Verdana" w:hAnsi="Verdana"/>
                <w:sz w:val="20"/>
                <w:szCs w:val="20"/>
              </w:rPr>
              <w:t>2: „обявяване на хоризонтални процедури (общи процедури за всички МИГ) с отделни лотове за всяка МИГ...“.</w:t>
            </w:r>
          </w:p>
          <w:p w14:paraId="7779ADFE" w14:textId="08E589AA" w:rsidR="00AD7689" w:rsidRPr="00AD7689" w:rsidRDefault="00AD7689" w:rsidP="00AD7689">
            <w:pPr>
              <w:spacing w:before="60" w:after="20"/>
              <w:jc w:val="both"/>
              <w:rPr>
                <w:rFonts w:ascii="Verdana" w:hAnsi="Verdana"/>
                <w:sz w:val="20"/>
                <w:szCs w:val="20"/>
              </w:rPr>
            </w:pPr>
            <w:r w:rsidRPr="00AD7689">
              <w:rPr>
                <w:rFonts w:ascii="Verdana" w:hAnsi="Verdana"/>
                <w:sz w:val="20"/>
                <w:szCs w:val="20"/>
              </w:rPr>
              <w:t>В представения проект на ПМС за обществено обсъждане никъде не е записано, че ще има отделни лотове за всяка МИГ.</w:t>
            </w:r>
          </w:p>
          <w:p w14:paraId="6A4C1781" w14:textId="30B715EC" w:rsidR="005B3673" w:rsidRPr="001A1452" w:rsidRDefault="00AD7689" w:rsidP="00AD7689">
            <w:pPr>
              <w:spacing w:before="60" w:after="20"/>
              <w:jc w:val="both"/>
              <w:rPr>
                <w:rFonts w:ascii="Verdana" w:hAnsi="Verdana"/>
                <w:sz w:val="20"/>
                <w:szCs w:val="20"/>
              </w:rPr>
            </w:pPr>
            <w:r w:rsidRPr="00AD7689">
              <w:rPr>
                <w:rFonts w:ascii="Verdana" w:hAnsi="Verdana"/>
                <w:sz w:val="20"/>
                <w:szCs w:val="20"/>
              </w:rPr>
              <w:t>В тази връзка се обръщаме към Вас с предложение да предвидите такава възможност за разпределяне на средствата чрез лотове за всяка МИГ, с цел да се постигне поне частично съответствие с принципите на подхода ВОМР.</w:t>
            </w:r>
          </w:p>
        </w:tc>
        <w:tc>
          <w:tcPr>
            <w:tcW w:w="1629" w:type="dxa"/>
            <w:tcBorders>
              <w:top w:val="nil"/>
            </w:tcBorders>
            <w:shd w:val="clear" w:color="auto" w:fill="auto"/>
          </w:tcPr>
          <w:p w14:paraId="042EAE92" w14:textId="34993ED8" w:rsidR="005B3673" w:rsidRPr="004674B8" w:rsidRDefault="00DA41AF" w:rsidP="005B3673">
            <w:pPr>
              <w:spacing w:before="60" w:after="20"/>
              <w:rPr>
                <w:rFonts w:ascii="Verdana" w:hAnsi="Verdana"/>
                <w:sz w:val="20"/>
                <w:szCs w:val="20"/>
              </w:rPr>
            </w:pPr>
            <w:r w:rsidRPr="008B4F23">
              <w:rPr>
                <w:rFonts w:ascii="Verdana" w:hAnsi="Verdana"/>
                <w:sz w:val="20"/>
                <w:szCs w:val="20"/>
              </w:rPr>
              <w:lastRenderedPageBreak/>
              <w:t>Не се приема</w:t>
            </w:r>
          </w:p>
        </w:tc>
        <w:tc>
          <w:tcPr>
            <w:tcW w:w="4522" w:type="dxa"/>
            <w:tcBorders>
              <w:top w:val="nil"/>
            </w:tcBorders>
            <w:shd w:val="clear" w:color="auto" w:fill="auto"/>
          </w:tcPr>
          <w:p w14:paraId="0DEBD070" w14:textId="39AEDB79" w:rsidR="005B3673" w:rsidRPr="004674B8" w:rsidRDefault="008B4F23" w:rsidP="004F3C34">
            <w:pPr>
              <w:spacing w:before="60" w:after="20"/>
              <w:jc w:val="both"/>
              <w:rPr>
                <w:rFonts w:ascii="Verdana" w:hAnsi="Verdana"/>
                <w:sz w:val="20"/>
                <w:szCs w:val="20"/>
              </w:rPr>
            </w:pPr>
            <w:r>
              <w:rPr>
                <w:rFonts w:ascii="Verdana" w:hAnsi="Verdana"/>
                <w:sz w:val="20"/>
                <w:szCs w:val="20"/>
              </w:rPr>
              <w:t xml:space="preserve">В чл. 9, ал. 3 и 4 </w:t>
            </w:r>
            <w:r w:rsidR="00525EAC">
              <w:rPr>
                <w:rFonts w:ascii="Verdana" w:hAnsi="Verdana"/>
                <w:sz w:val="20"/>
                <w:szCs w:val="20"/>
              </w:rPr>
              <w:t>с</w:t>
            </w:r>
            <w:r>
              <w:rPr>
                <w:rFonts w:ascii="Verdana" w:hAnsi="Verdana"/>
                <w:sz w:val="20"/>
                <w:szCs w:val="20"/>
              </w:rPr>
              <w:t>а разписани принципите, по които ще се предоставя безвъзмездна финансова помощ от програмите по чл. 9, ал. 1.</w:t>
            </w:r>
          </w:p>
        </w:tc>
      </w:tr>
      <w:tr w:rsidR="00A43684" w:rsidRPr="00F413E2" w14:paraId="36CA9C48" w14:textId="77777777" w:rsidTr="00B706DB">
        <w:trPr>
          <w:jc w:val="center"/>
        </w:trPr>
        <w:tc>
          <w:tcPr>
            <w:tcW w:w="569" w:type="dxa"/>
            <w:shd w:val="clear" w:color="auto" w:fill="auto"/>
          </w:tcPr>
          <w:p w14:paraId="1530D4EF" w14:textId="77777777" w:rsidR="00A43684" w:rsidRPr="003C147F" w:rsidRDefault="00A43684"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0D657F50" w14:textId="77777777" w:rsidR="00A43684" w:rsidRDefault="00A43684" w:rsidP="00A43684">
            <w:pPr>
              <w:spacing w:before="60" w:after="20"/>
              <w:rPr>
                <w:rFonts w:ascii="Verdana" w:hAnsi="Verdana"/>
                <w:spacing w:val="-2"/>
                <w:sz w:val="20"/>
                <w:szCs w:val="20"/>
              </w:rPr>
            </w:pPr>
          </w:p>
        </w:tc>
        <w:tc>
          <w:tcPr>
            <w:tcW w:w="6237" w:type="dxa"/>
            <w:shd w:val="clear" w:color="auto" w:fill="auto"/>
          </w:tcPr>
          <w:p w14:paraId="09D1D32B" w14:textId="51D6E0A4" w:rsidR="00A43684" w:rsidRPr="001A1452" w:rsidRDefault="001C64B3" w:rsidP="00AD7689">
            <w:pPr>
              <w:spacing w:before="60" w:after="20"/>
              <w:jc w:val="both"/>
              <w:rPr>
                <w:rFonts w:ascii="Verdana" w:hAnsi="Verdana"/>
                <w:sz w:val="20"/>
                <w:szCs w:val="20"/>
              </w:rPr>
            </w:pPr>
            <w:r>
              <w:rPr>
                <w:rFonts w:ascii="Verdana" w:hAnsi="Verdana"/>
                <w:sz w:val="20"/>
                <w:szCs w:val="20"/>
              </w:rPr>
              <w:t xml:space="preserve">2. </w:t>
            </w:r>
            <w:r w:rsidR="00AD7689" w:rsidRPr="00AD7689">
              <w:rPr>
                <w:rFonts w:ascii="Verdana" w:hAnsi="Verdana"/>
                <w:sz w:val="20"/>
                <w:szCs w:val="20"/>
              </w:rPr>
              <w:t>В чл. 27 не става ясно по какви условия и ред ще се извърши оценката за АСД на стратегиите в основната им част, финансирана от ЕЗФРСР.</w:t>
            </w:r>
          </w:p>
        </w:tc>
        <w:tc>
          <w:tcPr>
            <w:tcW w:w="1629" w:type="dxa"/>
            <w:shd w:val="clear" w:color="auto" w:fill="auto"/>
          </w:tcPr>
          <w:p w14:paraId="519EC773" w14:textId="12BB1718" w:rsidR="00A43684" w:rsidRPr="002840D4" w:rsidRDefault="00A43684" w:rsidP="008B4F23">
            <w:pPr>
              <w:spacing w:before="60" w:after="20"/>
              <w:rPr>
                <w:rFonts w:ascii="Verdana" w:hAnsi="Verdana"/>
                <w:color w:val="FF0000"/>
                <w:sz w:val="20"/>
                <w:szCs w:val="20"/>
              </w:rPr>
            </w:pPr>
            <w:r w:rsidRPr="008B4F23">
              <w:rPr>
                <w:rFonts w:ascii="Verdana" w:hAnsi="Verdana"/>
                <w:sz w:val="20"/>
                <w:szCs w:val="20"/>
              </w:rPr>
              <w:t>Приема се</w:t>
            </w:r>
          </w:p>
        </w:tc>
        <w:tc>
          <w:tcPr>
            <w:tcW w:w="4522" w:type="dxa"/>
            <w:shd w:val="clear" w:color="auto" w:fill="auto"/>
          </w:tcPr>
          <w:p w14:paraId="535674C5" w14:textId="77777777" w:rsidR="00A43684" w:rsidRPr="004674B8" w:rsidRDefault="00A43684" w:rsidP="005B3673">
            <w:pPr>
              <w:spacing w:before="60" w:after="20" w:line="360" w:lineRule="auto"/>
              <w:rPr>
                <w:rFonts w:ascii="Verdana" w:hAnsi="Verdana"/>
                <w:sz w:val="20"/>
                <w:szCs w:val="20"/>
              </w:rPr>
            </w:pPr>
          </w:p>
        </w:tc>
      </w:tr>
      <w:tr w:rsidR="00A43684" w:rsidRPr="00F413E2" w14:paraId="7027178B" w14:textId="77777777" w:rsidTr="00B706DB">
        <w:trPr>
          <w:jc w:val="center"/>
        </w:trPr>
        <w:tc>
          <w:tcPr>
            <w:tcW w:w="569" w:type="dxa"/>
            <w:shd w:val="clear" w:color="auto" w:fill="auto"/>
          </w:tcPr>
          <w:p w14:paraId="32D671C4" w14:textId="77777777" w:rsidR="00A43684" w:rsidRPr="003C147F" w:rsidRDefault="00A43684"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67D74943" w14:textId="77777777" w:rsidR="00A43684" w:rsidRDefault="00A43684" w:rsidP="00A43684">
            <w:pPr>
              <w:spacing w:before="60" w:after="20"/>
              <w:rPr>
                <w:rFonts w:ascii="Verdana" w:hAnsi="Verdana"/>
                <w:spacing w:val="-2"/>
                <w:sz w:val="20"/>
                <w:szCs w:val="20"/>
              </w:rPr>
            </w:pPr>
          </w:p>
        </w:tc>
        <w:tc>
          <w:tcPr>
            <w:tcW w:w="6237" w:type="dxa"/>
            <w:shd w:val="clear" w:color="auto" w:fill="auto"/>
          </w:tcPr>
          <w:p w14:paraId="4922801B" w14:textId="4DCA0E1E" w:rsidR="00A43684" w:rsidRPr="001A1452" w:rsidRDefault="001C64B3" w:rsidP="00EA1307">
            <w:pPr>
              <w:spacing w:before="60" w:after="20"/>
              <w:jc w:val="both"/>
              <w:rPr>
                <w:rFonts w:ascii="Verdana" w:hAnsi="Verdana"/>
                <w:sz w:val="20"/>
                <w:szCs w:val="20"/>
              </w:rPr>
            </w:pPr>
            <w:r>
              <w:rPr>
                <w:rFonts w:ascii="Verdana" w:hAnsi="Verdana"/>
                <w:sz w:val="20"/>
                <w:szCs w:val="20"/>
              </w:rPr>
              <w:t xml:space="preserve">3. </w:t>
            </w:r>
            <w:r w:rsidR="00EA1307" w:rsidRPr="00EA1307">
              <w:rPr>
                <w:rFonts w:ascii="Verdana" w:hAnsi="Verdana"/>
                <w:sz w:val="20"/>
                <w:szCs w:val="20"/>
              </w:rPr>
              <w:t>Относно чл. 28, ал. 3: След като вече са членове на комитета, оценителите по чл. 28, ал.</w:t>
            </w:r>
            <w:r>
              <w:rPr>
                <w:rFonts w:ascii="Verdana" w:hAnsi="Verdana"/>
                <w:sz w:val="20"/>
                <w:szCs w:val="20"/>
              </w:rPr>
              <w:t xml:space="preserve"> </w:t>
            </w:r>
            <w:r w:rsidR="00EA1307" w:rsidRPr="00EA1307">
              <w:rPr>
                <w:rFonts w:ascii="Verdana" w:hAnsi="Verdana"/>
                <w:sz w:val="20"/>
                <w:szCs w:val="20"/>
              </w:rPr>
              <w:t>3 не следва да се определят от ръководителя на УО на ПРСР/ДФЗ, а от председателя на комитета или автоматично чрез ИСУН.</w:t>
            </w:r>
          </w:p>
        </w:tc>
        <w:tc>
          <w:tcPr>
            <w:tcW w:w="1629" w:type="dxa"/>
            <w:shd w:val="clear" w:color="auto" w:fill="auto"/>
          </w:tcPr>
          <w:p w14:paraId="4B9973CF" w14:textId="24D65D60" w:rsidR="00A43684" w:rsidRPr="002840D4" w:rsidRDefault="00A43684" w:rsidP="008B4F23">
            <w:pPr>
              <w:spacing w:before="60" w:after="20"/>
              <w:rPr>
                <w:rFonts w:ascii="Verdana" w:hAnsi="Verdana"/>
                <w:color w:val="FF0000"/>
                <w:sz w:val="20"/>
                <w:szCs w:val="20"/>
              </w:rPr>
            </w:pPr>
            <w:r w:rsidRPr="008B4F23">
              <w:rPr>
                <w:rFonts w:ascii="Verdana" w:hAnsi="Verdana"/>
                <w:sz w:val="20"/>
                <w:szCs w:val="20"/>
              </w:rPr>
              <w:t>Приема се</w:t>
            </w:r>
          </w:p>
        </w:tc>
        <w:tc>
          <w:tcPr>
            <w:tcW w:w="4522" w:type="dxa"/>
            <w:shd w:val="clear" w:color="auto" w:fill="auto"/>
          </w:tcPr>
          <w:p w14:paraId="58FCAA88" w14:textId="77777777" w:rsidR="00A43684" w:rsidRPr="004674B8" w:rsidRDefault="00A43684" w:rsidP="005B3673">
            <w:pPr>
              <w:spacing w:before="60" w:after="20" w:line="360" w:lineRule="auto"/>
              <w:rPr>
                <w:rFonts w:ascii="Verdana" w:hAnsi="Verdana"/>
                <w:sz w:val="20"/>
                <w:szCs w:val="20"/>
              </w:rPr>
            </w:pPr>
          </w:p>
        </w:tc>
      </w:tr>
      <w:tr w:rsidR="008F4EB9" w:rsidRPr="00F413E2" w14:paraId="0F7375FE" w14:textId="77777777" w:rsidTr="00B706DB">
        <w:trPr>
          <w:jc w:val="center"/>
        </w:trPr>
        <w:tc>
          <w:tcPr>
            <w:tcW w:w="569" w:type="dxa"/>
            <w:shd w:val="clear" w:color="auto" w:fill="auto"/>
          </w:tcPr>
          <w:p w14:paraId="48180A70" w14:textId="77777777" w:rsidR="008F4EB9" w:rsidRPr="003C147F" w:rsidRDefault="008F4EB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5D554E7E" w14:textId="77777777" w:rsidR="008F4EB9" w:rsidRDefault="008F4EB9" w:rsidP="00A43684">
            <w:pPr>
              <w:spacing w:before="60" w:after="20"/>
              <w:rPr>
                <w:rFonts w:ascii="Verdana" w:hAnsi="Verdana"/>
                <w:spacing w:val="-2"/>
                <w:sz w:val="20"/>
                <w:szCs w:val="20"/>
              </w:rPr>
            </w:pPr>
          </w:p>
        </w:tc>
        <w:tc>
          <w:tcPr>
            <w:tcW w:w="6237" w:type="dxa"/>
            <w:shd w:val="clear" w:color="auto" w:fill="auto"/>
          </w:tcPr>
          <w:p w14:paraId="0EC35280" w14:textId="5DAA5016" w:rsidR="001C64B3" w:rsidRPr="001C64B3" w:rsidRDefault="001C64B3" w:rsidP="001C64B3">
            <w:pPr>
              <w:spacing w:before="60" w:after="20"/>
              <w:jc w:val="both"/>
              <w:rPr>
                <w:rFonts w:ascii="Verdana" w:hAnsi="Verdana"/>
                <w:sz w:val="20"/>
                <w:szCs w:val="20"/>
              </w:rPr>
            </w:pPr>
            <w:r w:rsidRPr="001C64B3">
              <w:rPr>
                <w:rFonts w:ascii="Verdana" w:hAnsi="Verdana"/>
                <w:sz w:val="20"/>
                <w:szCs w:val="20"/>
              </w:rPr>
              <w:t xml:space="preserve">4. Предлагаме  в чл. 34. от проекта за ПМС  „ (1) Местната инициативна група/МИРГ в срок до 15 февруари на следващата календарна година изготвя и представя на УО на СПРЗСР/ УО на ПМДРА годишен доклад за отчитане изпълнението на стратегията за ВОМР. Годишният доклад се одобрява от колективния върховен и колективния управителен орган на МИГ/МИРГ.) да отпадне изречение второ „Годишният доклад се одобрява от колективния върховен и колективния управителен орган на МИГ/МИРГ“ или да бъде изменено на „Годишният доклад се одобрява от </w:t>
            </w:r>
            <w:r w:rsidRPr="001C64B3">
              <w:rPr>
                <w:rFonts w:ascii="Verdana" w:hAnsi="Verdana"/>
                <w:sz w:val="20"/>
                <w:szCs w:val="20"/>
              </w:rPr>
              <w:lastRenderedPageBreak/>
              <w:t>колективния управителен орган на МИГ/МИРГ“</w:t>
            </w:r>
          </w:p>
          <w:p w14:paraId="2CB10F84" w14:textId="7640A348" w:rsidR="008F4EB9" w:rsidRPr="001A1452" w:rsidRDefault="001C64B3" w:rsidP="001C64B3">
            <w:pPr>
              <w:spacing w:before="60" w:after="20"/>
              <w:jc w:val="both"/>
              <w:rPr>
                <w:rFonts w:ascii="Verdana" w:hAnsi="Verdana"/>
                <w:sz w:val="20"/>
                <w:szCs w:val="20"/>
              </w:rPr>
            </w:pPr>
            <w:r w:rsidRPr="001C64B3">
              <w:rPr>
                <w:rFonts w:ascii="Verdana" w:hAnsi="Verdana"/>
                <w:sz w:val="20"/>
                <w:szCs w:val="20"/>
              </w:rPr>
              <w:t>Мотиви: Изискването годишния доклад да се одобрява от Общото събрание на МИГ не съществува в момента. Необходимостта, в началото на годината -  най-натоварения период за МИГ, когато те подготвят годишните си заявки за плащане, годишни отчети и доклади към различни институции, извършват годишно счетоводно приключване и др., да провеждат общо събрание само за одобрение на конкретния доклад, представлява нова, необоснована и значителна административна тежест за екипите на МИГ.</w:t>
            </w:r>
          </w:p>
        </w:tc>
        <w:tc>
          <w:tcPr>
            <w:tcW w:w="1629" w:type="dxa"/>
            <w:shd w:val="clear" w:color="auto" w:fill="auto"/>
          </w:tcPr>
          <w:p w14:paraId="1FAD0955" w14:textId="265F9811" w:rsidR="008F4EB9" w:rsidRPr="00A43684" w:rsidRDefault="008F4EB9" w:rsidP="005B3673">
            <w:pPr>
              <w:spacing w:before="60" w:after="20"/>
              <w:rPr>
                <w:rFonts w:ascii="Verdana" w:hAnsi="Verdana"/>
                <w:color w:val="FF0000"/>
                <w:sz w:val="20"/>
                <w:szCs w:val="20"/>
              </w:rPr>
            </w:pPr>
            <w:r w:rsidRPr="008B4F23">
              <w:rPr>
                <w:rFonts w:ascii="Verdana" w:hAnsi="Verdana"/>
                <w:sz w:val="20"/>
                <w:szCs w:val="20"/>
              </w:rPr>
              <w:lastRenderedPageBreak/>
              <w:t>Не се приема</w:t>
            </w:r>
          </w:p>
        </w:tc>
        <w:tc>
          <w:tcPr>
            <w:tcW w:w="4522" w:type="dxa"/>
            <w:shd w:val="clear" w:color="auto" w:fill="auto"/>
          </w:tcPr>
          <w:p w14:paraId="4C4BB534" w14:textId="74D932B9" w:rsidR="008F4EB9" w:rsidRPr="004674B8" w:rsidRDefault="008B4F23" w:rsidP="00A92881">
            <w:pPr>
              <w:spacing w:before="60" w:after="20"/>
              <w:jc w:val="both"/>
              <w:rPr>
                <w:rFonts w:ascii="Verdana" w:hAnsi="Verdana"/>
                <w:sz w:val="20"/>
                <w:szCs w:val="20"/>
              </w:rPr>
            </w:pPr>
            <w:r>
              <w:rPr>
                <w:rFonts w:ascii="Verdana" w:hAnsi="Verdana"/>
                <w:sz w:val="20"/>
                <w:szCs w:val="20"/>
              </w:rPr>
              <w:t>Въведеното задъл</w:t>
            </w:r>
            <w:r w:rsidR="004F3C34">
              <w:rPr>
                <w:rFonts w:ascii="Verdana" w:hAnsi="Verdana"/>
                <w:sz w:val="20"/>
                <w:szCs w:val="20"/>
              </w:rPr>
              <w:t xml:space="preserve">жение е във връзка с препоръки </w:t>
            </w:r>
            <w:r>
              <w:rPr>
                <w:rFonts w:ascii="Verdana" w:hAnsi="Verdana"/>
                <w:sz w:val="20"/>
                <w:szCs w:val="20"/>
              </w:rPr>
              <w:t>от одит на С</w:t>
            </w:r>
            <w:r w:rsidR="00253D15">
              <w:rPr>
                <w:rFonts w:ascii="Verdana" w:hAnsi="Verdana"/>
                <w:sz w:val="20"/>
                <w:szCs w:val="20"/>
              </w:rPr>
              <w:t>мет</w:t>
            </w:r>
            <w:r>
              <w:rPr>
                <w:rFonts w:ascii="Verdana" w:hAnsi="Verdana"/>
                <w:sz w:val="20"/>
                <w:szCs w:val="20"/>
              </w:rPr>
              <w:t>ната палата.</w:t>
            </w:r>
          </w:p>
        </w:tc>
      </w:tr>
      <w:tr w:rsidR="008F4EB9" w:rsidRPr="00F413E2" w14:paraId="7870CF5F" w14:textId="77777777" w:rsidTr="00B706DB">
        <w:trPr>
          <w:jc w:val="center"/>
        </w:trPr>
        <w:tc>
          <w:tcPr>
            <w:tcW w:w="569" w:type="dxa"/>
            <w:shd w:val="clear" w:color="auto" w:fill="auto"/>
          </w:tcPr>
          <w:p w14:paraId="5B1ABBA4" w14:textId="77777777" w:rsidR="008F4EB9" w:rsidRPr="003C147F" w:rsidRDefault="008F4EB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2B9D6124" w14:textId="77777777" w:rsidR="008F4EB9" w:rsidRDefault="008F4EB9" w:rsidP="00A43684">
            <w:pPr>
              <w:spacing w:before="60" w:after="20"/>
              <w:rPr>
                <w:rFonts w:ascii="Verdana" w:hAnsi="Verdana"/>
                <w:spacing w:val="-2"/>
                <w:sz w:val="20"/>
                <w:szCs w:val="20"/>
              </w:rPr>
            </w:pPr>
          </w:p>
        </w:tc>
        <w:tc>
          <w:tcPr>
            <w:tcW w:w="6237" w:type="dxa"/>
            <w:shd w:val="clear" w:color="auto" w:fill="auto"/>
          </w:tcPr>
          <w:p w14:paraId="16AD63C3" w14:textId="0C899795" w:rsidR="002B7309" w:rsidRPr="002B7309" w:rsidRDefault="002B7309" w:rsidP="002B7309">
            <w:pPr>
              <w:spacing w:before="60" w:after="20"/>
              <w:jc w:val="both"/>
              <w:rPr>
                <w:rFonts w:ascii="Verdana" w:hAnsi="Verdana"/>
                <w:sz w:val="20"/>
                <w:szCs w:val="20"/>
              </w:rPr>
            </w:pPr>
            <w:r w:rsidRPr="002B7309">
              <w:rPr>
                <w:rFonts w:ascii="Verdana" w:hAnsi="Verdana"/>
                <w:sz w:val="20"/>
                <w:szCs w:val="20"/>
              </w:rPr>
              <w:t>5. Предлагаме в чл. 39 ал. 8 текста „(8) Председателят, секретарят и помощник-оценителите трябва да притежават необходимата квалификация и опит съобразно вида на оценяваните проекти. ….“  да отпадне или да се промени на „Председателят, секретарят и членовете с право на глас на оценителната комисия, помощник-оценителите и наблюдателите трябва да притежават необходимата професионална компетентност за изпълнение на задачите, възложени им със заповедта за назначаване на комисията“ – по аналогия с текста на чл. 17 ал. 1 от ПМС № 23/2023г.</w:t>
            </w:r>
          </w:p>
          <w:p w14:paraId="4FA45E65" w14:textId="14D8F0E1" w:rsidR="008F4EB9" w:rsidRPr="001A1452" w:rsidRDefault="002B7309" w:rsidP="002B7309">
            <w:pPr>
              <w:spacing w:before="60" w:after="20"/>
              <w:jc w:val="both"/>
              <w:rPr>
                <w:rFonts w:ascii="Verdana" w:hAnsi="Verdana"/>
                <w:sz w:val="20"/>
                <w:szCs w:val="20"/>
              </w:rPr>
            </w:pPr>
            <w:r w:rsidRPr="002B7309">
              <w:rPr>
                <w:rFonts w:ascii="Verdana" w:hAnsi="Verdana"/>
                <w:sz w:val="20"/>
                <w:szCs w:val="20"/>
              </w:rPr>
              <w:t>Мотиви: На първо място, същото изискване към членовете на комисията – външни оценители вече фигурира в ал. 5 на същия член. На следващо място - председателят и секретарят не са членове с право на глас и не участват в оценката на проектите, а извършват административна работа, поради което не е обосновано да се изисква да притежават „квалификация и опит съобразно вида на оценяваните проекти“, а съобразно задачите им в комисията.</w:t>
            </w:r>
          </w:p>
        </w:tc>
        <w:tc>
          <w:tcPr>
            <w:tcW w:w="1629" w:type="dxa"/>
            <w:shd w:val="clear" w:color="auto" w:fill="auto"/>
          </w:tcPr>
          <w:p w14:paraId="6FC62AFF" w14:textId="509D9240" w:rsidR="008F4EB9" w:rsidRPr="00A43684" w:rsidRDefault="008F4EB9" w:rsidP="00253D15">
            <w:pPr>
              <w:spacing w:before="60" w:after="20"/>
              <w:rPr>
                <w:rFonts w:ascii="Verdana" w:hAnsi="Verdana"/>
                <w:color w:val="FF0000"/>
                <w:sz w:val="20"/>
                <w:szCs w:val="20"/>
              </w:rPr>
            </w:pPr>
            <w:r w:rsidRPr="00253D15">
              <w:rPr>
                <w:rFonts w:ascii="Verdana" w:hAnsi="Verdana"/>
                <w:sz w:val="20"/>
                <w:szCs w:val="20"/>
              </w:rPr>
              <w:t>Приема се</w:t>
            </w:r>
          </w:p>
        </w:tc>
        <w:tc>
          <w:tcPr>
            <w:tcW w:w="4522" w:type="dxa"/>
            <w:shd w:val="clear" w:color="auto" w:fill="auto"/>
          </w:tcPr>
          <w:p w14:paraId="206C5E77" w14:textId="77777777" w:rsidR="008F4EB9" w:rsidRPr="004674B8" w:rsidRDefault="008F4EB9" w:rsidP="005B3673">
            <w:pPr>
              <w:spacing w:before="60" w:after="20" w:line="360" w:lineRule="auto"/>
              <w:rPr>
                <w:rFonts w:ascii="Verdana" w:hAnsi="Verdana"/>
                <w:sz w:val="20"/>
                <w:szCs w:val="20"/>
              </w:rPr>
            </w:pPr>
          </w:p>
        </w:tc>
      </w:tr>
      <w:tr w:rsidR="00DA41AF" w:rsidRPr="00F413E2" w14:paraId="28DCF9EB" w14:textId="77777777" w:rsidTr="00B706DB">
        <w:trPr>
          <w:jc w:val="center"/>
        </w:trPr>
        <w:tc>
          <w:tcPr>
            <w:tcW w:w="569" w:type="dxa"/>
            <w:shd w:val="clear" w:color="auto" w:fill="auto"/>
          </w:tcPr>
          <w:p w14:paraId="101E3B9B" w14:textId="77777777" w:rsidR="00DA41AF" w:rsidRPr="003C147F" w:rsidRDefault="00DA41AF"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72E1524B" w14:textId="77777777" w:rsidR="00DA41AF" w:rsidRDefault="00DA41AF" w:rsidP="00A43684">
            <w:pPr>
              <w:spacing w:before="60" w:after="20"/>
              <w:rPr>
                <w:rFonts w:ascii="Verdana" w:hAnsi="Verdana"/>
                <w:spacing w:val="-2"/>
                <w:sz w:val="20"/>
                <w:szCs w:val="20"/>
              </w:rPr>
            </w:pPr>
          </w:p>
        </w:tc>
        <w:tc>
          <w:tcPr>
            <w:tcW w:w="6237" w:type="dxa"/>
            <w:shd w:val="clear" w:color="auto" w:fill="auto"/>
          </w:tcPr>
          <w:p w14:paraId="33075AB2" w14:textId="3DE86537"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6. Предлагаме член 40 да отпадне или ал. 1 „(1) Местната инициативна група/МИРГ изпраща покана за участие на наблюдатели до УО на СПРЗСР/УО на ПМДРА.“</w:t>
            </w:r>
          </w:p>
          <w:p w14:paraId="3C2F2B3E" w14:textId="77777777"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lastRenderedPageBreak/>
              <w:t>да се промени на</w:t>
            </w:r>
          </w:p>
          <w:p w14:paraId="622EF083" w14:textId="187ACDD2"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„Местната инициативна група/МИРГ изпраща покана за участие на наблюдатели до ДФЗ/УО на ПМДРА“ като следващите алинеи да бъдат коригирани, съобразно тази промяна.</w:t>
            </w:r>
          </w:p>
          <w:p w14:paraId="491EEECC" w14:textId="4802E0EA" w:rsidR="00DA41AF" w:rsidRPr="001A1452" w:rsidRDefault="001E2B19" w:rsidP="001E2B19">
            <w:pPr>
              <w:spacing w:before="60" w:after="20"/>
              <w:jc w:val="both"/>
              <w:rPr>
                <w:rFonts w:ascii="Verdana" w:hAnsi="Verdana"/>
                <w:sz w:val="20"/>
                <w:szCs w:val="20"/>
              </w:rPr>
            </w:pPr>
            <w:r w:rsidRPr="001E2B19">
              <w:rPr>
                <w:rFonts w:ascii="Verdana" w:hAnsi="Verdana"/>
                <w:sz w:val="20"/>
                <w:szCs w:val="20"/>
              </w:rPr>
              <w:t>Мотиви: Съгласно чл. 43 и 44 от проекта на ПМС, органът, който извършва проверка и одобрява проведените процедури за оценка и проекти към МИГ е ДФЗ. Изпращането на покана за наблюдатели до УО на СПРЗСР и последващата процедура, завършваща с изготвяне на доклад, представляват единствено административна тежест, както за МИГ, така и за УО на СПРЗСР, тъй като този доклад няма за резултат одобрение на проведената оценка.</w:t>
            </w:r>
          </w:p>
        </w:tc>
        <w:tc>
          <w:tcPr>
            <w:tcW w:w="1629" w:type="dxa"/>
            <w:shd w:val="clear" w:color="auto" w:fill="auto"/>
          </w:tcPr>
          <w:p w14:paraId="42BBE326" w14:textId="1214AB6D" w:rsidR="00DA41AF" w:rsidRPr="002840D4" w:rsidRDefault="00DA41AF" w:rsidP="00253D15">
            <w:pPr>
              <w:spacing w:before="60" w:after="20"/>
              <w:rPr>
                <w:rFonts w:ascii="Verdana" w:hAnsi="Verdana"/>
                <w:color w:val="FF0000"/>
                <w:sz w:val="20"/>
                <w:szCs w:val="20"/>
              </w:rPr>
            </w:pPr>
            <w:r w:rsidRPr="00253D15">
              <w:rPr>
                <w:rFonts w:ascii="Verdana" w:hAnsi="Verdana"/>
                <w:sz w:val="20"/>
                <w:szCs w:val="20"/>
              </w:rPr>
              <w:lastRenderedPageBreak/>
              <w:t>Приема се</w:t>
            </w:r>
            <w:r w:rsidR="00253D15" w:rsidRPr="00253D15">
              <w:rPr>
                <w:rFonts w:ascii="Verdana" w:hAnsi="Verdana"/>
                <w:sz w:val="20"/>
                <w:szCs w:val="20"/>
              </w:rPr>
              <w:t xml:space="preserve"> по принцип</w:t>
            </w:r>
          </w:p>
        </w:tc>
        <w:tc>
          <w:tcPr>
            <w:tcW w:w="4522" w:type="dxa"/>
            <w:shd w:val="clear" w:color="auto" w:fill="auto"/>
          </w:tcPr>
          <w:p w14:paraId="3D05F6E1" w14:textId="4E4E56B9" w:rsidR="00DA41AF" w:rsidRPr="004674B8" w:rsidRDefault="00253D15" w:rsidP="00AF5CAD">
            <w:pPr>
              <w:spacing w:before="60" w:after="20"/>
              <w:jc w:val="both"/>
              <w:rPr>
                <w:rFonts w:ascii="Verdana" w:hAnsi="Verdana"/>
                <w:sz w:val="20"/>
                <w:szCs w:val="20"/>
              </w:rPr>
            </w:pPr>
            <w:r>
              <w:rPr>
                <w:rFonts w:ascii="Verdana" w:hAnsi="Verdana"/>
                <w:sz w:val="20"/>
                <w:szCs w:val="20"/>
              </w:rPr>
              <w:t>Считаме, че покана следва да се изпрати и до двата органа.</w:t>
            </w:r>
          </w:p>
        </w:tc>
      </w:tr>
      <w:tr w:rsidR="008F4EB9" w:rsidRPr="00F413E2" w14:paraId="056AC2E8" w14:textId="77777777" w:rsidTr="00B706DB">
        <w:trPr>
          <w:jc w:val="center"/>
        </w:trPr>
        <w:tc>
          <w:tcPr>
            <w:tcW w:w="569" w:type="dxa"/>
            <w:shd w:val="clear" w:color="auto" w:fill="auto"/>
          </w:tcPr>
          <w:p w14:paraId="642920EF" w14:textId="77777777" w:rsidR="008F4EB9" w:rsidRPr="003C147F" w:rsidRDefault="008F4EB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18E15E72" w14:textId="77777777" w:rsidR="008F4EB9" w:rsidRDefault="008F4EB9" w:rsidP="00A43684">
            <w:pPr>
              <w:spacing w:before="60" w:after="20"/>
              <w:rPr>
                <w:rFonts w:ascii="Verdana" w:hAnsi="Verdana"/>
                <w:spacing w:val="-2"/>
                <w:sz w:val="20"/>
                <w:szCs w:val="20"/>
              </w:rPr>
            </w:pPr>
          </w:p>
        </w:tc>
        <w:tc>
          <w:tcPr>
            <w:tcW w:w="6237" w:type="dxa"/>
            <w:shd w:val="clear" w:color="auto" w:fill="auto"/>
          </w:tcPr>
          <w:p w14:paraId="7C08F070" w14:textId="77777777"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7. Предлагаме да отпадне ал. 7 на чл. 45 „(7) Местната инициативна група/МИРГ носи отговорност за вреди, причинени на бенефициента или на трети лица поради неизпълнение на договорните им задължения.“</w:t>
            </w:r>
          </w:p>
          <w:p w14:paraId="642E992F" w14:textId="661E286F"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или да се промени на:</w:t>
            </w:r>
          </w:p>
          <w:p w14:paraId="6AB77D0F" w14:textId="77777777"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 xml:space="preserve">„Всяка от страните по административния договор носи отговорност за вреди, причинени на останалите страни по договора поради неизпълнение на договорните ѝ задължения“ </w:t>
            </w:r>
          </w:p>
          <w:p w14:paraId="18F10B4A" w14:textId="1F30BB6C" w:rsidR="008F4EB9" w:rsidRPr="001A1452" w:rsidRDefault="001E2B19" w:rsidP="001E2B19">
            <w:pPr>
              <w:spacing w:before="60" w:after="20"/>
              <w:jc w:val="both"/>
              <w:rPr>
                <w:rFonts w:ascii="Verdana" w:hAnsi="Verdana"/>
                <w:sz w:val="20"/>
                <w:szCs w:val="20"/>
              </w:rPr>
            </w:pPr>
            <w:r w:rsidRPr="001E2B19">
              <w:rPr>
                <w:rFonts w:ascii="Verdana" w:hAnsi="Verdana"/>
                <w:sz w:val="20"/>
                <w:szCs w:val="20"/>
              </w:rPr>
              <w:t>Мотиви: В настоящата си редакция нормата е неясна и формулировката и предполага МИГ да носи отговорност за вреди причинени на бенефициенти или неопределен кръг трети лица.  Доколкото МИГ е само една от страните по тристранния договор, тази норма въвежда неравнопоставеност, като се оказва, че само една от страните по договора следва да носи отговорност и то тази страна, която има най-малки правомощия и задължения след сключването му - основно да осъществява мониторинг, неизпълнението на които трудно биха могли да причинят вреди.</w:t>
            </w:r>
          </w:p>
        </w:tc>
        <w:tc>
          <w:tcPr>
            <w:tcW w:w="1629" w:type="dxa"/>
            <w:shd w:val="clear" w:color="auto" w:fill="auto"/>
          </w:tcPr>
          <w:p w14:paraId="724AE17C" w14:textId="2E61E760" w:rsidR="008F4EB9" w:rsidRPr="00DA41AF" w:rsidRDefault="008F4EB9" w:rsidP="00253D15">
            <w:pPr>
              <w:spacing w:before="60" w:after="20"/>
              <w:rPr>
                <w:rFonts w:ascii="Verdana" w:hAnsi="Verdana"/>
                <w:color w:val="FF0000"/>
                <w:sz w:val="20"/>
                <w:szCs w:val="20"/>
              </w:rPr>
            </w:pPr>
            <w:r w:rsidRPr="00253D15">
              <w:rPr>
                <w:rFonts w:ascii="Verdana" w:hAnsi="Verdana"/>
                <w:sz w:val="20"/>
                <w:szCs w:val="20"/>
              </w:rPr>
              <w:t>Приема се</w:t>
            </w:r>
          </w:p>
        </w:tc>
        <w:tc>
          <w:tcPr>
            <w:tcW w:w="4522" w:type="dxa"/>
            <w:shd w:val="clear" w:color="auto" w:fill="auto"/>
          </w:tcPr>
          <w:p w14:paraId="3DB93674" w14:textId="77777777" w:rsidR="008F4EB9" w:rsidRPr="004674B8" w:rsidRDefault="008F4EB9" w:rsidP="005B3673">
            <w:pPr>
              <w:spacing w:before="60" w:after="20" w:line="360" w:lineRule="auto"/>
              <w:rPr>
                <w:rFonts w:ascii="Verdana" w:hAnsi="Verdana"/>
                <w:sz w:val="20"/>
                <w:szCs w:val="20"/>
              </w:rPr>
            </w:pPr>
          </w:p>
        </w:tc>
      </w:tr>
      <w:tr w:rsidR="001E2B19" w:rsidRPr="00F413E2" w14:paraId="0D6DEECC" w14:textId="77777777" w:rsidTr="00B706DB">
        <w:trPr>
          <w:jc w:val="center"/>
        </w:trPr>
        <w:tc>
          <w:tcPr>
            <w:tcW w:w="569" w:type="dxa"/>
            <w:shd w:val="clear" w:color="auto" w:fill="auto"/>
          </w:tcPr>
          <w:p w14:paraId="3974649A" w14:textId="77777777" w:rsidR="001E2B19" w:rsidRPr="003C147F" w:rsidRDefault="001E2B1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414436D8" w14:textId="77777777" w:rsidR="001E2B19" w:rsidRDefault="001E2B19" w:rsidP="00A43684">
            <w:pPr>
              <w:spacing w:before="60" w:after="20"/>
              <w:rPr>
                <w:rFonts w:ascii="Verdana" w:hAnsi="Verdana"/>
                <w:spacing w:val="-2"/>
                <w:sz w:val="20"/>
                <w:szCs w:val="20"/>
              </w:rPr>
            </w:pPr>
          </w:p>
        </w:tc>
        <w:tc>
          <w:tcPr>
            <w:tcW w:w="6237" w:type="dxa"/>
            <w:shd w:val="clear" w:color="auto" w:fill="auto"/>
          </w:tcPr>
          <w:p w14:paraId="70F8E092" w14:textId="492EDBCB"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8. В чл. 47,ал. 5 предлагаме думата „интервенция“ да се замени с „мярка“ - с цел уеднаквяване на използваната терминология.</w:t>
            </w:r>
          </w:p>
        </w:tc>
        <w:tc>
          <w:tcPr>
            <w:tcW w:w="1629" w:type="dxa"/>
            <w:shd w:val="clear" w:color="auto" w:fill="auto"/>
          </w:tcPr>
          <w:p w14:paraId="16CC34A8" w14:textId="265F31AC" w:rsidR="001E2B19" w:rsidRPr="008F4EB9" w:rsidRDefault="001E2B19" w:rsidP="00253D15">
            <w:pPr>
              <w:spacing w:before="60" w:after="20"/>
              <w:rPr>
                <w:rFonts w:ascii="Verdana" w:hAnsi="Verdana"/>
                <w:color w:val="FF0000"/>
                <w:sz w:val="20"/>
                <w:szCs w:val="20"/>
              </w:rPr>
            </w:pPr>
            <w:r w:rsidRPr="00253D15">
              <w:rPr>
                <w:rFonts w:ascii="Verdana" w:hAnsi="Verdana"/>
                <w:sz w:val="20"/>
                <w:szCs w:val="20"/>
              </w:rPr>
              <w:t>Приема се</w:t>
            </w:r>
          </w:p>
        </w:tc>
        <w:tc>
          <w:tcPr>
            <w:tcW w:w="4522" w:type="dxa"/>
            <w:shd w:val="clear" w:color="auto" w:fill="auto"/>
          </w:tcPr>
          <w:p w14:paraId="330CCF00" w14:textId="77777777" w:rsidR="001E2B19" w:rsidRPr="004674B8" w:rsidRDefault="001E2B19" w:rsidP="005B3673">
            <w:pPr>
              <w:spacing w:before="60" w:after="20" w:line="360" w:lineRule="auto"/>
              <w:rPr>
                <w:rFonts w:ascii="Verdana" w:hAnsi="Verdana"/>
                <w:sz w:val="20"/>
                <w:szCs w:val="20"/>
              </w:rPr>
            </w:pPr>
          </w:p>
        </w:tc>
      </w:tr>
      <w:tr w:rsidR="001E2B19" w:rsidRPr="00F413E2" w14:paraId="4904B8F0" w14:textId="77777777" w:rsidTr="00B706DB">
        <w:trPr>
          <w:jc w:val="center"/>
        </w:trPr>
        <w:tc>
          <w:tcPr>
            <w:tcW w:w="569" w:type="dxa"/>
            <w:shd w:val="clear" w:color="auto" w:fill="auto"/>
          </w:tcPr>
          <w:p w14:paraId="6C105CD0" w14:textId="77777777" w:rsidR="001E2B19" w:rsidRPr="003C147F" w:rsidRDefault="001E2B1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4AC57D51" w14:textId="77777777" w:rsidR="001E2B19" w:rsidRDefault="001E2B19" w:rsidP="00A43684">
            <w:pPr>
              <w:spacing w:before="60" w:after="20"/>
              <w:rPr>
                <w:rFonts w:ascii="Verdana" w:hAnsi="Verdana"/>
                <w:spacing w:val="-2"/>
                <w:sz w:val="20"/>
                <w:szCs w:val="20"/>
              </w:rPr>
            </w:pPr>
          </w:p>
        </w:tc>
        <w:tc>
          <w:tcPr>
            <w:tcW w:w="6237" w:type="dxa"/>
            <w:shd w:val="clear" w:color="auto" w:fill="auto"/>
          </w:tcPr>
          <w:p w14:paraId="7C9F6774" w14:textId="37ACF7D8"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9. Считаме, че съществува неяснота как и къде ще се определя редът за оценка на проектите на бенефициентите, подадени по СВОМР. От една страна в чл. 1</w:t>
            </w:r>
            <w:r>
              <w:rPr>
                <w:rFonts w:ascii="Verdana" w:hAnsi="Verdana"/>
                <w:sz w:val="20"/>
                <w:szCs w:val="20"/>
              </w:rPr>
              <w:t>,</w:t>
            </w:r>
            <w:r w:rsidRPr="001E2B19">
              <w:rPr>
                <w:rFonts w:ascii="Verdana" w:hAnsi="Verdana"/>
                <w:sz w:val="20"/>
                <w:szCs w:val="20"/>
              </w:rPr>
              <w:t xml:space="preserve"> ал. 1</w:t>
            </w:r>
            <w:r>
              <w:rPr>
                <w:rFonts w:ascii="Verdana" w:hAnsi="Verdana"/>
                <w:sz w:val="20"/>
                <w:szCs w:val="20"/>
              </w:rPr>
              <w:t>,</w:t>
            </w:r>
            <w:r w:rsidRPr="001E2B19">
              <w:rPr>
                <w:rFonts w:ascii="Verdana" w:hAnsi="Verdana"/>
                <w:sz w:val="20"/>
                <w:szCs w:val="20"/>
              </w:rPr>
              <w:t xml:space="preserve"> т. 4 </w:t>
            </w:r>
            <w:r w:rsidR="001867D0">
              <w:rPr>
                <w:rFonts w:ascii="Verdana" w:hAnsi="Verdana"/>
                <w:sz w:val="20"/>
                <w:szCs w:val="20"/>
              </w:rPr>
              <w:t>от п</w:t>
            </w:r>
            <w:r w:rsidRPr="001E2B19">
              <w:rPr>
                <w:rFonts w:ascii="Verdana" w:hAnsi="Verdana"/>
                <w:sz w:val="20"/>
                <w:szCs w:val="20"/>
              </w:rPr>
              <w:t>роекта на ПМС е предвидено, че с постановлението се определя реда за подбор на проектни предложения и предоставяне на безвъзмездна финансова помощ от ЕЗФРСР, оценка, изпълнение и мониторинг на проекти към стратегиите за ВОМР. В самото постановление има включени правила за оценката на проектите. В същото време, в чл. 36</w:t>
            </w:r>
            <w:r w:rsidR="001867D0">
              <w:rPr>
                <w:rFonts w:ascii="Verdana" w:hAnsi="Verdana"/>
                <w:sz w:val="20"/>
                <w:szCs w:val="20"/>
              </w:rPr>
              <w:t>,</w:t>
            </w:r>
            <w:r w:rsidRPr="001E2B19">
              <w:rPr>
                <w:rFonts w:ascii="Verdana" w:hAnsi="Verdana"/>
                <w:sz w:val="20"/>
                <w:szCs w:val="20"/>
              </w:rPr>
              <w:t xml:space="preserve"> ал. 2  е предвидено че Ръководителя на УО на СПРЗСР утвърждава минимални изисквания за ред за оценка, с които МИГ следва да се съобрази, а в чл. 39 ал. 9 е предвидено, че за подбора на проектни предложения, както и изискванията, на които следва да отговарят лицата, които участват в оценката се прилагат ЗУСЕФСУ и ПМС № 23 от 2023 г. </w:t>
            </w:r>
          </w:p>
          <w:p w14:paraId="156559AE" w14:textId="03C9994B" w:rsidR="001E2B19" w:rsidRPr="001E2B19" w:rsidRDefault="001E2B19" w:rsidP="001E2B19">
            <w:pPr>
              <w:spacing w:before="60" w:after="20"/>
              <w:jc w:val="both"/>
              <w:rPr>
                <w:rFonts w:ascii="Verdana" w:hAnsi="Verdana"/>
                <w:sz w:val="20"/>
                <w:szCs w:val="20"/>
              </w:rPr>
            </w:pPr>
            <w:r w:rsidRPr="001E2B19">
              <w:rPr>
                <w:rFonts w:ascii="Verdana" w:hAnsi="Verdana"/>
                <w:sz w:val="20"/>
                <w:szCs w:val="20"/>
              </w:rPr>
              <w:t>Предлагаме редът за оценка на проектите подадени по Стратегиите за ВОМР да бъде уреден в настоящия проект за постановление и да отпадне препратката към ПМС 23/2023</w:t>
            </w:r>
            <w:r>
              <w:rPr>
                <w:rFonts w:ascii="Verdana" w:hAnsi="Verdana"/>
                <w:sz w:val="20"/>
                <w:szCs w:val="20"/>
              </w:rPr>
              <w:t xml:space="preserve"> </w:t>
            </w:r>
            <w:r w:rsidRPr="001E2B19">
              <w:rPr>
                <w:rFonts w:ascii="Verdana" w:hAnsi="Verdana"/>
                <w:sz w:val="20"/>
                <w:szCs w:val="20"/>
              </w:rPr>
              <w:t>г., или да бъде указан само един документ, в който ще бъдат уредени, без да бъдат дублирани правила в различни нормативни и административни актове.</w:t>
            </w:r>
          </w:p>
        </w:tc>
        <w:tc>
          <w:tcPr>
            <w:tcW w:w="1629" w:type="dxa"/>
            <w:shd w:val="clear" w:color="auto" w:fill="auto"/>
          </w:tcPr>
          <w:p w14:paraId="6C2E2619" w14:textId="64CC0FC4" w:rsidR="001E2B19" w:rsidRPr="008F4EB9" w:rsidRDefault="001E2B19" w:rsidP="00253D15">
            <w:pPr>
              <w:spacing w:before="60" w:after="20"/>
              <w:rPr>
                <w:rFonts w:ascii="Verdana" w:hAnsi="Verdana"/>
                <w:color w:val="FF0000"/>
                <w:sz w:val="20"/>
                <w:szCs w:val="20"/>
              </w:rPr>
            </w:pPr>
            <w:r w:rsidRPr="00253D15">
              <w:rPr>
                <w:rFonts w:ascii="Verdana" w:hAnsi="Verdana"/>
                <w:sz w:val="20"/>
                <w:szCs w:val="20"/>
              </w:rPr>
              <w:t>Приема се</w:t>
            </w:r>
            <w:r w:rsidR="00253D15" w:rsidRPr="00253D15">
              <w:rPr>
                <w:rFonts w:ascii="Verdana" w:hAnsi="Verdana"/>
                <w:sz w:val="20"/>
                <w:szCs w:val="20"/>
              </w:rPr>
              <w:t xml:space="preserve"> по принцип</w:t>
            </w:r>
          </w:p>
        </w:tc>
        <w:tc>
          <w:tcPr>
            <w:tcW w:w="4522" w:type="dxa"/>
            <w:shd w:val="clear" w:color="auto" w:fill="auto"/>
          </w:tcPr>
          <w:p w14:paraId="41788EA2" w14:textId="70A10552" w:rsidR="001E2B19" w:rsidRPr="004674B8" w:rsidRDefault="00253D15" w:rsidP="00AF5CAD">
            <w:pPr>
              <w:spacing w:before="60" w:after="20"/>
              <w:jc w:val="both"/>
              <w:rPr>
                <w:rFonts w:ascii="Verdana" w:hAnsi="Verdana"/>
                <w:sz w:val="20"/>
                <w:szCs w:val="20"/>
              </w:rPr>
            </w:pPr>
            <w:r w:rsidRPr="00253D15">
              <w:rPr>
                <w:rFonts w:ascii="Verdana" w:hAnsi="Verdana"/>
                <w:sz w:val="20"/>
                <w:szCs w:val="20"/>
              </w:rPr>
              <w:t>Текстът в настоящото ПМС е редактиран, като препращането е само по отношение на изискванията, на които следва да отговарят оценителите.</w:t>
            </w:r>
          </w:p>
        </w:tc>
      </w:tr>
      <w:tr w:rsidR="001E2B19" w:rsidRPr="00F413E2" w14:paraId="04AEED8F" w14:textId="77777777" w:rsidTr="00B706DB">
        <w:trPr>
          <w:jc w:val="center"/>
        </w:trPr>
        <w:tc>
          <w:tcPr>
            <w:tcW w:w="569" w:type="dxa"/>
            <w:shd w:val="clear" w:color="auto" w:fill="auto"/>
          </w:tcPr>
          <w:p w14:paraId="738887D3" w14:textId="77777777" w:rsidR="001E2B19" w:rsidRPr="003C147F" w:rsidRDefault="001E2B19"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57CFA55C" w14:textId="77777777" w:rsidR="001E2B19" w:rsidRDefault="001E2B19" w:rsidP="00A43684">
            <w:pPr>
              <w:spacing w:before="60" w:after="20"/>
              <w:rPr>
                <w:rFonts w:ascii="Verdana" w:hAnsi="Verdana"/>
                <w:spacing w:val="-2"/>
                <w:sz w:val="20"/>
                <w:szCs w:val="20"/>
              </w:rPr>
            </w:pPr>
          </w:p>
        </w:tc>
        <w:tc>
          <w:tcPr>
            <w:tcW w:w="6237" w:type="dxa"/>
            <w:shd w:val="clear" w:color="auto" w:fill="auto"/>
          </w:tcPr>
          <w:p w14:paraId="2C445986" w14:textId="77777777" w:rsidR="00A44374" w:rsidRPr="00A44374" w:rsidRDefault="00A44374" w:rsidP="00A44374">
            <w:pPr>
              <w:spacing w:before="60" w:after="20"/>
              <w:jc w:val="both"/>
              <w:rPr>
                <w:rFonts w:ascii="Verdana" w:hAnsi="Verdana"/>
                <w:sz w:val="20"/>
                <w:szCs w:val="20"/>
              </w:rPr>
            </w:pPr>
            <w:r w:rsidRPr="00A44374">
              <w:rPr>
                <w:rFonts w:ascii="Verdana" w:hAnsi="Verdana"/>
                <w:sz w:val="20"/>
                <w:szCs w:val="20"/>
              </w:rPr>
              <w:t>10. Считаме че настоящото постановление не съдържа изчерпателно правилата, които да позволят на МИГ да реализира бъдещите стратегии, в т.ч. разработване на насоки за кандидатстване, обявяване на приеми на проекти и тяхната оценка.</w:t>
            </w:r>
          </w:p>
          <w:p w14:paraId="783D11D0" w14:textId="75FED46D" w:rsidR="00A44374" w:rsidRPr="00A44374" w:rsidRDefault="00A44374" w:rsidP="00A44374">
            <w:pPr>
              <w:spacing w:before="60" w:after="20"/>
              <w:jc w:val="both"/>
              <w:rPr>
                <w:rFonts w:ascii="Verdana" w:hAnsi="Verdana"/>
                <w:sz w:val="20"/>
                <w:szCs w:val="20"/>
              </w:rPr>
            </w:pPr>
            <w:r w:rsidRPr="00A44374">
              <w:rPr>
                <w:rFonts w:ascii="Verdana" w:hAnsi="Verdana"/>
                <w:sz w:val="20"/>
                <w:szCs w:val="20"/>
              </w:rPr>
              <w:t xml:space="preserve">В чл. 16  е предвидено че за процедурата за подбор на стратегии за ВОМР ръководителят на УО на СПРЗСР утвърждава: 1. условия за кандидатстване и 2. условия </w:t>
            </w:r>
            <w:r w:rsidRPr="00A44374">
              <w:rPr>
                <w:rFonts w:ascii="Verdana" w:hAnsi="Verdana"/>
                <w:sz w:val="20"/>
                <w:szCs w:val="20"/>
              </w:rPr>
              <w:lastRenderedPageBreak/>
              <w:t xml:space="preserve">за изпълнение на одобрените стратегии, но е посочено задължителното съдържание единствено на условията за кандидатстване, не и на условията за изпълнение на Стратегиите. </w:t>
            </w:r>
          </w:p>
          <w:p w14:paraId="54079010" w14:textId="25991757" w:rsidR="001E2B19" w:rsidRPr="000C3CB5" w:rsidRDefault="00A44374" w:rsidP="00A44374">
            <w:pPr>
              <w:spacing w:before="60" w:after="20"/>
              <w:jc w:val="both"/>
              <w:rPr>
                <w:rFonts w:ascii="Verdana" w:hAnsi="Verdana"/>
                <w:spacing w:val="2"/>
                <w:sz w:val="20"/>
                <w:szCs w:val="20"/>
              </w:rPr>
            </w:pPr>
            <w:r w:rsidRPr="000C3CB5">
              <w:rPr>
                <w:rFonts w:ascii="Verdana" w:hAnsi="Verdana"/>
                <w:spacing w:val="2"/>
                <w:sz w:val="20"/>
                <w:szCs w:val="20"/>
              </w:rPr>
              <w:t>В чл. 37 ал. 1 е вменено задължение на МИГ да утвърди Условия за изпълнение на проектите, но на практика условията за изпълнение на проектите и съдържанието на договорите за БФП се определят от финансиращия орган  - ДФЗ, който изплаща помощта. МИГ не може да разработи самостоятелни условия, които да са обвързващи за ДФЗ, като същевременно няма норма задължаваща УО или ДФЗ да предостави минимални правила за изпълнение на проектите към на МИГ и то в конкретен срок. Смятаме, че липсата на ясни правила по тези въпроси ще доведе до невъзможност за своевременно стартиране на прилагането на одобрените стратегии, за което и без това е налице огромно закъснение, поради което предлагаме да се регламентират допълнително в настоящото ПМС.</w:t>
            </w:r>
          </w:p>
        </w:tc>
        <w:tc>
          <w:tcPr>
            <w:tcW w:w="1629" w:type="dxa"/>
            <w:shd w:val="clear" w:color="auto" w:fill="auto"/>
          </w:tcPr>
          <w:p w14:paraId="412EA741" w14:textId="0373BD92" w:rsidR="001E2B19" w:rsidRPr="008F4EB9" w:rsidRDefault="001E2B19" w:rsidP="00497423">
            <w:pPr>
              <w:spacing w:before="60" w:after="20"/>
              <w:rPr>
                <w:rFonts w:ascii="Verdana" w:hAnsi="Verdana"/>
                <w:color w:val="FF0000"/>
                <w:sz w:val="20"/>
                <w:szCs w:val="20"/>
              </w:rPr>
            </w:pPr>
            <w:r w:rsidRPr="00497423">
              <w:rPr>
                <w:rFonts w:ascii="Verdana" w:hAnsi="Verdana"/>
                <w:sz w:val="20"/>
                <w:szCs w:val="20"/>
              </w:rPr>
              <w:lastRenderedPageBreak/>
              <w:t>Приема се</w:t>
            </w:r>
            <w:r w:rsidR="00497423" w:rsidRPr="00497423">
              <w:rPr>
                <w:rFonts w:ascii="Verdana" w:hAnsi="Verdana"/>
                <w:sz w:val="20"/>
                <w:szCs w:val="20"/>
              </w:rPr>
              <w:t xml:space="preserve"> по принцип</w:t>
            </w:r>
          </w:p>
        </w:tc>
        <w:tc>
          <w:tcPr>
            <w:tcW w:w="4522" w:type="dxa"/>
            <w:shd w:val="clear" w:color="auto" w:fill="auto"/>
          </w:tcPr>
          <w:p w14:paraId="518AC983" w14:textId="77777777" w:rsidR="00497423" w:rsidRPr="00497423" w:rsidRDefault="00497423" w:rsidP="00AF5CAD">
            <w:pPr>
              <w:spacing w:before="60" w:after="20"/>
              <w:jc w:val="both"/>
              <w:rPr>
                <w:rFonts w:ascii="Verdana" w:hAnsi="Verdana"/>
                <w:sz w:val="20"/>
                <w:szCs w:val="20"/>
              </w:rPr>
            </w:pPr>
            <w:r w:rsidRPr="00497423">
              <w:rPr>
                <w:rFonts w:ascii="Verdana" w:hAnsi="Verdana"/>
                <w:sz w:val="20"/>
                <w:szCs w:val="20"/>
              </w:rPr>
              <w:t>Условията за изпълнение на стратегиите ще бъдат одобрени от УО след проведено обществено обсъждане.</w:t>
            </w:r>
          </w:p>
          <w:p w14:paraId="54618659" w14:textId="77777777" w:rsidR="00497423" w:rsidRPr="00497423" w:rsidRDefault="00497423" w:rsidP="00AF5CAD">
            <w:pPr>
              <w:spacing w:before="60" w:after="20"/>
              <w:jc w:val="both"/>
              <w:rPr>
                <w:rFonts w:ascii="Verdana" w:hAnsi="Verdana"/>
                <w:sz w:val="20"/>
                <w:szCs w:val="20"/>
              </w:rPr>
            </w:pPr>
            <w:r w:rsidRPr="00497423">
              <w:rPr>
                <w:rFonts w:ascii="Verdana" w:hAnsi="Verdana"/>
                <w:sz w:val="20"/>
                <w:szCs w:val="20"/>
              </w:rPr>
              <w:t>Условията за изпълнение на проектите ще бъдат разработени след утвърждаване и публикуване на условията за изпълнение на стратегиите и следва да бъдат в съответствие с тях.</w:t>
            </w:r>
          </w:p>
          <w:p w14:paraId="35D3429A" w14:textId="3C6BE36B" w:rsidR="001E2B19" w:rsidRPr="004674B8" w:rsidRDefault="00497423" w:rsidP="00AF5CAD">
            <w:pPr>
              <w:spacing w:before="60" w:after="20"/>
              <w:jc w:val="both"/>
              <w:rPr>
                <w:rFonts w:ascii="Verdana" w:hAnsi="Verdana"/>
                <w:sz w:val="20"/>
                <w:szCs w:val="20"/>
              </w:rPr>
            </w:pPr>
            <w:r w:rsidRPr="00497423">
              <w:rPr>
                <w:rFonts w:ascii="Verdana" w:hAnsi="Verdana"/>
                <w:sz w:val="20"/>
                <w:szCs w:val="20"/>
              </w:rPr>
              <w:lastRenderedPageBreak/>
              <w:t>Създадена е делегация за утвърждаване на указания за приложимия режим за държавни помощи и условия, произтичащи от него.</w:t>
            </w:r>
          </w:p>
        </w:tc>
      </w:tr>
      <w:tr w:rsidR="001E2B19" w:rsidRPr="00F413E2" w14:paraId="2517B054" w14:textId="77777777" w:rsidTr="00ED095C">
        <w:trPr>
          <w:jc w:val="center"/>
        </w:trPr>
        <w:tc>
          <w:tcPr>
            <w:tcW w:w="569" w:type="dxa"/>
            <w:tcBorders>
              <w:bottom w:val="single" w:sz="12" w:space="0" w:color="2E74B5"/>
            </w:tcBorders>
            <w:shd w:val="clear" w:color="auto" w:fill="auto"/>
          </w:tcPr>
          <w:p w14:paraId="0392D781" w14:textId="77777777" w:rsidR="001E2B19" w:rsidRPr="003C147F" w:rsidRDefault="001E2B19" w:rsidP="002840D4">
            <w:pPr>
              <w:pStyle w:val="ListParagraph"/>
              <w:tabs>
                <w:tab w:val="left" w:pos="192"/>
              </w:tabs>
              <w:spacing w:before="60" w:after="20" w:line="360" w:lineRule="auto"/>
              <w:ind w:left="57"/>
              <w:rPr>
                <w:rFonts w:ascii="Verdana" w:hAnsi="Verdana"/>
                <w:b/>
                <w:sz w:val="20"/>
                <w:szCs w:val="20"/>
              </w:rPr>
            </w:pPr>
          </w:p>
        </w:tc>
        <w:tc>
          <w:tcPr>
            <w:tcW w:w="2692" w:type="dxa"/>
            <w:tcBorders>
              <w:bottom w:val="single" w:sz="12" w:space="0" w:color="2E74B5"/>
            </w:tcBorders>
            <w:shd w:val="clear" w:color="auto" w:fill="auto"/>
          </w:tcPr>
          <w:p w14:paraId="33622D02" w14:textId="77777777" w:rsidR="001E2B19" w:rsidRDefault="001E2B19" w:rsidP="00A43684">
            <w:pPr>
              <w:spacing w:before="60" w:after="20"/>
              <w:rPr>
                <w:rFonts w:ascii="Verdana" w:hAnsi="Verdana"/>
                <w:spacing w:val="-2"/>
                <w:sz w:val="20"/>
                <w:szCs w:val="20"/>
              </w:rPr>
            </w:pPr>
          </w:p>
        </w:tc>
        <w:tc>
          <w:tcPr>
            <w:tcW w:w="6237" w:type="dxa"/>
            <w:tcBorders>
              <w:bottom w:val="single" w:sz="12" w:space="0" w:color="2E74B5"/>
            </w:tcBorders>
            <w:shd w:val="clear" w:color="auto" w:fill="auto"/>
          </w:tcPr>
          <w:p w14:paraId="6B5C633E" w14:textId="3AC35C02" w:rsidR="00A054C4" w:rsidRPr="000C3CB5" w:rsidRDefault="00A054C4" w:rsidP="00A054C4">
            <w:pPr>
              <w:spacing w:before="60" w:after="20"/>
              <w:jc w:val="both"/>
              <w:rPr>
                <w:rFonts w:ascii="Verdana" w:hAnsi="Verdana"/>
                <w:spacing w:val="-4"/>
                <w:sz w:val="20"/>
                <w:szCs w:val="20"/>
              </w:rPr>
            </w:pPr>
            <w:r w:rsidRPr="000C3CB5">
              <w:rPr>
                <w:rFonts w:ascii="Verdana" w:hAnsi="Verdana"/>
                <w:spacing w:val="-4"/>
                <w:sz w:val="20"/>
                <w:szCs w:val="20"/>
              </w:rPr>
              <w:t>11. По отношение на съгласуването за приложимия режим за държавни помощи.</w:t>
            </w:r>
          </w:p>
          <w:p w14:paraId="1BD0717F" w14:textId="04997373" w:rsidR="00A054C4" w:rsidRPr="000C3CB5" w:rsidRDefault="00A054C4" w:rsidP="00A054C4">
            <w:pPr>
              <w:spacing w:before="60" w:after="20"/>
              <w:jc w:val="both"/>
              <w:rPr>
                <w:rFonts w:ascii="Verdana" w:hAnsi="Verdana"/>
                <w:spacing w:val="-4"/>
                <w:sz w:val="20"/>
                <w:szCs w:val="20"/>
              </w:rPr>
            </w:pPr>
            <w:r w:rsidRPr="000C3CB5">
              <w:rPr>
                <w:rFonts w:ascii="Verdana" w:hAnsi="Verdana"/>
                <w:spacing w:val="-4"/>
                <w:sz w:val="20"/>
                <w:szCs w:val="20"/>
              </w:rPr>
              <w:t>Съгласно чл. 16, ал. 3 от проекта на ПМС, проектите на насоки за кандидатстване със стратегии за ВОМР се съгласуват по реда на чл. 26, ал. 3 от ЗУСЕФСУ (за държавни помощи) преди тяхното утвърждаване. В чл. 37 ал. 2 е предвидено, че и МИГ съгласува насоките за кандидатстване с проекти по Стратегиите за съответствие с приложимите правила за държавните помощи с министъра на финансите по реда на чл. 26, ал. 3 на ЗУСЕФСУ. С процедурите за одобрение на Стратегиите се предоставя освен помощта за управление, мониторинг и оценка на МИГ и помощта за проектите по тези стратегии – т.е. в чл. 16 и чл. 37 става въпрос за една и съща помощ, чието п</w:t>
            </w:r>
            <w:r w:rsidR="000C3CB5" w:rsidRPr="000C3CB5">
              <w:rPr>
                <w:rFonts w:ascii="Verdana" w:hAnsi="Verdana"/>
                <w:spacing w:val="-4"/>
                <w:sz w:val="20"/>
                <w:szCs w:val="20"/>
              </w:rPr>
              <w:t>редоставяне вече е съгласувано.</w:t>
            </w:r>
          </w:p>
          <w:p w14:paraId="58656198" w14:textId="269ED786" w:rsidR="001E2B19" w:rsidRPr="000C3CB5" w:rsidRDefault="00A054C4" w:rsidP="00A054C4">
            <w:pPr>
              <w:spacing w:before="60" w:after="20"/>
              <w:jc w:val="both"/>
              <w:rPr>
                <w:rFonts w:ascii="Verdana" w:hAnsi="Verdana"/>
                <w:spacing w:val="-4"/>
                <w:sz w:val="20"/>
                <w:szCs w:val="20"/>
              </w:rPr>
            </w:pPr>
            <w:r w:rsidRPr="000C3CB5">
              <w:rPr>
                <w:rFonts w:ascii="Verdana" w:hAnsi="Verdana"/>
                <w:spacing w:val="-4"/>
                <w:sz w:val="20"/>
                <w:szCs w:val="20"/>
              </w:rPr>
              <w:lastRenderedPageBreak/>
              <w:t>Предлагаме да бъде поискано становище от МФ дали е необходимо повторно съгласуване на насоките за кандидатстване на МИГ по всяка процедура, в контекста и на член 19б  от Регламент (ЕС) 2021/1237 на Комисията от 23 юли 2021 година за изменение на Регламент (ЕС) № 651/2014 за обявяване на някои категории помощи за съвместими с вътрешния пазар в приложение на членове 107 и 108 от Договора, съгласно който „1. Помощите за предприятия, които участват или се възползват от водени от общностите проекти за местно развитие и проекти на оперативните групи в рамките на ЕПИ, посочени в член 19а, параграф 1, са съвместими с вътрешния пазар по смисъла на член 107, параграф 3 от Договора и се освобождават от задължението за уведомяване по член 108, параграф 3 от Договора, ...“</w:t>
            </w:r>
          </w:p>
        </w:tc>
        <w:tc>
          <w:tcPr>
            <w:tcW w:w="1629" w:type="dxa"/>
            <w:tcBorders>
              <w:bottom w:val="single" w:sz="12" w:space="0" w:color="2E74B5"/>
            </w:tcBorders>
            <w:shd w:val="clear" w:color="auto" w:fill="auto"/>
          </w:tcPr>
          <w:p w14:paraId="445DE314" w14:textId="5D7BDEB2" w:rsidR="001E2B19" w:rsidRPr="008F4EB9" w:rsidRDefault="001E2B19" w:rsidP="005B3673">
            <w:pPr>
              <w:spacing w:before="60" w:after="20"/>
              <w:rPr>
                <w:rFonts w:ascii="Verdana" w:hAnsi="Verdana"/>
                <w:color w:val="FF0000"/>
                <w:sz w:val="20"/>
                <w:szCs w:val="20"/>
              </w:rPr>
            </w:pPr>
            <w:r w:rsidRPr="00137B8C">
              <w:rPr>
                <w:rFonts w:ascii="Verdana" w:hAnsi="Verdana"/>
                <w:sz w:val="20"/>
                <w:szCs w:val="20"/>
              </w:rPr>
              <w:lastRenderedPageBreak/>
              <w:t>Не се приема</w:t>
            </w:r>
          </w:p>
        </w:tc>
        <w:tc>
          <w:tcPr>
            <w:tcW w:w="4522" w:type="dxa"/>
            <w:tcBorders>
              <w:bottom w:val="single" w:sz="12" w:space="0" w:color="2E74B5"/>
            </w:tcBorders>
            <w:shd w:val="clear" w:color="auto" w:fill="auto"/>
          </w:tcPr>
          <w:p w14:paraId="60DD4E74" w14:textId="635D79C6" w:rsidR="001E2B19" w:rsidRPr="004674B8" w:rsidRDefault="00137B8C" w:rsidP="00AF5CAD">
            <w:pPr>
              <w:spacing w:before="60" w:after="20"/>
              <w:jc w:val="both"/>
              <w:rPr>
                <w:rFonts w:ascii="Verdana" w:hAnsi="Verdana"/>
                <w:sz w:val="20"/>
                <w:szCs w:val="20"/>
              </w:rPr>
            </w:pPr>
            <w:r w:rsidRPr="00137B8C">
              <w:rPr>
                <w:rFonts w:ascii="Verdana" w:hAnsi="Verdana"/>
                <w:sz w:val="20"/>
                <w:szCs w:val="20"/>
              </w:rPr>
              <w:t xml:space="preserve">Съгласуването и на двата документа </w:t>
            </w:r>
            <w:r w:rsidR="00BB3187">
              <w:rPr>
                <w:rFonts w:ascii="Verdana" w:hAnsi="Verdana"/>
                <w:sz w:val="20"/>
                <w:szCs w:val="20"/>
              </w:rPr>
              <w:t>кореспондира със</w:t>
            </w:r>
            <w:r w:rsidRPr="00137B8C">
              <w:rPr>
                <w:rFonts w:ascii="Verdana" w:hAnsi="Verdana"/>
                <w:sz w:val="20"/>
                <w:szCs w:val="20"/>
              </w:rPr>
              <w:t xml:space="preserve"> становище на Министерството на финансите.</w:t>
            </w:r>
          </w:p>
        </w:tc>
      </w:tr>
      <w:tr w:rsidR="005B3673" w:rsidRPr="00F413E2" w14:paraId="577A538C" w14:textId="77777777" w:rsidTr="00ED095C">
        <w:trPr>
          <w:jc w:val="center"/>
        </w:trPr>
        <w:tc>
          <w:tcPr>
            <w:tcW w:w="569" w:type="dxa"/>
            <w:tcBorders>
              <w:top w:val="single" w:sz="12" w:space="0" w:color="2E74B5"/>
              <w:bottom w:val="nil"/>
            </w:tcBorders>
            <w:shd w:val="clear" w:color="auto" w:fill="auto"/>
          </w:tcPr>
          <w:p w14:paraId="054E869F" w14:textId="77777777" w:rsidR="005B3673" w:rsidRPr="00B634C1" w:rsidRDefault="005B3673" w:rsidP="00B634C1">
            <w:pPr>
              <w:pStyle w:val="ListParagraph"/>
              <w:numPr>
                <w:ilvl w:val="0"/>
                <w:numId w:val="31"/>
              </w:numPr>
              <w:tabs>
                <w:tab w:val="left" w:pos="192"/>
              </w:tabs>
              <w:spacing w:before="60" w:after="20"/>
              <w:contextualSpacing w:val="0"/>
              <w:rPr>
                <w:rFonts w:ascii="Verdana" w:hAnsi="Verdana"/>
                <w:b/>
                <w:sz w:val="20"/>
                <w:szCs w:val="20"/>
              </w:rPr>
            </w:pPr>
          </w:p>
        </w:tc>
        <w:tc>
          <w:tcPr>
            <w:tcW w:w="2692" w:type="dxa"/>
            <w:tcBorders>
              <w:top w:val="single" w:sz="12" w:space="0" w:color="2E74B5"/>
              <w:bottom w:val="nil"/>
            </w:tcBorders>
            <w:shd w:val="clear" w:color="auto" w:fill="auto"/>
          </w:tcPr>
          <w:p w14:paraId="34D9C8FF" w14:textId="4A1EC139" w:rsidR="005B3673" w:rsidRDefault="00DD3FFE" w:rsidP="00B634C1">
            <w:pPr>
              <w:spacing w:before="60" w:after="20"/>
              <w:rPr>
                <w:rFonts w:ascii="Verdana" w:hAnsi="Verdana"/>
                <w:spacing w:val="-2"/>
                <w:sz w:val="20"/>
                <w:szCs w:val="20"/>
              </w:rPr>
            </w:pPr>
            <w:r>
              <w:rPr>
                <w:rFonts w:ascii="Verdana" w:hAnsi="Verdana"/>
                <w:spacing w:val="-2"/>
                <w:sz w:val="20"/>
                <w:szCs w:val="20"/>
              </w:rPr>
              <w:t xml:space="preserve">Екип на </w:t>
            </w:r>
            <w:r w:rsidRPr="00DD3FFE">
              <w:rPr>
                <w:rFonts w:ascii="Verdana" w:hAnsi="Verdana"/>
                <w:spacing w:val="-2"/>
                <w:sz w:val="20"/>
                <w:szCs w:val="20"/>
              </w:rPr>
              <w:t>МИГ ЛОМ</w:t>
            </w:r>
          </w:p>
          <w:p w14:paraId="308F3C5B" w14:textId="458E2563" w:rsidR="00A43684" w:rsidRPr="00A43684" w:rsidRDefault="00A43684" w:rsidP="00BF0FBF">
            <w:pPr>
              <w:spacing w:before="60" w:after="20"/>
              <w:rPr>
                <w:rFonts w:ascii="Verdana" w:hAnsi="Verdana"/>
                <w:spacing w:val="-2"/>
                <w:sz w:val="20"/>
                <w:szCs w:val="20"/>
                <w:lang w:val="en-US"/>
              </w:rPr>
            </w:pPr>
            <w:r>
              <w:rPr>
                <w:rFonts w:ascii="Verdana" w:hAnsi="Verdana"/>
                <w:spacing w:val="-2"/>
                <w:sz w:val="20"/>
                <w:szCs w:val="20"/>
                <w:lang w:val="en-US"/>
              </w:rPr>
              <w:t>(</w:t>
            </w:r>
            <w:r w:rsidR="00DD3FFE">
              <w:rPr>
                <w:rFonts w:ascii="Verdana" w:hAnsi="Verdana"/>
                <w:spacing w:val="-2"/>
                <w:sz w:val="20"/>
                <w:szCs w:val="20"/>
              </w:rPr>
              <w:t>по електрон</w:t>
            </w:r>
            <w:r w:rsidR="00BF0FBF">
              <w:rPr>
                <w:rFonts w:ascii="Verdana" w:hAnsi="Verdana"/>
                <w:spacing w:val="-2"/>
                <w:sz w:val="20"/>
                <w:szCs w:val="20"/>
              </w:rPr>
              <w:t>на поща</w:t>
            </w:r>
            <w:r w:rsidR="00DD3FFE">
              <w:rPr>
                <w:rFonts w:ascii="Verdana" w:hAnsi="Verdana"/>
                <w:spacing w:val="-2"/>
                <w:sz w:val="20"/>
                <w:szCs w:val="20"/>
              </w:rPr>
              <w:t xml:space="preserve"> </w:t>
            </w:r>
            <w:r w:rsidR="0081738A">
              <w:rPr>
                <w:rFonts w:ascii="Verdana" w:hAnsi="Verdana"/>
                <w:spacing w:val="-2"/>
                <w:sz w:val="20"/>
                <w:szCs w:val="20"/>
              </w:rPr>
              <w:t>на 7</w:t>
            </w:r>
            <w:r w:rsidR="001F2019">
              <w:rPr>
                <w:rFonts w:ascii="Verdana" w:hAnsi="Verdana"/>
                <w:spacing w:val="-2"/>
                <w:sz w:val="20"/>
                <w:szCs w:val="20"/>
              </w:rPr>
              <w:t xml:space="preserve"> н</w:t>
            </w:r>
            <w:r>
              <w:rPr>
                <w:rFonts w:ascii="Verdana" w:hAnsi="Verdana"/>
                <w:spacing w:val="-2"/>
                <w:sz w:val="20"/>
                <w:szCs w:val="20"/>
              </w:rPr>
              <w:t>о</w:t>
            </w:r>
            <w:r w:rsidR="001F2019">
              <w:rPr>
                <w:rFonts w:ascii="Verdana" w:hAnsi="Verdana"/>
                <w:spacing w:val="-2"/>
                <w:sz w:val="20"/>
                <w:szCs w:val="20"/>
              </w:rPr>
              <w:t>е</w:t>
            </w:r>
            <w:r>
              <w:rPr>
                <w:rFonts w:ascii="Verdana" w:hAnsi="Verdana"/>
                <w:spacing w:val="-2"/>
                <w:sz w:val="20"/>
                <w:szCs w:val="20"/>
              </w:rPr>
              <w:t>мври 2024 г.</w:t>
            </w:r>
            <w:r>
              <w:rPr>
                <w:rFonts w:ascii="Verdana" w:hAnsi="Verdana"/>
                <w:spacing w:val="-2"/>
                <w:sz w:val="20"/>
                <w:szCs w:val="20"/>
                <w:lang w:val="en-US"/>
              </w:rPr>
              <w:t>)</w:t>
            </w:r>
          </w:p>
        </w:tc>
        <w:tc>
          <w:tcPr>
            <w:tcW w:w="6237" w:type="dxa"/>
            <w:tcBorders>
              <w:top w:val="single" w:sz="12" w:space="0" w:color="2E74B5"/>
              <w:bottom w:val="nil"/>
            </w:tcBorders>
            <w:shd w:val="clear" w:color="auto" w:fill="auto"/>
          </w:tcPr>
          <w:p w14:paraId="020B4A8D" w14:textId="5A46FB3C" w:rsidR="00DD3FFE" w:rsidRDefault="00DD3FFE" w:rsidP="00B634C1">
            <w:pPr>
              <w:spacing w:before="60" w:after="20"/>
              <w:jc w:val="both"/>
              <w:rPr>
                <w:rFonts w:ascii="Verdana" w:hAnsi="Verdana"/>
                <w:sz w:val="20"/>
                <w:szCs w:val="20"/>
              </w:rPr>
            </w:pPr>
            <w:r w:rsidRPr="00DD3FFE">
              <w:rPr>
                <w:rFonts w:ascii="Verdana" w:hAnsi="Verdana"/>
                <w:sz w:val="20"/>
                <w:szCs w:val="20"/>
              </w:rPr>
              <w:t>Предложения за промяна от МИГ ЛОМ по проект</w:t>
            </w:r>
            <w:r>
              <w:rPr>
                <w:rFonts w:ascii="Verdana" w:hAnsi="Verdana"/>
                <w:sz w:val="20"/>
                <w:szCs w:val="20"/>
              </w:rPr>
              <w:t>а на п</w:t>
            </w:r>
            <w:r w:rsidRPr="00DD3FFE">
              <w:rPr>
                <w:rFonts w:ascii="Verdana" w:hAnsi="Verdana"/>
                <w:sz w:val="20"/>
                <w:szCs w:val="20"/>
              </w:rPr>
              <w:t>остановление на Министерския съвет</w:t>
            </w:r>
            <w:r>
              <w:rPr>
                <w:rFonts w:ascii="Verdana" w:hAnsi="Verdana"/>
                <w:sz w:val="20"/>
                <w:szCs w:val="20"/>
              </w:rPr>
              <w:t>.</w:t>
            </w:r>
          </w:p>
          <w:p w14:paraId="702118EA" w14:textId="494B761D" w:rsidR="005B3673" w:rsidRPr="00DD3FFE" w:rsidRDefault="00DD3FFE" w:rsidP="00B634C1">
            <w:pPr>
              <w:spacing w:before="60" w:after="20"/>
              <w:jc w:val="both"/>
              <w:rPr>
                <w:rFonts w:ascii="Verdana" w:hAnsi="Verdana"/>
                <w:sz w:val="20"/>
                <w:szCs w:val="20"/>
              </w:rPr>
            </w:pPr>
            <w:r w:rsidRPr="00DD3FFE">
              <w:rPr>
                <w:rFonts w:ascii="Verdana" w:hAnsi="Verdana"/>
                <w:sz w:val="20"/>
                <w:szCs w:val="20"/>
              </w:rPr>
              <w:t>Съгласно представеното ПМС предлагаме да се извършат следните корекции в нормативния акт:</w:t>
            </w:r>
          </w:p>
        </w:tc>
        <w:tc>
          <w:tcPr>
            <w:tcW w:w="1629" w:type="dxa"/>
            <w:tcBorders>
              <w:top w:val="single" w:sz="12" w:space="0" w:color="2E74B5"/>
              <w:bottom w:val="nil"/>
            </w:tcBorders>
            <w:shd w:val="clear" w:color="auto" w:fill="auto"/>
          </w:tcPr>
          <w:p w14:paraId="0637AE63" w14:textId="77777777" w:rsidR="005B3673" w:rsidRPr="004674B8" w:rsidRDefault="005B3673" w:rsidP="00B634C1">
            <w:pPr>
              <w:spacing w:before="60" w:after="20"/>
              <w:rPr>
                <w:rFonts w:ascii="Verdana" w:hAnsi="Verdana"/>
                <w:sz w:val="20"/>
                <w:szCs w:val="20"/>
              </w:rPr>
            </w:pPr>
          </w:p>
        </w:tc>
        <w:tc>
          <w:tcPr>
            <w:tcW w:w="4522" w:type="dxa"/>
            <w:tcBorders>
              <w:top w:val="single" w:sz="12" w:space="0" w:color="2E74B5"/>
              <w:bottom w:val="nil"/>
            </w:tcBorders>
            <w:shd w:val="clear" w:color="auto" w:fill="auto"/>
          </w:tcPr>
          <w:p w14:paraId="2129B10F" w14:textId="77777777" w:rsidR="005B3673" w:rsidRPr="004674B8" w:rsidRDefault="005B3673" w:rsidP="00B634C1">
            <w:pPr>
              <w:spacing w:before="60" w:after="20"/>
              <w:rPr>
                <w:rFonts w:ascii="Verdana" w:hAnsi="Verdana"/>
                <w:sz w:val="20"/>
                <w:szCs w:val="20"/>
              </w:rPr>
            </w:pPr>
          </w:p>
        </w:tc>
      </w:tr>
      <w:tr w:rsidR="002840D4" w:rsidRPr="00F413E2" w14:paraId="11666A09" w14:textId="77777777" w:rsidTr="00ED095C">
        <w:trPr>
          <w:jc w:val="center"/>
        </w:trPr>
        <w:tc>
          <w:tcPr>
            <w:tcW w:w="569" w:type="dxa"/>
            <w:tcBorders>
              <w:top w:val="nil"/>
            </w:tcBorders>
            <w:shd w:val="clear" w:color="auto" w:fill="auto"/>
          </w:tcPr>
          <w:p w14:paraId="406DE88F" w14:textId="77777777" w:rsidR="002840D4" w:rsidRPr="003C147F" w:rsidRDefault="002840D4" w:rsidP="00B634C1">
            <w:pPr>
              <w:pStyle w:val="ListParagraph"/>
              <w:tabs>
                <w:tab w:val="left" w:pos="192"/>
              </w:tabs>
              <w:spacing w:before="60" w:after="20"/>
              <w:ind w:left="57"/>
              <w:contextualSpacing w:val="0"/>
              <w:rPr>
                <w:rFonts w:ascii="Verdana" w:hAnsi="Verdana"/>
                <w:b/>
                <w:sz w:val="20"/>
                <w:szCs w:val="20"/>
              </w:rPr>
            </w:pPr>
          </w:p>
        </w:tc>
        <w:tc>
          <w:tcPr>
            <w:tcW w:w="2692" w:type="dxa"/>
            <w:tcBorders>
              <w:top w:val="nil"/>
            </w:tcBorders>
            <w:shd w:val="clear" w:color="auto" w:fill="auto"/>
          </w:tcPr>
          <w:p w14:paraId="537F88F8" w14:textId="77777777" w:rsidR="002840D4" w:rsidRDefault="002840D4" w:rsidP="00B634C1">
            <w:pPr>
              <w:spacing w:before="60" w:after="20"/>
              <w:rPr>
                <w:rFonts w:ascii="Verdana" w:hAnsi="Verdana"/>
                <w:spacing w:val="-2"/>
                <w:sz w:val="20"/>
                <w:szCs w:val="20"/>
              </w:rPr>
            </w:pPr>
          </w:p>
        </w:tc>
        <w:tc>
          <w:tcPr>
            <w:tcW w:w="6237" w:type="dxa"/>
            <w:tcBorders>
              <w:top w:val="nil"/>
            </w:tcBorders>
            <w:shd w:val="clear" w:color="auto" w:fill="auto"/>
          </w:tcPr>
          <w:p w14:paraId="580DE8F5" w14:textId="77777777" w:rsidR="00DD3FFE" w:rsidRPr="008877A1" w:rsidRDefault="00DD3FFE" w:rsidP="00B634C1">
            <w:pPr>
              <w:spacing w:before="60" w:after="20"/>
              <w:jc w:val="both"/>
              <w:rPr>
                <w:rFonts w:ascii="Verdana" w:hAnsi="Verdana"/>
                <w:spacing w:val="-4"/>
                <w:sz w:val="20"/>
                <w:szCs w:val="20"/>
              </w:rPr>
            </w:pPr>
            <w:r w:rsidRPr="008877A1">
              <w:rPr>
                <w:rFonts w:ascii="Verdana" w:hAnsi="Verdana"/>
                <w:spacing w:val="-4"/>
                <w:sz w:val="20"/>
                <w:szCs w:val="20"/>
              </w:rPr>
              <w:t>Чл. 37. (1) Управителният съвет на МИГ/МИРГ утвърждава за всяка процедура Условия за кандидатстване с проектни предложения и Условия за изпълнение, в съответствие с предвидените мерки/дейности, предвидени от МИГ/МИРГ в одобрените стратегии за ВОМР.</w:t>
            </w:r>
          </w:p>
          <w:p w14:paraId="28AEF16C" w14:textId="77777777" w:rsidR="00DD3FFE" w:rsidRPr="00DD3FFE" w:rsidRDefault="00DD3FFE" w:rsidP="00B634C1">
            <w:pPr>
              <w:spacing w:before="60" w:after="20"/>
              <w:jc w:val="both"/>
              <w:rPr>
                <w:rFonts w:ascii="Verdana" w:hAnsi="Verdana"/>
                <w:sz w:val="20"/>
                <w:szCs w:val="20"/>
              </w:rPr>
            </w:pPr>
            <w:r w:rsidRPr="00DD3FFE">
              <w:rPr>
                <w:rFonts w:ascii="Verdana" w:hAnsi="Verdana"/>
                <w:sz w:val="20"/>
                <w:szCs w:val="20"/>
              </w:rPr>
              <w:t>(2) Проектите на документи по ал. 1, преди утвърждаването им от Управителния съвет на МИГ/МИРГ се съгласуват за съответствие с приложимите правила за държавните помощи с министъра на финансите по реда на чл. 26, ал. 3 на ЗУСЕФСУ.</w:t>
            </w:r>
          </w:p>
          <w:p w14:paraId="2893F29B" w14:textId="574D9B0F" w:rsidR="00DD3FFE" w:rsidRPr="00DD3FFE" w:rsidRDefault="00DD3FFE" w:rsidP="00B634C1">
            <w:pPr>
              <w:spacing w:before="60" w:after="20"/>
              <w:jc w:val="both"/>
              <w:rPr>
                <w:rFonts w:ascii="Verdana" w:hAnsi="Verdana"/>
                <w:sz w:val="20"/>
                <w:szCs w:val="20"/>
              </w:rPr>
            </w:pPr>
            <w:r w:rsidRPr="00DD3FFE">
              <w:rPr>
                <w:rFonts w:ascii="Verdana" w:hAnsi="Verdana"/>
                <w:sz w:val="20"/>
                <w:szCs w:val="20"/>
              </w:rPr>
              <w:t>Промяна: (2) Проектите на документи по ал. 1, преди утвърждаването им от Управителния съвет на МИГ/МИРГ се съгласуват за съответствие с приложимите правила за държавните помощи с министъра на финансите по реда</w:t>
            </w:r>
            <w:r>
              <w:rPr>
                <w:rFonts w:ascii="Verdana" w:hAnsi="Verdana"/>
                <w:sz w:val="20"/>
                <w:szCs w:val="20"/>
              </w:rPr>
              <w:t xml:space="preserve"> на чл. 26, ал. 3 на ЗУСЕФСУ и с УО</w:t>
            </w:r>
            <w:r w:rsidRPr="00DD3FFE">
              <w:rPr>
                <w:rFonts w:ascii="Verdana" w:hAnsi="Verdana"/>
                <w:sz w:val="20"/>
                <w:szCs w:val="20"/>
              </w:rPr>
              <w:t>.</w:t>
            </w:r>
          </w:p>
          <w:p w14:paraId="5EB675D2" w14:textId="59488E6E" w:rsidR="002840D4" w:rsidRPr="001A1452" w:rsidRDefault="00DD3FFE" w:rsidP="00B634C1">
            <w:pPr>
              <w:spacing w:before="60" w:after="20"/>
              <w:jc w:val="both"/>
              <w:rPr>
                <w:rFonts w:ascii="Verdana" w:hAnsi="Verdana"/>
                <w:sz w:val="20"/>
                <w:szCs w:val="20"/>
              </w:rPr>
            </w:pPr>
            <w:r w:rsidRPr="00DD3FFE">
              <w:rPr>
                <w:rFonts w:ascii="Verdana" w:hAnsi="Verdana"/>
                <w:sz w:val="20"/>
                <w:szCs w:val="20"/>
              </w:rPr>
              <w:lastRenderedPageBreak/>
              <w:t>Мотиви: Проектите на документи след като се утвърдят от УС се изпращат за съгласуване и до УО. В повечето случай те търпят корекции до окончателното им утвърждаване, което обезсмисля първо УС да ги одобри.</w:t>
            </w:r>
          </w:p>
        </w:tc>
        <w:tc>
          <w:tcPr>
            <w:tcW w:w="1629" w:type="dxa"/>
            <w:tcBorders>
              <w:top w:val="nil"/>
            </w:tcBorders>
            <w:shd w:val="clear" w:color="auto" w:fill="auto"/>
          </w:tcPr>
          <w:p w14:paraId="18D2F06E" w14:textId="0C6B964E" w:rsidR="002840D4" w:rsidRPr="004674B8" w:rsidRDefault="00DA41AF" w:rsidP="00B634C1">
            <w:pPr>
              <w:spacing w:before="60" w:after="20"/>
              <w:rPr>
                <w:rFonts w:ascii="Verdana" w:hAnsi="Verdana"/>
                <w:sz w:val="20"/>
                <w:szCs w:val="20"/>
              </w:rPr>
            </w:pPr>
            <w:r w:rsidRPr="00BB3187">
              <w:rPr>
                <w:rFonts w:ascii="Verdana" w:hAnsi="Verdana"/>
                <w:sz w:val="20"/>
                <w:szCs w:val="20"/>
              </w:rPr>
              <w:lastRenderedPageBreak/>
              <w:t>Не се приема</w:t>
            </w:r>
          </w:p>
        </w:tc>
        <w:tc>
          <w:tcPr>
            <w:tcW w:w="4522" w:type="dxa"/>
            <w:tcBorders>
              <w:top w:val="nil"/>
            </w:tcBorders>
            <w:shd w:val="clear" w:color="auto" w:fill="auto"/>
          </w:tcPr>
          <w:p w14:paraId="6F5E5817" w14:textId="2FFEE27E" w:rsidR="002840D4" w:rsidRPr="004674B8" w:rsidRDefault="00BB3187" w:rsidP="00AF5CAD">
            <w:pPr>
              <w:spacing w:before="60" w:after="20"/>
              <w:jc w:val="both"/>
              <w:rPr>
                <w:rFonts w:ascii="Verdana" w:hAnsi="Verdana"/>
                <w:sz w:val="20"/>
                <w:szCs w:val="20"/>
              </w:rPr>
            </w:pPr>
            <w:r>
              <w:rPr>
                <w:rFonts w:ascii="Verdana" w:hAnsi="Verdana"/>
                <w:sz w:val="20"/>
                <w:szCs w:val="20"/>
              </w:rPr>
              <w:t xml:space="preserve">Съгласно чл. 33, § 3, б. „б“ – „г“ от Регламент № </w:t>
            </w:r>
            <w:r w:rsidR="0029102B">
              <w:rPr>
                <w:rFonts w:ascii="Verdana" w:hAnsi="Verdana"/>
                <w:sz w:val="20"/>
                <w:szCs w:val="20"/>
              </w:rPr>
              <w:t xml:space="preserve">2021/1060 </w:t>
            </w:r>
            <w:r>
              <w:rPr>
                <w:rFonts w:ascii="Verdana" w:hAnsi="Verdana"/>
                <w:sz w:val="20"/>
                <w:szCs w:val="20"/>
              </w:rPr>
              <w:t>МИГ има изключителните права да разработва процедурите, да обявява поканите и да извършва оценката на проектните предложения. Това е задължение и отговорност на всяка МИГ. Не се предвижда УО да съгласува или одобрява проектите на документите.</w:t>
            </w:r>
            <w:r w:rsidR="0029102B">
              <w:rPr>
                <w:rFonts w:ascii="Verdana" w:hAnsi="Verdana"/>
                <w:sz w:val="20"/>
                <w:szCs w:val="20"/>
              </w:rPr>
              <w:t xml:space="preserve"> МИГ отговаря за качеството на разработените документи.</w:t>
            </w:r>
          </w:p>
        </w:tc>
      </w:tr>
      <w:tr w:rsidR="0064536C" w:rsidRPr="00F413E2" w14:paraId="79186065" w14:textId="77777777" w:rsidTr="00B706DB">
        <w:trPr>
          <w:jc w:val="center"/>
        </w:trPr>
        <w:tc>
          <w:tcPr>
            <w:tcW w:w="569" w:type="dxa"/>
            <w:shd w:val="clear" w:color="auto" w:fill="auto"/>
          </w:tcPr>
          <w:p w14:paraId="77C53E19" w14:textId="77777777" w:rsidR="0064536C" w:rsidRPr="003C147F" w:rsidRDefault="0064536C"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64EC2A75" w14:textId="77777777" w:rsidR="0064536C" w:rsidRDefault="0064536C" w:rsidP="00A43684">
            <w:pPr>
              <w:spacing w:before="60" w:after="20"/>
              <w:rPr>
                <w:rFonts w:ascii="Verdana" w:hAnsi="Verdana"/>
                <w:spacing w:val="-2"/>
                <w:sz w:val="20"/>
                <w:szCs w:val="20"/>
              </w:rPr>
            </w:pPr>
          </w:p>
        </w:tc>
        <w:tc>
          <w:tcPr>
            <w:tcW w:w="6237" w:type="dxa"/>
            <w:shd w:val="clear" w:color="auto" w:fill="auto"/>
          </w:tcPr>
          <w:p w14:paraId="71E558C9" w14:textId="0F9B67DF" w:rsidR="00134469" w:rsidRPr="008877A1" w:rsidRDefault="00134469" w:rsidP="00134469">
            <w:pPr>
              <w:spacing w:before="60" w:after="20"/>
              <w:jc w:val="both"/>
              <w:rPr>
                <w:rFonts w:ascii="Verdana" w:hAnsi="Verdana"/>
                <w:spacing w:val="4"/>
                <w:sz w:val="20"/>
                <w:szCs w:val="20"/>
              </w:rPr>
            </w:pPr>
            <w:r w:rsidRPr="008877A1">
              <w:rPr>
                <w:rFonts w:ascii="Verdana" w:hAnsi="Verdana"/>
                <w:spacing w:val="4"/>
                <w:sz w:val="20"/>
                <w:szCs w:val="20"/>
              </w:rPr>
              <w:t>Чл. 39. (1) Подбор на проектни предложения към стратегии за ВОМР се извършва в срок до 30 работни дни от крайния срок на приема от комисия, назначена със заповед на председателя на Управителния съвет на МИГ/МИРГ, с изключение на проектни предложения, подадени от кандидат – МИГ/МИРГ. Комисията се назначава в срок до три дни от изтичане на крайния срок за подаване на проектни предложения.</w:t>
            </w:r>
          </w:p>
          <w:p w14:paraId="45588EFE" w14:textId="7EFC20EC" w:rsidR="00134469" w:rsidRPr="008877A1" w:rsidRDefault="00134469" w:rsidP="00134469">
            <w:pPr>
              <w:spacing w:before="60" w:after="20"/>
              <w:jc w:val="both"/>
              <w:rPr>
                <w:rFonts w:ascii="Verdana" w:hAnsi="Verdana"/>
                <w:spacing w:val="4"/>
                <w:sz w:val="20"/>
                <w:szCs w:val="20"/>
              </w:rPr>
            </w:pPr>
            <w:r w:rsidRPr="008877A1">
              <w:rPr>
                <w:rFonts w:ascii="Verdana" w:hAnsi="Verdana"/>
                <w:spacing w:val="4"/>
                <w:sz w:val="20"/>
                <w:szCs w:val="20"/>
              </w:rPr>
              <w:t>Промяна: Да се предостави възможност УС да удължава срока на работата на КППП.</w:t>
            </w:r>
          </w:p>
          <w:p w14:paraId="5325C190" w14:textId="12C34667" w:rsidR="0064536C" w:rsidRPr="001A1452" w:rsidRDefault="00134469" w:rsidP="00134469">
            <w:pPr>
              <w:spacing w:before="60" w:after="20"/>
              <w:jc w:val="both"/>
              <w:rPr>
                <w:rFonts w:ascii="Verdana" w:hAnsi="Verdana"/>
                <w:sz w:val="20"/>
                <w:szCs w:val="20"/>
              </w:rPr>
            </w:pPr>
            <w:r w:rsidRPr="008877A1">
              <w:rPr>
                <w:rFonts w:ascii="Verdana" w:hAnsi="Verdana"/>
                <w:spacing w:val="4"/>
                <w:sz w:val="20"/>
                <w:szCs w:val="20"/>
              </w:rPr>
              <w:t>Мотиви: МИГ ЛОМ през 2023 г. обяви процедура за прием на проекти по мярка 6.4.1 Инвестиции в неземеделски дейности. Имаше подадени 14 броя проектни предложения и беше невъзможно комисията да извърши оценката в срок от 30 работни дни.</w:t>
            </w:r>
          </w:p>
        </w:tc>
        <w:tc>
          <w:tcPr>
            <w:tcW w:w="1629" w:type="dxa"/>
            <w:shd w:val="clear" w:color="auto" w:fill="auto"/>
          </w:tcPr>
          <w:p w14:paraId="6A7FA334" w14:textId="552AF42C" w:rsidR="0064536C" w:rsidRPr="007100EA" w:rsidRDefault="0064536C" w:rsidP="00134469">
            <w:pPr>
              <w:spacing w:before="60" w:after="20"/>
              <w:jc w:val="both"/>
              <w:rPr>
                <w:rFonts w:ascii="Verdana" w:hAnsi="Verdana"/>
                <w:color w:val="FF0000"/>
                <w:sz w:val="20"/>
                <w:szCs w:val="20"/>
              </w:rPr>
            </w:pPr>
            <w:r w:rsidRPr="00BB3187">
              <w:rPr>
                <w:rFonts w:ascii="Verdana" w:hAnsi="Verdana"/>
                <w:sz w:val="20"/>
                <w:szCs w:val="20"/>
              </w:rPr>
              <w:t>Не се приема</w:t>
            </w:r>
          </w:p>
        </w:tc>
        <w:tc>
          <w:tcPr>
            <w:tcW w:w="4522" w:type="dxa"/>
            <w:shd w:val="clear" w:color="auto" w:fill="auto"/>
          </w:tcPr>
          <w:p w14:paraId="3DA4DF54" w14:textId="773F6BDE" w:rsidR="0064536C" w:rsidRPr="004674B8" w:rsidRDefault="00BB3187" w:rsidP="00AF5CAD">
            <w:pPr>
              <w:spacing w:before="60" w:after="20"/>
              <w:jc w:val="both"/>
              <w:rPr>
                <w:rFonts w:ascii="Verdana" w:hAnsi="Verdana"/>
                <w:sz w:val="20"/>
                <w:szCs w:val="20"/>
              </w:rPr>
            </w:pPr>
            <w:r>
              <w:rPr>
                <w:rFonts w:ascii="Verdana" w:hAnsi="Verdana"/>
                <w:sz w:val="20"/>
                <w:szCs w:val="20"/>
              </w:rPr>
              <w:t>Срокът от 30 дни е достатъчен за оценка на проектни</w:t>
            </w:r>
            <w:r w:rsidR="0029102B">
              <w:rPr>
                <w:rFonts w:ascii="Verdana" w:hAnsi="Verdana"/>
                <w:sz w:val="20"/>
                <w:szCs w:val="20"/>
              </w:rPr>
              <w:t>те</w:t>
            </w:r>
            <w:r>
              <w:rPr>
                <w:rFonts w:ascii="Verdana" w:hAnsi="Verdana"/>
                <w:sz w:val="20"/>
                <w:szCs w:val="20"/>
              </w:rPr>
              <w:t xml:space="preserve"> предложения. Ако броят им е голям, МИГ може да определи повече оцените</w:t>
            </w:r>
            <w:r w:rsidR="0029102B">
              <w:rPr>
                <w:rFonts w:ascii="Verdana" w:hAnsi="Verdana"/>
                <w:sz w:val="20"/>
                <w:szCs w:val="20"/>
              </w:rPr>
              <w:t>ли</w:t>
            </w:r>
            <w:r>
              <w:rPr>
                <w:rFonts w:ascii="Verdana" w:hAnsi="Verdana"/>
                <w:sz w:val="20"/>
                <w:szCs w:val="20"/>
              </w:rPr>
              <w:t xml:space="preserve"> в комисията</w:t>
            </w:r>
            <w:r w:rsidR="0029102B">
              <w:rPr>
                <w:rFonts w:ascii="Verdana" w:hAnsi="Verdana"/>
                <w:sz w:val="20"/>
                <w:szCs w:val="20"/>
              </w:rPr>
              <w:t>,</w:t>
            </w:r>
            <w:r>
              <w:rPr>
                <w:rFonts w:ascii="Verdana" w:hAnsi="Verdana"/>
                <w:sz w:val="20"/>
                <w:szCs w:val="20"/>
              </w:rPr>
              <w:t xml:space="preserve"> с цел да приключи оценката в срок.</w:t>
            </w:r>
          </w:p>
        </w:tc>
      </w:tr>
      <w:tr w:rsidR="0081738A" w:rsidRPr="00F413E2" w14:paraId="664B9A5E" w14:textId="77777777" w:rsidTr="00B706DB">
        <w:trPr>
          <w:jc w:val="center"/>
        </w:trPr>
        <w:tc>
          <w:tcPr>
            <w:tcW w:w="569" w:type="dxa"/>
            <w:shd w:val="clear" w:color="auto" w:fill="auto"/>
          </w:tcPr>
          <w:p w14:paraId="093D2480" w14:textId="77777777" w:rsidR="0081738A" w:rsidRPr="003C147F" w:rsidRDefault="0081738A"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09AE0963" w14:textId="77777777" w:rsidR="0081738A" w:rsidRDefault="0081738A" w:rsidP="00A43684">
            <w:pPr>
              <w:spacing w:before="60" w:after="20"/>
              <w:rPr>
                <w:rFonts w:ascii="Verdana" w:hAnsi="Verdana"/>
                <w:spacing w:val="-2"/>
                <w:sz w:val="20"/>
                <w:szCs w:val="20"/>
              </w:rPr>
            </w:pPr>
          </w:p>
        </w:tc>
        <w:tc>
          <w:tcPr>
            <w:tcW w:w="6237" w:type="dxa"/>
            <w:shd w:val="clear" w:color="auto" w:fill="auto"/>
          </w:tcPr>
          <w:p w14:paraId="74AAC7FE" w14:textId="5DFE0124" w:rsidR="0081738A" w:rsidRPr="000C3CB5" w:rsidRDefault="00134469" w:rsidP="008877A1">
            <w:pPr>
              <w:spacing w:before="60" w:after="20"/>
              <w:jc w:val="both"/>
              <w:rPr>
                <w:rFonts w:ascii="Verdana" w:hAnsi="Verdana"/>
                <w:sz w:val="20"/>
                <w:szCs w:val="20"/>
              </w:rPr>
            </w:pPr>
            <w:r w:rsidRPr="000C3CB5">
              <w:rPr>
                <w:rFonts w:ascii="Verdana" w:hAnsi="Verdana"/>
                <w:sz w:val="20"/>
                <w:szCs w:val="20"/>
              </w:rPr>
              <w:t>/Предлагаме също така да се предостави възможност на външните оценители да могат да подписват протоколите и оценителния доклад с електронен подпис/.</w:t>
            </w:r>
          </w:p>
        </w:tc>
        <w:tc>
          <w:tcPr>
            <w:tcW w:w="1629" w:type="dxa"/>
            <w:shd w:val="clear" w:color="auto" w:fill="auto"/>
          </w:tcPr>
          <w:p w14:paraId="56C761D8" w14:textId="6E9EFE2C" w:rsidR="0081738A" w:rsidRPr="0064536C" w:rsidRDefault="0081738A" w:rsidP="00BB3187">
            <w:pPr>
              <w:spacing w:before="60" w:after="20"/>
              <w:rPr>
                <w:rFonts w:ascii="Verdana" w:hAnsi="Verdana"/>
                <w:color w:val="FF0000"/>
                <w:sz w:val="20"/>
                <w:szCs w:val="20"/>
              </w:rPr>
            </w:pPr>
            <w:r w:rsidRPr="00BB3187">
              <w:rPr>
                <w:rFonts w:ascii="Verdana" w:hAnsi="Verdana"/>
                <w:sz w:val="20"/>
                <w:szCs w:val="20"/>
              </w:rPr>
              <w:t>Приема се</w:t>
            </w:r>
            <w:r w:rsidR="00BB3187" w:rsidRPr="00BB3187">
              <w:rPr>
                <w:rFonts w:ascii="Verdana" w:hAnsi="Verdana"/>
                <w:sz w:val="20"/>
                <w:szCs w:val="20"/>
              </w:rPr>
              <w:t xml:space="preserve"> по принцип</w:t>
            </w:r>
          </w:p>
        </w:tc>
        <w:tc>
          <w:tcPr>
            <w:tcW w:w="4522" w:type="dxa"/>
            <w:shd w:val="clear" w:color="auto" w:fill="auto"/>
          </w:tcPr>
          <w:p w14:paraId="3A017E00" w14:textId="4FFC744F" w:rsidR="0081738A" w:rsidRPr="004674B8" w:rsidRDefault="00BB3187" w:rsidP="00AF5CAD">
            <w:pPr>
              <w:spacing w:before="60" w:after="20"/>
              <w:jc w:val="both"/>
              <w:rPr>
                <w:rFonts w:ascii="Verdana" w:hAnsi="Verdana"/>
                <w:sz w:val="20"/>
                <w:szCs w:val="20"/>
              </w:rPr>
            </w:pPr>
            <w:r>
              <w:rPr>
                <w:rFonts w:ascii="Verdana" w:hAnsi="Verdana"/>
                <w:sz w:val="20"/>
                <w:szCs w:val="20"/>
              </w:rPr>
              <w:t>Този въпрос следва да се уреди във вътрешните процедури на МИГ. В ПМС няма забрана.</w:t>
            </w:r>
          </w:p>
        </w:tc>
      </w:tr>
      <w:tr w:rsidR="0081738A" w:rsidRPr="00F413E2" w14:paraId="40C1451F" w14:textId="77777777" w:rsidTr="00B706DB">
        <w:trPr>
          <w:jc w:val="center"/>
        </w:trPr>
        <w:tc>
          <w:tcPr>
            <w:tcW w:w="569" w:type="dxa"/>
            <w:shd w:val="clear" w:color="auto" w:fill="auto"/>
          </w:tcPr>
          <w:p w14:paraId="7E0E3BD3" w14:textId="77777777" w:rsidR="0081738A" w:rsidRPr="003C147F" w:rsidRDefault="0081738A"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0319FD99" w14:textId="77777777" w:rsidR="0081738A" w:rsidRDefault="0081738A" w:rsidP="00A43684">
            <w:pPr>
              <w:spacing w:before="60" w:after="20"/>
              <w:rPr>
                <w:rFonts w:ascii="Verdana" w:hAnsi="Verdana"/>
                <w:spacing w:val="-2"/>
                <w:sz w:val="20"/>
                <w:szCs w:val="20"/>
              </w:rPr>
            </w:pPr>
          </w:p>
        </w:tc>
        <w:tc>
          <w:tcPr>
            <w:tcW w:w="6237" w:type="dxa"/>
            <w:shd w:val="clear" w:color="auto" w:fill="auto"/>
          </w:tcPr>
          <w:p w14:paraId="6F94AF70" w14:textId="77777777"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Чл. 43. (3) Оценителният доклад по ал. 1 се изпраща от МИГ/МИРГ чрез ИСУН до изпълнителния директор на ДФЗ /ръководителя на УО на ПМДРА в срок до 5 работни дни от одобряването на оценителния доклад от Управителния съвет на МИГ/МИРГ.</w:t>
            </w:r>
          </w:p>
          <w:p w14:paraId="52E60878" w14:textId="748BA015"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 xml:space="preserve">Промяна: (3) Оценителният доклад по ал. 1 се изпраща от МИГ/МИРГ чрез ИСУН или чрез ССЕВ </w:t>
            </w:r>
            <w:r>
              <w:rPr>
                <w:rFonts w:ascii="Verdana" w:hAnsi="Verdana"/>
                <w:sz w:val="20"/>
                <w:szCs w:val="20"/>
              </w:rPr>
              <w:t>–</w:t>
            </w:r>
            <w:r w:rsidRPr="0026055D">
              <w:rPr>
                <w:rFonts w:ascii="Verdana" w:hAnsi="Verdana"/>
                <w:sz w:val="20"/>
                <w:szCs w:val="20"/>
              </w:rPr>
              <w:t xml:space="preserve"> Система за сигурно електронно връчване до изпълнителния директор на ДФЗ /ръководителя на УО на ПМДРА в срок до 5 работни дни от одобряването на оценителния доклад от Управителния съвет на МИГ/МИРГ.</w:t>
            </w:r>
          </w:p>
          <w:p w14:paraId="17229872" w14:textId="241E0BE6" w:rsidR="0081738A" w:rsidRPr="001A1452" w:rsidRDefault="0026055D" w:rsidP="0026055D">
            <w:pPr>
              <w:spacing w:before="60" w:after="20"/>
              <w:jc w:val="both"/>
              <w:rPr>
                <w:rFonts w:ascii="Verdana" w:hAnsi="Verdana"/>
                <w:sz w:val="20"/>
                <w:szCs w:val="20"/>
              </w:rPr>
            </w:pPr>
            <w:r w:rsidRPr="0026055D">
              <w:rPr>
                <w:rFonts w:ascii="Verdana" w:hAnsi="Verdana"/>
                <w:sz w:val="20"/>
                <w:szCs w:val="20"/>
              </w:rPr>
              <w:lastRenderedPageBreak/>
              <w:t>Мотиви: Връчването на документи до ДФЗ/УО се осъществява много по бързо и сигурно чрез електронната система.</w:t>
            </w:r>
          </w:p>
        </w:tc>
        <w:tc>
          <w:tcPr>
            <w:tcW w:w="1629" w:type="dxa"/>
            <w:shd w:val="clear" w:color="auto" w:fill="auto"/>
          </w:tcPr>
          <w:p w14:paraId="253F1A4B" w14:textId="6489D81E" w:rsidR="0081738A" w:rsidRPr="0064536C" w:rsidRDefault="0081738A" w:rsidP="005B3673">
            <w:pPr>
              <w:spacing w:before="60" w:after="20"/>
              <w:rPr>
                <w:rFonts w:ascii="Verdana" w:hAnsi="Verdana"/>
                <w:color w:val="FF0000"/>
                <w:sz w:val="20"/>
                <w:szCs w:val="20"/>
              </w:rPr>
            </w:pPr>
            <w:r w:rsidRPr="00BB3187">
              <w:rPr>
                <w:rFonts w:ascii="Verdana" w:hAnsi="Verdana"/>
                <w:sz w:val="20"/>
                <w:szCs w:val="20"/>
              </w:rPr>
              <w:lastRenderedPageBreak/>
              <w:t>Не се приема</w:t>
            </w:r>
          </w:p>
        </w:tc>
        <w:tc>
          <w:tcPr>
            <w:tcW w:w="4522" w:type="dxa"/>
            <w:shd w:val="clear" w:color="auto" w:fill="auto"/>
          </w:tcPr>
          <w:p w14:paraId="00E087AA" w14:textId="04268D59" w:rsidR="0081738A" w:rsidRPr="004674B8" w:rsidRDefault="00BB3187" w:rsidP="00AF5CAD">
            <w:pPr>
              <w:spacing w:before="60" w:after="20"/>
              <w:jc w:val="both"/>
              <w:rPr>
                <w:rFonts w:ascii="Verdana" w:hAnsi="Verdana"/>
                <w:sz w:val="20"/>
                <w:szCs w:val="20"/>
              </w:rPr>
            </w:pPr>
            <w:r>
              <w:rPr>
                <w:rFonts w:ascii="Verdana" w:hAnsi="Verdana"/>
                <w:sz w:val="20"/>
                <w:szCs w:val="20"/>
              </w:rPr>
              <w:t>Целият оценителен процес се извършва в ИСУН</w:t>
            </w:r>
            <w:r w:rsidR="00525EAC">
              <w:rPr>
                <w:rFonts w:ascii="Verdana" w:hAnsi="Verdana"/>
                <w:sz w:val="20"/>
                <w:szCs w:val="20"/>
              </w:rPr>
              <w:t>.</w:t>
            </w:r>
          </w:p>
        </w:tc>
      </w:tr>
      <w:tr w:rsidR="0081738A" w:rsidRPr="00F413E2" w14:paraId="461F431F" w14:textId="77777777" w:rsidTr="00B706DB">
        <w:trPr>
          <w:jc w:val="center"/>
        </w:trPr>
        <w:tc>
          <w:tcPr>
            <w:tcW w:w="569" w:type="dxa"/>
            <w:shd w:val="clear" w:color="auto" w:fill="auto"/>
          </w:tcPr>
          <w:p w14:paraId="3837D308" w14:textId="77777777" w:rsidR="0081738A" w:rsidRPr="003C147F" w:rsidRDefault="0081738A" w:rsidP="002840D4">
            <w:pPr>
              <w:pStyle w:val="ListParagraph"/>
              <w:tabs>
                <w:tab w:val="left" w:pos="192"/>
              </w:tabs>
              <w:spacing w:before="60" w:after="20" w:line="360" w:lineRule="auto"/>
              <w:ind w:left="57"/>
              <w:rPr>
                <w:rFonts w:ascii="Verdana" w:hAnsi="Verdana"/>
                <w:b/>
                <w:sz w:val="20"/>
                <w:szCs w:val="20"/>
              </w:rPr>
            </w:pPr>
          </w:p>
        </w:tc>
        <w:tc>
          <w:tcPr>
            <w:tcW w:w="2692" w:type="dxa"/>
            <w:shd w:val="clear" w:color="auto" w:fill="auto"/>
          </w:tcPr>
          <w:p w14:paraId="50A7A12A" w14:textId="77777777" w:rsidR="0081738A" w:rsidRDefault="0081738A" w:rsidP="00A43684">
            <w:pPr>
              <w:spacing w:before="60" w:after="20"/>
              <w:rPr>
                <w:rFonts w:ascii="Verdana" w:hAnsi="Verdana"/>
                <w:spacing w:val="-2"/>
                <w:sz w:val="20"/>
                <w:szCs w:val="20"/>
              </w:rPr>
            </w:pPr>
          </w:p>
        </w:tc>
        <w:tc>
          <w:tcPr>
            <w:tcW w:w="6237" w:type="dxa"/>
            <w:shd w:val="clear" w:color="auto" w:fill="auto"/>
          </w:tcPr>
          <w:p w14:paraId="3325387A" w14:textId="6EAC9D98"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Чл. 47. (1) Мониторинг върху изпълнението на проект в рамките на с</w:t>
            </w:r>
            <w:r>
              <w:rPr>
                <w:rFonts w:ascii="Verdana" w:hAnsi="Verdana"/>
                <w:sz w:val="20"/>
                <w:szCs w:val="20"/>
              </w:rPr>
              <w:t xml:space="preserve">тратегия за ВОМР се извършва от </w:t>
            </w:r>
            <w:r w:rsidRPr="0026055D">
              <w:rPr>
                <w:rFonts w:ascii="Verdana" w:hAnsi="Verdana"/>
                <w:sz w:val="20"/>
                <w:szCs w:val="20"/>
              </w:rPr>
              <w:t>МИГ/МИРГ.</w:t>
            </w:r>
          </w:p>
          <w:p w14:paraId="35F4687A" w14:textId="77777777"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(2) При извършване на мониторинга по ал. 1 МИГ/МИРГ изискват от бенефициентите информация и провеждат дейности по оценка, като представят:</w:t>
            </w:r>
          </w:p>
          <w:p w14:paraId="7C58E715" w14:textId="77777777"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1. годишен доклад по чл. 34;</w:t>
            </w:r>
          </w:p>
          <w:p w14:paraId="1F6EDE09" w14:textId="76B17E1D"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2. окончателен доклад за изпълнение на стратегията – в срок до 2 месеца от последното плащане към бенефициент по проект към стратегията за ВОМР.</w:t>
            </w:r>
          </w:p>
          <w:p w14:paraId="7B48C4E0" w14:textId="49FD40D5" w:rsidR="0026055D" w:rsidRPr="0026055D" w:rsidRDefault="0026055D" w:rsidP="0026055D">
            <w:pPr>
              <w:spacing w:before="60" w:after="20"/>
              <w:jc w:val="both"/>
              <w:rPr>
                <w:rFonts w:ascii="Verdana" w:hAnsi="Verdana"/>
                <w:sz w:val="20"/>
                <w:szCs w:val="20"/>
              </w:rPr>
            </w:pPr>
            <w:r w:rsidRPr="0026055D">
              <w:rPr>
                <w:rFonts w:ascii="Verdana" w:hAnsi="Verdana"/>
                <w:sz w:val="20"/>
                <w:szCs w:val="20"/>
              </w:rPr>
              <w:t xml:space="preserve">Предлагаме следната промяна: мониторинга на стратегията може да бъде междинен </w:t>
            </w:r>
            <w:r>
              <w:rPr>
                <w:rFonts w:ascii="Verdana" w:hAnsi="Verdana"/>
                <w:sz w:val="20"/>
                <w:szCs w:val="20"/>
              </w:rPr>
              <w:t>–</w:t>
            </w:r>
            <w:r w:rsidRPr="0026055D">
              <w:rPr>
                <w:rFonts w:ascii="Verdana" w:hAnsi="Verdana"/>
                <w:sz w:val="20"/>
                <w:szCs w:val="20"/>
              </w:rPr>
              <w:t xml:space="preserve"> в средата на периода и окончателен </w:t>
            </w:r>
            <w:r>
              <w:rPr>
                <w:rFonts w:ascii="Verdana" w:hAnsi="Verdana"/>
                <w:sz w:val="20"/>
                <w:szCs w:val="20"/>
              </w:rPr>
              <w:t>–</w:t>
            </w:r>
            <w:r w:rsidRPr="0026055D">
              <w:rPr>
                <w:rFonts w:ascii="Verdana" w:hAnsi="Verdana"/>
                <w:sz w:val="20"/>
                <w:szCs w:val="20"/>
              </w:rPr>
              <w:t xml:space="preserve"> след п</w:t>
            </w:r>
            <w:r>
              <w:rPr>
                <w:rFonts w:ascii="Verdana" w:hAnsi="Verdana"/>
                <w:sz w:val="20"/>
                <w:szCs w:val="20"/>
              </w:rPr>
              <w:t>риключване на последния проект.</w:t>
            </w:r>
          </w:p>
          <w:p w14:paraId="49DE9822" w14:textId="48B81711" w:rsidR="0081738A" w:rsidRPr="001A1452" w:rsidRDefault="0026055D" w:rsidP="0026055D">
            <w:pPr>
              <w:spacing w:before="60" w:after="20"/>
              <w:jc w:val="both"/>
              <w:rPr>
                <w:rFonts w:ascii="Verdana" w:hAnsi="Verdana"/>
                <w:sz w:val="20"/>
                <w:szCs w:val="20"/>
              </w:rPr>
            </w:pPr>
            <w:r w:rsidRPr="0026055D">
              <w:rPr>
                <w:rFonts w:ascii="Verdana" w:hAnsi="Verdana"/>
                <w:sz w:val="20"/>
                <w:szCs w:val="20"/>
              </w:rPr>
              <w:t>Най-пълноценен е мониторинг</w:t>
            </w:r>
            <w:r>
              <w:rPr>
                <w:rFonts w:ascii="Verdana" w:hAnsi="Verdana"/>
                <w:sz w:val="20"/>
                <w:szCs w:val="20"/>
              </w:rPr>
              <w:t xml:space="preserve">а на всеки проект по конкретни </w:t>
            </w:r>
            <w:r w:rsidRPr="0026055D">
              <w:rPr>
                <w:rFonts w:ascii="Verdana" w:hAnsi="Verdana"/>
                <w:sz w:val="20"/>
                <w:szCs w:val="20"/>
              </w:rPr>
              <w:t xml:space="preserve">показатели, свързани с индикаторите </w:t>
            </w:r>
            <w:r>
              <w:rPr>
                <w:rFonts w:ascii="Verdana" w:hAnsi="Verdana"/>
                <w:sz w:val="20"/>
                <w:szCs w:val="20"/>
              </w:rPr>
              <w:t xml:space="preserve">за изпълнение до 2 месеца след </w:t>
            </w:r>
            <w:r w:rsidRPr="0026055D">
              <w:rPr>
                <w:rFonts w:ascii="Verdana" w:hAnsi="Verdana"/>
                <w:sz w:val="20"/>
                <w:szCs w:val="20"/>
              </w:rPr>
              <w:t>получено окончателно плащане към бенефициента.</w:t>
            </w:r>
          </w:p>
        </w:tc>
        <w:tc>
          <w:tcPr>
            <w:tcW w:w="1629" w:type="dxa"/>
            <w:shd w:val="clear" w:color="auto" w:fill="auto"/>
          </w:tcPr>
          <w:p w14:paraId="7B7F1BF3" w14:textId="6CF386F4" w:rsidR="0081738A" w:rsidRPr="00BB3187" w:rsidRDefault="0081738A" w:rsidP="00BB3187">
            <w:pPr>
              <w:spacing w:before="60" w:after="20"/>
              <w:rPr>
                <w:rFonts w:ascii="Verdana" w:hAnsi="Verdana"/>
                <w:sz w:val="20"/>
                <w:szCs w:val="20"/>
              </w:rPr>
            </w:pPr>
            <w:r w:rsidRPr="00BB3187">
              <w:rPr>
                <w:rFonts w:ascii="Verdana" w:hAnsi="Verdana"/>
                <w:sz w:val="20"/>
                <w:szCs w:val="20"/>
              </w:rPr>
              <w:t>Приема се</w:t>
            </w:r>
            <w:r w:rsidR="00BB3187" w:rsidRPr="00BB3187">
              <w:rPr>
                <w:rFonts w:ascii="Verdana" w:hAnsi="Verdana"/>
                <w:sz w:val="20"/>
                <w:szCs w:val="20"/>
              </w:rPr>
              <w:t xml:space="preserve"> по принцип</w:t>
            </w:r>
          </w:p>
        </w:tc>
        <w:tc>
          <w:tcPr>
            <w:tcW w:w="4522" w:type="dxa"/>
            <w:shd w:val="clear" w:color="auto" w:fill="auto"/>
          </w:tcPr>
          <w:p w14:paraId="5660440B" w14:textId="7B92EF1B" w:rsidR="0081738A" w:rsidRPr="004674B8" w:rsidRDefault="00BB3187" w:rsidP="00AF5CAD">
            <w:pPr>
              <w:spacing w:before="60" w:after="20"/>
              <w:jc w:val="both"/>
              <w:rPr>
                <w:rFonts w:ascii="Verdana" w:hAnsi="Verdana"/>
                <w:sz w:val="20"/>
                <w:szCs w:val="20"/>
              </w:rPr>
            </w:pPr>
            <w:r>
              <w:rPr>
                <w:rFonts w:ascii="Verdana" w:hAnsi="Verdana"/>
                <w:sz w:val="20"/>
                <w:szCs w:val="20"/>
              </w:rPr>
              <w:t>Тези въпроси следва да се уредят във вътрешните процедури на МИГ. Доколкото МИГ е отговорна за извършването на мониторинга тя сама може да определи по какъв начин да изпълнява това задължение.</w:t>
            </w:r>
          </w:p>
        </w:tc>
      </w:tr>
    </w:tbl>
    <w:p w14:paraId="0A2ACF09" w14:textId="61FC3223" w:rsidR="004674B8" w:rsidRDefault="004674B8" w:rsidP="00B943B8">
      <w:pPr>
        <w:spacing w:line="360" w:lineRule="auto"/>
        <w:rPr>
          <w:rFonts w:ascii="Verdana" w:hAnsi="Verdana"/>
          <w:bCs/>
          <w:smallCaps/>
          <w:sz w:val="20"/>
          <w:szCs w:val="20"/>
        </w:rPr>
      </w:pPr>
      <w:bookmarkStart w:id="0" w:name="_GoBack"/>
      <w:bookmarkEnd w:id="0"/>
    </w:p>
    <w:sectPr w:rsidR="004674B8" w:rsidSect="00BE4037">
      <w:footerReference w:type="even" r:id="rId8"/>
      <w:footerReference w:type="default" r:id="rId9"/>
      <w:headerReference w:type="first" r:id="rId10"/>
      <w:pgSz w:w="16838" w:h="11906" w:orient="landscape" w:code="9"/>
      <w:pgMar w:top="1134" w:right="1021" w:bottom="56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A267C" w14:textId="77777777" w:rsidR="00B60E32" w:rsidRDefault="00B60E32">
      <w:r>
        <w:separator/>
      </w:r>
    </w:p>
  </w:endnote>
  <w:endnote w:type="continuationSeparator" w:id="0">
    <w:p w14:paraId="2ECB1755" w14:textId="77777777" w:rsidR="00B60E32" w:rsidRDefault="00B6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7CC75" w14:textId="77777777" w:rsidR="001C64B3" w:rsidRDefault="001C64B3" w:rsidP="00442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B4D91" w14:textId="77777777" w:rsidR="001C64B3" w:rsidRDefault="001C64B3" w:rsidP="00E968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673086"/>
      <w:docPartObj>
        <w:docPartGallery w:val="Page Numbers (Bottom of Page)"/>
        <w:docPartUnique/>
      </w:docPartObj>
    </w:sdtPr>
    <w:sdtEndPr>
      <w:rPr>
        <w:rFonts w:ascii="Verdana" w:hAnsi="Verdana"/>
        <w:noProof/>
        <w:sz w:val="16"/>
        <w:szCs w:val="16"/>
      </w:rPr>
    </w:sdtEndPr>
    <w:sdtContent>
      <w:p w14:paraId="03CA8827" w14:textId="021414EF" w:rsidR="001C64B3" w:rsidRPr="00B634C1" w:rsidRDefault="001C64B3" w:rsidP="00AF12B7">
        <w:pPr>
          <w:pStyle w:val="Footer"/>
          <w:jc w:val="right"/>
          <w:rPr>
            <w:rFonts w:ascii="Verdana" w:hAnsi="Verdana"/>
            <w:sz w:val="16"/>
            <w:szCs w:val="16"/>
          </w:rPr>
        </w:pPr>
        <w:r w:rsidRPr="00B634C1">
          <w:rPr>
            <w:rFonts w:ascii="Verdana" w:hAnsi="Verdana"/>
            <w:sz w:val="16"/>
            <w:szCs w:val="16"/>
          </w:rPr>
          <w:fldChar w:fldCharType="begin"/>
        </w:r>
        <w:r w:rsidRPr="00B634C1">
          <w:rPr>
            <w:rFonts w:ascii="Verdana" w:hAnsi="Verdana"/>
            <w:sz w:val="16"/>
            <w:szCs w:val="16"/>
          </w:rPr>
          <w:instrText xml:space="preserve"> PAGE   \* MERGEFORMAT </w:instrText>
        </w:r>
        <w:r w:rsidRPr="00B634C1">
          <w:rPr>
            <w:rFonts w:ascii="Verdana" w:hAnsi="Verdana"/>
            <w:sz w:val="16"/>
            <w:szCs w:val="16"/>
          </w:rPr>
          <w:fldChar w:fldCharType="separate"/>
        </w:r>
        <w:r w:rsidR="00B943B8">
          <w:rPr>
            <w:rFonts w:ascii="Verdana" w:hAnsi="Verdana"/>
            <w:noProof/>
            <w:sz w:val="16"/>
            <w:szCs w:val="16"/>
          </w:rPr>
          <w:t>18</w:t>
        </w:r>
        <w:r w:rsidRPr="00B634C1">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53E4C" w14:textId="77777777" w:rsidR="00B60E32" w:rsidRDefault="00B60E32">
      <w:r>
        <w:separator/>
      </w:r>
    </w:p>
  </w:footnote>
  <w:footnote w:type="continuationSeparator" w:id="0">
    <w:p w14:paraId="68E7F932" w14:textId="77777777" w:rsidR="00B60E32" w:rsidRDefault="00B60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C3622" w14:textId="77777777" w:rsidR="001C64B3" w:rsidRPr="004674B8" w:rsidRDefault="001C64B3" w:rsidP="004674B8">
    <w:pPr>
      <w:tabs>
        <w:tab w:val="center" w:pos="4320"/>
        <w:tab w:val="right" w:pos="8640"/>
      </w:tabs>
      <w:overflowPunct w:val="0"/>
      <w:autoSpaceDE w:val="0"/>
      <w:autoSpaceDN w:val="0"/>
      <w:adjustRightInd w:val="0"/>
      <w:jc w:val="right"/>
      <w:textAlignment w:val="baseline"/>
      <w:rPr>
        <w:rFonts w:ascii="Verdana" w:hAnsi="Verdana"/>
        <w:sz w:val="18"/>
        <w:szCs w:val="18"/>
        <w:lang w:eastAsia="en-US"/>
      </w:rPr>
    </w:pPr>
    <w:r w:rsidRPr="004674B8">
      <w:rPr>
        <w:rFonts w:ascii="Verdana" w:hAnsi="Verdana"/>
        <w:sz w:val="18"/>
        <w:szCs w:val="18"/>
        <w:lang w:eastAsia="en-US"/>
      </w:rPr>
      <w:t>Класификация на информацията:</w:t>
    </w:r>
  </w:p>
  <w:p w14:paraId="3E82FE5A" w14:textId="14E66C3C" w:rsidR="001C64B3" w:rsidRPr="00ED095C" w:rsidRDefault="001C64B3" w:rsidP="000C3CB5">
    <w:pPr>
      <w:tabs>
        <w:tab w:val="center" w:pos="4320"/>
        <w:tab w:val="right" w:pos="8640"/>
      </w:tabs>
      <w:overflowPunct w:val="0"/>
      <w:autoSpaceDE w:val="0"/>
      <w:autoSpaceDN w:val="0"/>
      <w:adjustRightInd w:val="0"/>
      <w:jc w:val="right"/>
      <w:textAlignment w:val="baseline"/>
      <w:rPr>
        <w:rFonts w:ascii="Verdana" w:hAnsi="Verdana"/>
        <w:sz w:val="18"/>
        <w:szCs w:val="18"/>
        <w:lang w:eastAsia="en-US"/>
      </w:rPr>
    </w:pPr>
    <w:r w:rsidRPr="004674B8">
      <w:rPr>
        <w:rFonts w:ascii="Verdana" w:hAnsi="Verdana"/>
        <w:sz w:val="18"/>
        <w:szCs w:val="18"/>
        <w:lang w:eastAsia="en-US"/>
      </w:rPr>
      <w:t>Ниво 0, TLP-</w:t>
    </w:r>
    <w:r w:rsidRPr="004674B8">
      <w:rPr>
        <w:rFonts w:ascii="Verdana" w:hAnsi="Verdana"/>
        <w:sz w:val="18"/>
        <w:szCs w:val="18"/>
        <w:lang w:val="en-US" w:eastAsia="en-US"/>
      </w:rPr>
      <w:t>WHITE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891"/>
    <w:multiLevelType w:val="hybridMultilevel"/>
    <w:tmpl w:val="81066A50"/>
    <w:lvl w:ilvl="0" w:tplc="05FABEB8">
      <w:start w:val="1"/>
      <w:numFmt w:val="decimal"/>
      <w:lvlText w:val="%1."/>
      <w:lvlJc w:val="left"/>
      <w:pPr>
        <w:ind w:left="496" w:hanging="756"/>
      </w:pPr>
      <w:rPr>
        <w:rFonts w:ascii="Times New Roman" w:eastAsia="Times New Roman" w:hAnsi="Times New Roman" w:cs="Times New Roman" w:hint="default"/>
        <w:spacing w:val="-24"/>
        <w:w w:val="100"/>
        <w:sz w:val="24"/>
        <w:szCs w:val="24"/>
        <w:lang w:val="bg-BG" w:eastAsia="bg-BG" w:bidi="bg-BG"/>
      </w:rPr>
    </w:lvl>
    <w:lvl w:ilvl="1" w:tplc="0EFAD76C">
      <w:numFmt w:val="bullet"/>
      <w:lvlText w:val="•"/>
      <w:lvlJc w:val="left"/>
      <w:pPr>
        <w:ind w:left="1420" w:hanging="756"/>
      </w:pPr>
      <w:rPr>
        <w:rFonts w:hint="default"/>
        <w:lang w:val="bg-BG" w:eastAsia="bg-BG" w:bidi="bg-BG"/>
      </w:rPr>
    </w:lvl>
    <w:lvl w:ilvl="2" w:tplc="D5665806">
      <w:numFmt w:val="bullet"/>
      <w:lvlText w:val="•"/>
      <w:lvlJc w:val="left"/>
      <w:pPr>
        <w:ind w:left="2341" w:hanging="756"/>
      </w:pPr>
      <w:rPr>
        <w:rFonts w:hint="default"/>
        <w:lang w:val="bg-BG" w:eastAsia="bg-BG" w:bidi="bg-BG"/>
      </w:rPr>
    </w:lvl>
    <w:lvl w:ilvl="3" w:tplc="7672730A">
      <w:numFmt w:val="bullet"/>
      <w:lvlText w:val="•"/>
      <w:lvlJc w:val="left"/>
      <w:pPr>
        <w:ind w:left="3261" w:hanging="756"/>
      </w:pPr>
      <w:rPr>
        <w:rFonts w:hint="default"/>
        <w:lang w:val="bg-BG" w:eastAsia="bg-BG" w:bidi="bg-BG"/>
      </w:rPr>
    </w:lvl>
    <w:lvl w:ilvl="4" w:tplc="C5D282A6">
      <w:numFmt w:val="bullet"/>
      <w:lvlText w:val="•"/>
      <w:lvlJc w:val="left"/>
      <w:pPr>
        <w:ind w:left="4182" w:hanging="756"/>
      </w:pPr>
      <w:rPr>
        <w:rFonts w:hint="default"/>
        <w:lang w:val="bg-BG" w:eastAsia="bg-BG" w:bidi="bg-BG"/>
      </w:rPr>
    </w:lvl>
    <w:lvl w:ilvl="5" w:tplc="B3428474">
      <w:numFmt w:val="bullet"/>
      <w:lvlText w:val="•"/>
      <w:lvlJc w:val="left"/>
      <w:pPr>
        <w:ind w:left="5103" w:hanging="756"/>
      </w:pPr>
      <w:rPr>
        <w:rFonts w:hint="default"/>
        <w:lang w:val="bg-BG" w:eastAsia="bg-BG" w:bidi="bg-BG"/>
      </w:rPr>
    </w:lvl>
    <w:lvl w:ilvl="6" w:tplc="D7B24ADE">
      <w:numFmt w:val="bullet"/>
      <w:lvlText w:val="•"/>
      <w:lvlJc w:val="left"/>
      <w:pPr>
        <w:ind w:left="6023" w:hanging="756"/>
      </w:pPr>
      <w:rPr>
        <w:rFonts w:hint="default"/>
        <w:lang w:val="bg-BG" w:eastAsia="bg-BG" w:bidi="bg-BG"/>
      </w:rPr>
    </w:lvl>
    <w:lvl w:ilvl="7" w:tplc="8A0ED0C8">
      <w:numFmt w:val="bullet"/>
      <w:lvlText w:val="•"/>
      <w:lvlJc w:val="left"/>
      <w:pPr>
        <w:ind w:left="6944" w:hanging="756"/>
      </w:pPr>
      <w:rPr>
        <w:rFonts w:hint="default"/>
        <w:lang w:val="bg-BG" w:eastAsia="bg-BG" w:bidi="bg-BG"/>
      </w:rPr>
    </w:lvl>
    <w:lvl w:ilvl="8" w:tplc="2B5A7966">
      <w:numFmt w:val="bullet"/>
      <w:lvlText w:val="•"/>
      <w:lvlJc w:val="left"/>
      <w:pPr>
        <w:ind w:left="7865" w:hanging="756"/>
      </w:pPr>
      <w:rPr>
        <w:rFonts w:hint="default"/>
        <w:lang w:val="bg-BG" w:eastAsia="bg-BG" w:bidi="bg-BG"/>
      </w:rPr>
    </w:lvl>
  </w:abstractNum>
  <w:abstractNum w:abstractNumId="1" w15:restartNumberingAfterBreak="0">
    <w:nsid w:val="0CA11CFC"/>
    <w:multiLevelType w:val="hybridMultilevel"/>
    <w:tmpl w:val="5C42DA98"/>
    <w:lvl w:ilvl="0" w:tplc="93ACCFFA">
      <w:start w:val="1"/>
      <w:numFmt w:val="decimal"/>
      <w:lvlText w:val="%1."/>
      <w:lvlJc w:val="left"/>
      <w:pPr>
        <w:ind w:left="496" w:hanging="332"/>
      </w:pPr>
      <w:rPr>
        <w:rFonts w:ascii="Times New Roman" w:eastAsia="Times New Roman" w:hAnsi="Times New Roman" w:cs="Times New Roman" w:hint="default"/>
        <w:i/>
        <w:color w:val="006FC0"/>
        <w:w w:val="100"/>
        <w:sz w:val="22"/>
        <w:szCs w:val="22"/>
        <w:lang w:val="bg-BG" w:eastAsia="bg-BG" w:bidi="bg-BG"/>
      </w:rPr>
    </w:lvl>
    <w:lvl w:ilvl="1" w:tplc="67521988">
      <w:numFmt w:val="bullet"/>
      <w:lvlText w:val="•"/>
      <w:lvlJc w:val="left"/>
      <w:pPr>
        <w:ind w:left="1420" w:hanging="332"/>
      </w:pPr>
      <w:rPr>
        <w:rFonts w:hint="default"/>
        <w:lang w:val="bg-BG" w:eastAsia="bg-BG" w:bidi="bg-BG"/>
      </w:rPr>
    </w:lvl>
    <w:lvl w:ilvl="2" w:tplc="D01654DE">
      <w:numFmt w:val="bullet"/>
      <w:lvlText w:val="•"/>
      <w:lvlJc w:val="left"/>
      <w:pPr>
        <w:ind w:left="2341" w:hanging="332"/>
      </w:pPr>
      <w:rPr>
        <w:rFonts w:hint="default"/>
        <w:lang w:val="bg-BG" w:eastAsia="bg-BG" w:bidi="bg-BG"/>
      </w:rPr>
    </w:lvl>
    <w:lvl w:ilvl="3" w:tplc="3C5AD6A2">
      <w:numFmt w:val="bullet"/>
      <w:lvlText w:val="•"/>
      <w:lvlJc w:val="left"/>
      <w:pPr>
        <w:ind w:left="3261" w:hanging="332"/>
      </w:pPr>
      <w:rPr>
        <w:rFonts w:hint="default"/>
        <w:lang w:val="bg-BG" w:eastAsia="bg-BG" w:bidi="bg-BG"/>
      </w:rPr>
    </w:lvl>
    <w:lvl w:ilvl="4" w:tplc="C42E94A8">
      <w:numFmt w:val="bullet"/>
      <w:lvlText w:val="•"/>
      <w:lvlJc w:val="left"/>
      <w:pPr>
        <w:ind w:left="4182" w:hanging="332"/>
      </w:pPr>
      <w:rPr>
        <w:rFonts w:hint="default"/>
        <w:lang w:val="bg-BG" w:eastAsia="bg-BG" w:bidi="bg-BG"/>
      </w:rPr>
    </w:lvl>
    <w:lvl w:ilvl="5" w:tplc="8B8AD2EC">
      <w:numFmt w:val="bullet"/>
      <w:lvlText w:val="•"/>
      <w:lvlJc w:val="left"/>
      <w:pPr>
        <w:ind w:left="5103" w:hanging="332"/>
      </w:pPr>
      <w:rPr>
        <w:rFonts w:hint="default"/>
        <w:lang w:val="bg-BG" w:eastAsia="bg-BG" w:bidi="bg-BG"/>
      </w:rPr>
    </w:lvl>
    <w:lvl w:ilvl="6" w:tplc="62D29858">
      <w:numFmt w:val="bullet"/>
      <w:lvlText w:val="•"/>
      <w:lvlJc w:val="left"/>
      <w:pPr>
        <w:ind w:left="6023" w:hanging="332"/>
      </w:pPr>
      <w:rPr>
        <w:rFonts w:hint="default"/>
        <w:lang w:val="bg-BG" w:eastAsia="bg-BG" w:bidi="bg-BG"/>
      </w:rPr>
    </w:lvl>
    <w:lvl w:ilvl="7" w:tplc="DB34FB80">
      <w:numFmt w:val="bullet"/>
      <w:lvlText w:val="•"/>
      <w:lvlJc w:val="left"/>
      <w:pPr>
        <w:ind w:left="6944" w:hanging="332"/>
      </w:pPr>
      <w:rPr>
        <w:rFonts w:hint="default"/>
        <w:lang w:val="bg-BG" w:eastAsia="bg-BG" w:bidi="bg-BG"/>
      </w:rPr>
    </w:lvl>
    <w:lvl w:ilvl="8" w:tplc="25D2516E">
      <w:numFmt w:val="bullet"/>
      <w:lvlText w:val="•"/>
      <w:lvlJc w:val="left"/>
      <w:pPr>
        <w:ind w:left="7865" w:hanging="332"/>
      </w:pPr>
      <w:rPr>
        <w:rFonts w:hint="default"/>
        <w:lang w:val="bg-BG" w:eastAsia="bg-BG" w:bidi="bg-BG"/>
      </w:rPr>
    </w:lvl>
  </w:abstractNum>
  <w:abstractNum w:abstractNumId="2" w15:restartNumberingAfterBreak="0">
    <w:nsid w:val="14A93B0C"/>
    <w:multiLevelType w:val="hybridMultilevel"/>
    <w:tmpl w:val="E8F6EAC8"/>
    <w:lvl w:ilvl="0" w:tplc="A7D06E9E">
      <w:numFmt w:val="bullet"/>
      <w:lvlText w:val="-"/>
      <w:lvlJc w:val="left"/>
      <w:pPr>
        <w:ind w:left="1564" w:hanging="360"/>
      </w:pPr>
      <w:rPr>
        <w:rFonts w:hint="default"/>
        <w:w w:val="100"/>
        <w:lang w:val="bg-BG" w:eastAsia="bg-BG" w:bidi="bg-BG"/>
      </w:rPr>
    </w:lvl>
    <w:lvl w:ilvl="1" w:tplc="FD52CAE8">
      <w:numFmt w:val="bullet"/>
      <w:lvlText w:val="•"/>
      <w:lvlJc w:val="left"/>
      <w:pPr>
        <w:ind w:left="2374" w:hanging="360"/>
      </w:pPr>
      <w:rPr>
        <w:rFonts w:hint="default"/>
        <w:lang w:val="bg-BG" w:eastAsia="bg-BG" w:bidi="bg-BG"/>
      </w:rPr>
    </w:lvl>
    <w:lvl w:ilvl="2" w:tplc="C3820B34">
      <w:numFmt w:val="bullet"/>
      <w:lvlText w:val="•"/>
      <w:lvlJc w:val="left"/>
      <w:pPr>
        <w:ind w:left="3189" w:hanging="360"/>
      </w:pPr>
      <w:rPr>
        <w:rFonts w:hint="default"/>
        <w:lang w:val="bg-BG" w:eastAsia="bg-BG" w:bidi="bg-BG"/>
      </w:rPr>
    </w:lvl>
    <w:lvl w:ilvl="3" w:tplc="3BE04AFA">
      <w:numFmt w:val="bullet"/>
      <w:lvlText w:val="•"/>
      <w:lvlJc w:val="left"/>
      <w:pPr>
        <w:ind w:left="4003" w:hanging="360"/>
      </w:pPr>
      <w:rPr>
        <w:rFonts w:hint="default"/>
        <w:lang w:val="bg-BG" w:eastAsia="bg-BG" w:bidi="bg-BG"/>
      </w:rPr>
    </w:lvl>
    <w:lvl w:ilvl="4" w:tplc="AD6A67C2">
      <w:numFmt w:val="bullet"/>
      <w:lvlText w:val="•"/>
      <w:lvlJc w:val="left"/>
      <w:pPr>
        <w:ind w:left="4818" w:hanging="360"/>
      </w:pPr>
      <w:rPr>
        <w:rFonts w:hint="default"/>
        <w:lang w:val="bg-BG" w:eastAsia="bg-BG" w:bidi="bg-BG"/>
      </w:rPr>
    </w:lvl>
    <w:lvl w:ilvl="5" w:tplc="0B7039F2">
      <w:numFmt w:val="bullet"/>
      <w:lvlText w:val="•"/>
      <w:lvlJc w:val="left"/>
      <w:pPr>
        <w:ind w:left="5633" w:hanging="360"/>
      </w:pPr>
      <w:rPr>
        <w:rFonts w:hint="default"/>
        <w:lang w:val="bg-BG" w:eastAsia="bg-BG" w:bidi="bg-BG"/>
      </w:rPr>
    </w:lvl>
    <w:lvl w:ilvl="6" w:tplc="8C508052">
      <w:numFmt w:val="bullet"/>
      <w:lvlText w:val="•"/>
      <w:lvlJc w:val="left"/>
      <w:pPr>
        <w:ind w:left="6447" w:hanging="360"/>
      </w:pPr>
      <w:rPr>
        <w:rFonts w:hint="default"/>
        <w:lang w:val="bg-BG" w:eastAsia="bg-BG" w:bidi="bg-BG"/>
      </w:rPr>
    </w:lvl>
    <w:lvl w:ilvl="7" w:tplc="718686FE">
      <w:numFmt w:val="bullet"/>
      <w:lvlText w:val="•"/>
      <w:lvlJc w:val="left"/>
      <w:pPr>
        <w:ind w:left="7262" w:hanging="360"/>
      </w:pPr>
      <w:rPr>
        <w:rFonts w:hint="default"/>
        <w:lang w:val="bg-BG" w:eastAsia="bg-BG" w:bidi="bg-BG"/>
      </w:rPr>
    </w:lvl>
    <w:lvl w:ilvl="8" w:tplc="3D2C1694">
      <w:numFmt w:val="bullet"/>
      <w:lvlText w:val="•"/>
      <w:lvlJc w:val="left"/>
      <w:pPr>
        <w:ind w:left="8077" w:hanging="360"/>
      </w:pPr>
      <w:rPr>
        <w:rFonts w:hint="default"/>
        <w:lang w:val="bg-BG" w:eastAsia="bg-BG" w:bidi="bg-BG"/>
      </w:rPr>
    </w:lvl>
  </w:abstractNum>
  <w:abstractNum w:abstractNumId="3" w15:restartNumberingAfterBreak="0">
    <w:nsid w:val="1BAC4B01"/>
    <w:multiLevelType w:val="hybridMultilevel"/>
    <w:tmpl w:val="14D0CF0A"/>
    <w:lvl w:ilvl="0" w:tplc="49B29C2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F4FB3"/>
    <w:multiLevelType w:val="hybridMultilevel"/>
    <w:tmpl w:val="3BAA37CE"/>
    <w:lvl w:ilvl="0" w:tplc="40F44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A76C2"/>
    <w:multiLevelType w:val="hybridMultilevel"/>
    <w:tmpl w:val="5A9A53A2"/>
    <w:lvl w:ilvl="0" w:tplc="D87E1762">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F186209"/>
    <w:multiLevelType w:val="hybridMultilevel"/>
    <w:tmpl w:val="6E981C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FFD42A7"/>
    <w:multiLevelType w:val="multilevel"/>
    <w:tmpl w:val="3CB68318"/>
    <w:lvl w:ilvl="0">
      <w:start w:val="1"/>
      <w:numFmt w:val="decimal"/>
      <w:suff w:val="space"/>
      <w:lvlText w:val="%1."/>
      <w:lvlJc w:val="right"/>
      <w:pPr>
        <w:ind w:left="340" w:firstLine="57"/>
      </w:pPr>
      <w:rPr>
        <w:rFonts w:hint="default"/>
        <w:color w:val="auto"/>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8" w15:restartNumberingAfterBreak="0">
    <w:nsid w:val="315A12CA"/>
    <w:multiLevelType w:val="hybridMultilevel"/>
    <w:tmpl w:val="E41E11DC"/>
    <w:lvl w:ilvl="0" w:tplc="55AC39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46B0F"/>
    <w:multiLevelType w:val="hybridMultilevel"/>
    <w:tmpl w:val="438A5282"/>
    <w:lvl w:ilvl="0" w:tplc="23B2AB7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D750B"/>
    <w:multiLevelType w:val="hybridMultilevel"/>
    <w:tmpl w:val="D2F460A2"/>
    <w:lvl w:ilvl="0" w:tplc="96107DA4">
      <w:start w:val="1"/>
      <w:numFmt w:val="decimal"/>
      <w:lvlText w:val="%1."/>
      <w:lvlJc w:val="left"/>
      <w:pPr>
        <w:ind w:left="496" w:hanging="332"/>
      </w:pPr>
      <w:rPr>
        <w:rFonts w:ascii="Times New Roman" w:eastAsia="Times New Roman" w:hAnsi="Times New Roman" w:cs="Times New Roman" w:hint="default"/>
        <w:i/>
        <w:color w:val="006FC0"/>
        <w:w w:val="100"/>
        <w:sz w:val="22"/>
        <w:szCs w:val="22"/>
        <w:lang w:val="bg-BG" w:eastAsia="bg-BG" w:bidi="bg-BG"/>
      </w:rPr>
    </w:lvl>
    <w:lvl w:ilvl="1" w:tplc="7CFC6E10">
      <w:numFmt w:val="bullet"/>
      <w:lvlText w:val="•"/>
      <w:lvlJc w:val="left"/>
      <w:pPr>
        <w:ind w:left="1420" w:hanging="332"/>
      </w:pPr>
      <w:rPr>
        <w:rFonts w:hint="default"/>
        <w:lang w:val="bg-BG" w:eastAsia="bg-BG" w:bidi="bg-BG"/>
      </w:rPr>
    </w:lvl>
    <w:lvl w:ilvl="2" w:tplc="C76CFBA4">
      <w:numFmt w:val="bullet"/>
      <w:lvlText w:val="•"/>
      <w:lvlJc w:val="left"/>
      <w:pPr>
        <w:ind w:left="2341" w:hanging="332"/>
      </w:pPr>
      <w:rPr>
        <w:rFonts w:hint="default"/>
        <w:lang w:val="bg-BG" w:eastAsia="bg-BG" w:bidi="bg-BG"/>
      </w:rPr>
    </w:lvl>
    <w:lvl w:ilvl="3" w:tplc="7B3C33FE">
      <w:numFmt w:val="bullet"/>
      <w:lvlText w:val="•"/>
      <w:lvlJc w:val="left"/>
      <w:pPr>
        <w:ind w:left="3261" w:hanging="332"/>
      </w:pPr>
      <w:rPr>
        <w:rFonts w:hint="default"/>
        <w:lang w:val="bg-BG" w:eastAsia="bg-BG" w:bidi="bg-BG"/>
      </w:rPr>
    </w:lvl>
    <w:lvl w:ilvl="4" w:tplc="F80226A2">
      <w:numFmt w:val="bullet"/>
      <w:lvlText w:val="•"/>
      <w:lvlJc w:val="left"/>
      <w:pPr>
        <w:ind w:left="4182" w:hanging="332"/>
      </w:pPr>
      <w:rPr>
        <w:rFonts w:hint="default"/>
        <w:lang w:val="bg-BG" w:eastAsia="bg-BG" w:bidi="bg-BG"/>
      </w:rPr>
    </w:lvl>
    <w:lvl w:ilvl="5" w:tplc="64C2F0B0">
      <w:numFmt w:val="bullet"/>
      <w:lvlText w:val="•"/>
      <w:lvlJc w:val="left"/>
      <w:pPr>
        <w:ind w:left="5103" w:hanging="332"/>
      </w:pPr>
      <w:rPr>
        <w:rFonts w:hint="default"/>
        <w:lang w:val="bg-BG" w:eastAsia="bg-BG" w:bidi="bg-BG"/>
      </w:rPr>
    </w:lvl>
    <w:lvl w:ilvl="6" w:tplc="1362010E">
      <w:numFmt w:val="bullet"/>
      <w:lvlText w:val="•"/>
      <w:lvlJc w:val="left"/>
      <w:pPr>
        <w:ind w:left="6023" w:hanging="332"/>
      </w:pPr>
      <w:rPr>
        <w:rFonts w:hint="default"/>
        <w:lang w:val="bg-BG" w:eastAsia="bg-BG" w:bidi="bg-BG"/>
      </w:rPr>
    </w:lvl>
    <w:lvl w:ilvl="7" w:tplc="B276E198">
      <w:numFmt w:val="bullet"/>
      <w:lvlText w:val="•"/>
      <w:lvlJc w:val="left"/>
      <w:pPr>
        <w:ind w:left="6944" w:hanging="332"/>
      </w:pPr>
      <w:rPr>
        <w:rFonts w:hint="default"/>
        <w:lang w:val="bg-BG" w:eastAsia="bg-BG" w:bidi="bg-BG"/>
      </w:rPr>
    </w:lvl>
    <w:lvl w:ilvl="8" w:tplc="FFBC62F6">
      <w:numFmt w:val="bullet"/>
      <w:lvlText w:val="•"/>
      <w:lvlJc w:val="left"/>
      <w:pPr>
        <w:ind w:left="7865" w:hanging="332"/>
      </w:pPr>
      <w:rPr>
        <w:rFonts w:hint="default"/>
        <w:lang w:val="bg-BG" w:eastAsia="bg-BG" w:bidi="bg-BG"/>
      </w:rPr>
    </w:lvl>
  </w:abstractNum>
  <w:abstractNum w:abstractNumId="11" w15:restartNumberingAfterBreak="0">
    <w:nsid w:val="37BF541B"/>
    <w:multiLevelType w:val="hybridMultilevel"/>
    <w:tmpl w:val="A05EA744"/>
    <w:lvl w:ilvl="0" w:tplc="6A06DE4E">
      <w:numFmt w:val="bullet"/>
      <w:lvlText w:val=""/>
      <w:lvlJc w:val="left"/>
      <w:pPr>
        <w:ind w:left="1034" w:hanging="171"/>
      </w:pPr>
      <w:rPr>
        <w:rFonts w:ascii="Symbol" w:eastAsia="Symbol" w:hAnsi="Symbol" w:cs="Symbol" w:hint="default"/>
        <w:color w:val="424242"/>
        <w:w w:val="99"/>
        <w:sz w:val="20"/>
        <w:szCs w:val="20"/>
        <w:lang w:val="bg-BG" w:eastAsia="bg-BG" w:bidi="bg-BG"/>
      </w:rPr>
    </w:lvl>
    <w:lvl w:ilvl="1" w:tplc="116CA2CC">
      <w:numFmt w:val="bullet"/>
      <w:lvlText w:val="•"/>
      <w:lvlJc w:val="left"/>
      <w:pPr>
        <w:ind w:left="1906" w:hanging="171"/>
      </w:pPr>
      <w:rPr>
        <w:rFonts w:hint="default"/>
        <w:lang w:val="bg-BG" w:eastAsia="bg-BG" w:bidi="bg-BG"/>
      </w:rPr>
    </w:lvl>
    <w:lvl w:ilvl="2" w:tplc="1CFEB99C">
      <w:numFmt w:val="bullet"/>
      <w:lvlText w:val="•"/>
      <w:lvlJc w:val="left"/>
      <w:pPr>
        <w:ind w:left="2773" w:hanging="171"/>
      </w:pPr>
      <w:rPr>
        <w:rFonts w:hint="default"/>
        <w:lang w:val="bg-BG" w:eastAsia="bg-BG" w:bidi="bg-BG"/>
      </w:rPr>
    </w:lvl>
    <w:lvl w:ilvl="3" w:tplc="49D018B4">
      <w:numFmt w:val="bullet"/>
      <w:lvlText w:val="•"/>
      <w:lvlJc w:val="left"/>
      <w:pPr>
        <w:ind w:left="3639" w:hanging="171"/>
      </w:pPr>
      <w:rPr>
        <w:rFonts w:hint="default"/>
        <w:lang w:val="bg-BG" w:eastAsia="bg-BG" w:bidi="bg-BG"/>
      </w:rPr>
    </w:lvl>
    <w:lvl w:ilvl="4" w:tplc="F1700988">
      <w:numFmt w:val="bullet"/>
      <w:lvlText w:val="•"/>
      <w:lvlJc w:val="left"/>
      <w:pPr>
        <w:ind w:left="4506" w:hanging="171"/>
      </w:pPr>
      <w:rPr>
        <w:rFonts w:hint="default"/>
        <w:lang w:val="bg-BG" w:eastAsia="bg-BG" w:bidi="bg-BG"/>
      </w:rPr>
    </w:lvl>
    <w:lvl w:ilvl="5" w:tplc="0058AC0E">
      <w:numFmt w:val="bullet"/>
      <w:lvlText w:val="•"/>
      <w:lvlJc w:val="left"/>
      <w:pPr>
        <w:ind w:left="5373" w:hanging="171"/>
      </w:pPr>
      <w:rPr>
        <w:rFonts w:hint="default"/>
        <w:lang w:val="bg-BG" w:eastAsia="bg-BG" w:bidi="bg-BG"/>
      </w:rPr>
    </w:lvl>
    <w:lvl w:ilvl="6" w:tplc="366E91FC">
      <w:numFmt w:val="bullet"/>
      <w:lvlText w:val="•"/>
      <w:lvlJc w:val="left"/>
      <w:pPr>
        <w:ind w:left="6239" w:hanging="171"/>
      </w:pPr>
      <w:rPr>
        <w:rFonts w:hint="default"/>
        <w:lang w:val="bg-BG" w:eastAsia="bg-BG" w:bidi="bg-BG"/>
      </w:rPr>
    </w:lvl>
    <w:lvl w:ilvl="7" w:tplc="DC38ECCC">
      <w:numFmt w:val="bullet"/>
      <w:lvlText w:val="•"/>
      <w:lvlJc w:val="left"/>
      <w:pPr>
        <w:ind w:left="7106" w:hanging="171"/>
      </w:pPr>
      <w:rPr>
        <w:rFonts w:hint="default"/>
        <w:lang w:val="bg-BG" w:eastAsia="bg-BG" w:bidi="bg-BG"/>
      </w:rPr>
    </w:lvl>
    <w:lvl w:ilvl="8" w:tplc="DD3CC764">
      <w:numFmt w:val="bullet"/>
      <w:lvlText w:val="•"/>
      <w:lvlJc w:val="left"/>
      <w:pPr>
        <w:ind w:left="7973" w:hanging="171"/>
      </w:pPr>
      <w:rPr>
        <w:rFonts w:hint="default"/>
        <w:lang w:val="bg-BG" w:eastAsia="bg-BG" w:bidi="bg-BG"/>
      </w:rPr>
    </w:lvl>
  </w:abstractNum>
  <w:abstractNum w:abstractNumId="12" w15:restartNumberingAfterBreak="0">
    <w:nsid w:val="393E2C3A"/>
    <w:multiLevelType w:val="singleLevel"/>
    <w:tmpl w:val="CF882D90"/>
    <w:lvl w:ilvl="0">
      <w:start w:val="1"/>
      <w:numFmt w:val="russianLower"/>
      <w:lvlText w:val="%1)"/>
      <w:lvlJc w:val="left"/>
    </w:lvl>
  </w:abstractNum>
  <w:abstractNum w:abstractNumId="13" w15:restartNumberingAfterBreak="0">
    <w:nsid w:val="39C62946"/>
    <w:multiLevelType w:val="multilevel"/>
    <w:tmpl w:val="2E920BE6"/>
    <w:lvl w:ilvl="0">
      <w:start w:val="1"/>
      <w:numFmt w:val="decimal"/>
      <w:suff w:val="space"/>
      <w:lvlText w:val="%1."/>
      <w:lvlJc w:val="right"/>
      <w:pPr>
        <w:ind w:left="397"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BC37A8C"/>
    <w:multiLevelType w:val="singleLevel"/>
    <w:tmpl w:val="596280AA"/>
    <w:lvl w:ilvl="0">
      <w:start w:val="3"/>
      <w:numFmt w:val="russianLower"/>
      <w:lvlText w:val="%1)"/>
      <w:lvlJc w:val="left"/>
    </w:lvl>
  </w:abstractNum>
  <w:abstractNum w:abstractNumId="15" w15:restartNumberingAfterBreak="0">
    <w:nsid w:val="3C486744"/>
    <w:multiLevelType w:val="hybridMultilevel"/>
    <w:tmpl w:val="F2346DAE"/>
    <w:lvl w:ilvl="0" w:tplc="40F445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3636B9"/>
    <w:multiLevelType w:val="hybridMultilevel"/>
    <w:tmpl w:val="3FF6256A"/>
    <w:lvl w:ilvl="0" w:tplc="40F44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1B1A87"/>
    <w:multiLevelType w:val="multilevel"/>
    <w:tmpl w:val="47389FD2"/>
    <w:lvl w:ilvl="0">
      <w:start w:val="1"/>
      <w:numFmt w:val="decimal"/>
      <w:suff w:val="space"/>
      <w:lvlText w:val="%1."/>
      <w:lvlJc w:val="right"/>
      <w:pPr>
        <w:ind w:left="227"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E7056EE"/>
    <w:multiLevelType w:val="hybridMultilevel"/>
    <w:tmpl w:val="B34C0A94"/>
    <w:lvl w:ilvl="0" w:tplc="5FCA523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C55998"/>
    <w:multiLevelType w:val="hybridMultilevel"/>
    <w:tmpl w:val="DA8012C0"/>
    <w:lvl w:ilvl="0" w:tplc="AF56E6E0">
      <w:start w:val="1"/>
      <w:numFmt w:val="decimal"/>
      <w:lvlText w:val="%1."/>
      <w:lvlJc w:val="left"/>
      <w:pPr>
        <w:ind w:left="1456" w:hanging="240"/>
      </w:pPr>
      <w:rPr>
        <w:rFonts w:ascii="Times New Roman" w:eastAsia="Times New Roman" w:hAnsi="Times New Roman" w:cs="Times New Roman" w:hint="default"/>
        <w:spacing w:val="-8"/>
        <w:w w:val="100"/>
        <w:sz w:val="24"/>
        <w:szCs w:val="24"/>
        <w:lang w:val="bg-BG" w:eastAsia="bg-BG" w:bidi="bg-BG"/>
      </w:rPr>
    </w:lvl>
    <w:lvl w:ilvl="1" w:tplc="B636B120">
      <w:numFmt w:val="bullet"/>
      <w:lvlText w:val="•"/>
      <w:lvlJc w:val="left"/>
      <w:pPr>
        <w:ind w:left="2284" w:hanging="240"/>
      </w:pPr>
      <w:rPr>
        <w:rFonts w:hint="default"/>
        <w:lang w:val="bg-BG" w:eastAsia="bg-BG" w:bidi="bg-BG"/>
      </w:rPr>
    </w:lvl>
    <w:lvl w:ilvl="2" w:tplc="C3ECDCAE">
      <w:numFmt w:val="bullet"/>
      <w:lvlText w:val="•"/>
      <w:lvlJc w:val="left"/>
      <w:pPr>
        <w:ind w:left="3109" w:hanging="240"/>
      </w:pPr>
      <w:rPr>
        <w:rFonts w:hint="default"/>
        <w:lang w:val="bg-BG" w:eastAsia="bg-BG" w:bidi="bg-BG"/>
      </w:rPr>
    </w:lvl>
    <w:lvl w:ilvl="3" w:tplc="96D289A4">
      <w:numFmt w:val="bullet"/>
      <w:lvlText w:val="•"/>
      <w:lvlJc w:val="left"/>
      <w:pPr>
        <w:ind w:left="3933" w:hanging="240"/>
      </w:pPr>
      <w:rPr>
        <w:rFonts w:hint="default"/>
        <w:lang w:val="bg-BG" w:eastAsia="bg-BG" w:bidi="bg-BG"/>
      </w:rPr>
    </w:lvl>
    <w:lvl w:ilvl="4" w:tplc="DADEF33C">
      <w:numFmt w:val="bullet"/>
      <w:lvlText w:val="•"/>
      <w:lvlJc w:val="left"/>
      <w:pPr>
        <w:ind w:left="4758" w:hanging="240"/>
      </w:pPr>
      <w:rPr>
        <w:rFonts w:hint="default"/>
        <w:lang w:val="bg-BG" w:eastAsia="bg-BG" w:bidi="bg-BG"/>
      </w:rPr>
    </w:lvl>
    <w:lvl w:ilvl="5" w:tplc="DA78EC82">
      <w:numFmt w:val="bullet"/>
      <w:lvlText w:val="•"/>
      <w:lvlJc w:val="left"/>
      <w:pPr>
        <w:ind w:left="5583" w:hanging="240"/>
      </w:pPr>
      <w:rPr>
        <w:rFonts w:hint="default"/>
        <w:lang w:val="bg-BG" w:eastAsia="bg-BG" w:bidi="bg-BG"/>
      </w:rPr>
    </w:lvl>
    <w:lvl w:ilvl="6" w:tplc="C83650E8">
      <w:numFmt w:val="bullet"/>
      <w:lvlText w:val="•"/>
      <w:lvlJc w:val="left"/>
      <w:pPr>
        <w:ind w:left="6407" w:hanging="240"/>
      </w:pPr>
      <w:rPr>
        <w:rFonts w:hint="default"/>
        <w:lang w:val="bg-BG" w:eastAsia="bg-BG" w:bidi="bg-BG"/>
      </w:rPr>
    </w:lvl>
    <w:lvl w:ilvl="7" w:tplc="48648C56">
      <w:numFmt w:val="bullet"/>
      <w:lvlText w:val="•"/>
      <w:lvlJc w:val="left"/>
      <w:pPr>
        <w:ind w:left="7232" w:hanging="240"/>
      </w:pPr>
      <w:rPr>
        <w:rFonts w:hint="default"/>
        <w:lang w:val="bg-BG" w:eastAsia="bg-BG" w:bidi="bg-BG"/>
      </w:rPr>
    </w:lvl>
    <w:lvl w:ilvl="8" w:tplc="4CD29618">
      <w:numFmt w:val="bullet"/>
      <w:lvlText w:val="•"/>
      <w:lvlJc w:val="left"/>
      <w:pPr>
        <w:ind w:left="8057" w:hanging="240"/>
      </w:pPr>
      <w:rPr>
        <w:rFonts w:hint="default"/>
        <w:lang w:val="bg-BG" w:eastAsia="bg-BG" w:bidi="bg-BG"/>
      </w:rPr>
    </w:lvl>
  </w:abstractNum>
  <w:abstractNum w:abstractNumId="20" w15:restartNumberingAfterBreak="0">
    <w:nsid w:val="54382467"/>
    <w:multiLevelType w:val="hybridMultilevel"/>
    <w:tmpl w:val="D5383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43A0C1B"/>
    <w:multiLevelType w:val="multilevel"/>
    <w:tmpl w:val="2EC251DE"/>
    <w:lvl w:ilvl="0">
      <w:start w:val="1"/>
      <w:numFmt w:val="decimal"/>
      <w:suff w:val="space"/>
      <w:lvlText w:val="%1."/>
      <w:lvlJc w:val="right"/>
      <w:pPr>
        <w:ind w:left="340" w:firstLine="0"/>
      </w:pPr>
      <w:rPr>
        <w:rFonts w:hint="default"/>
        <w:color w:val="auto"/>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2" w15:restartNumberingAfterBreak="0">
    <w:nsid w:val="588B1760"/>
    <w:multiLevelType w:val="hybridMultilevel"/>
    <w:tmpl w:val="EDC2BBFC"/>
    <w:lvl w:ilvl="0" w:tplc="4A3A1212">
      <w:numFmt w:val="bullet"/>
      <w:lvlText w:val=""/>
      <w:lvlJc w:val="left"/>
      <w:pPr>
        <w:ind w:left="386" w:hanging="359"/>
      </w:pPr>
      <w:rPr>
        <w:rFonts w:ascii="Symbol" w:eastAsia="Symbol" w:hAnsi="Symbol" w:cs="Symbol" w:hint="default"/>
        <w:color w:val="333333"/>
        <w:w w:val="99"/>
        <w:sz w:val="20"/>
        <w:szCs w:val="20"/>
        <w:lang w:val="bg-BG" w:eastAsia="bg-BG" w:bidi="bg-BG"/>
      </w:rPr>
    </w:lvl>
    <w:lvl w:ilvl="1" w:tplc="9C2CDD24">
      <w:numFmt w:val="bullet"/>
      <w:lvlText w:val="•"/>
      <w:lvlJc w:val="left"/>
      <w:pPr>
        <w:ind w:left="1290" w:hanging="359"/>
      </w:pPr>
      <w:rPr>
        <w:rFonts w:hint="default"/>
        <w:lang w:val="bg-BG" w:eastAsia="bg-BG" w:bidi="bg-BG"/>
      </w:rPr>
    </w:lvl>
    <w:lvl w:ilvl="2" w:tplc="3064D2AA">
      <w:numFmt w:val="bullet"/>
      <w:lvlText w:val="•"/>
      <w:lvlJc w:val="left"/>
      <w:pPr>
        <w:ind w:left="2201" w:hanging="359"/>
      </w:pPr>
      <w:rPr>
        <w:rFonts w:hint="default"/>
        <w:lang w:val="bg-BG" w:eastAsia="bg-BG" w:bidi="bg-BG"/>
      </w:rPr>
    </w:lvl>
    <w:lvl w:ilvl="3" w:tplc="557006BC">
      <w:numFmt w:val="bullet"/>
      <w:lvlText w:val="•"/>
      <w:lvlJc w:val="left"/>
      <w:pPr>
        <w:ind w:left="3112" w:hanging="359"/>
      </w:pPr>
      <w:rPr>
        <w:rFonts w:hint="default"/>
        <w:lang w:val="bg-BG" w:eastAsia="bg-BG" w:bidi="bg-BG"/>
      </w:rPr>
    </w:lvl>
    <w:lvl w:ilvl="4" w:tplc="B656B7AA">
      <w:numFmt w:val="bullet"/>
      <w:lvlText w:val="•"/>
      <w:lvlJc w:val="left"/>
      <w:pPr>
        <w:ind w:left="4023" w:hanging="359"/>
      </w:pPr>
      <w:rPr>
        <w:rFonts w:hint="default"/>
        <w:lang w:val="bg-BG" w:eastAsia="bg-BG" w:bidi="bg-BG"/>
      </w:rPr>
    </w:lvl>
    <w:lvl w:ilvl="5" w:tplc="714624B4">
      <w:numFmt w:val="bullet"/>
      <w:lvlText w:val="•"/>
      <w:lvlJc w:val="left"/>
      <w:pPr>
        <w:ind w:left="4934" w:hanging="359"/>
      </w:pPr>
      <w:rPr>
        <w:rFonts w:hint="default"/>
        <w:lang w:val="bg-BG" w:eastAsia="bg-BG" w:bidi="bg-BG"/>
      </w:rPr>
    </w:lvl>
    <w:lvl w:ilvl="6" w:tplc="5D783956">
      <w:numFmt w:val="bullet"/>
      <w:lvlText w:val="•"/>
      <w:lvlJc w:val="left"/>
      <w:pPr>
        <w:ind w:left="5845" w:hanging="359"/>
      </w:pPr>
      <w:rPr>
        <w:rFonts w:hint="default"/>
        <w:lang w:val="bg-BG" w:eastAsia="bg-BG" w:bidi="bg-BG"/>
      </w:rPr>
    </w:lvl>
    <w:lvl w:ilvl="7" w:tplc="EC96C4F8">
      <w:numFmt w:val="bullet"/>
      <w:lvlText w:val="•"/>
      <w:lvlJc w:val="left"/>
      <w:pPr>
        <w:ind w:left="6756" w:hanging="359"/>
      </w:pPr>
      <w:rPr>
        <w:rFonts w:hint="default"/>
        <w:lang w:val="bg-BG" w:eastAsia="bg-BG" w:bidi="bg-BG"/>
      </w:rPr>
    </w:lvl>
    <w:lvl w:ilvl="8" w:tplc="EE189BA4">
      <w:numFmt w:val="bullet"/>
      <w:lvlText w:val="•"/>
      <w:lvlJc w:val="left"/>
      <w:pPr>
        <w:ind w:left="7667" w:hanging="359"/>
      </w:pPr>
      <w:rPr>
        <w:rFonts w:hint="default"/>
        <w:lang w:val="bg-BG" w:eastAsia="bg-BG" w:bidi="bg-BG"/>
      </w:rPr>
    </w:lvl>
  </w:abstractNum>
  <w:abstractNum w:abstractNumId="23" w15:restartNumberingAfterBreak="0">
    <w:nsid w:val="5A77475F"/>
    <w:multiLevelType w:val="hybridMultilevel"/>
    <w:tmpl w:val="46CA1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37797"/>
    <w:multiLevelType w:val="hybridMultilevel"/>
    <w:tmpl w:val="4BE02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720E40"/>
    <w:multiLevelType w:val="hybridMultilevel"/>
    <w:tmpl w:val="99827D3C"/>
    <w:lvl w:ilvl="0" w:tplc="DF7C2038">
      <w:start w:val="1"/>
      <w:numFmt w:val="decimal"/>
      <w:lvlText w:val="%1."/>
      <w:lvlJc w:val="left"/>
      <w:pPr>
        <w:ind w:left="496" w:hanging="243"/>
      </w:pPr>
      <w:rPr>
        <w:rFonts w:ascii="Times New Roman" w:eastAsia="Times New Roman" w:hAnsi="Times New Roman" w:cs="Times New Roman" w:hint="default"/>
        <w:w w:val="100"/>
        <w:sz w:val="24"/>
        <w:szCs w:val="24"/>
        <w:lang w:val="bg-BG" w:eastAsia="bg-BG" w:bidi="bg-BG"/>
      </w:rPr>
    </w:lvl>
    <w:lvl w:ilvl="1" w:tplc="85E4185A">
      <w:numFmt w:val="bullet"/>
      <w:lvlText w:val="•"/>
      <w:lvlJc w:val="left"/>
      <w:pPr>
        <w:ind w:left="1420" w:hanging="243"/>
      </w:pPr>
      <w:rPr>
        <w:rFonts w:hint="default"/>
        <w:lang w:val="bg-BG" w:eastAsia="bg-BG" w:bidi="bg-BG"/>
      </w:rPr>
    </w:lvl>
    <w:lvl w:ilvl="2" w:tplc="ADB0DD14">
      <w:numFmt w:val="bullet"/>
      <w:lvlText w:val="•"/>
      <w:lvlJc w:val="left"/>
      <w:pPr>
        <w:ind w:left="2341" w:hanging="243"/>
      </w:pPr>
      <w:rPr>
        <w:rFonts w:hint="default"/>
        <w:lang w:val="bg-BG" w:eastAsia="bg-BG" w:bidi="bg-BG"/>
      </w:rPr>
    </w:lvl>
    <w:lvl w:ilvl="3" w:tplc="EAF4343A">
      <w:numFmt w:val="bullet"/>
      <w:lvlText w:val="•"/>
      <w:lvlJc w:val="left"/>
      <w:pPr>
        <w:ind w:left="3261" w:hanging="243"/>
      </w:pPr>
      <w:rPr>
        <w:rFonts w:hint="default"/>
        <w:lang w:val="bg-BG" w:eastAsia="bg-BG" w:bidi="bg-BG"/>
      </w:rPr>
    </w:lvl>
    <w:lvl w:ilvl="4" w:tplc="F82441B6">
      <w:numFmt w:val="bullet"/>
      <w:lvlText w:val="•"/>
      <w:lvlJc w:val="left"/>
      <w:pPr>
        <w:ind w:left="4182" w:hanging="243"/>
      </w:pPr>
      <w:rPr>
        <w:rFonts w:hint="default"/>
        <w:lang w:val="bg-BG" w:eastAsia="bg-BG" w:bidi="bg-BG"/>
      </w:rPr>
    </w:lvl>
    <w:lvl w:ilvl="5" w:tplc="458469D6">
      <w:numFmt w:val="bullet"/>
      <w:lvlText w:val="•"/>
      <w:lvlJc w:val="left"/>
      <w:pPr>
        <w:ind w:left="5103" w:hanging="243"/>
      </w:pPr>
      <w:rPr>
        <w:rFonts w:hint="default"/>
        <w:lang w:val="bg-BG" w:eastAsia="bg-BG" w:bidi="bg-BG"/>
      </w:rPr>
    </w:lvl>
    <w:lvl w:ilvl="6" w:tplc="A0CA0ED8">
      <w:numFmt w:val="bullet"/>
      <w:lvlText w:val="•"/>
      <w:lvlJc w:val="left"/>
      <w:pPr>
        <w:ind w:left="6023" w:hanging="243"/>
      </w:pPr>
      <w:rPr>
        <w:rFonts w:hint="default"/>
        <w:lang w:val="bg-BG" w:eastAsia="bg-BG" w:bidi="bg-BG"/>
      </w:rPr>
    </w:lvl>
    <w:lvl w:ilvl="7" w:tplc="B426A9EA">
      <w:numFmt w:val="bullet"/>
      <w:lvlText w:val="•"/>
      <w:lvlJc w:val="left"/>
      <w:pPr>
        <w:ind w:left="6944" w:hanging="243"/>
      </w:pPr>
      <w:rPr>
        <w:rFonts w:hint="default"/>
        <w:lang w:val="bg-BG" w:eastAsia="bg-BG" w:bidi="bg-BG"/>
      </w:rPr>
    </w:lvl>
    <w:lvl w:ilvl="8" w:tplc="19A42198">
      <w:numFmt w:val="bullet"/>
      <w:lvlText w:val="•"/>
      <w:lvlJc w:val="left"/>
      <w:pPr>
        <w:ind w:left="7865" w:hanging="243"/>
      </w:pPr>
      <w:rPr>
        <w:rFonts w:hint="default"/>
        <w:lang w:val="bg-BG" w:eastAsia="bg-BG" w:bidi="bg-BG"/>
      </w:rPr>
    </w:lvl>
  </w:abstractNum>
  <w:abstractNum w:abstractNumId="26" w15:restartNumberingAfterBreak="0">
    <w:nsid w:val="65B176FE"/>
    <w:multiLevelType w:val="hybridMultilevel"/>
    <w:tmpl w:val="971A3D4A"/>
    <w:lvl w:ilvl="0" w:tplc="AF4C87B0">
      <w:start w:val="6"/>
      <w:numFmt w:val="decimal"/>
      <w:lvlText w:val="(%1)"/>
      <w:lvlJc w:val="left"/>
      <w:pPr>
        <w:ind w:left="496" w:hanging="365"/>
      </w:pPr>
      <w:rPr>
        <w:rFonts w:ascii="Times New Roman" w:eastAsia="Times New Roman" w:hAnsi="Times New Roman" w:cs="Times New Roman" w:hint="default"/>
        <w:w w:val="100"/>
        <w:sz w:val="24"/>
        <w:szCs w:val="24"/>
        <w:lang w:val="bg-BG" w:eastAsia="bg-BG" w:bidi="bg-BG"/>
      </w:rPr>
    </w:lvl>
    <w:lvl w:ilvl="1" w:tplc="F0CA0020">
      <w:numFmt w:val="bullet"/>
      <w:lvlText w:val="•"/>
      <w:lvlJc w:val="left"/>
      <w:pPr>
        <w:ind w:left="1420" w:hanging="365"/>
      </w:pPr>
      <w:rPr>
        <w:rFonts w:hint="default"/>
        <w:lang w:val="bg-BG" w:eastAsia="bg-BG" w:bidi="bg-BG"/>
      </w:rPr>
    </w:lvl>
    <w:lvl w:ilvl="2" w:tplc="44BEA9E0">
      <w:numFmt w:val="bullet"/>
      <w:lvlText w:val="•"/>
      <w:lvlJc w:val="left"/>
      <w:pPr>
        <w:ind w:left="2341" w:hanging="365"/>
      </w:pPr>
      <w:rPr>
        <w:rFonts w:hint="default"/>
        <w:lang w:val="bg-BG" w:eastAsia="bg-BG" w:bidi="bg-BG"/>
      </w:rPr>
    </w:lvl>
    <w:lvl w:ilvl="3" w:tplc="87428F5A">
      <w:numFmt w:val="bullet"/>
      <w:lvlText w:val="•"/>
      <w:lvlJc w:val="left"/>
      <w:pPr>
        <w:ind w:left="3261" w:hanging="365"/>
      </w:pPr>
      <w:rPr>
        <w:rFonts w:hint="default"/>
        <w:lang w:val="bg-BG" w:eastAsia="bg-BG" w:bidi="bg-BG"/>
      </w:rPr>
    </w:lvl>
    <w:lvl w:ilvl="4" w:tplc="EB56FB76">
      <w:numFmt w:val="bullet"/>
      <w:lvlText w:val="•"/>
      <w:lvlJc w:val="left"/>
      <w:pPr>
        <w:ind w:left="4182" w:hanging="365"/>
      </w:pPr>
      <w:rPr>
        <w:rFonts w:hint="default"/>
        <w:lang w:val="bg-BG" w:eastAsia="bg-BG" w:bidi="bg-BG"/>
      </w:rPr>
    </w:lvl>
    <w:lvl w:ilvl="5" w:tplc="66BEE33E">
      <w:numFmt w:val="bullet"/>
      <w:lvlText w:val="•"/>
      <w:lvlJc w:val="left"/>
      <w:pPr>
        <w:ind w:left="5103" w:hanging="365"/>
      </w:pPr>
      <w:rPr>
        <w:rFonts w:hint="default"/>
        <w:lang w:val="bg-BG" w:eastAsia="bg-BG" w:bidi="bg-BG"/>
      </w:rPr>
    </w:lvl>
    <w:lvl w:ilvl="6" w:tplc="846A4B18">
      <w:numFmt w:val="bullet"/>
      <w:lvlText w:val="•"/>
      <w:lvlJc w:val="left"/>
      <w:pPr>
        <w:ind w:left="6023" w:hanging="365"/>
      </w:pPr>
      <w:rPr>
        <w:rFonts w:hint="default"/>
        <w:lang w:val="bg-BG" w:eastAsia="bg-BG" w:bidi="bg-BG"/>
      </w:rPr>
    </w:lvl>
    <w:lvl w:ilvl="7" w:tplc="67AA6DCC">
      <w:numFmt w:val="bullet"/>
      <w:lvlText w:val="•"/>
      <w:lvlJc w:val="left"/>
      <w:pPr>
        <w:ind w:left="6944" w:hanging="365"/>
      </w:pPr>
      <w:rPr>
        <w:rFonts w:hint="default"/>
        <w:lang w:val="bg-BG" w:eastAsia="bg-BG" w:bidi="bg-BG"/>
      </w:rPr>
    </w:lvl>
    <w:lvl w:ilvl="8" w:tplc="CE98587C">
      <w:numFmt w:val="bullet"/>
      <w:lvlText w:val="•"/>
      <w:lvlJc w:val="left"/>
      <w:pPr>
        <w:ind w:left="7865" w:hanging="365"/>
      </w:pPr>
      <w:rPr>
        <w:rFonts w:hint="default"/>
        <w:lang w:val="bg-BG" w:eastAsia="bg-BG" w:bidi="bg-BG"/>
      </w:rPr>
    </w:lvl>
  </w:abstractNum>
  <w:abstractNum w:abstractNumId="27" w15:restartNumberingAfterBreak="0">
    <w:nsid w:val="75091AE8"/>
    <w:multiLevelType w:val="hybridMultilevel"/>
    <w:tmpl w:val="F90CEBE2"/>
    <w:lvl w:ilvl="0" w:tplc="CC78966E">
      <w:numFmt w:val="bullet"/>
      <w:lvlText w:val=""/>
      <w:lvlJc w:val="left"/>
      <w:pPr>
        <w:ind w:left="1034" w:hanging="284"/>
      </w:pPr>
      <w:rPr>
        <w:rFonts w:ascii="Symbol" w:eastAsia="Symbol" w:hAnsi="Symbol" w:cs="Symbol" w:hint="default"/>
        <w:w w:val="99"/>
        <w:sz w:val="20"/>
        <w:szCs w:val="20"/>
        <w:lang w:val="bg-BG" w:eastAsia="bg-BG" w:bidi="bg-BG"/>
      </w:rPr>
    </w:lvl>
    <w:lvl w:ilvl="1" w:tplc="69F08F3C">
      <w:start w:val="1"/>
      <w:numFmt w:val="decimal"/>
      <w:lvlText w:val="%2."/>
      <w:lvlJc w:val="left"/>
      <w:pPr>
        <w:ind w:left="496" w:hanging="332"/>
      </w:pPr>
      <w:rPr>
        <w:rFonts w:ascii="Times New Roman" w:eastAsia="Times New Roman" w:hAnsi="Times New Roman" w:cs="Times New Roman" w:hint="default"/>
        <w:i/>
        <w:color w:val="006FC0"/>
        <w:w w:val="100"/>
        <w:sz w:val="22"/>
        <w:szCs w:val="22"/>
        <w:lang w:val="bg-BG" w:eastAsia="bg-BG" w:bidi="bg-BG"/>
      </w:rPr>
    </w:lvl>
    <w:lvl w:ilvl="2" w:tplc="82743708">
      <w:numFmt w:val="bullet"/>
      <w:lvlText w:val="•"/>
      <w:lvlJc w:val="left"/>
      <w:pPr>
        <w:ind w:left="2002" w:hanging="332"/>
      </w:pPr>
      <w:rPr>
        <w:rFonts w:hint="default"/>
        <w:lang w:val="bg-BG" w:eastAsia="bg-BG" w:bidi="bg-BG"/>
      </w:rPr>
    </w:lvl>
    <w:lvl w:ilvl="3" w:tplc="799843C4">
      <w:numFmt w:val="bullet"/>
      <w:lvlText w:val="•"/>
      <w:lvlJc w:val="left"/>
      <w:pPr>
        <w:ind w:left="2965" w:hanging="332"/>
      </w:pPr>
      <w:rPr>
        <w:rFonts w:hint="default"/>
        <w:lang w:val="bg-BG" w:eastAsia="bg-BG" w:bidi="bg-BG"/>
      </w:rPr>
    </w:lvl>
    <w:lvl w:ilvl="4" w:tplc="112C4A46">
      <w:numFmt w:val="bullet"/>
      <w:lvlText w:val="•"/>
      <w:lvlJc w:val="left"/>
      <w:pPr>
        <w:ind w:left="3928" w:hanging="332"/>
      </w:pPr>
      <w:rPr>
        <w:rFonts w:hint="default"/>
        <w:lang w:val="bg-BG" w:eastAsia="bg-BG" w:bidi="bg-BG"/>
      </w:rPr>
    </w:lvl>
    <w:lvl w:ilvl="5" w:tplc="F43C3B28">
      <w:numFmt w:val="bullet"/>
      <w:lvlText w:val="•"/>
      <w:lvlJc w:val="left"/>
      <w:pPr>
        <w:ind w:left="4891" w:hanging="332"/>
      </w:pPr>
      <w:rPr>
        <w:rFonts w:hint="default"/>
        <w:lang w:val="bg-BG" w:eastAsia="bg-BG" w:bidi="bg-BG"/>
      </w:rPr>
    </w:lvl>
    <w:lvl w:ilvl="6" w:tplc="EF8EBAEA">
      <w:numFmt w:val="bullet"/>
      <w:lvlText w:val="•"/>
      <w:lvlJc w:val="left"/>
      <w:pPr>
        <w:ind w:left="5854" w:hanging="332"/>
      </w:pPr>
      <w:rPr>
        <w:rFonts w:hint="default"/>
        <w:lang w:val="bg-BG" w:eastAsia="bg-BG" w:bidi="bg-BG"/>
      </w:rPr>
    </w:lvl>
    <w:lvl w:ilvl="7" w:tplc="12B4D31A">
      <w:numFmt w:val="bullet"/>
      <w:lvlText w:val="•"/>
      <w:lvlJc w:val="left"/>
      <w:pPr>
        <w:ind w:left="6817" w:hanging="332"/>
      </w:pPr>
      <w:rPr>
        <w:rFonts w:hint="default"/>
        <w:lang w:val="bg-BG" w:eastAsia="bg-BG" w:bidi="bg-BG"/>
      </w:rPr>
    </w:lvl>
    <w:lvl w:ilvl="8" w:tplc="35902556">
      <w:numFmt w:val="bullet"/>
      <w:lvlText w:val="•"/>
      <w:lvlJc w:val="left"/>
      <w:pPr>
        <w:ind w:left="7780" w:hanging="332"/>
      </w:pPr>
      <w:rPr>
        <w:rFonts w:hint="default"/>
        <w:lang w:val="bg-BG" w:eastAsia="bg-BG" w:bidi="bg-BG"/>
      </w:rPr>
    </w:lvl>
  </w:abstractNum>
  <w:abstractNum w:abstractNumId="28" w15:restartNumberingAfterBreak="0">
    <w:nsid w:val="782C152E"/>
    <w:multiLevelType w:val="hybridMultilevel"/>
    <w:tmpl w:val="F8E04E04"/>
    <w:lvl w:ilvl="0" w:tplc="6FF6C506">
      <w:start w:val="1"/>
      <w:numFmt w:val="decimal"/>
      <w:lvlText w:val="%1."/>
      <w:lvlJc w:val="left"/>
      <w:pPr>
        <w:ind w:left="720" w:hanging="360"/>
      </w:pPr>
      <w:rPr>
        <w:rFonts w:hint="default"/>
        <w:sz w:val="2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7BE31872"/>
    <w:multiLevelType w:val="hybridMultilevel"/>
    <w:tmpl w:val="E6A049BA"/>
    <w:lvl w:ilvl="0" w:tplc="4FFCD31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EEC6F2A"/>
    <w:multiLevelType w:val="hybridMultilevel"/>
    <w:tmpl w:val="C944C1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0"/>
  </w:num>
  <w:num w:numId="2">
    <w:abstractNumId w:val="6"/>
  </w:num>
  <w:num w:numId="3">
    <w:abstractNumId w:val="28"/>
  </w:num>
  <w:num w:numId="4">
    <w:abstractNumId w:val="30"/>
  </w:num>
  <w:num w:numId="5">
    <w:abstractNumId w:val="21"/>
  </w:num>
  <w:num w:numId="6">
    <w:abstractNumId w:val="9"/>
  </w:num>
  <w:num w:numId="7">
    <w:abstractNumId w:val="23"/>
  </w:num>
  <w:num w:numId="8">
    <w:abstractNumId w:val="29"/>
  </w:num>
  <w:num w:numId="9">
    <w:abstractNumId w:val="5"/>
  </w:num>
  <w:num w:numId="10">
    <w:abstractNumId w:val="12"/>
  </w:num>
  <w:num w:numId="11">
    <w:abstractNumId w:val="14"/>
  </w:num>
  <w:num w:numId="12">
    <w:abstractNumId w:val="8"/>
  </w:num>
  <w:num w:numId="13">
    <w:abstractNumId w:val="4"/>
  </w:num>
  <w:num w:numId="14">
    <w:abstractNumId w:val="15"/>
  </w:num>
  <w:num w:numId="15">
    <w:abstractNumId w:val="16"/>
  </w:num>
  <w:num w:numId="16">
    <w:abstractNumId w:val="27"/>
  </w:num>
  <w:num w:numId="17">
    <w:abstractNumId w:val="1"/>
  </w:num>
  <w:num w:numId="18">
    <w:abstractNumId w:val="10"/>
  </w:num>
  <w:num w:numId="19">
    <w:abstractNumId w:val="25"/>
  </w:num>
  <w:num w:numId="20">
    <w:abstractNumId w:val="19"/>
  </w:num>
  <w:num w:numId="21">
    <w:abstractNumId w:val="2"/>
  </w:num>
  <w:num w:numId="22">
    <w:abstractNumId w:val="26"/>
  </w:num>
  <w:num w:numId="23">
    <w:abstractNumId w:val="0"/>
  </w:num>
  <w:num w:numId="24">
    <w:abstractNumId w:val="11"/>
  </w:num>
  <w:num w:numId="25">
    <w:abstractNumId w:val="22"/>
  </w:num>
  <w:num w:numId="26">
    <w:abstractNumId w:val="3"/>
  </w:num>
  <w:num w:numId="27">
    <w:abstractNumId w:val="18"/>
  </w:num>
  <w:num w:numId="28">
    <w:abstractNumId w:val="7"/>
  </w:num>
  <w:num w:numId="29">
    <w:abstractNumId w:val="24"/>
  </w:num>
  <w:num w:numId="30">
    <w:abstractNumId w:val="1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4A4"/>
    <w:rsid w:val="0000209C"/>
    <w:rsid w:val="00002A98"/>
    <w:rsid w:val="000042F6"/>
    <w:rsid w:val="0000470F"/>
    <w:rsid w:val="00004862"/>
    <w:rsid w:val="00004AE6"/>
    <w:rsid w:val="00005688"/>
    <w:rsid w:val="00005B26"/>
    <w:rsid w:val="000101A6"/>
    <w:rsid w:val="00010282"/>
    <w:rsid w:val="000115D5"/>
    <w:rsid w:val="00012CAB"/>
    <w:rsid w:val="00014439"/>
    <w:rsid w:val="00016086"/>
    <w:rsid w:val="000200AF"/>
    <w:rsid w:val="00020416"/>
    <w:rsid w:val="00022060"/>
    <w:rsid w:val="00024421"/>
    <w:rsid w:val="0002454D"/>
    <w:rsid w:val="0002513E"/>
    <w:rsid w:val="000252C0"/>
    <w:rsid w:val="0002544E"/>
    <w:rsid w:val="000257AA"/>
    <w:rsid w:val="00025A23"/>
    <w:rsid w:val="00025DD3"/>
    <w:rsid w:val="00027271"/>
    <w:rsid w:val="000279C9"/>
    <w:rsid w:val="00030B93"/>
    <w:rsid w:val="00033183"/>
    <w:rsid w:val="00033713"/>
    <w:rsid w:val="000357B4"/>
    <w:rsid w:val="00040AE0"/>
    <w:rsid w:val="00040F76"/>
    <w:rsid w:val="000414AB"/>
    <w:rsid w:val="000414B6"/>
    <w:rsid w:val="00043D50"/>
    <w:rsid w:val="00043ECF"/>
    <w:rsid w:val="000446AF"/>
    <w:rsid w:val="00044E65"/>
    <w:rsid w:val="0004610E"/>
    <w:rsid w:val="00046AB8"/>
    <w:rsid w:val="00046C3E"/>
    <w:rsid w:val="00051CC2"/>
    <w:rsid w:val="00052350"/>
    <w:rsid w:val="0005435E"/>
    <w:rsid w:val="0005470C"/>
    <w:rsid w:val="00055D5F"/>
    <w:rsid w:val="000572CA"/>
    <w:rsid w:val="0006038C"/>
    <w:rsid w:val="0006091E"/>
    <w:rsid w:val="000618A0"/>
    <w:rsid w:val="000622EF"/>
    <w:rsid w:val="00062907"/>
    <w:rsid w:val="00062A4B"/>
    <w:rsid w:val="00062ADE"/>
    <w:rsid w:val="00062CE5"/>
    <w:rsid w:val="00062F02"/>
    <w:rsid w:val="000632EC"/>
    <w:rsid w:val="00063709"/>
    <w:rsid w:val="00063E4B"/>
    <w:rsid w:val="000673CE"/>
    <w:rsid w:val="00067C92"/>
    <w:rsid w:val="00070496"/>
    <w:rsid w:val="000708B1"/>
    <w:rsid w:val="000718C7"/>
    <w:rsid w:val="000737E5"/>
    <w:rsid w:val="000741C8"/>
    <w:rsid w:val="00075594"/>
    <w:rsid w:val="0007570E"/>
    <w:rsid w:val="000757FC"/>
    <w:rsid w:val="000769B1"/>
    <w:rsid w:val="0008079F"/>
    <w:rsid w:val="00081D6F"/>
    <w:rsid w:val="00082171"/>
    <w:rsid w:val="000836C6"/>
    <w:rsid w:val="00084700"/>
    <w:rsid w:val="0008525A"/>
    <w:rsid w:val="00085345"/>
    <w:rsid w:val="00086434"/>
    <w:rsid w:val="000902D1"/>
    <w:rsid w:val="00090401"/>
    <w:rsid w:val="000937D4"/>
    <w:rsid w:val="00093F30"/>
    <w:rsid w:val="00094AB2"/>
    <w:rsid w:val="000953A8"/>
    <w:rsid w:val="00096C33"/>
    <w:rsid w:val="00097783"/>
    <w:rsid w:val="000A084C"/>
    <w:rsid w:val="000A1017"/>
    <w:rsid w:val="000A2286"/>
    <w:rsid w:val="000A228F"/>
    <w:rsid w:val="000A3E16"/>
    <w:rsid w:val="000A509C"/>
    <w:rsid w:val="000A78A5"/>
    <w:rsid w:val="000B279A"/>
    <w:rsid w:val="000B298E"/>
    <w:rsid w:val="000B2EB1"/>
    <w:rsid w:val="000B354E"/>
    <w:rsid w:val="000B3D5F"/>
    <w:rsid w:val="000B64C2"/>
    <w:rsid w:val="000B6D57"/>
    <w:rsid w:val="000B7061"/>
    <w:rsid w:val="000B7EFE"/>
    <w:rsid w:val="000C036A"/>
    <w:rsid w:val="000C0D7A"/>
    <w:rsid w:val="000C1697"/>
    <w:rsid w:val="000C3CB5"/>
    <w:rsid w:val="000C46A7"/>
    <w:rsid w:val="000C5247"/>
    <w:rsid w:val="000C5E61"/>
    <w:rsid w:val="000C65D0"/>
    <w:rsid w:val="000D0414"/>
    <w:rsid w:val="000D1E2E"/>
    <w:rsid w:val="000D2F9F"/>
    <w:rsid w:val="000D31EF"/>
    <w:rsid w:val="000D3F6C"/>
    <w:rsid w:val="000D3F7C"/>
    <w:rsid w:val="000D4198"/>
    <w:rsid w:val="000E145B"/>
    <w:rsid w:val="000E3570"/>
    <w:rsid w:val="000E38E0"/>
    <w:rsid w:val="000E6A80"/>
    <w:rsid w:val="000F02C5"/>
    <w:rsid w:val="000F1019"/>
    <w:rsid w:val="000F31C8"/>
    <w:rsid w:val="000F3490"/>
    <w:rsid w:val="000F4E61"/>
    <w:rsid w:val="000F5EC8"/>
    <w:rsid w:val="000F73D3"/>
    <w:rsid w:val="000F7A3E"/>
    <w:rsid w:val="001012EC"/>
    <w:rsid w:val="0010283F"/>
    <w:rsid w:val="0010687D"/>
    <w:rsid w:val="00110FB3"/>
    <w:rsid w:val="001143E4"/>
    <w:rsid w:val="001146B4"/>
    <w:rsid w:val="0011484F"/>
    <w:rsid w:val="0011552E"/>
    <w:rsid w:val="00115EDD"/>
    <w:rsid w:val="00116995"/>
    <w:rsid w:val="00116FC6"/>
    <w:rsid w:val="001171CC"/>
    <w:rsid w:val="00120ABA"/>
    <w:rsid w:val="00121BA5"/>
    <w:rsid w:val="001251BE"/>
    <w:rsid w:val="00125F9E"/>
    <w:rsid w:val="001311AD"/>
    <w:rsid w:val="00131D33"/>
    <w:rsid w:val="00131DA5"/>
    <w:rsid w:val="00133A14"/>
    <w:rsid w:val="00134469"/>
    <w:rsid w:val="001345AD"/>
    <w:rsid w:val="00134E1D"/>
    <w:rsid w:val="001353E6"/>
    <w:rsid w:val="0013629D"/>
    <w:rsid w:val="001366C8"/>
    <w:rsid w:val="00137B8C"/>
    <w:rsid w:val="00140C69"/>
    <w:rsid w:val="00141BFB"/>
    <w:rsid w:val="00144034"/>
    <w:rsid w:val="001440FE"/>
    <w:rsid w:val="0014437A"/>
    <w:rsid w:val="00150E61"/>
    <w:rsid w:val="00150EA4"/>
    <w:rsid w:val="00152D3A"/>
    <w:rsid w:val="001551C4"/>
    <w:rsid w:val="00155A70"/>
    <w:rsid w:val="00155CAF"/>
    <w:rsid w:val="0016097E"/>
    <w:rsid w:val="00162248"/>
    <w:rsid w:val="00163FA0"/>
    <w:rsid w:val="001668E1"/>
    <w:rsid w:val="00167D39"/>
    <w:rsid w:val="00167F77"/>
    <w:rsid w:val="00170505"/>
    <w:rsid w:val="0017183E"/>
    <w:rsid w:val="00172CCB"/>
    <w:rsid w:val="00175004"/>
    <w:rsid w:val="00177AA6"/>
    <w:rsid w:val="00177CAC"/>
    <w:rsid w:val="00177D2B"/>
    <w:rsid w:val="001808B4"/>
    <w:rsid w:val="0018509E"/>
    <w:rsid w:val="001867D0"/>
    <w:rsid w:val="0019192E"/>
    <w:rsid w:val="00192D6A"/>
    <w:rsid w:val="001948B0"/>
    <w:rsid w:val="00195AD0"/>
    <w:rsid w:val="00195DA3"/>
    <w:rsid w:val="00196671"/>
    <w:rsid w:val="001A02C9"/>
    <w:rsid w:val="001A0680"/>
    <w:rsid w:val="001A1452"/>
    <w:rsid w:val="001A29AE"/>
    <w:rsid w:val="001A3975"/>
    <w:rsid w:val="001A3D29"/>
    <w:rsid w:val="001B1760"/>
    <w:rsid w:val="001B4CD8"/>
    <w:rsid w:val="001C1B06"/>
    <w:rsid w:val="001C23BF"/>
    <w:rsid w:val="001C5BF3"/>
    <w:rsid w:val="001C64B3"/>
    <w:rsid w:val="001C6E95"/>
    <w:rsid w:val="001D23F0"/>
    <w:rsid w:val="001D2756"/>
    <w:rsid w:val="001D362A"/>
    <w:rsid w:val="001D60F3"/>
    <w:rsid w:val="001E13F5"/>
    <w:rsid w:val="001E174B"/>
    <w:rsid w:val="001E2B19"/>
    <w:rsid w:val="001E317C"/>
    <w:rsid w:val="001E4FB9"/>
    <w:rsid w:val="001E4FE9"/>
    <w:rsid w:val="001E4FEC"/>
    <w:rsid w:val="001E64F2"/>
    <w:rsid w:val="001F0567"/>
    <w:rsid w:val="001F0866"/>
    <w:rsid w:val="001F1BB7"/>
    <w:rsid w:val="001F1F60"/>
    <w:rsid w:val="001F2019"/>
    <w:rsid w:val="001F22A3"/>
    <w:rsid w:val="001F2736"/>
    <w:rsid w:val="001F314D"/>
    <w:rsid w:val="001F4710"/>
    <w:rsid w:val="001F6BC2"/>
    <w:rsid w:val="001F718C"/>
    <w:rsid w:val="00200292"/>
    <w:rsid w:val="0020103A"/>
    <w:rsid w:val="00201455"/>
    <w:rsid w:val="00201739"/>
    <w:rsid w:val="002033C8"/>
    <w:rsid w:val="0020584E"/>
    <w:rsid w:val="00206678"/>
    <w:rsid w:val="00210233"/>
    <w:rsid w:val="0021035B"/>
    <w:rsid w:val="00212D43"/>
    <w:rsid w:val="0021436C"/>
    <w:rsid w:val="00214427"/>
    <w:rsid w:val="00214B75"/>
    <w:rsid w:val="00215178"/>
    <w:rsid w:val="00216466"/>
    <w:rsid w:val="00220442"/>
    <w:rsid w:val="00221143"/>
    <w:rsid w:val="002217C0"/>
    <w:rsid w:val="00221B68"/>
    <w:rsid w:val="00222460"/>
    <w:rsid w:val="00223947"/>
    <w:rsid w:val="00223F2E"/>
    <w:rsid w:val="00225E6A"/>
    <w:rsid w:val="00226B29"/>
    <w:rsid w:val="00226E69"/>
    <w:rsid w:val="00227D14"/>
    <w:rsid w:val="0023062F"/>
    <w:rsid w:val="00230821"/>
    <w:rsid w:val="00230E0E"/>
    <w:rsid w:val="00231D0F"/>
    <w:rsid w:val="00233C04"/>
    <w:rsid w:val="002348DC"/>
    <w:rsid w:val="00235708"/>
    <w:rsid w:val="002366C8"/>
    <w:rsid w:val="002369C8"/>
    <w:rsid w:val="002375B3"/>
    <w:rsid w:val="00237A17"/>
    <w:rsid w:val="00241F4C"/>
    <w:rsid w:val="00243442"/>
    <w:rsid w:val="002440AF"/>
    <w:rsid w:val="0024444A"/>
    <w:rsid w:val="00245536"/>
    <w:rsid w:val="00245FCD"/>
    <w:rsid w:val="002472CF"/>
    <w:rsid w:val="0024734A"/>
    <w:rsid w:val="002500BD"/>
    <w:rsid w:val="002536A8"/>
    <w:rsid w:val="00253D15"/>
    <w:rsid w:val="00254CE4"/>
    <w:rsid w:val="002552EF"/>
    <w:rsid w:val="00257983"/>
    <w:rsid w:val="0026055D"/>
    <w:rsid w:val="00260E4E"/>
    <w:rsid w:val="00260F55"/>
    <w:rsid w:val="002614AB"/>
    <w:rsid w:val="002632C1"/>
    <w:rsid w:val="00263E76"/>
    <w:rsid w:val="002640E1"/>
    <w:rsid w:val="00264B95"/>
    <w:rsid w:val="0027210E"/>
    <w:rsid w:val="00272EE3"/>
    <w:rsid w:val="00273219"/>
    <w:rsid w:val="00273678"/>
    <w:rsid w:val="00273CAC"/>
    <w:rsid w:val="0027620A"/>
    <w:rsid w:val="002804CF"/>
    <w:rsid w:val="002808F3"/>
    <w:rsid w:val="002820C6"/>
    <w:rsid w:val="00282A08"/>
    <w:rsid w:val="002840D4"/>
    <w:rsid w:val="002854C9"/>
    <w:rsid w:val="002900C5"/>
    <w:rsid w:val="00290725"/>
    <w:rsid w:val="0029102B"/>
    <w:rsid w:val="00291E9B"/>
    <w:rsid w:val="002939DA"/>
    <w:rsid w:val="00293CA6"/>
    <w:rsid w:val="00294085"/>
    <w:rsid w:val="0029482B"/>
    <w:rsid w:val="00295B2B"/>
    <w:rsid w:val="002961A2"/>
    <w:rsid w:val="002964C1"/>
    <w:rsid w:val="00297DB0"/>
    <w:rsid w:val="002A0706"/>
    <w:rsid w:val="002A0A9B"/>
    <w:rsid w:val="002A0C5D"/>
    <w:rsid w:val="002A3B76"/>
    <w:rsid w:val="002A50DD"/>
    <w:rsid w:val="002A5290"/>
    <w:rsid w:val="002A59D9"/>
    <w:rsid w:val="002A5A11"/>
    <w:rsid w:val="002A67D5"/>
    <w:rsid w:val="002A7C77"/>
    <w:rsid w:val="002B15C2"/>
    <w:rsid w:val="002B2268"/>
    <w:rsid w:val="002B4A91"/>
    <w:rsid w:val="002B7309"/>
    <w:rsid w:val="002C03AF"/>
    <w:rsid w:val="002C1BB7"/>
    <w:rsid w:val="002C2EEA"/>
    <w:rsid w:val="002C3BA2"/>
    <w:rsid w:val="002C475B"/>
    <w:rsid w:val="002C5843"/>
    <w:rsid w:val="002C65BA"/>
    <w:rsid w:val="002C7F10"/>
    <w:rsid w:val="002D083C"/>
    <w:rsid w:val="002D18C3"/>
    <w:rsid w:val="002D2176"/>
    <w:rsid w:val="002D4904"/>
    <w:rsid w:val="002D629F"/>
    <w:rsid w:val="002E0082"/>
    <w:rsid w:val="002E03DD"/>
    <w:rsid w:val="002E4664"/>
    <w:rsid w:val="002E4EDB"/>
    <w:rsid w:val="002E4EF9"/>
    <w:rsid w:val="002E537C"/>
    <w:rsid w:val="002E57D4"/>
    <w:rsid w:val="002E5E3F"/>
    <w:rsid w:val="002E6ADF"/>
    <w:rsid w:val="002E73FF"/>
    <w:rsid w:val="002F0752"/>
    <w:rsid w:val="002F4AF6"/>
    <w:rsid w:val="002F4DEC"/>
    <w:rsid w:val="002F7B2A"/>
    <w:rsid w:val="003009B2"/>
    <w:rsid w:val="00300B99"/>
    <w:rsid w:val="00300D63"/>
    <w:rsid w:val="003034CD"/>
    <w:rsid w:val="003039A5"/>
    <w:rsid w:val="003041CC"/>
    <w:rsid w:val="00306298"/>
    <w:rsid w:val="00312FB3"/>
    <w:rsid w:val="00314B98"/>
    <w:rsid w:val="00314F63"/>
    <w:rsid w:val="003154C2"/>
    <w:rsid w:val="00316618"/>
    <w:rsid w:val="00321BD0"/>
    <w:rsid w:val="00322547"/>
    <w:rsid w:val="00323382"/>
    <w:rsid w:val="0032394D"/>
    <w:rsid w:val="003243DC"/>
    <w:rsid w:val="003246BD"/>
    <w:rsid w:val="00326B58"/>
    <w:rsid w:val="003302BD"/>
    <w:rsid w:val="00330507"/>
    <w:rsid w:val="00330936"/>
    <w:rsid w:val="00331CF9"/>
    <w:rsid w:val="003336CE"/>
    <w:rsid w:val="00333BD7"/>
    <w:rsid w:val="00340212"/>
    <w:rsid w:val="003439C8"/>
    <w:rsid w:val="00344138"/>
    <w:rsid w:val="00345060"/>
    <w:rsid w:val="00345B9F"/>
    <w:rsid w:val="00346856"/>
    <w:rsid w:val="0034691B"/>
    <w:rsid w:val="00351063"/>
    <w:rsid w:val="00351EC7"/>
    <w:rsid w:val="00352461"/>
    <w:rsid w:val="003555CD"/>
    <w:rsid w:val="00356131"/>
    <w:rsid w:val="003628A2"/>
    <w:rsid w:val="003640F0"/>
    <w:rsid w:val="003645F1"/>
    <w:rsid w:val="00367DA5"/>
    <w:rsid w:val="0037191E"/>
    <w:rsid w:val="00371937"/>
    <w:rsid w:val="00371E06"/>
    <w:rsid w:val="003737F2"/>
    <w:rsid w:val="00377A96"/>
    <w:rsid w:val="00377FE2"/>
    <w:rsid w:val="00382966"/>
    <w:rsid w:val="003845BB"/>
    <w:rsid w:val="00384B8B"/>
    <w:rsid w:val="00387130"/>
    <w:rsid w:val="00387162"/>
    <w:rsid w:val="003903E2"/>
    <w:rsid w:val="00390D8E"/>
    <w:rsid w:val="0039116F"/>
    <w:rsid w:val="00395655"/>
    <w:rsid w:val="003A060F"/>
    <w:rsid w:val="003A48EE"/>
    <w:rsid w:val="003A7841"/>
    <w:rsid w:val="003B4449"/>
    <w:rsid w:val="003B629A"/>
    <w:rsid w:val="003C12C5"/>
    <w:rsid w:val="003C147F"/>
    <w:rsid w:val="003C1F1E"/>
    <w:rsid w:val="003C2DC3"/>
    <w:rsid w:val="003C3996"/>
    <w:rsid w:val="003C557F"/>
    <w:rsid w:val="003C563D"/>
    <w:rsid w:val="003C5C7B"/>
    <w:rsid w:val="003C7D91"/>
    <w:rsid w:val="003D0C7F"/>
    <w:rsid w:val="003D138A"/>
    <w:rsid w:val="003D25E9"/>
    <w:rsid w:val="003D49CF"/>
    <w:rsid w:val="003D6231"/>
    <w:rsid w:val="003D70E0"/>
    <w:rsid w:val="003E111B"/>
    <w:rsid w:val="003E140F"/>
    <w:rsid w:val="003E1677"/>
    <w:rsid w:val="003E361D"/>
    <w:rsid w:val="003E398D"/>
    <w:rsid w:val="003E6421"/>
    <w:rsid w:val="003F2026"/>
    <w:rsid w:val="003F29BC"/>
    <w:rsid w:val="003F3728"/>
    <w:rsid w:val="003F6D22"/>
    <w:rsid w:val="003F7612"/>
    <w:rsid w:val="003F7CD4"/>
    <w:rsid w:val="00400DC8"/>
    <w:rsid w:val="004027A6"/>
    <w:rsid w:val="0040510D"/>
    <w:rsid w:val="00407815"/>
    <w:rsid w:val="00414F26"/>
    <w:rsid w:val="00415D7B"/>
    <w:rsid w:val="00417315"/>
    <w:rsid w:val="00420A7D"/>
    <w:rsid w:val="00420F8B"/>
    <w:rsid w:val="00420FA6"/>
    <w:rsid w:val="0042418B"/>
    <w:rsid w:val="0042440B"/>
    <w:rsid w:val="00426AC8"/>
    <w:rsid w:val="004275A4"/>
    <w:rsid w:val="00427EF4"/>
    <w:rsid w:val="004300D6"/>
    <w:rsid w:val="00430245"/>
    <w:rsid w:val="00430323"/>
    <w:rsid w:val="00430FB2"/>
    <w:rsid w:val="00435BAC"/>
    <w:rsid w:val="004361F2"/>
    <w:rsid w:val="004376C2"/>
    <w:rsid w:val="004427B2"/>
    <w:rsid w:val="00442824"/>
    <w:rsid w:val="004444E8"/>
    <w:rsid w:val="004444F4"/>
    <w:rsid w:val="00446865"/>
    <w:rsid w:val="00446B9E"/>
    <w:rsid w:val="00446EC1"/>
    <w:rsid w:val="00450BCC"/>
    <w:rsid w:val="0045180F"/>
    <w:rsid w:val="00452217"/>
    <w:rsid w:val="00453C28"/>
    <w:rsid w:val="00453E7F"/>
    <w:rsid w:val="00453E85"/>
    <w:rsid w:val="004546B0"/>
    <w:rsid w:val="00455D0B"/>
    <w:rsid w:val="00456843"/>
    <w:rsid w:val="004604F1"/>
    <w:rsid w:val="00461920"/>
    <w:rsid w:val="004646DE"/>
    <w:rsid w:val="004674B8"/>
    <w:rsid w:val="0046759A"/>
    <w:rsid w:val="00467C52"/>
    <w:rsid w:val="00467D38"/>
    <w:rsid w:val="00470D89"/>
    <w:rsid w:val="004719B1"/>
    <w:rsid w:val="0047261C"/>
    <w:rsid w:val="004739BA"/>
    <w:rsid w:val="004739E7"/>
    <w:rsid w:val="004741D2"/>
    <w:rsid w:val="00475298"/>
    <w:rsid w:val="00483378"/>
    <w:rsid w:val="00483594"/>
    <w:rsid w:val="00483A6F"/>
    <w:rsid w:val="00485630"/>
    <w:rsid w:val="00487E51"/>
    <w:rsid w:val="00490845"/>
    <w:rsid w:val="00493B7A"/>
    <w:rsid w:val="004942CA"/>
    <w:rsid w:val="0049486D"/>
    <w:rsid w:val="00496618"/>
    <w:rsid w:val="004972E2"/>
    <w:rsid w:val="00497423"/>
    <w:rsid w:val="004A0A82"/>
    <w:rsid w:val="004A207E"/>
    <w:rsid w:val="004A27CC"/>
    <w:rsid w:val="004A285F"/>
    <w:rsid w:val="004A55AC"/>
    <w:rsid w:val="004A5E2A"/>
    <w:rsid w:val="004A6AE4"/>
    <w:rsid w:val="004A70C4"/>
    <w:rsid w:val="004B047B"/>
    <w:rsid w:val="004B290C"/>
    <w:rsid w:val="004B2E13"/>
    <w:rsid w:val="004B2F81"/>
    <w:rsid w:val="004B413F"/>
    <w:rsid w:val="004B4FC8"/>
    <w:rsid w:val="004B5B51"/>
    <w:rsid w:val="004B735F"/>
    <w:rsid w:val="004C0598"/>
    <w:rsid w:val="004C0606"/>
    <w:rsid w:val="004C0F07"/>
    <w:rsid w:val="004C1080"/>
    <w:rsid w:val="004C2F1C"/>
    <w:rsid w:val="004C420B"/>
    <w:rsid w:val="004C6279"/>
    <w:rsid w:val="004C77FA"/>
    <w:rsid w:val="004C7869"/>
    <w:rsid w:val="004D24E9"/>
    <w:rsid w:val="004D3191"/>
    <w:rsid w:val="004D5FF9"/>
    <w:rsid w:val="004E0260"/>
    <w:rsid w:val="004E16EE"/>
    <w:rsid w:val="004E3F53"/>
    <w:rsid w:val="004E4897"/>
    <w:rsid w:val="004E6D10"/>
    <w:rsid w:val="004F09FD"/>
    <w:rsid w:val="004F11C4"/>
    <w:rsid w:val="004F17EA"/>
    <w:rsid w:val="004F275F"/>
    <w:rsid w:val="004F2B1B"/>
    <w:rsid w:val="004F3C34"/>
    <w:rsid w:val="004F4B94"/>
    <w:rsid w:val="004F70FF"/>
    <w:rsid w:val="004F77AB"/>
    <w:rsid w:val="004F7953"/>
    <w:rsid w:val="0050084D"/>
    <w:rsid w:val="00501E0F"/>
    <w:rsid w:val="00501E65"/>
    <w:rsid w:val="00504D1C"/>
    <w:rsid w:val="00506006"/>
    <w:rsid w:val="005061E4"/>
    <w:rsid w:val="005073E1"/>
    <w:rsid w:val="0050754B"/>
    <w:rsid w:val="00507B53"/>
    <w:rsid w:val="005121ED"/>
    <w:rsid w:val="005128EA"/>
    <w:rsid w:val="005130D6"/>
    <w:rsid w:val="00514AC6"/>
    <w:rsid w:val="00515FEC"/>
    <w:rsid w:val="0051624B"/>
    <w:rsid w:val="00517A62"/>
    <w:rsid w:val="00520109"/>
    <w:rsid w:val="00520903"/>
    <w:rsid w:val="00521850"/>
    <w:rsid w:val="00522F73"/>
    <w:rsid w:val="005236C1"/>
    <w:rsid w:val="00524038"/>
    <w:rsid w:val="0052467D"/>
    <w:rsid w:val="00524AA8"/>
    <w:rsid w:val="00525EAC"/>
    <w:rsid w:val="005260B9"/>
    <w:rsid w:val="00527393"/>
    <w:rsid w:val="0053103C"/>
    <w:rsid w:val="00532E4B"/>
    <w:rsid w:val="005335CB"/>
    <w:rsid w:val="00534E66"/>
    <w:rsid w:val="005354D0"/>
    <w:rsid w:val="00540693"/>
    <w:rsid w:val="005408A3"/>
    <w:rsid w:val="00540C53"/>
    <w:rsid w:val="00540EEE"/>
    <w:rsid w:val="0054144E"/>
    <w:rsid w:val="00541692"/>
    <w:rsid w:val="005417F3"/>
    <w:rsid w:val="005424B9"/>
    <w:rsid w:val="00543E05"/>
    <w:rsid w:val="005462B1"/>
    <w:rsid w:val="00550BC0"/>
    <w:rsid w:val="005525EA"/>
    <w:rsid w:val="005531AA"/>
    <w:rsid w:val="00554B28"/>
    <w:rsid w:val="00554CC1"/>
    <w:rsid w:val="005576E3"/>
    <w:rsid w:val="00560A43"/>
    <w:rsid w:val="00563FA3"/>
    <w:rsid w:val="005644C8"/>
    <w:rsid w:val="00564500"/>
    <w:rsid w:val="00564E98"/>
    <w:rsid w:val="00565E93"/>
    <w:rsid w:val="00566018"/>
    <w:rsid w:val="00572F83"/>
    <w:rsid w:val="00573E06"/>
    <w:rsid w:val="00574A05"/>
    <w:rsid w:val="005778C6"/>
    <w:rsid w:val="0057793C"/>
    <w:rsid w:val="00577AC1"/>
    <w:rsid w:val="005818DD"/>
    <w:rsid w:val="00583A7E"/>
    <w:rsid w:val="00586A0B"/>
    <w:rsid w:val="00586CF4"/>
    <w:rsid w:val="005913D0"/>
    <w:rsid w:val="00591B69"/>
    <w:rsid w:val="00597BAA"/>
    <w:rsid w:val="00597D5D"/>
    <w:rsid w:val="005A1896"/>
    <w:rsid w:val="005A224A"/>
    <w:rsid w:val="005A28D2"/>
    <w:rsid w:val="005A338B"/>
    <w:rsid w:val="005A3AC5"/>
    <w:rsid w:val="005A3BFE"/>
    <w:rsid w:val="005A407D"/>
    <w:rsid w:val="005A499A"/>
    <w:rsid w:val="005A4A9A"/>
    <w:rsid w:val="005A5DAE"/>
    <w:rsid w:val="005A6A09"/>
    <w:rsid w:val="005A6C42"/>
    <w:rsid w:val="005B19E3"/>
    <w:rsid w:val="005B3673"/>
    <w:rsid w:val="005B6646"/>
    <w:rsid w:val="005B7002"/>
    <w:rsid w:val="005C2DFD"/>
    <w:rsid w:val="005C43C6"/>
    <w:rsid w:val="005C4BE7"/>
    <w:rsid w:val="005C61F4"/>
    <w:rsid w:val="005C7A87"/>
    <w:rsid w:val="005D00DB"/>
    <w:rsid w:val="005D0610"/>
    <w:rsid w:val="005D06F0"/>
    <w:rsid w:val="005D094A"/>
    <w:rsid w:val="005D0F46"/>
    <w:rsid w:val="005D1127"/>
    <w:rsid w:val="005D276C"/>
    <w:rsid w:val="005D3B47"/>
    <w:rsid w:val="005D5B4B"/>
    <w:rsid w:val="005D72C5"/>
    <w:rsid w:val="005D733F"/>
    <w:rsid w:val="005E08BD"/>
    <w:rsid w:val="005E0F94"/>
    <w:rsid w:val="005E3261"/>
    <w:rsid w:val="005E36D5"/>
    <w:rsid w:val="005E3A50"/>
    <w:rsid w:val="005E4874"/>
    <w:rsid w:val="005E4C23"/>
    <w:rsid w:val="005E4CF0"/>
    <w:rsid w:val="005E507D"/>
    <w:rsid w:val="005E5B1D"/>
    <w:rsid w:val="005F0236"/>
    <w:rsid w:val="005F0C39"/>
    <w:rsid w:val="005F3C51"/>
    <w:rsid w:val="005F421E"/>
    <w:rsid w:val="005F53D2"/>
    <w:rsid w:val="005F630F"/>
    <w:rsid w:val="005F69DF"/>
    <w:rsid w:val="0060094C"/>
    <w:rsid w:val="00600B63"/>
    <w:rsid w:val="00601137"/>
    <w:rsid w:val="006040E1"/>
    <w:rsid w:val="006047B5"/>
    <w:rsid w:val="006047CE"/>
    <w:rsid w:val="0060491C"/>
    <w:rsid w:val="00604A61"/>
    <w:rsid w:val="00606101"/>
    <w:rsid w:val="00610231"/>
    <w:rsid w:val="006124CF"/>
    <w:rsid w:val="00617D55"/>
    <w:rsid w:val="00617F06"/>
    <w:rsid w:val="006222B2"/>
    <w:rsid w:val="006240D8"/>
    <w:rsid w:val="00624738"/>
    <w:rsid w:val="00626132"/>
    <w:rsid w:val="006310A1"/>
    <w:rsid w:val="006317AC"/>
    <w:rsid w:val="0063318F"/>
    <w:rsid w:val="00633884"/>
    <w:rsid w:val="00634DDD"/>
    <w:rsid w:val="006361E3"/>
    <w:rsid w:val="00636320"/>
    <w:rsid w:val="0063730A"/>
    <w:rsid w:val="00641DE7"/>
    <w:rsid w:val="00641EF4"/>
    <w:rsid w:val="00642470"/>
    <w:rsid w:val="00642D90"/>
    <w:rsid w:val="0064536C"/>
    <w:rsid w:val="00645DFC"/>
    <w:rsid w:val="0065019C"/>
    <w:rsid w:val="00653E67"/>
    <w:rsid w:val="00656642"/>
    <w:rsid w:val="00656BDA"/>
    <w:rsid w:val="0066109E"/>
    <w:rsid w:val="00661A0C"/>
    <w:rsid w:val="00662188"/>
    <w:rsid w:val="00662BFF"/>
    <w:rsid w:val="00663337"/>
    <w:rsid w:val="0066563D"/>
    <w:rsid w:val="00667B50"/>
    <w:rsid w:val="00670165"/>
    <w:rsid w:val="006712A6"/>
    <w:rsid w:val="00671910"/>
    <w:rsid w:val="00671E4E"/>
    <w:rsid w:val="00673257"/>
    <w:rsid w:val="0067456E"/>
    <w:rsid w:val="00675133"/>
    <w:rsid w:val="00676037"/>
    <w:rsid w:val="006773A2"/>
    <w:rsid w:val="00677D9A"/>
    <w:rsid w:val="006802C1"/>
    <w:rsid w:val="006810DD"/>
    <w:rsid w:val="006818E8"/>
    <w:rsid w:val="00681C2B"/>
    <w:rsid w:val="00682E63"/>
    <w:rsid w:val="00685E6E"/>
    <w:rsid w:val="00686496"/>
    <w:rsid w:val="00690FE6"/>
    <w:rsid w:val="00691BD4"/>
    <w:rsid w:val="00692346"/>
    <w:rsid w:val="0069380D"/>
    <w:rsid w:val="006940E7"/>
    <w:rsid w:val="00694141"/>
    <w:rsid w:val="006941C8"/>
    <w:rsid w:val="00695B86"/>
    <w:rsid w:val="00697863"/>
    <w:rsid w:val="006A0CE3"/>
    <w:rsid w:val="006A0D8A"/>
    <w:rsid w:val="006A20CC"/>
    <w:rsid w:val="006A343F"/>
    <w:rsid w:val="006A36D7"/>
    <w:rsid w:val="006A3AD5"/>
    <w:rsid w:val="006A512F"/>
    <w:rsid w:val="006A5395"/>
    <w:rsid w:val="006A6D9B"/>
    <w:rsid w:val="006A70E2"/>
    <w:rsid w:val="006B054D"/>
    <w:rsid w:val="006B0FEE"/>
    <w:rsid w:val="006B20EC"/>
    <w:rsid w:val="006B4070"/>
    <w:rsid w:val="006B5E2B"/>
    <w:rsid w:val="006B6B69"/>
    <w:rsid w:val="006C1B92"/>
    <w:rsid w:val="006C1FAA"/>
    <w:rsid w:val="006C33EC"/>
    <w:rsid w:val="006C5DD9"/>
    <w:rsid w:val="006C605F"/>
    <w:rsid w:val="006C6A82"/>
    <w:rsid w:val="006D1DF2"/>
    <w:rsid w:val="006D1F20"/>
    <w:rsid w:val="006D2BDD"/>
    <w:rsid w:val="006D389B"/>
    <w:rsid w:val="006D4254"/>
    <w:rsid w:val="006D5F6F"/>
    <w:rsid w:val="006D6C3E"/>
    <w:rsid w:val="006D6CEA"/>
    <w:rsid w:val="006D70A7"/>
    <w:rsid w:val="006D745F"/>
    <w:rsid w:val="006D7881"/>
    <w:rsid w:val="006D7E56"/>
    <w:rsid w:val="006E01F0"/>
    <w:rsid w:val="006E23DE"/>
    <w:rsid w:val="006E31CC"/>
    <w:rsid w:val="006E32E7"/>
    <w:rsid w:val="006E3D3C"/>
    <w:rsid w:val="006E46A3"/>
    <w:rsid w:val="006E4DC3"/>
    <w:rsid w:val="006E52C5"/>
    <w:rsid w:val="006E58C1"/>
    <w:rsid w:val="006E7B3B"/>
    <w:rsid w:val="006F1D9C"/>
    <w:rsid w:val="006F282A"/>
    <w:rsid w:val="006F2B6C"/>
    <w:rsid w:val="006F33DD"/>
    <w:rsid w:val="006F35F8"/>
    <w:rsid w:val="006F4526"/>
    <w:rsid w:val="006F5502"/>
    <w:rsid w:val="006F5CE3"/>
    <w:rsid w:val="006F6420"/>
    <w:rsid w:val="006F6923"/>
    <w:rsid w:val="006F6ABC"/>
    <w:rsid w:val="00702B18"/>
    <w:rsid w:val="007030A8"/>
    <w:rsid w:val="007038DB"/>
    <w:rsid w:val="00704988"/>
    <w:rsid w:val="00705659"/>
    <w:rsid w:val="00707A8E"/>
    <w:rsid w:val="007100EA"/>
    <w:rsid w:val="007106FE"/>
    <w:rsid w:val="00712F24"/>
    <w:rsid w:val="0071354E"/>
    <w:rsid w:val="00715FC7"/>
    <w:rsid w:val="007160B3"/>
    <w:rsid w:val="00716B72"/>
    <w:rsid w:val="00717394"/>
    <w:rsid w:val="00717743"/>
    <w:rsid w:val="007201DC"/>
    <w:rsid w:val="00720625"/>
    <w:rsid w:val="0072098B"/>
    <w:rsid w:val="00720DFB"/>
    <w:rsid w:val="00723D89"/>
    <w:rsid w:val="00724DC0"/>
    <w:rsid w:val="007261CF"/>
    <w:rsid w:val="00731B88"/>
    <w:rsid w:val="00732DEB"/>
    <w:rsid w:val="007362EB"/>
    <w:rsid w:val="00736B76"/>
    <w:rsid w:val="00736C03"/>
    <w:rsid w:val="007377F2"/>
    <w:rsid w:val="00737BC4"/>
    <w:rsid w:val="00737D3E"/>
    <w:rsid w:val="0074014A"/>
    <w:rsid w:val="007423F8"/>
    <w:rsid w:val="007431DE"/>
    <w:rsid w:val="00743EFE"/>
    <w:rsid w:val="00745349"/>
    <w:rsid w:val="0074534D"/>
    <w:rsid w:val="00747E1E"/>
    <w:rsid w:val="007511D5"/>
    <w:rsid w:val="007516D1"/>
    <w:rsid w:val="00751E85"/>
    <w:rsid w:val="0075213E"/>
    <w:rsid w:val="00752B84"/>
    <w:rsid w:val="00753049"/>
    <w:rsid w:val="00756242"/>
    <w:rsid w:val="00756290"/>
    <w:rsid w:val="00756A19"/>
    <w:rsid w:val="0076108C"/>
    <w:rsid w:val="00761B5E"/>
    <w:rsid w:val="0076408A"/>
    <w:rsid w:val="0076648E"/>
    <w:rsid w:val="00773DD9"/>
    <w:rsid w:val="00774BE7"/>
    <w:rsid w:val="00775304"/>
    <w:rsid w:val="00776A84"/>
    <w:rsid w:val="00777754"/>
    <w:rsid w:val="007806A8"/>
    <w:rsid w:val="00781306"/>
    <w:rsid w:val="00781635"/>
    <w:rsid w:val="007836C8"/>
    <w:rsid w:val="007851BB"/>
    <w:rsid w:val="00790ADA"/>
    <w:rsid w:val="007934F1"/>
    <w:rsid w:val="00794229"/>
    <w:rsid w:val="00795A1B"/>
    <w:rsid w:val="007970F0"/>
    <w:rsid w:val="007971F3"/>
    <w:rsid w:val="00797C76"/>
    <w:rsid w:val="007A1BCA"/>
    <w:rsid w:val="007A30DD"/>
    <w:rsid w:val="007A3401"/>
    <w:rsid w:val="007A4157"/>
    <w:rsid w:val="007A70D8"/>
    <w:rsid w:val="007B0835"/>
    <w:rsid w:val="007B1141"/>
    <w:rsid w:val="007B24F7"/>
    <w:rsid w:val="007B3D33"/>
    <w:rsid w:val="007B47A9"/>
    <w:rsid w:val="007B4CFC"/>
    <w:rsid w:val="007B5C10"/>
    <w:rsid w:val="007B6FFE"/>
    <w:rsid w:val="007C0484"/>
    <w:rsid w:val="007C393A"/>
    <w:rsid w:val="007C6C8E"/>
    <w:rsid w:val="007D09DC"/>
    <w:rsid w:val="007D0FB8"/>
    <w:rsid w:val="007D4566"/>
    <w:rsid w:val="007D6B06"/>
    <w:rsid w:val="007D6FD8"/>
    <w:rsid w:val="007D76D7"/>
    <w:rsid w:val="007E11C0"/>
    <w:rsid w:val="007E249E"/>
    <w:rsid w:val="007E4DF7"/>
    <w:rsid w:val="007E5ED7"/>
    <w:rsid w:val="007E6242"/>
    <w:rsid w:val="007E633B"/>
    <w:rsid w:val="007E6AD6"/>
    <w:rsid w:val="007F130B"/>
    <w:rsid w:val="007F135A"/>
    <w:rsid w:val="007F16D2"/>
    <w:rsid w:val="007F1CED"/>
    <w:rsid w:val="007F4563"/>
    <w:rsid w:val="007F5275"/>
    <w:rsid w:val="00800079"/>
    <w:rsid w:val="0080232E"/>
    <w:rsid w:val="00803CA0"/>
    <w:rsid w:val="008053FB"/>
    <w:rsid w:val="008059AC"/>
    <w:rsid w:val="00807EF1"/>
    <w:rsid w:val="008125C1"/>
    <w:rsid w:val="00812789"/>
    <w:rsid w:val="00813EBF"/>
    <w:rsid w:val="00816EA1"/>
    <w:rsid w:val="0081738A"/>
    <w:rsid w:val="00817D17"/>
    <w:rsid w:val="00821662"/>
    <w:rsid w:val="00824BA3"/>
    <w:rsid w:val="00825F4B"/>
    <w:rsid w:val="00826F86"/>
    <w:rsid w:val="00827624"/>
    <w:rsid w:val="00827C86"/>
    <w:rsid w:val="00831124"/>
    <w:rsid w:val="00831D3C"/>
    <w:rsid w:val="00831E9A"/>
    <w:rsid w:val="008327F5"/>
    <w:rsid w:val="00833124"/>
    <w:rsid w:val="0083397B"/>
    <w:rsid w:val="0083418B"/>
    <w:rsid w:val="008360E0"/>
    <w:rsid w:val="0083623B"/>
    <w:rsid w:val="00841854"/>
    <w:rsid w:val="00842C8D"/>
    <w:rsid w:val="008434D2"/>
    <w:rsid w:val="00844383"/>
    <w:rsid w:val="00844CC3"/>
    <w:rsid w:val="00845BC3"/>
    <w:rsid w:val="00846E8D"/>
    <w:rsid w:val="008476BF"/>
    <w:rsid w:val="00847CFC"/>
    <w:rsid w:val="008508D5"/>
    <w:rsid w:val="0085319B"/>
    <w:rsid w:val="00853C0E"/>
    <w:rsid w:val="00854E7C"/>
    <w:rsid w:val="00855317"/>
    <w:rsid w:val="00855962"/>
    <w:rsid w:val="00857187"/>
    <w:rsid w:val="00860921"/>
    <w:rsid w:val="00860FE7"/>
    <w:rsid w:val="00861994"/>
    <w:rsid w:val="00861CE5"/>
    <w:rsid w:val="0086226E"/>
    <w:rsid w:val="00864193"/>
    <w:rsid w:val="0086505F"/>
    <w:rsid w:val="00865EE3"/>
    <w:rsid w:val="0086600C"/>
    <w:rsid w:val="00872A86"/>
    <w:rsid w:val="00873354"/>
    <w:rsid w:val="00874481"/>
    <w:rsid w:val="00875D88"/>
    <w:rsid w:val="00881967"/>
    <w:rsid w:val="008835B5"/>
    <w:rsid w:val="0088605D"/>
    <w:rsid w:val="008869FA"/>
    <w:rsid w:val="008877A1"/>
    <w:rsid w:val="00887913"/>
    <w:rsid w:val="00890675"/>
    <w:rsid w:val="0089123B"/>
    <w:rsid w:val="00891BE7"/>
    <w:rsid w:val="00893267"/>
    <w:rsid w:val="00894526"/>
    <w:rsid w:val="00894946"/>
    <w:rsid w:val="0089506D"/>
    <w:rsid w:val="008968DF"/>
    <w:rsid w:val="00896ECC"/>
    <w:rsid w:val="00897F84"/>
    <w:rsid w:val="008A00BC"/>
    <w:rsid w:val="008A0B79"/>
    <w:rsid w:val="008A1687"/>
    <w:rsid w:val="008A2346"/>
    <w:rsid w:val="008A2DF5"/>
    <w:rsid w:val="008A3A73"/>
    <w:rsid w:val="008A43AD"/>
    <w:rsid w:val="008A4DBD"/>
    <w:rsid w:val="008A52D8"/>
    <w:rsid w:val="008A5E27"/>
    <w:rsid w:val="008A6FF9"/>
    <w:rsid w:val="008A721D"/>
    <w:rsid w:val="008B229A"/>
    <w:rsid w:val="008B48E6"/>
    <w:rsid w:val="008B4F23"/>
    <w:rsid w:val="008B6A6F"/>
    <w:rsid w:val="008C01F4"/>
    <w:rsid w:val="008C0503"/>
    <w:rsid w:val="008C09DD"/>
    <w:rsid w:val="008C4A55"/>
    <w:rsid w:val="008C4E10"/>
    <w:rsid w:val="008C5E5E"/>
    <w:rsid w:val="008D08F5"/>
    <w:rsid w:val="008D0DDB"/>
    <w:rsid w:val="008D2350"/>
    <w:rsid w:val="008D3FD0"/>
    <w:rsid w:val="008D56D6"/>
    <w:rsid w:val="008D579B"/>
    <w:rsid w:val="008D583E"/>
    <w:rsid w:val="008D7657"/>
    <w:rsid w:val="008E185E"/>
    <w:rsid w:val="008E1CC8"/>
    <w:rsid w:val="008E24D8"/>
    <w:rsid w:val="008E2B39"/>
    <w:rsid w:val="008E3970"/>
    <w:rsid w:val="008E3AC0"/>
    <w:rsid w:val="008E51F3"/>
    <w:rsid w:val="008E6946"/>
    <w:rsid w:val="008E6E39"/>
    <w:rsid w:val="008E7705"/>
    <w:rsid w:val="008E77F4"/>
    <w:rsid w:val="008E7AF3"/>
    <w:rsid w:val="008E7E4D"/>
    <w:rsid w:val="008F07CF"/>
    <w:rsid w:val="008F1D1A"/>
    <w:rsid w:val="008F3218"/>
    <w:rsid w:val="008F35DB"/>
    <w:rsid w:val="008F39D3"/>
    <w:rsid w:val="008F4969"/>
    <w:rsid w:val="008F4EB9"/>
    <w:rsid w:val="008F5129"/>
    <w:rsid w:val="008F540F"/>
    <w:rsid w:val="008F6393"/>
    <w:rsid w:val="008F6748"/>
    <w:rsid w:val="00901E19"/>
    <w:rsid w:val="00901F49"/>
    <w:rsid w:val="00902FF9"/>
    <w:rsid w:val="00904B60"/>
    <w:rsid w:val="00905EB8"/>
    <w:rsid w:val="00905F3A"/>
    <w:rsid w:val="009066B0"/>
    <w:rsid w:val="0090679B"/>
    <w:rsid w:val="0090782D"/>
    <w:rsid w:val="00912765"/>
    <w:rsid w:val="00913A84"/>
    <w:rsid w:val="0091523F"/>
    <w:rsid w:val="0091558A"/>
    <w:rsid w:val="009167F2"/>
    <w:rsid w:val="00917058"/>
    <w:rsid w:val="00923C45"/>
    <w:rsid w:val="00924F7D"/>
    <w:rsid w:val="0092693D"/>
    <w:rsid w:val="0093024B"/>
    <w:rsid w:val="00931102"/>
    <w:rsid w:val="009312BE"/>
    <w:rsid w:val="00932D4A"/>
    <w:rsid w:val="00936B7F"/>
    <w:rsid w:val="00937544"/>
    <w:rsid w:val="009415CD"/>
    <w:rsid w:val="0094334A"/>
    <w:rsid w:val="00943E2F"/>
    <w:rsid w:val="00944EC7"/>
    <w:rsid w:val="00950B10"/>
    <w:rsid w:val="00952D0A"/>
    <w:rsid w:val="00953FD7"/>
    <w:rsid w:val="00954732"/>
    <w:rsid w:val="009551F9"/>
    <w:rsid w:val="00956BD2"/>
    <w:rsid w:val="0096092A"/>
    <w:rsid w:val="00962715"/>
    <w:rsid w:val="00963058"/>
    <w:rsid w:val="00963AE2"/>
    <w:rsid w:val="00963E96"/>
    <w:rsid w:val="00964667"/>
    <w:rsid w:val="00966C16"/>
    <w:rsid w:val="00966D12"/>
    <w:rsid w:val="009718A2"/>
    <w:rsid w:val="00972F4C"/>
    <w:rsid w:val="00975F5E"/>
    <w:rsid w:val="00977612"/>
    <w:rsid w:val="009827FE"/>
    <w:rsid w:val="00983B09"/>
    <w:rsid w:val="00984646"/>
    <w:rsid w:val="0098541A"/>
    <w:rsid w:val="00990860"/>
    <w:rsid w:val="00990FC4"/>
    <w:rsid w:val="00991FDD"/>
    <w:rsid w:val="00992009"/>
    <w:rsid w:val="00992B9B"/>
    <w:rsid w:val="0099450E"/>
    <w:rsid w:val="0099513B"/>
    <w:rsid w:val="00995D64"/>
    <w:rsid w:val="009965B4"/>
    <w:rsid w:val="00996B48"/>
    <w:rsid w:val="009A1269"/>
    <w:rsid w:val="009A19C4"/>
    <w:rsid w:val="009A453C"/>
    <w:rsid w:val="009B1744"/>
    <w:rsid w:val="009B1EE9"/>
    <w:rsid w:val="009B3DAC"/>
    <w:rsid w:val="009B568A"/>
    <w:rsid w:val="009C08B5"/>
    <w:rsid w:val="009C4545"/>
    <w:rsid w:val="009C4DFC"/>
    <w:rsid w:val="009C5E05"/>
    <w:rsid w:val="009D0944"/>
    <w:rsid w:val="009D281A"/>
    <w:rsid w:val="009D6D2E"/>
    <w:rsid w:val="009D753B"/>
    <w:rsid w:val="009E0CEB"/>
    <w:rsid w:val="009E206F"/>
    <w:rsid w:val="009E60E1"/>
    <w:rsid w:val="009E6C5E"/>
    <w:rsid w:val="009E7717"/>
    <w:rsid w:val="009E7FF1"/>
    <w:rsid w:val="009F142B"/>
    <w:rsid w:val="009F23CB"/>
    <w:rsid w:val="009F399F"/>
    <w:rsid w:val="009F5722"/>
    <w:rsid w:val="009F7176"/>
    <w:rsid w:val="00A02072"/>
    <w:rsid w:val="00A0334B"/>
    <w:rsid w:val="00A0377F"/>
    <w:rsid w:val="00A04A98"/>
    <w:rsid w:val="00A054C4"/>
    <w:rsid w:val="00A11D46"/>
    <w:rsid w:val="00A153F6"/>
    <w:rsid w:val="00A163D9"/>
    <w:rsid w:val="00A16F07"/>
    <w:rsid w:val="00A23452"/>
    <w:rsid w:val="00A24376"/>
    <w:rsid w:val="00A24AF0"/>
    <w:rsid w:val="00A2601C"/>
    <w:rsid w:val="00A2613D"/>
    <w:rsid w:val="00A26499"/>
    <w:rsid w:val="00A27F81"/>
    <w:rsid w:val="00A30636"/>
    <w:rsid w:val="00A30F0D"/>
    <w:rsid w:val="00A31338"/>
    <w:rsid w:val="00A32258"/>
    <w:rsid w:val="00A3356F"/>
    <w:rsid w:val="00A33B43"/>
    <w:rsid w:val="00A33C15"/>
    <w:rsid w:val="00A34220"/>
    <w:rsid w:val="00A34264"/>
    <w:rsid w:val="00A342A5"/>
    <w:rsid w:val="00A34F9A"/>
    <w:rsid w:val="00A3568B"/>
    <w:rsid w:val="00A377AE"/>
    <w:rsid w:val="00A426CE"/>
    <w:rsid w:val="00A428B2"/>
    <w:rsid w:val="00A42D10"/>
    <w:rsid w:val="00A43684"/>
    <w:rsid w:val="00A44374"/>
    <w:rsid w:val="00A4509D"/>
    <w:rsid w:val="00A46303"/>
    <w:rsid w:val="00A50CD4"/>
    <w:rsid w:val="00A52FAE"/>
    <w:rsid w:val="00A53909"/>
    <w:rsid w:val="00A54A4A"/>
    <w:rsid w:val="00A5623C"/>
    <w:rsid w:val="00A57A10"/>
    <w:rsid w:val="00A57F06"/>
    <w:rsid w:val="00A600FC"/>
    <w:rsid w:val="00A6068D"/>
    <w:rsid w:val="00A606F7"/>
    <w:rsid w:val="00A60884"/>
    <w:rsid w:val="00A610CB"/>
    <w:rsid w:val="00A63BA3"/>
    <w:rsid w:val="00A643D6"/>
    <w:rsid w:val="00A64DC1"/>
    <w:rsid w:val="00A6623B"/>
    <w:rsid w:val="00A669EE"/>
    <w:rsid w:val="00A67068"/>
    <w:rsid w:val="00A7058C"/>
    <w:rsid w:val="00A70B39"/>
    <w:rsid w:val="00A71585"/>
    <w:rsid w:val="00A72224"/>
    <w:rsid w:val="00A72482"/>
    <w:rsid w:val="00A72662"/>
    <w:rsid w:val="00A76B61"/>
    <w:rsid w:val="00A85598"/>
    <w:rsid w:val="00A856B0"/>
    <w:rsid w:val="00A8607A"/>
    <w:rsid w:val="00A86D8D"/>
    <w:rsid w:val="00A90530"/>
    <w:rsid w:val="00A917A9"/>
    <w:rsid w:val="00A919EA"/>
    <w:rsid w:val="00A91A2A"/>
    <w:rsid w:val="00A92881"/>
    <w:rsid w:val="00A9444A"/>
    <w:rsid w:val="00A94977"/>
    <w:rsid w:val="00A94B87"/>
    <w:rsid w:val="00A95EA9"/>
    <w:rsid w:val="00A9750F"/>
    <w:rsid w:val="00AA138C"/>
    <w:rsid w:val="00AA599A"/>
    <w:rsid w:val="00AA5E2F"/>
    <w:rsid w:val="00AB2360"/>
    <w:rsid w:val="00AB33F2"/>
    <w:rsid w:val="00AB5812"/>
    <w:rsid w:val="00AB5BFC"/>
    <w:rsid w:val="00AB66D3"/>
    <w:rsid w:val="00AB7845"/>
    <w:rsid w:val="00AC135D"/>
    <w:rsid w:val="00AC2072"/>
    <w:rsid w:val="00AC40DC"/>
    <w:rsid w:val="00AC4ECB"/>
    <w:rsid w:val="00AD3F9D"/>
    <w:rsid w:val="00AD42EA"/>
    <w:rsid w:val="00AD4746"/>
    <w:rsid w:val="00AD5010"/>
    <w:rsid w:val="00AD7689"/>
    <w:rsid w:val="00AE14CA"/>
    <w:rsid w:val="00AE1D8E"/>
    <w:rsid w:val="00AE20C4"/>
    <w:rsid w:val="00AE2731"/>
    <w:rsid w:val="00AE3244"/>
    <w:rsid w:val="00AE4C05"/>
    <w:rsid w:val="00AE564E"/>
    <w:rsid w:val="00AE6725"/>
    <w:rsid w:val="00AE6BE8"/>
    <w:rsid w:val="00AE6FA9"/>
    <w:rsid w:val="00AF12B7"/>
    <w:rsid w:val="00AF2498"/>
    <w:rsid w:val="00AF4D26"/>
    <w:rsid w:val="00AF4F2E"/>
    <w:rsid w:val="00AF5CAD"/>
    <w:rsid w:val="00AF73A4"/>
    <w:rsid w:val="00B00BAD"/>
    <w:rsid w:val="00B00DA4"/>
    <w:rsid w:val="00B03860"/>
    <w:rsid w:val="00B04D19"/>
    <w:rsid w:val="00B05A10"/>
    <w:rsid w:val="00B06524"/>
    <w:rsid w:val="00B0677C"/>
    <w:rsid w:val="00B0691A"/>
    <w:rsid w:val="00B07C49"/>
    <w:rsid w:val="00B10FCB"/>
    <w:rsid w:val="00B11252"/>
    <w:rsid w:val="00B1153E"/>
    <w:rsid w:val="00B1358E"/>
    <w:rsid w:val="00B145B3"/>
    <w:rsid w:val="00B152AE"/>
    <w:rsid w:val="00B15A62"/>
    <w:rsid w:val="00B16649"/>
    <w:rsid w:val="00B17C41"/>
    <w:rsid w:val="00B17FDB"/>
    <w:rsid w:val="00B24B51"/>
    <w:rsid w:val="00B252A7"/>
    <w:rsid w:val="00B27398"/>
    <w:rsid w:val="00B2760F"/>
    <w:rsid w:val="00B31B92"/>
    <w:rsid w:val="00B320D9"/>
    <w:rsid w:val="00B32135"/>
    <w:rsid w:val="00B321D4"/>
    <w:rsid w:val="00B32676"/>
    <w:rsid w:val="00B330B9"/>
    <w:rsid w:val="00B33559"/>
    <w:rsid w:val="00B341A3"/>
    <w:rsid w:val="00B3495F"/>
    <w:rsid w:val="00B34AF6"/>
    <w:rsid w:val="00B34CBF"/>
    <w:rsid w:val="00B3632A"/>
    <w:rsid w:val="00B36F24"/>
    <w:rsid w:val="00B37C7C"/>
    <w:rsid w:val="00B40DAD"/>
    <w:rsid w:val="00B42361"/>
    <w:rsid w:val="00B429D4"/>
    <w:rsid w:val="00B433E4"/>
    <w:rsid w:val="00B458D2"/>
    <w:rsid w:val="00B46541"/>
    <w:rsid w:val="00B4660F"/>
    <w:rsid w:val="00B5167A"/>
    <w:rsid w:val="00B5191C"/>
    <w:rsid w:val="00B51F46"/>
    <w:rsid w:val="00B52067"/>
    <w:rsid w:val="00B54833"/>
    <w:rsid w:val="00B556DA"/>
    <w:rsid w:val="00B560AF"/>
    <w:rsid w:val="00B5758A"/>
    <w:rsid w:val="00B60E32"/>
    <w:rsid w:val="00B6338C"/>
    <w:rsid w:val="00B634C1"/>
    <w:rsid w:val="00B6355E"/>
    <w:rsid w:val="00B64471"/>
    <w:rsid w:val="00B65B84"/>
    <w:rsid w:val="00B67AE2"/>
    <w:rsid w:val="00B706DB"/>
    <w:rsid w:val="00B7272A"/>
    <w:rsid w:val="00B728C8"/>
    <w:rsid w:val="00B73133"/>
    <w:rsid w:val="00B74629"/>
    <w:rsid w:val="00B75F90"/>
    <w:rsid w:val="00B8036D"/>
    <w:rsid w:val="00B803D5"/>
    <w:rsid w:val="00B8191D"/>
    <w:rsid w:val="00B82C78"/>
    <w:rsid w:val="00B84A5C"/>
    <w:rsid w:val="00B87124"/>
    <w:rsid w:val="00B92D10"/>
    <w:rsid w:val="00B93671"/>
    <w:rsid w:val="00B93841"/>
    <w:rsid w:val="00B943B8"/>
    <w:rsid w:val="00B948D2"/>
    <w:rsid w:val="00B94908"/>
    <w:rsid w:val="00B95598"/>
    <w:rsid w:val="00BA302B"/>
    <w:rsid w:val="00BA34A2"/>
    <w:rsid w:val="00BA3657"/>
    <w:rsid w:val="00BA4635"/>
    <w:rsid w:val="00BA478A"/>
    <w:rsid w:val="00BA66F5"/>
    <w:rsid w:val="00BA7231"/>
    <w:rsid w:val="00BA726F"/>
    <w:rsid w:val="00BB3187"/>
    <w:rsid w:val="00BB5958"/>
    <w:rsid w:val="00BC09A4"/>
    <w:rsid w:val="00BC2111"/>
    <w:rsid w:val="00BC61FD"/>
    <w:rsid w:val="00BC6272"/>
    <w:rsid w:val="00BC73F1"/>
    <w:rsid w:val="00BD0FA0"/>
    <w:rsid w:val="00BD0FD6"/>
    <w:rsid w:val="00BD284B"/>
    <w:rsid w:val="00BD2B98"/>
    <w:rsid w:val="00BD2F6E"/>
    <w:rsid w:val="00BD5021"/>
    <w:rsid w:val="00BD7382"/>
    <w:rsid w:val="00BD7BD3"/>
    <w:rsid w:val="00BE0D0E"/>
    <w:rsid w:val="00BE0FE1"/>
    <w:rsid w:val="00BE1037"/>
    <w:rsid w:val="00BE379A"/>
    <w:rsid w:val="00BE395D"/>
    <w:rsid w:val="00BE4037"/>
    <w:rsid w:val="00BE482D"/>
    <w:rsid w:val="00BE5DB7"/>
    <w:rsid w:val="00BE6BFB"/>
    <w:rsid w:val="00BF0159"/>
    <w:rsid w:val="00BF0FBF"/>
    <w:rsid w:val="00BF3308"/>
    <w:rsid w:val="00BF4B9B"/>
    <w:rsid w:val="00BF5B8B"/>
    <w:rsid w:val="00BF5D30"/>
    <w:rsid w:val="00BF6075"/>
    <w:rsid w:val="00C00CF3"/>
    <w:rsid w:val="00C01B41"/>
    <w:rsid w:val="00C02FA6"/>
    <w:rsid w:val="00C0329D"/>
    <w:rsid w:val="00C03495"/>
    <w:rsid w:val="00C104FE"/>
    <w:rsid w:val="00C118F2"/>
    <w:rsid w:val="00C11946"/>
    <w:rsid w:val="00C135C1"/>
    <w:rsid w:val="00C1385A"/>
    <w:rsid w:val="00C20CDA"/>
    <w:rsid w:val="00C20DC3"/>
    <w:rsid w:val="00C216FA"/>
    <w:rsid w:val="00C221F5"/>
    <w:rsid w:val="00C2421A"/>
    <w:rsid w:val="00C274E7"/>
    <w:rsid w:val="00C27D33"/>
    <w:rsid w:val="00C31286"/>
    <w:rsid w:val="00C31A5B"/>
    <w:rsid w:val="00C32478"/>
    <w:rsid w:val="00C34C0E"/>
    <w:rsid w:val="00C35EF2"/>
    <w:rsid w:val="00C403B4"/>
    <w:rsid w:val="00C406DE"/>
    <w:rsid w:val="00C411FE"/>
    <w:rsid w:val="00C416F7"/>
    <w:rsid w:val="00C41B61"/>
    <w:rsid w:val="00C434F9"/>
    <w:rsid w:val="00C447AD"/>
    <w:rsid w:val="00C45CC3"/>
    <w:rsid w:val="00C45CCE"/>
    <w:rsid w:val="00C46170"/>
    <w:rsid w:val="00C4634D"/>
    <w:rsid w:val="00C467CA"/>
    <w:rsid w:val="00C467D4"/>
    <w:rsid w:val="00C46941"/>
    <w:rsid w:val="00C47381"/>
    <w:rsid w:val="00C47FAD"/>
    <w:rsid w:val="00C5278E"/>
    <w:rsid w:val="00C52B9D"/>
    <w:rsid w:val="00C538D8"/>
    <w:rsid w:val="00C550EA"/>
    <w:rsid w:val="00C5589F"/>
    <w:rsid w:val="00C569AB"/>
    <w:rsid w:val="00C57F0D"/>
    <w:rsid w:val="00C6176A"/>
    <w:rsid w:val="00C6242D"/>
    <w:rsid w:val="00C63AA7"/>
    <w:rsid w:val="00C64B55"/>
    <w:rsid w:val="00C666AF"/>
    <w:rsid w:val="00C711DA"/>
    <w:rsid w:val="00C71863"/>
    <w:rsid w:val="00C718DA"/>
    <w:rsid w:val="00C72BBA"/>
    <w:rsid w:val="00C73873"/>
    <w:rsid w:val="00C75FCC"/>
    <w:rsid w:val="00C80322"/>
    <w:rsid w:val="00C8433A"/>
    <w:rsid w:val="00C85C00"/>
    <w:rsid w:val="00C86431"/>
    <w:rsid w:val="00C907DB"/>
    <w:rsid w:val="00C91224"/>
    <w:rsid w:val="00C91C64"/>
    <w:rsid w:val="00C9316D"/>
    <w:rsid w:val="00C9387E"/>
    <w:rsid w:val="00C948FD"/>
    <w:rsid w:val="00C975B4"/>
    <w:rsid w:val="00C97FB9"/>
    <w:rsid w:val="00CA031B"/>
    <w:rsid w:val="00CA155E"/>
    <w:rsid w:val="00CA1E20"/>
    <w:rsid w:val="00CA2E10"/>
    <w:rsid w:val="00CA3668"/>
    <w:rsid w:val="00CA3D9D"/>
    <w:rsid w:val="00CA6A60"/>
    <w:rsid w:val="00CA7999"/>
    <w:rsid w:val="00CB14EE"/>
    <w:rsid w:val="00CB28AF"/>
    <w:rsid w:val="00CB4E0C"/>
    <w:rsid w:val="00CB6814"/>
    <w:rsid w:val="00CB7943"/>
    <w:rsid w:val="00CC0DD8"/>
    <w:rsid w:val="00CC233B"/>
    <w:rsid w:val="00CC749B"/>
    <w:rsid w:val="00CD02E0"/>
    <w:rsid w:val="00CD056E"/>
    <w:rsid w:val="00CD0B50"/>
    <w:rsid w:val="00CD1405"/>
    <w:rsid w:val="00CD518F"/>
    <w:rsid w:val="00CD742C"/>
    <w:rsid w:val="00CE192F"/>
    <w:rsid w:val="00CE2A7F"/>
    <w:rsid w:val="00CE3610"/>
    <w:rsid w:val="00CE5CE6"/>
    <w:rsid w:val="00CF00CF"/>
    <w:rsid w:val="00CF24CD"/>
    <w:rsid w:val="00CF2922"/>
    <w:rsid w:val="00CF3D00"/>
    <w:rsid w:val="00CF4EF2"/>
    <w:rsid w:val="00CF5221"/>
    <w:rsid w:val="00CF5822"/>
    <w:rsid w:val="00CF5841"/>
    <w:rsid w:val="00CF5A9B"/>
    <w:rsid w:val="00CF61A2"/>
    <w:rsid w:val="00CF6672"/>
    <w:rsid w:val="00D01B92"/>
    <w:rsid w:val="00D03343"/>
    <w:rsid w:val="00D03A5F"/>
    <w:rsid w:val="00D03C40"/>
    <w:rsid w:val="00D04489"/>
    <w:rsid w:val="00D049A7"/>
    <w:rsid w:val="00D04F6A"/>
    <w:rsid w:val="00D07CCC"/>
    <w:rsid w:val="00D07E6A"/>
    <w:rsid w:val="00D11E74"/>
    <w:rsid w:val="00D11FEB"/>
    <w:rsid w:val="00D13DED"/>
    <w:rsid w:val="00D144A4"/>
    <w:rsid w:val="00D20423"/>
    <w:rsid w:val="00D20698"/>
    <w:rsid w:val="00D20F99"/>
    <w:rsid w:val="00D22308"/>
    <w:rsid w:val="00D22435"/>
    <w:rsid w:val="00D23711"/>
    <w:rsid w:val="00D25823"/>
    <w:rsid w:val="00D2649F"/>
    <w:rsid w:val="00D2742F"/>
    <w:rsid w:val="00D309E0"/>
    <w:rsid w:val="00D34D79"/>
    <w:rsid w:val="00D36CA4"/>
    <w:rsid w:val="00D37896"/>
    <w:rsid w:val="00D400D4"/>
    <w:rsid w:val="00D4181C"/>
    <w:rsid w:val="00D41A30"/>
    <w:rsid w:val="00D469E3"/>
    <w:rsid w:val="00D50A41"/>
    <w:rsid w:val="00D52ABB"/>
    <w:rsid w:val="00D5313C"/>
    <w:rsid w:val="00D532DC"/>
    <w:rsid w:val="00D53C2C"/>
    <w:rsid w:val="00D53C62"/>
    <w:rsid w:val="00D6078A"/>
    <w:rsid w:val="00D62F5A"/>
    <w:rsid w:val="00D63557"/>
    <w:rsid w:val="00D63B71"/>
    <w:rsid w:val="00D63E4A"/>
    <w:rsid w:val="00D63E9B"/>
    <w:rsid w:val="00D71C75"/>
    <w:rsid w:val="00D76AAD"/>
    <w:rsid w:val="00D76DCC"/>
    <w:rsid w:val="00D82A70"/>
    <w:rsid w:val="00D82B55"/>
    <w:rsid w:val="00D83702"/>
    <w:rsid w:val="00D838C4"/>
    <w:rsid w:val="00D85B99"/>
    <w:rsid w:val="00D863D3"/>
    <w:rsid w:val="00D94124"/>
    <w:rsid w:val="00D96355"/>
    <w:rsid w:val="00D9659F"/>
    <w:rsid w:val="00D96BC4"/>
    <w:rsid w:val="00D96DF5"/>
    <w:rsid w:val="00D97D6D"/>
    <w:rsid w:val="00DA01F4"/>
    <w:rsid w:val="00DA0F8B"/>
    <w:rsid w:val="00DA41AF"/>
    <w:rsid w:val="00DA4C8E"/>
    <w:rsid w:val="00DA704B"/>
    <w:rsid w:val="00DB4FE0"/>
    <w:rsid w:val="00DB5EFB"/>
    <w:rsid w:val="00DB75E1"/>
    <w:rsid w:val="00DC60E2"/>
    <w:rsid w:val="00DC61A2"/>
    <w:rsid w:val="00DD0B05"/>
    <w:rsid w:val="00DD0B73"/>
    <w:rsid w:val="00DD139E"/>
    <w:rsid w:val="00DD3FFE"/>
    <w:rsid w:val="00DD4DA6"/>
    <w:rsid w:val="00DD5BC5"/>
    <w:rsid w:val="00DD7AA4"/>
    <w:rsid w:val="00DE0BB6"/>
    <w:rsid w:val="00DE1C7B"/>
    <w:rsid w:val="00DE33B8"/>
    <w:rsid w:val="00DE370C"/>
    <w:rsid w:val="00DE48BE"/>
    <w:rsid w:val="00DE4ACD"/>
    <w:rsid w:val="00DE5489"/>
    <w:rsid w:val="00DF25A4"/>
    <w:rsid w:val="00DF32C0"/>
    <w:rsid w:val="00DF40F8"/>
    <w:rsid w:val="00DF4AC7"/>
    <w:rsid w:val="00DF568A"/>
    <w:rsid w:val="00DF5E31"/>
    <w:rsid w:val="00DF5EF4"/>
    <w:rsid w:val="00DF72F3"/>
    <w:rsid w:val="00E00230"/>
    <w:rsid w:val="00E003B7"/>
    <w:rsid w:val="00E00442"/>
    <w:rsid w:val="00E00E90"/>
    <w:rsid w:val="00E015B8"/>
    <w:rsid w:val="00E02445"/>
    <w:rsid w:val="00E02F88"/>
    <w:rsid w:val="00E043C4"/>
    <w:rsid w:val="00E047E9"/>
    <w:rsid w:val="00E0521D"/>
    <w:rsid w:val="00E067C5"/>
    <w:rsid w:val="00E074E3"/>
    <w:rsid w:val="00E12CA3"/>
    <w:rsid w:val="00E13B7B"/>
    <w:rsid w:val="00E142EC"/>
    <w:rsid w:val="00E146EF"/>
    <w:rsid w:val="00E158DF"/>
    <w:rsid w:val="00E16C3B"/>
    <w:rsid w:val="00E2037B"/>
    <w:rsid w:val="00E219F5"/>
    <w:rsid w:val="00E2203D"/>
    <w:rsid w:val="00E220AD"/>
    <w:rsid w:val="00E222BB"/>
    <w:rsid w:val="00E22517"/>
    <w:rsid w:val="00E23F30"/>
    <w:rsid w:val="00E26258"/>
    <w:rsid w:val="00E26A33"/>
    <w:rsid w:val="00E27FFC"/>
    <w:rsid w:val="00E335F8"/>
    <w:rsid w:val="00E33CB4"/>
    <w:rsid w:val="00E3454D"/>
    <w:rsid w:val="00E352D8"/>
    <w:rsid w:val="00E36D56"/>
    <w:rsid w:val="00E377AA"/>
    <w:rsid w:val="00E404A7"/>
    <w:rsid w:val="00E41613"/>
    <w:rsid w:val="00E4166F"/>
    <w:rsid w:val="00E41BB3"/>
    <w:rsid w:val="00E42966"/>
    <w:rsid w:val="00E453FE"/>
    <w:rsid w:val="00E47313"/>
    <w:rsid w:val="00E47E16"/>
    <w:rsid w:val="00E52B88"/>
    <w:rsid w:val="00E53B43"/>
    <w:rsid w:val="00E53BC4"/>
    <w:rsid w:val="00E54558"/>
    <w:rsid w:val="00E55296"/>
    <w:rsid w:val="00E603BE"/>
    <w:rsid w:val="00E61871"/>
    <w:rsid w:val="00E61C1E"/>
    <w:rsid w:val="00E61E3D"/>
    <w:rsid w:val="00E61F16"/>
    <w:rsid w:val="00E65C58"/>
    <w:rsid w:val="00E66186"/>
    <w:rsid w:val="00E6688E"/>
    <w:rsid w:val="00E67755"/>
    <w:rsid w:val="00E67830"/>
    <w:rsid w:val="00E67A45"/>
    <w:rsid w:val="00E721A2"/>
    <w:rsid w:val="00E72CDA"/>
    <w:rsid w:val="00E7505C"/>
    <w:rsid w:val="00E76BD1"/>
    <w:rsid w:val="00E77098"/>
    <w:rsid w:val="00E7793C"/>
    <w:rsid w:val="00E7793E"/>
    <w:rsid w:val="00E7794B"/>
    <w:rsid w:val="00E77A8F"/>
    <w:rsid w:val="00E804F0"/>
    <w:rsid w:val="00E845EB"/>
    <w:rsid w:val="00E8474D"/>
    <w:rsid w:val="00E86A7C"/>
    <w:rsid w:val="00E87046"/>
    <w:rsid w:val="00E87FB2"/>
    <w:rsid w:val="00E91877"/>
    <w:rsid w:val="00E932E8"/>
    <w:rsid w:val="00E9569E"/>
    <w:rsid w:val="00E959BD"/>
    <w:rsid w:val="00E96851"/>
    <w:rsid w:val="00EA0351"/>
    <w:rsid w:val="00EA1307"/>
    <w:rsid w:val="00EA151B"/>
    <w:rsid w:val="00EA1694"/>
    <w:rsid w:val="00EA1EB8"/>
    <w:rsid w:val="00EA28DD"/>
    <w:rsid w:val="00EA2ADC"/>
    <w:rsid w:val="00EA3777"/>
    <w:rsid w:val="00EA3B04"/>
    <w:rsid w:val="00EA45A4"/>
    <w:rsid w:val="00EA528F"/>
    <w:rsid w:val="00EA55C2"/>
    <w:rsid w:val="00EA759A"/>
    <w:rsid w:val="00EA7FE4"/>
    <w:rsid w:val="00EB06DD"/>
    <w:rsid w:val="00EB11E2"/>
    <w:rsid w:val="00EB3121"/>
    <w:rsid w:val="00EB59D0"/>
    <w:rsid w:val="00EB648A"/>
    <w:rsid w:val="00EB6C95"/>
    <w:rsid w:val="00EB6E90"/>
    <w:rsid w:val="00EB71B3"/>
    <w:rsid w:val="00EC103F"/>
    <w:rsid w:val="00EC10EC"/>
    <w:rsid w:val="00EC18A9"/>
    <w:rsid w:val="00EC1E11"/>
    <w:rsid w:val="00EC2608"/>
    <w:rsid w:val="00EC2DD4"/>
    <w:rsid w:val="00EC2FD2"/>
    <w:rsid w:val="00EC388A"/>
    <w:rsid w:val="00EC3C48"/>
    <w:rsid w:val="00EC4A7C"/>
    <w:rsid w:val="00EC4CF4"/>
    <w:rsid w:val="00EC5DBC"/>
    <w:rsid w:val="00EC6A9E"/>
    <w:rsid w:val="00EC6B89"/>
    <w:rsid w:val="00ED095C"/>
    <w:rsid w:val="00ED1496"/>
    <w:rsid w:val="00ED257F"/>
    <w:rsid w:val="00ED2F3F"/>
    <w:rsid w:val="00ED343A"/>
    <w:rsid w:val="00ED364A"/>
    <w:rsid w:val="00ED38DD"/>
    <w:rsid w:val="00ED3FA9"/>
    <w:rsid w:val="00ED3FB1"/>
    <w:rsid w:val="00ED62C9"/>
    <w:rsid w:val="00ED6823"/>
    <w:rsid w:val="00ED68C9"/>
    <w:rsid w:val="00ED68F5"/>
    <w:rsid w:val="00ED7690"/>
    <w:rsid w:val="00EE137A"/>
    <w:rsid w:val="00EE1A08"/>
    <w:rsid w:val="00EE22E1"/>
    <w:rsid w:val="00EE3199"/>
    <w:rsid w:val="00EE34D1"/>
    <w:rsid w:val="00EF1053"/>
    <w:rsid w:val="00EF142F"/>
    <w:rsid w:val="00EF21BC"/>
    <w:rsid w:val="00EF22DA"/>
    <w:rsid w:val="00EF3B04"/>
    <w:rsid w:val="00EF431B"/>
    <w:rsid w:val="00EF4920"/>
    <w:rsid w:val="00EF4D25"/>
    <w:rsid w:val="00EF72B0"/>
    <w:rsid w:val="00EF7E8F"/>
    <w:rsid w:val="00F00C40"/>
    <w:rsid w:val="00F00CD5"/>
    <w:rsid w:val="00F010D9"/>
    <w:rsid w:val="00F01245"/>
    <w:rsid w:val="00F03EE5"/>
    <w:rsid w:val="00F04A79"/>
    <w:rsid w:val="00F05DE8"/>
    <w:rsid w:val="00F06310"/>
    <w:rsid w:val="00F12F9E"/>
    <w:rsid w:val="00F138D2"/>
    <w:rsid w:val="00F15297"/>
    <w:rsid w:val="00F20732"/>
    <w:rsid w:val="00F21CF6"/>
    <w:rsid w:val="00F228CA"/>
    <w:rsid w:val="00F23427"/>
    <w:rsid w:val="00F26EAA"/>
    <w:rsid w:val="00F30D37"/>
    <w:rsid w:val="00F334DB"/>
    <w:rsid w:val="00F338AF"/>
    <w:rsid w:val="00F338B8"/>
    <w:rsid w:val="00F33FA5"/>
    <w:rsid w:val="00F37E2C"/>
    <w:rsid w:val="00F413E2"/>
    <w:rsid w:val="00F426EE"/>
    <w:rsid w:val="00F43176"/>
    <w:rsid w:val="00F43699"/>
    <w:rsid w:val="00F440D6"/>
    <w:rsid w:val="00F4413E"/>
    <w:rsid w:val="00F4439D"/>
    <w:rsid w:val="00F44CFD"/>
    <w:rsid w:val="00F456C2"/>
    <w:rsid w:val="00F4570D"/>
    <w:rsid w:val="00F45B0C"/>
    <w:rsid w:val="00F5180C"/>
    <w:rsid w:val="00F51B36"/>
    <w:rsid w:val="00F521F4"/>
    <w:rsid w:val="00F54121"/>
    <w:rsid w:val="00F548F8"/>
    <w:rsid w:val="00F54AC6"/>
    <w:rsid w:val="00F57008"/>
    <w:rsid w:val="00F57B09"/>
    <w:rsid w:val="00F6176E"/>
    <w:rsid w:val="00F61E91"/>
    <w:rsid w:val="00F73987"/>
    <w:rsid w:val="00F75DFC"/>
    <w:rsid w:val="00F7694A"/>
    <w:rsid w:val="00F80721"/>
    <w:rsid w:val="00F80CD3"/>
    <w:rsid w:val="00F80FDF"/>
    <w:rsid w:val="00F86B8A"/>
    <w:rsid w:val="00F86FC4"/>
    <w:rsid w:val="00F8787B"/>
    <w:rsid w:val="00F87E94"/>
    <w:rsid w:val="00F87F9C"/>
    <w:rsid w:val="00F910E1"/>
    <w:rsid w:val="00F91229"/>
    <w:rsid w:val="00F916F6"/>
    <w:rsid w:val="00F92145"/>
    <w:rsid w:val="00F93CB3"/>
    <w:rsid w:val="00F94C2A"/>
    <w:rsid w:val="00F94E39"/>
    <w:rsid w:val="00F95CFC"/>
    <w:rsid w:val="00F96E87"/>
    <w:rsid w:val="00F97925"/>
    <w:rsid w:val="00F97DD0"/>
    <w:rsid w:val="00FA15F2"/>
    <w:rsid w:val="00FA26A0"/>
    <w:rsid w:val="00FA2D8D"/>
    <w:rsid w:val="00FA3B4C"/>
    <w:rsid w:val="00FA424D"/>
    <w:rsid w:val="00FA54B3"/>
    <w:rsid w:val="00FA59CF"/>
    <w:rsid w:val="00FA5DC5"/>
    <w:rsid w:val="00FA6E4F"/>
    <w:rsid w:val="00FA70A7"/>
    <w:rsid w:val="00FB0D80"/>
    <w:rsid w:val="00FB1992"/>
    <w:rsid w:val="00FB1F67"/>
    <w:rsid w:val="00FB4BB4"/>
    <w:rsid w:val="00FB55BD"/>
    <w:rsid w:val="00FC3975"/>
    <w:rsid w:val="00FC4E86"/>
    <w:rsid w:val="00FC53F3"/>
    <w:rsid w:val="00FC6F59"/>
    <w:rsid w:val="00FD0C75"/>
    <w:rsid w:val="00FD0C89"/>
    <w:rsid w:val="00FD125F"/>
    <w:rsid w:val="00FD188C"/>
    <w:rsid w:val="00FD2807"/>
    <w:rsid w:val="00FD2E83"/>
    <w:rsid w:val="00FD3305"/>
    <w:rsid w:val="00FD49E9"/>
    <w:rsid w:val="00FD593C"/>
    <w:rsid w:val="00FD6185"/>
    <w:rsid w:val="00FE05A8"/>
    <w:rsid w:val="00FE09D2"/>
    <w:rsid w:val="00FE49AA"/>
    <w:rsid w:val="00FF26F3"/>
    <w:rsid w:val="00FF2D34"/>
    <w:rsid w:val="00FF4113"/>
    <w:rsid w:val="00FF4458"/>
    <w:rsid w:val="00FF4652"/>
    <w:rsid w:val="00FF6786"/>
    <w:rsid w:val="00FF6EB2"/>
    <w:rsid w:val="00FF74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F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79A"/>
    <w:rPr>
      <w:sz w:val="24"/>
      <w:szCs w:val="24"/>
      <w:lang w:eastAsia="bg-BG"/>
    </w:rPr>
  </w:style>
  <w:style w:type="paragraph" w:styleId="Heading1">
    <w:name w:val="heading 1"/>
    <w:basedOn w:val="Normal"/>
    <w:next w:val="Normal"/>
    <w:qFormat/>
    <w:rsid w:val="000B2EB1"/>
    <w:pPr>
      <w:keepNext/>
      <w:ind w:firstLine="3544"/>
      <w:outlineLvl w:val="0"/>
    </w:pPr>
    <w:rPr>
      <w:b/>
      <w:sz w:val="28"/>
      <w:szCs w:val="20"/>
      <w:lang w:eastAsia="en-US"/>
    </w:rPr>
  </w:style>
  <w:style w:type="paragraph" w:styleId="Heading4">
    <w:name w:val="heading 4"/>
    <w:basedOn w:val="Normal"/>
    <w:next w:val="Normal"/>
    <w:link w:val="Heading4Char"/>
    <w:semiHidden/>
    <w:unhideWhenUsed/>
    <w:qFormat/>
    <w:rsid w:val="007B4C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94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6851"/>
    <w:pPr>
      <w:tabs>
        <w:tab w:val="center" w:pos="4536"/>
        <w:tab w:val="right" w:pos="9072"/>
      </w:tabs>
    </w:pPr>
  </w:style>
  <w:style w:type="character" w:styleId="PageNumber">
    <w:name w:val="page number"/>
    <w:basedOn w:val="DefaultParagraphFont"/>
    <w:rsid w:val="00E96851"/>
  </w:style>
  <w:style w:type="paragraph" w:styleId="Header">
    <w:name w:val="header"/>
    <w:aliases w:val="Header Char,Header Char2 Char,Header Char1 Char1 Char,Header Char Char Char1 Char,Header Char1 Char Char Char Char,Header Char Char Char Char Char Char,Header Char Char1 Char,Header Char1 Char Char1 Char,Header Char Char Char Char1 Char"/>
    <w:basedOn w:val="Normal"/>
    <w:link w:val="HeaderChar1"/>
    <w:rsid w:val="00E96851"/>
    <w:pPr>
      <w:tabs>
        <w:tab w:val="center" w:pos="4536"/>
        <w:tab w:val="right" w:pos="9072"/>
      </w:tabs>
    </w:pPr>
  </w:style>
  <w:style w:type="paragraph" w:styleId="BodyTextIndent">
    <w:name w:val="Body Text Indent"/>
    <w:basedOn w:val="Normal"/>
    <w:rsid w:val="000B2EB1"/>
    <w:pPr>
      <w:ind w:left="720" w:firstLine="720"/>
    </w:pPr>
    <w:rPr>
      <w:szCs w:val="20"/>
      <w:lang w:eastAsia="en-US"/>
    </w:rPr>
  </w:style>
  <w:style w:type="paragraph" w:styleId="Title">
    <w:name w:val="Title"/>
    <w:basedOn w:val="Normal"/>
    <w:qFormat/>
    <w:rsid w:val="000B2EB1"/>
    <w:pPr>
      <w:spacing w:before="240" w:after="60"/>
      <w:jc w:val="center"/>
      <w:outlineLvl w:val="0"/>
    </w:pPr>
    <w:rPr>
      <w:rFonts w:ascii="Arial" w:hAnsi="Arial" w:cs="Arial"/>
      <w:b/>
      <w:bCs/>
      <w:kern w:val="28"/>
      <w:sz w:val="32"/>
      <w:szCs w:val="32"/>
      <w:lang w:eastAsia="en-US"/>
    </w:rPr>
  </w:style>
  <w:style w:type="paragraph" w:styleId="Subtitle">
    <w:name w:val="Subtitle"/>
    <w:basedOn w:val="Normal"/>
    <w:qFormat/>
    <w:rsid w:val="000B2EB1"/>
    <w:pPr>
      <w:spacing w:after="60"/>
      <w:jc w:val="center"/>
      <w:outlineLvl w:val="1"/>
    </w:pPr>
    <w:rPr>
      <w:rFonts w:ascii="Arial" w:hAnsi="Arial" w:cs="Arial"/>
      <w:lang w:eastAsia="en-US"/>
    </w:rPr>
  </w:style>
  <w:style w:type="character" w:styleId="Hyperlink">
    <w:name w:val="Hyperlink"/>
    <w:rsid w:val="006D7E56"/>
    <w:rPr>
      <w:color w:val="0000FF"/>
      <w:u w:val="single"/>
    </w:rPr>
  </w:style>
  <w:style w:type="character" w:customStyle="1" w:styleId="HeaderChar1">
    <w:name w:val="Header Char1"/>
    <w:aliases w:val="Header Char Char,Header Char2 Char Char,Header Char1 Char1 Char Char,Header Char Char Char1 Char Char,Header Char1 Char Char Char Char Char,Header Char Char Char Char Char Char Char,Header Char Char1 Char Char"/>
    <w:link w:val="Header"/>
    <w:locked/>
    <w:rsid w:val="004B2E13"/>
    <w:rPr>
      <w:sz w:val="24"/>
      <w:szCs w:val="24"/>
      <w:lang w:val="bg-BG" w:eastAsia="bg-BG" w:bidi="ar-SA"/>
    </w:rPr>
  </w:style>
  <w:style w:type="paragraph" w:styleId="BalloonText">
    <w:name w:val="Balloon Text"/>
    <w:basedOn w:val="Normal"/>
    <w:semiHidden/>
    <w:rsid w:val="00A32258"/>
    <w:rPr>
      <w:rFonts w:ascii="Tahoma" w:hAnsi="Tahoma" w:cs="Tahoma"/>
      <w:sz w:val="16"/>
      <w:szCs w:val="16"/>
    </w:rPr>
  </w:style>
  <w:style w:type="character" w:customStyle="1" w:styleId="samedocreference1">
    <w:name w:val="samedocreference1"/>
    <w:rsid w:val="00E41613"/>
    <w:rPr>
      <w:i w:val="0"/>
      <w:iCs w:val="0"/>
      <w:color w:val="8B0000"/>
      <w:u w:val="single"/>
    </w:rPr>
  </w:style>
  <w:style w:type="character" w:customStyle="1" w:styleId="newdocreference1">
    <w:name w:val="newdocreference1"/>
    <w:rsid w:val="0076408A"/>
    <w:rPr>
      <w:i w:val="0"/>
      <w:iCs w:val="0"/>
      <w:color w:val="0000FF"/>
      <w:u w:val="single"/>
    </w:rPr>
  </w:style>
  <w:style w:type="paragraph" w:styleId="BodyText">
    <w:name w:val="Body Text"/>
    <w:basedOn w:val="Normal"/>
    <w:link w:val="BodyTextChar"/>
    <w:rsid w:val="000632EC"/>
    <w:pPr>
      <w:spacing w:after="120"/>
    </w:pPr>
  </w:style>
  <w:style w:type="character" w:customStyle="1" w:styleId="BodyTextChar">
    <w:name w:val="Body Text Char"/>
    <w:link w:val="BodyText"/>
    <w:rsid w:val="000632EC"/>
    <w:rPr>
      <w:sz w:val="24"/>
      <w:szCs w:val="24"/>
      <w:lang w:val="bg-BG" w:eastAsia="bg-BG"/>
    </w:rPr>
  </w:style>
  <w:style w:type="character" w:styleId="Strong">
    <w:name w:val="Strong"/>
    <w:uiPriority w:val="22"/>
    <w:qFormat/>
    <w:rsid w:val="005A1896"/>
    <w:rPr>
      <w:b/>
      <w:bCs/>
    </w:rPr>
  </w:style>
  <w:style w:type="character" w:styleId="Emphasis">
    <w:name w:val="Emphasis"/>
    <w:uiPriority w:val="20"/>
    <w:qFormat/>
    <w:rsid w:val="005A1896"/>
    <w:rPr>
      <w:i/>
      <w:iCs/>
    </w:rPr>
  </w:style>
  <w:style w:type="character" w:customStyle="1" w:styleId="ldef1">
    <w:name w:val="ldef1"/>
    <w:rsid w:val="00AE3244"/>
    <w:rPr>
      <w:rFonts w:ascii="Times New Roman" w:hAnsi="Times New Roman" w:cs="Times New Roman" w:hint="default"/>
      <w:color w:val="000000"/>
      <w:sz w:val="24"/>
      <w:szCs w:val="24"/>
    </w:rPr>
  </w:style>
  <w:style w:type="character" w:customStyle="1" w:styleId="FooterChar">
    <w:name w:val="Footer Char"/>
    <w:basedOn w:val="DefaultParagraphFont"/>
    <w:link w:val="Footer"/>
    <w:uiPriority w:val="99"/>
    <w:rsid w:val="00AF12B7"/>
    <w:rPr>
      <w:sz w:val="24"/>
      <w:szCs w:val="24"/>
      <w:lang w:eastAsia="bg-BG"/>
    </w:rPr>
  </w:style>
  <w:style w:type="paragraph" w:styleId="ListParagraph">
    <w:name w:val="List Paragraph"/>
    <w:basedOn w:val="Normal"/>
    <w:uiPriority w:val="1"/>
    <w:qFormat/>
    <w:rsid w:val="00022060"/>
    <w:pPr>
      <w:ind w:left="720"/>
      <w:contextualSpacing/>
    </w:pPr>
  </w:style>
  <w:style w:type="character" w:customStyle="1" w:styleId="Heading4Char">
    <w:name w:val="Heading 4 Char"/>
    <w:basedOn w:val="DefaultParagraphFont"/>
    <w:link w:val="Heading4"/>
    <w:semiHidden/>
    <w:rsid w:val="007B4CFC"/>
    <w:rPr>
      <w:rFonts w:asciiTheme="majorHAnsi" w:eastAsiaTheme="majorEastAsia" w:hAnsiTheme="majorHAnsi" w:cstheme="majorBidi"/>
      <w:b/>
      <w:bCs/>
      <w:i/>
      <w:iCs/>
      <w:color w:val="4F81BD" w:themeColor="accent1"/>
      <w:sz w:val="24"/>
      <w:szCs w:val="24"/>
      <w:lang w:eastAsia="bg-BG"/>
    </w:rPr>
  </w:style>
  <w:style w:type="paragraph" w:styleId="NormalWeb">
    <w:name w:val="Normal (Web)"/>
    <w:basedOn w:val="Normal"/>
    <w:uiPriority w:val="99"/>
    <w:unhideWhenUsed/>
    <w:rsid w:val="004739E7"/>
    <w:pPr>
      <w:spacing w:before="100" w:beforeAutospacing="1" w:after="100" w:afterAutospacing="1"/>
    </w:pPr>
    <w:rPr>
      <w:lang w:val="en-US" w:eastAsia="en-US"/>
    </w:rPr>
  </w:style>
  <w:style w:type="paragraph" w:customStyle="1" w:styleId="TableParagraph">
    <w:name w:val="Table Paragraph"/>
    <w:basedOn w:val="Normal"/>
    <w:uiPriority w:val="1"/>
    <w:qFormat/>
    <w:rsid w:val="00E219F5"/>
    <w:pPr>
      <w:widowControl w:val="0"/>
      <w:autoSpaceDE w:val="0"/>
      <w:autoSpaceDN w:val="0"/>
      <w:spacing w:line="256" w:lineRule="exact"/>
      <w:jc w:val="center"/>
    </w:pPr>
    <w:rPr>
      <w:sz w:val="22"/>
      <w:szCs w:val="22"/>
      <w:lang w:eastAsia="en-US"/>
    </w:rPr>
  </w:style>
  <w:style w:type="character" w:customStyle="1" w:styleId="cursorpointer">
    <w:name w:val="cursorpointer"/>
    <w:basedOn w:val="DefaultParagraphFont"/>
    <w:rsid w:val="00ED1496"/>
  </w:style>
  <w:style w:type="paragraph" w:customStyle="1" w:styleId="Default">
    <w:name w:val="Default"/>
    <w:rsid w:val="00DF32C0"/>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19192E"/>
    <w:rPr>
      <w:sz w:val="16"/>
      <w:szCs w:val="16"/>
    </w:rPr>
  </w:style>
  <w:style w:type="paragraph" w:styleId="CommentText">
    <w:name w:val="annotation text"/>
    <w:basedOn w:val="Normal"/>
    <w:link w:val="CommentTextChar"/>
    <w:uiPriority w:val="99"/>
    <w:unhideWhenUsed/>
    <w:rsid w:val="0019192E"/>
    <w:pPr>
      <w:spacing w:after="160"/>
    </w:pPr>
    <w:rPr>
      <w:rFonts w:asciiTheme="minorHAnsi" w:eastAsiaTheme="minorEastAsia"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19192E"/>
    <w:rPr>
      <w:rFonts w:asciiTheme="minorHAnsi" w:eastAsiaTheme="minorEastAsia" w:hAnsiTheme="minorHAnsi" w:cstheme="minorBidi"/>
      <w:lang w:val="en-US" w:eastAsia="en-US"/>
    </w:rPr>
  </w:style>
  <w:style w:type="character" w:styleId="FollowedHyperlink">
    <w:name w:val="FollowedHyperlink"/>
    <w:basedOn w:val="DefaultParagraphFont"/>
    <w:semiHidden/>
    <w:unhideWhenUsed/>
    <w:rsid w:val="00937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15">
      <w:bodyDiv w:val="1"/>
      <w:marLeft w:val="0"/>
      <w:marRight w:val="0"/>
      <w:marTop w:val="0"/>
      <w:marBottom w:val="0"/>
      <w:divBdr>
        <w:top w:val="none" w:sz="0" w:space="0" w:color="auto"/>
        <w:left w:val="none" w:sz="0" w:space="0" w:color="auto"/>
        <w:bottom w:val="none" w:sz="0" w:space="0" w:color="auto"/>
        <w:right w:val="none" w:sz="0" w:space="0" w:color="auto"/>
      </w:divBdr>
      <w:divsChild>
        <w:div w:id="1687975567">
          <w:marLeft w:val="0"/>
          <w:marRight w:val="0"/>
          <w:marTop w:val="0"/>
          <w:marBottom w:val="120"/>
          <w:divBdr>
            <w:top w:val="none" w:sz="0" w:space="0" w:color="auto"/>
            <w:left w:val="none" w:sz="0" w:space="0" w:color="auto"/>
            <w:bottom w:val="none" w:sz="0" w:space="0" w:color="auto"/>
            <w:right w:val="none" w:sz="0" w:space="0" w:color="auto"/>
          </w:divBdr>
          <w:divsChild>
            <w:div w:id="8987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9176">
      <w:bodyDiv w:val="1"/>
      <w:marLeft w:val="0"/>
      <w:marRight w:val="0"/>
      <w:marTop w:val="0"/>
      <w:marBottom w:val="0"/>
      <w:divBdr>
        <w:top w:val="none" w:sz="0" w:space="0" w:color="auto"/>
        <w:left w:val="none" w:sz="0" w:space="0" w:color="auto"/>
        <w:bottom w:val="none" w:sz="0" w:space="0" w:color="auto"/>
        <w:right w:val="none" w:sz="0" w:space="0" w:color="auto"/>
      </w:divBdr>
      <w:divsChild>
        <w:div w:id="967053671">
          <w:marLeft w:val="0"/>
          <w:marRight w:val="0"/>
          <w:marTop w:val="0"/>
          <w:marBottom w:val="0"/>
          <w:divBdr>
            <w:top w:val="none" w:sz="0" w:space="0" w:color="auto"/>
            <w:left w:val="none" w:sz="0" w:space="0" w:color="auto"/>
            <w:bottom w:val="none" w:sz="0" w:space="0" w:color="auto"/>
            <w:right w:val="none" w:sz="0" w:space="0" w:color="auto"/>
          </w:divBdr>
        </w:div>
        <w:div w:id="735903870">
          <w:marLeft w:val="0"/>
          <w:marRight w:val="0"/>
          <w:marTop w:val="0"/>
          <w:marBottom w:val="0"/>
          <w:divBdr>
            <w:top w:val="none" w:sz="0" w:space="0" w:color="auto"/>
            <w:left w:val="none" w:sz="0" w:space="0" w:color="auto"/>
            <w:bottom w:val="none" w:sz="0" w:space="0" w:color="auto"/>
            <w:right w:val="none" w:sz="0" w:space="0" w:color="auto"/>
          </w:divBdr>
        </w:div>
        <w:div w:id="2086605958">
          <w:marLeft w:val="0"/>
          <w:marRight w:val="0"/>
          <w:marTop w:val="0"/>
          <w:marBottom w:val="0"/>
          <w:divBdr>
            <w:top w:val="none" w:sz="0" w:space="0" w:color="auto"/>
            <w:left w:val="none" w:sz="0" w:space="0" w:color="auto"/>
            <w:bottom w:val="none" w:sz="0" w:space="0" w:color="auto"/>
            <w:right w:val="none" w:sz="0" w:space="0" w:color="auto"/>
          </w:divBdr>
        </w:div>
        <w:div w:id="1700621787">
          <w:marLeft w:val="0"/>
          <w:marRight w:val="0"/>
          <w:marTop w:val="0"/>
          <w:marBottom w:val="0"/>
          <w:divBdr>
            <w:top w:val="none" w:sz="0" w:space="0" w:color="auto"/>
            <w:left w:val="none" w:sz="0" w:space="0" w:color="auto"/>
            <w:bottom w:val="none" w:sz="0" w:space="0" w:color="auto"/>
            <w:right w:val="none" w:sz="0" w:space="0" w:color="auto"/>
          </w:divBdr>
        </w:div>
        <w:div w:id="141235504">
          <w:marLeft w:val="0"/>
          <w:marRight w:val="0"/>
          <w:marTop w:val="0"/>
          <w:marBottom w:val="0"/>
          <w:divBdr>
            <w:top w:val="none" w:sz="0" w:space="0" w:color="auto"/>
            <w:left w:val="none" w:sz="0" w:space="0" w:color="auto"/>
            <w:bottom w:val="none" w:sz="0" w:space="0" w:color="auto"/>
            <w:right w:val="none" w:sz="0" w:space="0" w:color="auto"/>
          </w:divBdr>
        </w:div>
        <w:div w:id="1486585083">
          <w:marLeft w:val="0"/>
          <w:marRight w:val="0"/>
          <w:marTop w:val="0"/>
          <w:marBottom w:val="0"/>
          <w:divBdr>
            <w:top w:val="none" w:sz="0" w:space="0" w:color="auto"/>
            <w:left w:val="none" w:sz="0" w:space="0" w:color="auto"/>
            <w:bottom w:val="none" w:sz="0" w:space="0" w:color="auto"/>
            <w:right w:val="none" w:sz="0" w:space="0" w:color="auto"/>
          </w:divBdr>
        </w:div>
        <w:div w:id="1155225914">
          <w:marLeft w:val="0"/>
          <w:marRight w:val="0"/>
          <w:marTop w:val="0"/>
          <w:marBottom w:val="0"/>
          <w:divBdr>
            <w:top w:val="none" w:sz="0" w:space="0" w:color="auto"/>
            <w:left w:val="none" w:sz="0" w:space="0" w:color="auto"/>
            <w:bottom w:val="none" w:sz="0" w:space="0" w:color="auto"/>
            <w:right w:val="none" w:sz="0" w:space="0" w:color="auto"/>
          </w:divBdr>
        </w:div>
        <w:div w:id="399907130">
          <w:marLeft w:val="0"/>
          <w:marRight w:val="0"/>
          <w:marTop w:val="0"/>
          <w:marBottom w:val="0"/>
          <w:divBdr>
            <w:top w:val="none" w:sz="0" w:space="0" w:color="auto"/>
            <w:left w:val="none" w:sz="0" w:space="0" w:color="auto"/>
            <w:bottom w:val="none" w:sz="0" w:space="0" w:color="auto"/>
            <w:right w:val="none" w:sz="0" w:space="0" w:color="auto"/>
          </w:divBdr>
        </w:div>
        <w:div w:id="1722317904">
          <w:marLeft w:val="0"/>
          <w:marRight w:val="0"/>
          <w:marTop w:val="0"/>
          <w:marBottom w:val="0"/>
          <w:divBdr>
            <w:top w:val="none" w:sz="0" w:space="0" w:color="auto"/>
            <w:left w:val="none" w:sz="0" w:space="0" w:color="auto"/>
            <w:bottom w:val="none" w:sz="0" w:space="0" w:color="auto"/>
            <w:right w:val="none" w:sz="0" w:space="0" w:color="auto"/>
          </w:divBdr>
        </w:div>
        <w:div w:id="948509823">
          <w:marLeft w:val="0"/>
          <w:marRight w:val="0"/>
          <w:marTop w:val="0"/>
          <w:marBottom w:val="0"/>
          <w:divBdr>
            <w:top w:val="none" w:sz="0" w:space="0" w:color="auto"/>
            <w:left w:val="none" w:sz="0" w:space="0" w:color="auto"/>
            <w:bottom w:val="none" w:sz="0" w:space="0" w:color="auto"/>
            <w:right w:val="none" w:sz="0" w:space="0" w:color="auto"/>
          </w:divBdr>
        </w:div>
        <w:div w:id="1148209473">
          <w:marLeft w:val="0"/>
          <w:marRight w:val="0"/>
          <w:marTop w:val="0"/>
          <w:marBottom w:val="0"/>
          <w:divBdr>
            <w:top w:val="none" w:sz="0" w:space="0" w:color="auto"/>
            <w:left w:val="none" w:sz="0" w:space="0" w:color="auto"/>
            <w:bottom w:val="none" w:sz="0" w:space="0" w:color="auto"/>
            <w:right w:val="none" w:sz="0" w:space="0" w:color="auto"/>
          </w:divBdr>
        </w:div>
        <w:div w:id="1538732719">
          <w:marLeft w:val="0"/>
          <w:marRight w:val="0"/>
          <w:marTop w:val="0"/>
          <w:marBottom w:val="0"/>
          <w:divBdr>
            <w:top w:val="none" w:sz="0" w:space="0" w:color="auto"/>
            <w:left w:val="none" w:sz="0" w:space="0" w:color="auto"/>
            <w:bottom w:val="none" w:sz="0" w:space="0" w:color="auto"/>
            <w:right w:val="none" w:sz="0" w:space="0" w:color="auto"/>
          </w:divBdr>
        </w:div>
        <w:div w:id="2119794530">
          <w:marLeft w:val="0"/>
          <w:marRight w:val="0"/>
          <w:marTop w:val="0"/>
          <w:marBottom w:val="0"/>
          <w:divBdr>
            <w:top w:val="none" w:sz="0" w:space="0" w:color="auto"/>
            <w:left w:val="none" w:sz="0" w:space="0" w:color="auto"/>
            <w:bottom w:val="none" w:sz="0" w:space="0" w:color="auto"/>
            <w:right w:val="none" w:sz="0" w:space="0" w:color="auto"/>
          </w:divBdr>
        </w:div>
        <w:div w:id="1868058019">
          <w:marLeft w:val="0"/>
          <w:marRight w:val="0"/>
          <w:marTop w:val="0"/>
          <w:marBottom w:val="0"/>
          <w:divBdr>
            <w:top w:val="none" w:sz="0" w:space="0" w:color="auto"/>
            <w:left w:val="none" w:sz="0" w:space="0" w:color="auto"/>
            <w:bottom w:val="none" w:sz="0" w:space="0" w:color="auto"/>
            <w:right w:val="none" w:sz="0" w:space="0" w:color="auto"/>
          </w:divBdr>
        </w:div>
        <w:div w:id="2081707230">
          <w:marLeft w:val="0"/>
          <w:marRight w:val="0"/>
          <w:marTop w:val="0"/>
          <w:marBottom w:val="0"/>
          <w:divBdr>
            <w:top w:val="none" w:sz="0" w:space="0" w:color="auto"/>
            <w:left w:val="none" w:sz="0" w:space="0" w:color="auto"/>
            <w:bottom w:val="none" w:sz="0" w:space="0" w:color="auto"/>
            <w:right w:val="none" w:sz="0" w:space="0" w:color="auto"/>
          </w:divBdr>
        </w:div>
        <w:div w:id="1923759429">
          <w:marLeft w:val="0"/>
          <w:marRight w:val="0"/>
          <w:marTop w:val="0"/>
          <w:marBottom w:val="0"/>
          <w:divBdr>
            <w:top w:val="none" w:sz="0" w:space="0" w:color="auto"/>
            <w:left w:val="none" w:sz="0" w:space="0" w:color="auto"/>
            <w:bottom w:val="none" w:sz="0" w:space="0" w:color="auto"/>
            <w:right w:val="none" w:sz="0" w:space="0" w:color="auto"/>
          </w:divBdr>
        </w:div>
        <w:div w:id="464355098">
          <w:marLeft w:val="0"/>
          <w:marRight w:val="0"/>
          <w:marTop w:val="0"/>
          <w:marBottom w:val="0"/>
          <w:divBdr>
            <w:top w:val="none" w:sz="0" w:space="0" w:color="auto"/>
            <w:left w:val="none" w:sz="0" w:space="0" w:color="auto"/>
            <w:bottom w:val="none" w:sz="0" w:space="0" w:color="auto"/>
            <w:right w:val="none" w:sz="0" w:space="0" w:color="auto"/>
          </w:divBdr>
        </w:div>
        <w:div w:id="1230530227">
          <w:marLeft w:val="0"/>
          <w:marRight w:val="0"/>
          <w:marTop w:val="0"/>
          <w:marBottom w:val="0"/>
          <w:divBdr>
            <w:top w:val="none" w:sz="0" w:space="0" w:color="auto"/>
            <w:left w:val="none" w:sz="0" w:space="0" w:color="auto"/>
            <w:bottom w:val="none" w:sz="0" w:space="0" w:color="auto"/>
            <w:right w:val="none" w:sz="0" w:space="0" w:color="auto"/>
          </w:divBdr>
        </w:div>
      </w:divsChild>
    </w:div>
    <w:div w:id="65802792">
      <w:bodyDiv w:val="1"/>
      <w:marLeft w:val="0"/>
      <w:marRight w:val="0"/>
      <w:marTop w:val="0"/>
      <w:marBottom w:val="0"/>
      <w:divBdr>
        <w:top w:val="none" w:sz="0" w:space="0" w:color="auto"/>
        <w:left w:val="none" w:sz="0" w:space="0" w:color="auto"/>
        <w:bottom w:val="none" w:sz="0" w:space="0" w:color="auto"/>
        <w:right w:val="none" w:sz="0" w:space="0" w:color="auto"/>
      </w:divBdr>
    </w:div>
    <w:div w:id="81147444">
      <w:bodyDiv w:val="1"/>
      <w:marLeft w:val="0"/>
      <w:marRight w:val="0"/>
      <w:marTop w:val="0"/>
      <w:marBottom w:val="0"/>
      <w:divBdr>
        <w:top w:val="none" w:sz="0" w:space="0" w:color="auto"/>
        <w:left w:val="none" w:sz="0" w:space="0" w:color="auto"/>
        <w:bottom w:val="none" w:sz="0" w:space="0" w:color="auto"/>
        <w:right w:val="none" w:sz="0" w:space="0" w:color="auto"/>
      </w:divBdr>
    </w:div>
    <w:div w:id="134640021">
      <w:bodyDiv w:val="1"/>
      <w:marLeft w:val="0"/>
      <w:marRight w:val="0"/>
      <w:marTop w:val="0"/>
      <w:marBottom w:val="0"/>
      <w:divBdr>
        <w:top w:val="none" w:sz="0" w:space="0" w:color="auto"/>
        <w:left w:val="none" w:sz="0" w:space="0" w:color="auto"/>
        <w:bottom w:val="none" w:sz="0" w:space="0" w:color="auto"/>
        <w:right w:val="none" w:sz="0" w:space="0" w:color="auto"/>
      </w:divBdr>
    </w:div>
    <w:div w:id="151222705">
      <w:bodyDiv w:val="1"/>
      <w:marLeft w:val="0"/>
      <w:marRight w:val="0"/>
      <w:marTop w:val="0"/>
      <w:marBottom w:val="0"/>
      <w:divBdr>
        <w:top w:val="none" w:sz="0" w:space="0" w:color="auto"/>
        <w:left w:val="none" w:sz="0" w:space="0" w:color="auto"/>
        <w:bottom w:val="none" w:sz="0" w:space="0" w:color="auto"/>
        <w:right w:val="none" w:sz="0" w:space="0" w:color="auto"/>
      </w:divBdr>
    </w:div>
    <w:div w:id="176119055">
      <w:bodyDiv w:val="1"/>
      <w:marLeft w:val="0"/>
      <w:marRight w:val="0"/>
      <w:marTop w:val="0"/>
      <w:marBottom w:val="0"/>
      <w:divBdr>
        <w:top w:val="none" w:sz="0" w:space="0" w:color="auto"/>
        <w:left w:val="none" w:sz="0" w:space="0" w:color="auto"/>
        <w:bottom w:val="none" w:sz="0" w:space="0" w:color="auto"/>
        <w:right w:val="none" w:sz="0" w:space="0" w:color="auto"/>
      </w:divBdr>
    </w:div>
    <w:div w:id="182474866">
      <w:bodyDiv w:val="1"/>
      <w:marLeft w:val="0"/>
      <w:marRight w:val="0"/>
      <w:marTop w:val="0"/>
      <w:marBottom w:val="0"/>
      <w:divBdr>
        <w:top w:val="none" w:sz="0" w:space="0" w:color="auto"/>
        <w:left w:val="none" w:sz="0" w:space="0" w:color="auto"/>
        <w:bottom w:val="none" w:sz="0" w:space="0" w:color="auto"/>
        <w:right w:val="none" w:sz="0" w:space="0" w:color="auto"/>
      </w:divBdr>
    </w:div>
    <w:div w:id="271474486">
      <w:bodyDiv w:val="1"/>
      <w:marLeft w:val="0"/>
      <w:marRight w:val="0"/>
      <w:marTop w:val="0"/>
      <w:marBottom w:val="0"/>
      <w:divBdr>
        <w:top w:val="none" w:sz="0" w:space="0" w:color="auto"/>
        <w:left w:val="none" w:sz="0" w:space="0" w:color="auto"/>
        <w:bottom w:val="none" w:sz="0" w:space="0" w:color="auto"/>
        <w:right w:val="none" w:sz="0" w:space="0" w:color="auto"/>
      </w:divBdr>
    </w:div>
    <w:div w:id="284654660">
      <w:bodyDiv w:val="1"/>
      <w:marLeft w:val="0"/>
      <w:marRight w:val="0"/>
      <w:marTop w:val="0"/>
      <w:marBottom w:val="0"/>
      <w:divBdr>
        <w:top w:val="none" w:sz="0" w:space="0" w:color="auto"/>
        <w:left w:val="none" w:sz="0" w:space="0" w:color="auto"/>
        <w:bottom w:val="none" w:sz="0" w:space="0" w:color="auto"/>
        <w:right w:val="none" w:sz="0" w:space="0" w:color="auto"/>
      </w:divBdr>
    </w:div>
    <w:div w:id="295990532">
      <w:bodyDiv w:val="1"/>
      <w:marLeft w:val="0"/>
      <w:marRight w:val="0"/>
      <w:marTop w:val="0"/>
      <w:marBottom w:val="0"/>
      <w:divBdr>
        <w:top w:val="none" w:sz="0" w:space="0" w:color="auto"/>
        <w:left w:val="none" w:sz="0" w:space="0" w:color="auto"/>
        <w:bottom w:val="none" w:sz="0" w:space="0" w:color="auto"/>
        <w:right w:val="none" w:sz="0" w:space="0" w:color="auto"/>
      </w:divBdr>
    </w:div>
    <w:div w:id="338583921">
      <w:bodyDiv w:val="1"/>
      <w:marLeft w:val="0"/>
      <w:marRight w:val="0"/>
      <w:marTop w:val="0"/>
      <w:marBottom w:val="0"/>
      <w:divBdr>
        <w:top w:val="none" w:sz="0" w:space="0" w:color="auto"/>
        <w:left w:val="none" w:sz="0" w:space="0" w:color="auto"/>
        <w:bottom w:val="none" w:sz="0" w:space="0" w:color="auto"/>
        <w:right w:val="none" w:sz="0" w:space="0" w:color="auto"/>
      </w:divBdr>
    </w:div>
    <w:div w:id="348483733">
      <w:bodyDiv w:val="1"/>
      <w:marLeft w:val="0"/>
      <w:marRight w:val="0"/>
      <w:marTop w:val="0"/>
      <w:marBottom w:val="0"/>
      <w:divBdr>
        <w:top w:val="none" w:sz="0" w:space="0" w:color="auto"/>
        <w:left w:val="none" w:sz="0" w:space="0" w:color="auto"/>
        <w:bottom w:val="none" w:sz="0" w:space="0" w:color="auto"/>
        <w:right w:val="none" w:sz="0" w:space="0" w:color="auto"/>
      </w:divBdr>
    </w:div>
    <w:div w:id="369456756">
      <w:bodyDiv w:val="1"/>
      <w:marLeft w:val="0"/>
      <w:marRight w:val="0"/>
      <w:marTop w:val="0"/>
      <w:marBottom w:val="0"/>
      <w:divBdr>
        <w:top w:val="none" w:sz="0" w:space="0" w:color="auto"/>
        <w:left w:val="none" w:sz="0" w:space="0" w:color="auto"/>
        <w:bottom w:val="none" w:sz="0" w:space="0" w:color="auto"/>
        <w:right w:val="none" w:sz="0" w:space="0" w:color="auto"/>
      </w:divBdr>
    </w:div>
    <w:div w:id="430319929">
      <w:bodyDiv w:val="1"/>
      <w:marLeft w:val="0"/>
      <w:marRight w:val="0"/>
      <w:marTop w:val="0"/>
      <w:marBottom w:val="0"/>
      <w:divBdr>
        <w:top w:val="none" w:sz="0" w:space="0" w:color="auto"/>
        <w:left w:val="none" w:sz="0" w:space="0" w:color="auto"/>
        <w:bottom w:val="none" w:sz="0" w:space="0" w:color="auto"/>
        <w:right w:val="none" w:sz="0" w:space="0" w:color="auto"/>
      </w:divBdr>
    </w:div>
    <w:div w:id="431046404">
      <w:bodyDiv w:val="1"/>
      <w:marLeft w:val="0"/>
      <w:marRight w:val="0"/>
      <w:marTop w:val="0"/>
      <w:marBottom w:val="0"/>
      <w:divBdr>
        <w:top w:val="none" w:sz="0" w:space="0" w:color="auto"/>
        <w:left w:val="none" w:sz="0" w:space="0" w:color="auto"/>
        <w:bottom w:val="none" w:sz="0" w:space="0" w:color="auto"/>
        <w:right w:val="none" w:sz="0" w:space="0" w:color="auto"/>
      </w:divBdr>
      <w:divsChild>
        <w:div w:id="1625575616">
          <w:marLeft w:val="0"/>
          <w:marRight w:val="0"/>
          <w:marTop w:val="0"/>
          <w:marBottom w:val="0"/>
          <w:divBdr>
            <w:top w:val="none" w:sz="0" w:space="0" w:color="auto"/>
            <w:left w:val="none" w:sz="0" w:space="0" w:color="auto"/>
            <w:bottom w:val="none" w:sz="0" w:space="0" w:color="auto"/>
            <w:right w:val="none" w:sz="0" w:space="0" w:color="auto"/>
          </w:divBdr>
        </w:div>
        <w:div w:id="2128041191">
          <w:marLeft w:val="0"/>
          <w:marRight w:val="0"/>
          <w:marTop w:val="0"/>
          <w:marBottom w:val="0"/>
          <w:divBdr>
            <w:top w:val="none" w:sz="0" w:space="0" w:color="auto"/>
            <w:left w:val="none" w:sz="0" w:space="0" w:color="auto"/>
            <w:bottom w:val="none" w:sz="0" w:space="0" w:color="auto"/>
            <w:right w:val="none" w:sz="0" w:space="0" w:color="auto"/>
          </w:divBdr>
        </w:div>
        <w:div w:id="1150057405">
          <w:marLeft w:val="0"/>
          <w:marRight w:val="0"/>
          <w:marTop w:val="0"/>
          <w:marBottom w:val="0"/>
          <w:divBdr>
            <w:top w:val="none" w:sz="0" w:space="0" w:color="auto"/>
            <w:left w:val="none" w:sz="0" w:space="0" w:color="auto"/>
            <w:bottom w:val="none" w:sz="0" w:space="0" w:color="auto"/>
            <w:right w:val="none" w:sz="0" w:space="0" w:color="auto"/>
          </w:divBdr>
        </w:div>
        <w:div w:id="1086652428">
          <w:marLeft w:val="0"/>
          <w:marRight w:val="0"/>
          <w:marTop w:val="0"/>
          <w:marBottom w:val="0"/>
          <w:divBdr>
            <w:top w:val="none" w:sz="0" w:space="0" w:color="auto"/>
            <w:left w:val="none" w:sz="0" w:space="0" w:color="auto"/>
            <w:bottom w:val="none" w:sz="0" w:space="0" w:color="auto"/>
            <w:right w:val="none" w:sz="0" w:space="0" w:color="auto"/>
          </w:divBdr>
        </w:div>
        <w:div w:id="1275669647">
          <w:marLeft w:val="0"/>
          <w:marRight w:val="0"/>
          <w:marTop w:val="0"/>
          <w:marBottom w:val="0"/>
          <w:divBdr>
            <w:top w:val="none" w:sz="0" w:space="0" w:color="auto"/>
            <w:left w:val="none" w:sz="0" w:space="0" w:color="auto"/>
            <w:bottom w:val="none" w:sz="0" w:space="0" w:color="auto"/>
            <w:right w:val="none" w:sz="0" w:space="0" w:color="auto"/>
          </w:divBdr>
        </w:div>
        <w:div w:id="79105314">
          <w:marLeft w:val="0"/>
          <w:marRight w:val="0"/>
          <w:marTop w:val="0"/>
          <w:marBottom w:val="0"/>
          <w:divBdr>
            <w:top w:val="none" w:sz="0" w:space="0" w:color="auto"/>
            <w:left w:val="none" w:sz="0" w:space="0" w:color="auto"/>
            <w:bottom w:val="none" w:sz="0" w:space="0" w:color="auto"/>
            <w:right w:val="none" w:sz="0" w:space="0" w:color="auto"/>
          </w:divBdr>
        </w:div>
        <w:div w:id="1621523021">
          <w:marLeft w:val="0"/>
          <w:marRight w:val="0"/>
          <w:marTop w:val="0"/>
          <w:marBottom w:val="0"/>
          <w:divBdr>
            <w:top w:val="none" w:sz="0" w:space="0" w:color="auto"/>
            <w:left w:val="none" w:sz="0" w:space="0" w:color="auto"/>
            <w:bottom w:val="none" w:sz="0" w:space="0" w:color="auto"/>
            <w:right w:val="none" w:sz="0" w:space="0" w:color="auto"/>
          </w:divBdr>
        </w:div>
        <w:div w:id="84615497">
          <w:marLeft w:val="0"/>
          <w:marRight w:val="0"/>
          <w:marTop w:val="0"/>
          <w:marBottom w:val="0"/>
          <w:divBdr>
            <w:top w:val="none" w:sz="0" w:space="0" w:color="auto"/>
            <w:left w:val="none" w:sz="0" w:space="0" w:color="auto"/>
            <w:bottom w:val="none" w:sz="0" w:space="0" w:color="auto"/>
            <w:right w:val="none" w:sz="0" w:space="0" w:color="auto"/>
          </w:divBdr>
        </w:div>
        <w:div w:id="2101443519">
          <w:marLeft w:val="0"/>
          <w:marRight w:val="0"/>
          <w:marTop w:val="0"/>
          <w:marBottom w:val="0"/>
          <w:divBdr>
            <w:top w:val="none" w:sz="0" w:space="0" w:color="auto"/>
            <w:left w:val="none" w:sz="0" w:space="0" w:color="auto"/>
            <w:bottom w:val="none" w:sz="0" w:space="0" w:color="auto"/>
            <w:right w:val="none" w:sz="0" w:space="0" w:color="auto"/>
          </w:divBdr>
        </w:div>
        <w:div w:id="1983269076">
          <w:marLeft w:val="0"/>
          <w:marRight w:val="0"/>
          <w:marTop w:val="0"/>
          <w:marBottom w:val="0"/>
          <w:divBdr>
            <w:top w:val="none" w:sz="0" w:space="0" w:color="auto"/>
            <w:left w:val="none" w:sz="0" w:space="0" w:color="auto"/>
            <w:bottom w:val="none" w:sz="0" w:space="0" w:color="auto"/>
            <w:right w:val="none" w:sz="0" w:space="0" w:color="auto"/>
          </w:divBdr>
        </w:div>
        <w:div w:id="27071229">
          <w:marLeft w:val="0"/>
          <w:marRight w:val="0"/>
          <w:marTop w:val="0"/>
          <w:marBottom w:val="0"/>
          <w:divBdr>
            <w:top w:val="none" w:sz="0" w:space="0" w:color="auto"/>
            <w:left w:val="none" w:sz="0" w:space="0" w:color="auto"/>
            <w:bottom w:val="none" w:sz="0" w:space="0" w:color="auto"/>
            <w:right w:val="none" w:sz="0" w:space="0" w:color="auto"/>
          </w:divBdr>
        </w:div>
        <w:div w:id="129828551">
          <w:marLeft w:val="0"/>
          <w:marRight w:val="0"/>
          <w:marTop w:val="0"/>
          <w:marBottom w:val="0"/>
          <w:divBdr>
            <w:top w:val="none" w:sz="0" w:space="0" w:color="auto"/>
            <w:left w:val="none" w:sz="0" w:space="0" w:color="auto"/>
            <w:bottom w:val="none" w:sz="0" w:space="0" w:color="auto"/>
            <w:right w:val="none" w:sz="0" w:space="0" w:color="auto"/>
          </w:divBdr>
        </w:div>
        <w:div w:id="388117018">
          <w:marLeft w:val="0"/>
          <w:marRight w:val="0"/>
          <w:marTop w:val="0"/>
          <w:marBottom w:val="0"/>
          <w:divBdr>
            <w:top w:val="none" w:sz="0" w:space="0" w:color="auto"/>
            <w:left w:val="none" w:sz="0" w:space="0" w:color="auto"/>
            <w:bottom w:val="none" w:sz="0" w:space="0" w:color="auto"/>
            <w:right w:val="none" w:sz="0" w:space="0" w:color="auto"/>
          </w:divBdr>
        </w:div>
        <w:div w:id="675765026">
          <w:marLeft w:val="0"/>
          <w:marRight w:val="0"/>
          <w:marTop w:val="0"/>
          <w:marBottom w:val="0"/>
          <w:divBdr>
            <w:top w:val="none" w:sz="0" w:space="0" w:color="auto"/>
            <w:left w:val="none" w:sz="0" w:space="0" w:color="auto"/>
            <w:bottom w:val="none" w:sz="0" w:space="0" w:color="auto"/>
            <w:right w:val="none" w:sz="0" w:space="0" w:color="auto"/>
          </w:divBdr>
        </w:div>
        <w:div w:id="1518041836">
          <w:marLeft w:val="0"/>
          <w:marRight w:val="0"/>
          <w:marTop w:val="0"/>
          <w:marBottom w:val="0"/>
          <w:divBdr>
            <w:top w:val="none" w:sz="0" w:space="0" w:color="auto"/>
            <w:left w:val="none" w:sz="0" w:space="0" w:color="auto"/>
            <w:bottom w:val="none" w:sz="0" w:space="0" w:color="auto"/>
            <w:right w:val="none" w:sz="0" w:space="0" w:color="auto"/>
          </w:divBdr>
        </w:div>
        <w:div w:id="1606964175">
          <w:marLeft w:val="0"/>
          <w:marRight w:val="0"/>
          <w:marTop w:val="0"/>
          <w:marBottom w:val="0"/>
          <w:divBdr>
            <w:top w:val="none" w:sz="0" w:space="0" w:color="auto"/>
            <w:left w:val="none" w:sz="0" w:space="0" w:color="auto"/>
            <w:bottom w:val="none" w:sz="0" w:space="0" w:color="auto"/>
            <w:right w:val="none" w:sz="0" w:space="0" w:color="auto"/>
          </w:divBdr>
        </w:div>
        <w:div w:id="1445882555">
          <w:marLeft w:val="0"/>
          <w:marRight w:val="0"/>
          <w:marTop w:val="0"/>
          <w:marBottom w:val="0"/>
          <w:divBdr>
            <w:top w:val="none" w:sz="0" w:space="0" w:color="auto"/>
            <w:left w:val="none" w:sz="0" w:space="0" w:color="auto"/>
            <w:bottom w:val="none" w:sz="0" w:space="0" w:color="auto"/>
            <w:right w:val="none" w:sz="0" w:space="0" w:color="auto"/>
          </w:divBdr>
        </w:div>
        <w:div w:id="1044209960">
          <w:marLeft w:val="0"/>
          <w:marRight w:val="0"/>
          <w:marTop w:val="0"/>
          <w:marBottom w:val="0"/>
          <w:divBdr>
            <w:top w:val="none" w:sz="0" w:space="0" w:color="auto"/>
            <w:left w:val="none" w:sz="0" w:space="0" w:color="auto"/>
            <w:bottom w:val="none" w:sz="0" w:space="0" w:color="auto"/>
            <w:right w:val="none" w:sz="0" w:space="0" w:color="auto"/>
          </w:divBdr>
        </w:div>
        <w:div w:id="1910264918">
          <w:marLeft w:val="0"/>
          <w:marRight w:val="0"/>
          <w:marTop w:val="0"/>
          <w:marBottom w:val="0"/>
          <w:divBdr>
            <w:top w:val="none" w:sz="0" w:space="0" w:color="auto"/>
            <w:left w:val="none" w:sz="0" w:space="0" w:color="auto"/>
            <w:bottom w:val="none" w:sz="0" w:space="0" w:color="auto"/>
            <w:right w:val="none" w:sz="0" w:space="0" w:color="auto"/>
          </w:divBdr>
        </w:div>
        <w:div w:id="42826605">
          <w:marLeft w:val="0"/>
          <w:marRight w:val="0"/>
          <w:marTop w:val="0"/>
          <w:marBottom w:val="0"/>
          <w:divBdr>
            <w:top w:val="none" w:sz="0" w:space="0" w:color="auto"/>
            <w:left w:val="none" w:sz="0" w:space="0" w:color="auto"/>
            <w:bottom w:val="none" w:sz="0" w:space="0" w:color="auto"/>
            <w:right w:val="none" w:sz="0" w:space="0" w:color="auto"/>
          </w:divBdr>
        </w:div>
        <w:div w:id="830410926">
          <w:marLeft w:val="0"/>
          <w:marRight w:val="0"/>
          <w:marTop w:val="0"/>
          <w:marBottom w:val="0"/>
          <w:divBdr>
            <w:top w:val="none" w:sz="0" w:space="0" w:color="auto"/>
            <w:left w:val="none" w:sz="0" w:space="0" w:color="auto"/>
            <w:bottom w:val="none" w:sz="0" w:space="0" w:color="auto"/>
            <w:right w:val="none" w:sz="0" w:space="0" w:color="auto"/>
          </w:divBdr>
        </w:div>
        <w:div w:id="2065643816">
          <w:marLeft w:val="0"/>
          <w:marRight w:val="0"/>
          <w:marTop w:val="0"/>
          <w:marBottom w:val="0"/>
          <w:divBdr>
            <w:top w:val="none" w:sz="0" w:space="0" w:color="auto"/>
            <w:left w:val="none" w:sz="0" w:space="0" w:color="auto"/>
            <w:bottom w:val="none" w:sz="0" w:space="0" w:color="auto"/>
            <w:right w:val="none" w:sz="0" w:space="0" w:color="auto"/>
          </w:divBdr>
        </w:div>
        <w:div w:id="1071152030">
          <w:marLeft w:val="0"/>
          <w:marRight w:val="0"/>
          <w:marTop w:val="0"/>
          <w:marBottom w:val="0"/>
          <w:divBdr>
            <w:top w:val="none" w:sz="0" w:space="0" w:color="auto"/>
            <w:left w:val="none" w:sz="0" w:space="0" w:color="auto"/>
            <w:bottom w:val="none" w:sz="0" w:space="0" w:color="auto"/>
            <w:right w:val="none" w:sz="0" w:space="0" w:color="auto"/>
          </w:divBdr>
        </w:div>
        <w:div w:id="271015714">
          <w:marLeft w:val="0"/>
          <w:marRight w:val="0"/>
          <w:marTop w:val="0"/>
          <w:marBottom w:val="0"/>
          <w:divBdr>
            <w:top w:val="none" w:sz="0" w:space="0" w:color="auto"/>
            <w:left w:val="none" w:sz="0" w:space="0" w:color="auto"/>
            <w:bottom w:val="none" w:sz="0" w:space="0" w:color="auto"/>
            <w:right w:val="none" w:sz="0" w:space="0" w:color="auto"/>
          </w:divBdr>
        </w:div>
        <w:div w:id="1017538739">
          <w:marLeft w:val="0"/>
          <w:marRight w:val="0"/>
          <w:marTop w:val="0"/>
          <w:marBottom w:val="0"/>
          <w:divBdr>
            <w:top w:val="none" w:sz="0" w:space="0" w:color="auto"/>
            <w:left w:val="none" w:sz="0" w:space="0" w:color="auto"/>
            <w:bottom w:val="none" w:sz="0" w:space="0" w:color="auto"/>
            <w:right w:val="none" w:sz="0" w:space="0" w:color="auto"/>
          </w:divBdr>
        </w:div>
        <w:div w:id="1146124114">
          <w:marLeft w:val="0"/>
          <w:marRight w:val="0"/>
          <w:marTop w:val="0"/>
          <w:marBottom w:val="0"/>
          <w:divBdr>
            <w:top w:val="none" w:sz="0" w:space="0" w:color="auto"/>
            <w:left w:val="none" w:sz="0" w:space="0" w:color="auto"/>
            <w:bottom w:val="none" w:sz="0" w:space="0" w:color="auto"/>
            <w:right w:val="none" w:sz="0" w:space="0" w:color="auto"/>
          </w:divBdr>
        </w:div>
        <w:div w:id="545139258">
          <w:marLeft w:val="0"/>
          <w:marRight w:val="0"/>
          <w:marTop w:val="0"/>
          <w:marBottom w:val="0"/>
          <w:divBdr>
            <w:top w:val="none" w:sz="0" w:space="0" w:color="auto"/>
            <w:left w:val="none" w:sz="0" w:space="0" w:color="auto"/>
            <w:bottom w:val="none" w:sz="0" w:space="0" w:color="auto"/>
            <w:right w:val="none" w:sz="0" w:space="0" w:color="auto"/>
          </w:divBdr>
        </w:div>
        <w:div w:id="1994524623">
          <w:marLeft w:val="0"/>
          <w:marRight w:val="0"/>
          <w:marTop w:val="0"/>
          <w:marBottom w:val="0"/>
          <w:divBdr>
            <w:top w:val="none" w:sz="0" w:space="0" w:color="auto"/>
            <w:left w:val="none" w:sz="0" w:space="0" w:color="auto"/>
            <w:bottom w:val="none" w:sz="0" w:space="0" w:color="auto"/>
            <w:right w:val="none" w:sz="0" w:space="0" w:color="auto"/>
          </w:divBdr>
        </w:div>
        <w:div w:id="400565172">
          <w:marLeft w:val="0"/>
          <w:marRight w:val="0"/>
          <w:marTop w:val="0"/>
          <w:marBottom w:val="0"/>
          <w:divBdr>
            <w:top w:val="none" w:sz="0" w:space="0" w:color="auto"/>
            <w:left w:val="none" w:sz="0" w:space="0" w:color="auto"/>
            <w:bottom w:val="none" w:sz="0" w:space="0" w:color="auto"/>
            <w:right w:val="none" w:sz="0" w:space="0" w:color="auto"/>
          </w:divBdr>
        </w:div>
        <w:div w:id="1283271293">
          <w:marLeft w:val="0"/>
          <w:marRight w:val="0"/>
          <w:marTop w:val="0"/>
          <w:marBottom w:val="0"/>
          <w:divBdr>
            <w:top w:val="none" w:sz="0" w:space="0" w:color="auto"/>
            <w:left w:val="none" w:sz="0" w:space="0" w:color="auto"/>
            <w:bottom w:val="none" w:sz="0" w:space="0" w:color="auto"/>
            <w:right w:val="none" w:sz="0" w:space="0" w:color="auto"/>
          </w:divBdr>
        </w:div>
        <w:div w:id="426733282">
          <w:marLeft w:val="0"/>
          <w:marRight w:val="0"/>
          <w:marTop w:val="0"/>
          <w:marBottom w:val="0"/>
          <w:divBdr>
            <w:top w:val="none" w:sz="0" w:space="0" w:color="auto"/>
            <w:left w:val="none" w:sz="0" w:space="0" w:color="auto"/>
            <w:bottom w:val="none" w:sz="0" w:space="0" w:color="auto"/>
            <w:right w:val="none" w:sz="0" w:space="0" w:color="auto"/>
          </w:divBdr>
        </w:div>
        <w:div w:id="236942402">
          <w:marLeft w:val="0"/>
          <w:marRight w:val="0"/>
          <w:marTop w:val="0"/>
          <w:marBottom w:val="0"/>
          <w:divBdr>
            <w:top w:val="none" w:sz="0" w:space="0" w:color="auto"/>
            <w:left w:val="none" w:sz="0" w:space="0" w:color="auto"/>
            <w:bottom w:val="none" w:sz="0" w:space="0" w:color="auto"/>
            <w:right w:val="none" w:sz="0" w:space="0" w:color="auto"/>
          </w:divBdr>
        </w:div>
        <w:div w:id="957681216">
          <w:marLeft w:val="0"/>
          <w:marRight w:val="0"/>
          <w:marTop w:val="0"/>
          <w:marBottom w:val="0"/>
          <w:divBdr>
            <w:top w:val="none" w:sz="0" w:space="0" w:color="auto"/>
            <w:left w:val="none" w:sz="0" w:space="0" w:color="auto"/>
            <w:bottom w:val="none" w:sz="0" w:space="0" w:color="auto"/>
            <w:right w:val="none" w:sz="0" w:space="0" w:color="auto"/>
          </w:divBdr>
        </w:div>
        <w:div w:id="996417686">
          <w:marLeft w:val="0"/>
          <w:marRight w:val="0"/>
          <w:marTop w:val="0"/>
          <w:marBottom w:val="0"/>
          <w:divBdr>
            <w:top w:val="none" w:sz="0" w:space="0" w:color="auto"/>
            <w:left w:val="none" w:sz="0" w:space="0" w:color="auto"/>
            <w:bottom w:val="none" w:sz="0" w:space="0" w:color="auto"/>
            <w:right w:val="none" w:sz="0" w:space="0" w:color="auto"/>
          </w:divBdr>
        </w:div>
        <w:div w:id="559363966">
          <w:marLeft w:val="0"/>
          <w:marRight w:val="0"/>
          <w:marTop w:val="0"/>
          <w:marBottom w:val="0"/>
          <w:divBdr>
            <w:top w:val="none" w:sz="0" w:space="0" w:color="auto"/>
            <w:left w:val="none" w:sz="0" w:space="0" w:color="auto"/>
            <w:bottom w:val="none" w:sz="0" w:space="0" w:color="auto"/>
            <w:right w:val="none" w:sz="0" w:space="0" w:color="auto"/>
          </w:divBdr>
        </w:div>
        <w:div w:id="1915815225">
          <w:marLeft w:val="0"/>
          <w:marRight w:val="0"/>
          <w:marTop w:val="0"/>
          <w:marBottom w:val="0"/>
          <w:divBdr>
            <w:top w:val="none" w:sz="0" w:space="0" w:color="auto"/>
            <w:left w:val="none" w:sz="0" w:space="0" w:color="auto"/>
            <w:bottom w:val="none" w:sz="0" w:space="0" w:color="auto"/>
            <w:right w:val="none" w:sz="0" w:space="0" w:color="auto"/>
          </w:divBdr>
        </w:div>
        <w:div w:id="1868055993">
          <w:marLeft w:val="0"/>
          <w:marRight w:val="0"/>
          <w:marTop w:val="0"/>
          <w:marBottom w:val="0"/>
          <w:divBdr>
            <w:top w:val="none" w:sz="0" w:space="0" w:color="auto"/>
            <w:left w:val="none" w:sz="0" w:space="0" w:color="auto"/>
            <w:bottom w:val="none" w:sz="0" w:space="0" w:color="auto"/>
            <w:right w:val="none" w:sz="0" w:space="0" w:color="auto"/>
          </w:divBdr>
        </w:div>
        <w:div w:id="2030637776">
          <w:marLeft w:val="0"/>
          <w:marRight w:val="0"/>
          <w:marTop w:val="0"/>
          <w:marBottom w:val="0"/>
          <w:divBdr>
            <w:top w:val="none" w:sz="0" w:space="0" w:color="auto"/>
            <w:left w:val="none" w:sz="0" w:space="0" w:color="auto"/>
            <w:bottom w:val="none" w:sz="0" w:space="0" w:color="auto"/>
            <w:right w:val="none" w:sz="0" w:space="0" w:color="auto"/>
          </w:divBdr>
        </w:div>
        <w:div w:id="1051152130">
          <w:marLeft w:val="0"/>
          <w:marRight w:val="0"/>
          <w:marTop w:val="0"/>
          <w:marBottom w:val="0"/>
          <w:divBdr>
            <w:top w:val="none" w:sz="0" w:space="0" w:color="auto"/>
            <w:left w:val="none" w:sz="0" w:space="0" w:color="auto"/>
            <w:bottom w:val="none" w:sz="0" w:space="0" w:color="auto"/>
            <w:right w:val="none" w:sz="0" w:space="0" w:color="auto"/>
          </w:divBdr>
        </w:div>
      </w:divsChild>
    </w:div>
    <w:div w:id="436363811">
      <w:bodyDiv w:val="1"/>
      <w:marLeft w:val="0"/>
      <w:marRight w:val="0"/>
      <w:marTop w:val="0"/>
      <w:marBottom w:val="0"/>
      <w:divBdr>
        <w:top w:val="none" w:sz="0" w:space="0" w:color="auto"/>
        <w:left w:val="none" w:sz="0" w:space="0" w:color="auto"/>
        <w:bottom w:val="none" w:sz="0" w:space="0" w:color="auto"/>
        <w:right w:val="none" w:sz="0" w:space="0" w:color="auto"/>
      </w:divBdr>
    </w:div>
    <w:div w:id="484706813">
      <w:bodyDiv w:val="1"/>
      <w:marLeft w:val="0"/>
      <w:marRight w:val="0"/>
      <w:marTop w:val="0"/>
      <w:marBottom w:val="0"/>
      <w:divBdr>
        <w:top w:val="none" w:sz="0" w:space="0" w:color="auto"/>
        <w:left w:val="none" w:sz="0" w:space="0" w:color="auto"/>
        <w:bottom w:val="none" w:sz="0" w:space="0" w:color="auto"/>
        <w:right w:val="none" w:sz="0" w:space="0" w:color="auto"/>
      </w:divBdr>
    </w:div>
    <w:div w:id="635452561">
      <w:bodyDiv w:val="1"/>
      <w:marLeft w:val="0"/>
      <w:marRight w:val="0"/>
      <w:marTop w:val="0"/>
      <w:marBottom w:val="0"/>
      <w:divBdr>
        <w:top w:val="none" w:sz="0" w:space="0" w:color="auto"/>
        <w:left w:val="none" w:sz="0" w:space="0" w:color="auto"/>
        <w:bottom w:val="none" w:sz="0" w:space="0" w:color="auto"/>
        <w:right w:val="none" w:sz="0" w:space="0" w:color="auto"/>
      </w:divBdr>
    </w:div>
    <w:div w:id="675040072">
      <w:bodyDiv w:val="1"/>
      <w:marLeft w:val="0"/>
      <w:marRight w:val="0"/>
      <w:marTop w:val="0"/>
      <w:marBottom w:val="0"/>
      <w:divBdr>
        <w:top w:val="none" w:sz="0" w:space="0" w:color="auto"/>
        <w:left w:val="none" w:sz="0" w:space="0" w:color="auto"/>
        <w:bottom w:val="none" w:sz="0" w:space="0" w:color="auto"/>
        <w:right w:val="none" w:sz="0" w:space="0" w:color="auto"/>
      </w:divBdr>
    </w:div>
    <w:div w:id="675379622">
      <w:bodyDiv w:val="1"/>
      <w:marLeft w:val="0"/>
      <w:marRight w:val="0"/>
      <w:marTop w:val="0"/>
      <w:marBottom w:val="0"/>
      <w:divBdr>
        <w:top w:val="none" w:sz="0" w:space="0" w:color="auto"/>
        <w:left w:val="none" w:sz="0" w:space="0" w:color="auto"/>
        <w:bottom w:val="none" w:sz="0" w:space="0" w:color="auto"/>
        <w:right w:val="none" w:sz="0" w:space="0" w:color="auto"/>
      </w:divBdr>
    </w:div>
    <w:div w:id="690182299">
      <w:bodyDiv w:val="1"/>
      <w:marLeft w:val="0"/>
      <w:marRight w:val="0"/>
      <w:marTop w:val="0"/>
      <w:marBottom w:val="0"/>
      <w:divBdr>
        <w:top w:val="none" w:sz="0" w:space="0" w:color="auto"/>
        <w:left w:val="none" w:sz="0" w:space="0" w:color="auto"/>
        <w:bottom w:val="none" w:sz="0" w:space="0" w:color="auto"/>
        <w:right w:val="none" w:sz="0" w:space="0" w:color="auto"/>
      </w:divBdr>
    </w:div>
    <w:div w:id="727187598">
      <w:bodyDiv w:val="1"/>
      <w:marLeft w:val="0"/>
      <w:marRight w:val="0"/>
      <w:marTop w:val="0"/>
      <w:marBottom w:val="0"/>
      <w:divBdr>
        <w:top w:val="none" w:sz="0" w:space="0" w:color="auto"/>
        <w:left w:val="none" w:sz="0" w:space="0" w:color="auto"/>
        <w:bottom w:val="none" w:sz="0" w:space="0" w:color="auto"/>
        <w:right w:val="none" w:sz="0" w:space="0" w:color="auto"/>
      </w:divBdr>
    </w:div>
    <w:div w:id="843281963">
      <w:bodyDiv w:val="1"/>
      <w:marLeft w:val="0"/>
      <w:marRight w:val="0"/>
      <w:marTop w:val="0"/>
      <w:marBottom w:val="0"/>
      <w:divBdr>
        <w:top w:val="none" w:sz="0" w:space="0" w:color="auto"/>
        <w:left w:val="none" w:sz="0" w:space="0" w:color="auto"/>
        <w:bottom w:val="none" w:sz="0" w:space="0" w:color="auto"/>
        <w:right w:val="none" w:sz="0" w:space="0" w:color="auto"/>
      </w:divBdr>
    </w:div>
    <w:div w:id="971054714">
      <w:bodyDiv w:val="1"/>
      <w:marLeft w:val="0"/>
      <w:marRight w:val="0"/>
      <w:marTop w:val="0"/>
      <w:marBottom w:val="0"/>
      <w:divBdr>
        <w:top w:val="none" w:sz="0" w:space="0" w:color="auto"/>
        <w:left w:val="none" w:sz="0" w:space="0" w:color="auto"/>
        <w:bottom w:val="none" w:sz="0" w:space="0" w:color="auto"/>
        <w:right w:val="none" w:sz="0" w:space="0" w:color="auto"/>
      </w:divBdr>
    </w:div>
    <w:div w:id="1065840786">
      <w:bodyDiv w:val="1"/>
      <w:marLeft w:val="0"/>
      <w:marRight w:val="0"/>
      <w:marTop w:val="0"/>
      <w:marBottom w:val="0"/>
      <w:divBdr>
        <w:top w:val="none" w:sz="0" w:space="0" w:color="auto"/>
        <w:left w:val="none" w:sz="0" w:space="0" w:color="auto"/>
        <w:bottom w:val="none" w:sz="0" w:space="0" w:color="auto"/>
        <w:right w:val="none" w:sz="0" w:space="0" w:color="auto"/>
      </w:divBdr>
    </w:div>
    <w:div w:id="1079250217">
      <w:bodyDiv w:val="1"/>
      <w:marLeft w:val="0"/>
      <w:marRight w:val="0"/>
      <w:marTop w:val="0"/>
      <w:marBottom w:val="0"/>
      <w:divBdr>
        <w:top w:val="none" w:sz="0" w:space="0" w:color="auto"/>
        <w:left w:val="none" w:sz="0" w:space="0" w:color="auto"/>
        <w:bottom w:val="none" w:sz="0" w:space="0" w:color="auto"/>
        <w:right w:val="none" w:sz="0" w:space="0" w:color="auto"/>
      </w:divBdr>
      <w:divsChild>
        <w:div w:id="894320457">
          <w:marLeft w:val="0"/>
          <w:marRight w:val="0"/>
          <w:marTop w:val="0"/>
          <w:marBottom w:val="0"/>
          <w:divBdr>
            <w:top w:val="none" w:sz="0" w:space="0" w:color="auto"/>
            <w:left w:val="none" w:sz="0" w:space="0" w:color="auto"/>
            <w:bottom w:val="none" w:sz="0" w:space="0" w:color="auto"/>
            <w:right w:val="none" w:sz="0" w:space="0" w:color="auto"/>
          </w:divBdr>
        </w:div>
        <w:div w:id="1903825521">
          <w:marLeft w:val="0"/>
          <w:marRight w:val="0"/>
          <w:marTop w:val="0"/>
          <w:marBottom w:val="0"/>
          <w:divBdr>
            <w:top w:val="none" w:sz="0" w:space="0" w:color="auto"/>
            <w:left w:val="none" w:sz="0" w:space="0" w:color="auto"/>
            <w:bottom w:val="none" w:sz="0" w:space="0" w:color="auto"/>
            <w:right w:val="none" w:sz="0" w:space="0" w:color="auto"/>
          </w:divBdr>
        </w:div>
        <w:div w:id="1963076639">
          <w:marLeft w:val="0"/>
          <w:marRight w:val="0"/>
          <w:marTop w:val="0"/>
          <w:marBottom w:val="0"/>
          <w:divBdr>
            <w:top w:val="none" w:sz="0" w:space="0" w:color="auto"/>
            <w:left w:val="none" w:sz="0" w:space="0" w:color="auto"/>
            <w:bottom w:val="none" w:sz="0" w:space="0" w:color="auto"/>
            <w:right w:val="none" w:sz="0" w:space="0" w:color="auto"/>
          </w:divBdr>
        </w:div>
        <w:div w:id="693772418">
          <w:marLeft w:val="0"/>
          <w:marRight w:val="0"/>
          <w:marTop w:val="0"/>
          <w:marBottom w:val="0"/>
          <w:divBdr>
            <w:top w:val="none" w:sz="0" w:space="0" w:color="auto"/>
            <w:left w:val="none" w:sz="0" w:space="0" w:color="auto"/>
            <w:bottom w:val="none" w:sz="0" w:space="0" w:color="auto"/>
            <w:right w:val="none" w:sz="0" w:space="0" w:color="auto"/>
          </w:divBdr>
        </w:div>
        <w:div w:id="579296203">
          <w:marLeft w:val="0"/>
          <w:marRight w:val="0"/>
          <w:marTop w:val="0"/>
          <w:marBottom w:val="0"/>
          <w:divBdr>
            <w:top w:val="none" w:sz="0" w:space="0" w:color="auto"/>
            <w:left w:val="none" w:sz="0" w:space="0" w:color="auto"/>
            <w:bottom w:val="none" w:sz="0" w:space="0" w:color="auto"/>
            <w:right w:val="none" w:sz="0" w:space="0" w:color="auto"/>
          </w:divBdr>
        </w:div>
        <w:div w:id="706179224">
          <w:marLeft w:val="0"/>
          <w:marRight w:val="0"/>
          <w:marTop w:val="0"/>
          <w:marBottom w:val="0"/>
          <w:divBdr>
            <w:top w:val="none" w:sz="0" w:space="0" w:color="auto"/>
            <w:left w:val="none" w:sz="0" w:space="0" w:color="auto"/>
            <w:bottom w:val="none" w:sz="0" w:space="0" w:color="auto"/>
            <w:right w:val="none" w:sz="0" w:space="0" w:color="auto"/>
          </w:divBdr>
        </w:div>
        <w:div w:id="675889475">
          <w:marLeft w:val="0"/>
          <w:marRight w:val="0"/>
          <w:marTop w:val="0"/>
          <w:marBottom w:val="0"/>
          <w:divBdr>
            <w:top w:val="none" w:sz="0" w:space="0" w:color="auto"/>
            <w:left w:val="none" w:sz="0" w:space="0" w:color="auto"/>
            <w:bottom w:val="none" w:sz="0" w:space="0" w:color="auto"/>
            <w:right w:val="none" w:sz="0" w:space="0" w:color="auto"/>
          </w:divBdr>
        </w:div>
        <w:div w:id="855072614">
          <w:marLeft w:val="0"/>
          <w:marRight w:val="0"/>
          <w:marTop w:val="0"/>
          <w:marBottom w:val="0"/>
          <w:divBdr>
            <w:top w:val="none" w:sz="0" w:space="0" w:color="auto"/>
            <w:left w:val="none" w:sz="0" w:space="0" w:color="auto"/>
            <w:bottom w:val="none" w:sz="0" w:space="0" w:color="auto"/>
            <w:right w:val="none" w:sz="0" w:space="0" w:color="auto"/>
          </w:divBdr>
        </w:div>
        <w:div w:id="2003774655">
          <w:marLeft w:val="0"/>
          <w:marRight w:val="0"/>
          <w:marTop w:val="0"/>
          <w:marBottom w:val="0"/>
          <w:divBdr>
            <w:top w:val="none" w:sz="0" w:space="0" w:color="auto"/>
            <w:left w:val="none" w:sz="0" w:space="0" w:color="auto"/>
            <w:bottom w:val="none" w:sz="0" w:space="0" w:color="auto"/>
            <w:right w:val="none" w:sz="0" w:space="0" w:color="auto"/>
          </w:divBdr>
        </w:div>
        <w:div w:id="1055659098">
          <w:marLeft w:val="0"/>
          <w:marRight w:val="0"/>
          <w:marTop w:val="0"/>
          <w:marBottom w:val="0"/>
          <w:divBdr>
            <w:top w:val="none" w:sz="0" w:space="0" w:color="auto"/>
            <w:left w:val="none" w:sz="0" w:space="0" w:color="auto"/>
            <w:bottom w:val="none" w:sz="0" w:space="0" w:color="auto"/>
            <w:right w:val="none" w:sz="0" w:space="0" w:color="auto"/>
          </w:divBdr>
        </w:div>
        <w:div w:id="1558975330">
          <w:marLeft w:val="0"/>
          <w:marRight w:val="0"/>
          <w:marTop w:val="0"/>
          <w:marBottom w:val="0"/>
          <w:divBdr>
            <w:top w:val="none" w:sz="0" w:space="0" w:color="auto"/>
            <w:left w:val="none" w:sz="0" w:space="0" w:color="auto"/>
            <w:bottom w:val="none" w:sz="0" w:space="0" w:color="auto"/>
            <w:right w:val="none" w:sz="0" w:space="0" w:color="auto"/>
          </w:divBdr>
        </w:div>
        <w:div w:id="827747340">
          <w:marLeft w:val="0"/>
          <w:marRight w:val="0"/>
          <w:marTop w:val="0"/>
          <w:marBottom w:val="0"/>
          <w:divBdr>
            <w:top w:val="none" w:sz="0" w:space="0" w:color="auto"/>
            <w:left w:val="none" w:sz="0" w:space="0" w:color="auto"/>
            <w:bottom w:val="none" w:sz="0" w:space="0" w:color="auto"/>
            <w:right w:val="none" w:sz="0" w:space="0" w:color="auto"/>
          </w:divBdr>
        </w:div>
        <w:div w:id="1041175312">
          <w:marLeft w:val="0"/>
          <w:marRight w:val="0"/>
          <w:marTop w:val="0"/>
          <w:marBottom w:val="0"/>
          <w:divBdr>
            <w:top w:val="none" w:sz="0" w:space="0" w:color="auto"/>
            <w:left w:val="none" w:sz="0" w:space="0" w:color="auto"/>
            <w:bottom w:val="none" w:sz="0" w:space="0" w:color="auto"/>
            <w:right w:val="none" w:sz="0" w:space="0" w:color="auto"/>
          </w:divBdr>
        </w:div>
        <w:div w:id="1805731593">
          <w:marLeft w:val="0"/>
          <w:marRight w:val="0"/>
          <w:marTop w:val="0"/>
          <w:marBottom w:val="0"/>
          <w:divBdr>
            <w:top w:val="none" w:sz="0" w:space="0" w:color="auto"/>
            <w:left w:val="none" w:sz="0" w:space="0" w:color="auto"/>
            <w:bottom w:val="none" w:sz="0" w:space="0" w:color="auto"/>
            <w:right w:val="none" w:sz="0" w:space="0" w:color="auto"/>
          </w:divBdr>
        </w:div>
        <w:div w:id="1304578326">
          <w:marLeft w:val="0"/>
          <w:marRight w:val="0"/>
          <w:marTop w:val="0"/>
          <w:marBottom w:val="0"/>
          <w:divBdr>
            <w:top w:val="none" w:sz="0" w:space="0" w:color="auto"/>
            <w:left w:val="none" w:sz="0" w:space="0" w:color="auto"/>
            <w:bottom w:val="none" w:sz="0" w:space="0" w:color="auto"/>
            <w:right w:val="none" w:sz="0" w:space="0" w:color="auto"/>
          </w:divBdr>
        </w:div>
        <w:div w:id="1831484167">
          <w:marLeft w:val="0"/>
          <w:marRight w:val="0"/>
          <w:marTop w:val="0"/>
          <w:marBottom w:val="0"/>
          <w:divBdr>
            <w:top w:val="none" w:sz="0" w:space="0" w:color="auto"/>
            <w:left w:val="none" w:sz="0" w:space="0" w:color="auto"/>
            <w:bottom w:val="none" w:sz="0" w:space="0" w:color="auto"/>
            <w:right w:val="none" w:sz="0" w:space="0" w:color="auto"/>
          </w:divBdr>
        </w:div>
        <w:div w:id="99381011">
          <w:marLeft w:val="0"/>
          <w:marRight w:val="0"/>
          <w:marTop w:val="0"/>
          <w:marBottom w:val="0"/>
          <w:divBdr>
            <w:top w:val="none" w:sz="0" w:space="0" w:color="auto"/>
            <w:left w:val="none" w:sz="0" w:space="0" w:color="auto"/>
            <w:bottom w:val="none" w:sz="0" w:space="0" w:color="auto"/>
            <w:right w:val="none" w:sz="0" w:space="0" w:color="auto"/>
          </w:divBdr>
        </w:div>
        <w:div w:id="1179545521">
          <w:marLeft w:val="0"/>
          <w:marRight w:val="0"/>
          <w:marTop w:val="0"/>
          <w:marBottom w:val="0"/>
          <w:divBdr>
            <w:top w:val="none" w:sz="0" w:space="0" w:color="auto"/>
            <w:left w:val="none" w:sz="0" w:space="0" w:color="auto"/>
            <w:bottom w:val="none" w:sz="0" w:space="0" w:color="auto"/>
            <w:right w:val="none" w:sz="0" w:space="0" w:color="auto"/>
          </w:divBdr>
        </w:div>
        <w:div w:id="1910268089">
          <w:marLeft w:val="0"/>
          <w:marRight w:val="0"/>
          <w:marTop w:val="0"/>
          <w:marBottom w:val="0"/>
          <w:divBdr>
            <w:top w:val="none" w:sz="0" w:space="0" w:color="auto"/>
            <w:left w:val="none" w:sz="0" w:space="0" w:color="auto"/>
            <w:bottom w:val="none" w:sz="0" w:space="0" w:color="auto"/>
            <w:right w:val="none" w:sz="0" w:space="0" w:color="auto"/>
          </w:divBdr>
        </w:div>
        <w:div w:id="1043864354">
          <w:marLeft w:val="0"/>
          <w:marRight w:val="0"/>
          <w:marTop w:val="0"/>
          <w:marBottom w:val="0"/>
          <w:divBdr>
            <w:top w:val="none" w:sz="0" w:space="0" w:color="auto"/>
            <w:left w:val="none" w:sz="0" w:space="0" w:color="auto"/>
            <w:bottom w:val="none" w:sz="0" w:space="0" w:color="auto"/>
            <w:right w:val="none" w:sz="0" w:space="0" w:color="auto"/>
          </w:divBdr>
        </w:div>
        <w:div w:id="1767382554">
          <w:marLeft w:val="0"/>
          <w:marRight w:val="0"/>
          <w:marTop w:val="0"/>
          <w:marBottom w:val="0"/>
          <w:divBdr>
            <w:top w:val="none" w:sz="0" w:space="0" w:color="auto"/>
            <w:left w:val="none" w:sz="0" w:space="0" w:color="auto"/>
            <w:bottom w:val="none" w:sz="0" w:space="0" w:color="auto"/>
            <w:right w:val="none" w:sz="0" w:space="0" w:color="auto"/>
          </w:divBdr>
        </w:div>
        <w:div w:id="1429694466">
          <w:marLeft w:val="0"/>
          <w:marRight w:val="0"/>
          <w:marTop w:val="0"/>
          <w:marBottom w:val="0"/>
          <w:divBdr>
            <w:top w:val="none" w:sz="0" w:space="0" w:color="auto"/>
            <w:left w:val="none" w:sz="0" w:space="0" w:color="auto"/>
            <w:bottom w:val="none" w:sz="0" w:space="0" w:color="auto"/>
            <w:right w:val="none" w:sz="0" w:space="0" w:color="auto"/>
          </w:divBdr>
        </w:div>
        <w:div w:id="703484481">
          <w:marLeft w:val="0"/>
          <w:marRight w:val="0"/>
          <w:marTop w:val="0"/>
          <w:marBottom w:val="0"/>
          <w:divBdr>
            <w:top w:val="none" w:sz="0" w:space="0" w:color="auto"/>
            <w:left w:val="none" w:sz="0" w:space="0" w:color="auto"/>
            <w:bottom w:val="none" w:sz="0" w:space="0" w:color="auto"/>
            <w:right w:val="none" w:sz="0" w:space="0" w:color="auto"/>
          </w:divBdr>
        </w:div>
        <w:div w:id="510679333">
          <w:marLeft w:val="0"/>
          <w:marRight w:val="0"/>
          <w:marTop w:val="0"/>
          <w:marBottom w:val="0"/>
          <w:divBdr>
            <w:top w:val="none" w:sz="0" w:space="0" w:color="auto"/>
            <w:left w:val="none" w:sz="0" w:space="0" w:color="auto"/>
            <w:bottom w:val="none" w:sz="0" w:space="0" w:color="auto"/>
            <w:right w:val="none" w:sz="0" w:space="0" w:color="auto"/>
          </w:divBdr>
        </w:div>
        <w:div w:id="211842714">
          <w:marLeft w:val="0"/>
          <w:marRight w:val="0"/>
          <w:marTop w:val="0"/>
          <w:marBottom w:val="0"/>
          <w:divBdr>
            <w:top w:val="none" w:sz="0" w:space="0" w:color="auto"/>
            <w:left w:val="none" w:sz="0" w:space="0" w:color="auto"/>
            <w:bottom w:val="none" w:sz="0" w:space="0" w:color="auto"/>
            <w:right w:val="none" w:sz="0" w:space="0" w:color="auto"/>
          </w:divBdr>
        </w:div>
        <w:div w:id="799303889">
          <w:marLeft w:val="0"/>
          <w:marRight w:val="0"/>
          <w:marTop w:val="0"/>
          <w:marBottom w:val="0"/>
          <w:divBdr>
            <w:top w:val="none" w:sz="0" w:space="0" w:color="auto"/>
            <w:left w:val="none" w:sz="0" w:space="0" w:color="auto"/>
            <w:bottom w:val="none" w:sz="0" w:space="0" w:color="auto"/>
            <w:right w:val="none" w:sz="0" w:space="0" w:color="auto"/>
          </w:divBdr>
        </w:div>
        <w:div w:id="1209024178">
          <w:marLeft w:val="0"/>
          <w:marRight w:val="0"/>
          <w:marTop w:val="0"/>
          <w:marBottom w:val="0"/>
          <w:divBdr>
            <w:top w:val="none" w:sz="0" w:space="0" w:color="auto"/>
            <w:left w:val="none" w:sz="0" w:space="0" w:color="auto"/>
            <w:bottom w:val="none" w:sz="0" w:space="0" w:color="auto"/>
            <w:right w:val="none" w:sz="0" w:space="0" w:color="auto"/>
          </w:divBdr>
        </w:div>
        <w:div w:id="1331173616">
          <w:marLeft w:val="0"/>
          <w:marRight w:val="0"/>
          <w:marTop w:val="0"/>
          <w:marBottom w:val="0"/>
          <w:divBdr>
            <w:top w:val="none" w:sz="0" w:space="0" w:color="auto"/>
            <w:left w:val="none" w:sz="0" w:space="0" w:color="auto"/>
            <w:bottom w:val="none" w:sz="0" w:space="0" w:color="auto"/>
            <w:right w:val="none" w:sz="0" w:space="0" w:color="auto"/>
          </w:divBdr>
        </w:div>
        <w:div w:id="1269121697">
          <w:marLeft w:val="0"/>
          <w:marRight w:val="0"/>
          <w:marTop w:val="0"/>
          <w:marBottom w:val="0"/>
          <w:divBdr>
            <w:top w:val="none" w:sz="0" w:space="0" w:color="auto"/>
            <w:left w:val="none" w:sz="0" w:space="0" w:color="auto"/>
            <w:bottom w:val="none" w:sz="0" w:space="0" w:color="auto"/>
            <w:right w:val="none" w:sz="0" w:space="0" w:color="auto"/>
          </w:divBdr>
        </w:div>
      </w:divsChild>
    </w:div>
    <w:div w:id="1118909655">
      <w:bodyDiv w:val="1"/>
      <w:marLeft w:val="0"/>
      <w:marRight w:val="0"/>
      <w:marTop w:val="0"/>
      <w:marBottom w:val="0"/>
      <w:divBdr>
        <w:top w:val="none" w:sz="0" w:space="0" w:color="auto"/>
        <w:left w:val="none" w:sz="0" w:space="0" w:color="auto"/>
        <w:bottom w:val="none" w:sz="0" w:space="0" w:color="auto"/>
        <w:right w:val="none" w:sz="0" w:space="0" w:color="auto"/>
      </w:divBdr>
      <w:divsChild>
        <w:div w:id="705721262">
          <w:marLeft w:val="0"/>
          <w:marRight w:val="0"/>
          <w:marTop w:val="0"/>
          <w:marBottom w:val="0"/>
          <w:divBdr>
            <w:top w:val="none" w:sz="0" w:space="0" w:color="auto"/>
            <w:left w:val="none" w:sz="0" w:space="0" w:color="auto"/>
            <w:bottom w:val="none" w:sz="0" w:space="0" w:color="auto"/>
            <w:right w:val="none" w:sz="0" w:space="0" w:color="auto"/>
          </w:divBdr>
        </w:div>
        <w:div w:id="2003462298">
          <w:marLeft w:val="0"/>
          <w:marRight w:val="0"/>
          <w:marTop w:val="0"/>
          <w:marBottom w:val="0"/>
          <w:divBdr>
            <w:top w:val="none" w:sz="0" w:space="0" w:color="auto"/>
            <w:left w:val="none" w:sz="0" w:space="0" w:color="auto"/>
            <w:bottom w:val="none" w:sz="0" w:space="0" w:color="auto"/>
            <w:right w:val="none" w:sz="0" w:space="0" w:color="auto"/>
          </w:divBdr>
        </w:div>
        <w:div w:id="205144251">
          <w:marLeft w:val="0"/>
          <w:marRight w:val="0"/>
          <w:marTop w:val="0"/>
          <w:marBottom w:val="0"/>
          <w:divBdr>
            <w:top w:val="none" w:sz="0" w:space="0" w:color="auto"/>
            <w:left w:val="none" w:sz="0" w:space="0" w:color="auto"/>
            <w:bottom w:val="none" w:sz="0" w:space="0" w:color="auto"/>
            <w:right w:val="none" w:sz="0" w:space="0" w:color="auto"/>
          </w:divBdr>
        </w:div>
        <w:div w:id="1769352129">
          <w:marLeft w:val="0"/>
          <w:marRight w:val="0"/>
          <w:marTop w:val="0"/>
          <w:marBottom w:val="0"/>
          <w:divBdr>
            <w:top w:val="none" w:sz="0" w:space="0" w:color="auto"/>
            <w:left w:val="none" w:sz="0" w:space="0" w:color="auto"/>
            <w:bottom w:val="none" w:sz="0" w:space="0" w:color="auto"/>
            <w:right w:val="none" w:sz="0" w:space="0" w:color="auto"/>
          </w:divBdr>
        </w:div>
        <w:div w:id="457526697">
          <w:marLeft w:val="0"/>
          <w:marRight w:val="0"/>
          <w:marTop w:val="0"/>
          <w:marBottom w:val="0"/>
          <w:divBdr>
            <w:top w:val="none" w:sz="0" w:space="0" w:color="auto"/>
            <w:left w:val="none" w:sz="0" w:space="0" w:color="auto"/>
            <w:bottom w:val="none" w:sz="0" w:space="0" w:color="auto"/>
            <w:right w:val="none" w:sz="0" w:space="0" w:color="auto"/>
          </w:divBdr>
        </w:div>
        <w:div w:id="1638607633">
          <w:marLeft w:val="0"/>
          <w:marRight w:val="0"/>
          <w:marTop w:val="0"/>
          <w:marBottom w:val="0"/>
          <w:divBdr>
            <w:top w:val="none" w:sz="0" w:space="0" w:color="auto"/>
            <w:left w:val="none" w:sz="0" w:space="0" w:color="auto"/>
            <w:bottom w:val="none" w:sz="0" w:space="0" w:color="auto"/>
            <w:right w:val="none" w:sz="0" w:space="0" w:color="auto"/>
          </w:divBdr>
        </w:div>
        <w:div w:id="1062412359">
          <w:marLeft w:val="0"/>
          <w:marRight w:val="0"/>
          <w:marTop w:val="0"/>
          <w:marBottom w:val="0"/>
          <w:divBdr>
            <w:top w:val="none" w:sz="0" w:space="0" w:color="auto"/>
            <w:left w:val="none" w:sz="0" w:space="0" w:color="auto"/>
            <w:bottom w:val="none" w:sz="0" w:space="0" w:color="auto"/>
            <w:right w:val="none" w:sz="0" w:space="0" w:color="auto"/>
          </w:divBdr>
        </w:div>
        <w:div w:id="1394112222">
          <w:marLeft w:val="0"/>
          <w:marRight w:val="0"/>
          <w:marTop w:val="0"/>
          <w:marBottom w:val="0"/>
          <w:divBdr>
            <w:top w:val="none" w:sz="0" w:space="0" w:color="auto"/>
            <w:left w:val="none" w:sz="0" w:space="0" w:color="auto"/>
            <w:bottom w:val="none" w:sz="0" w:space="0" w:color="auto"/>
            <w:right w:val="none" w:sz="0" w:space="0" w:color="auto"/>
          </w:divBdr>
        </w:div>
        <w:div w:id="1287808352">
          <w:marLeft w:val="0"/>
          <w:marRight w:val="0"/>
          <w:marTop w:val="0"/>
          <w:marBottom w:val="0"/>
          <w:divBdr>
            <w:top w:val="none" w:sz="0" w:space="0" w:color="auto"/>
            <w:left w:val="none" w:sz="0" w:space="0" w:color="auto"/>
            <w:bottom w:val="none" w:sz="0" w:space="0" w:color="auto"/>
            <w:right w:val="none" w:sz="0" w:space="0" w:color="auto"/>
          </w:divBdr>
        </w:div>
        <w:div w:id="1204445215">
          <w:marLeft w:val="0"/>
          <w:marRight w:val="0"/>
          <w:marTop w:val="0"/>
          <w:marBottom w:val="0"/>
          <w:divBdr>
            <w:top w:val="none" w:sz="0" w:space="0" w:color="auto"/>
            <w:left w:val="none" w:sz="0" w:space="0" w:color="auto"/>
            <w:bottom w:val="none" w:sz="0" w:space="0" w:color="auto"/>
            <w:right w:val="none" w:sz="0" w:space="0" w:color="auto"/>
          </w:divBdr>
        </w:div>
        <w:div w:id="804158564">
          <w:marLeft w:val="0"/>
          <w:marRight w:val="0"/>
          <w:marTop w:val="0"/>
          <w:marBottom w:val="0"/>
          <w:divBdr>
            <w:top w:val="none" w:sz="0" w:space="0" w:color="auto"/>
            <w:left w:val="none" w:sz="0" w:space="0" w:color="auto"/>
            <w:bottom w:val="none" w:sz="0" w:space="0" w:color="auto"/>
            <w:right w:val="none" w:sz="0" w:space="0" w:color="auto"/>
          </w:divBdr>
        </w:div>
        <w:div w:id="815145569">
          <w:marLeft w:val="0"/>
          <w:marRight w:val="0"/>
          <w:marTop w:val="0"/>
          <w:marBottom w:val="0"/>
          <w:divBdr>
            <w:top w:val="none" w:sz="0" w:space="0" w:color="auto"/>
            <w:left w:val="none" w:sz="0" w:space="0" w:color="auto"/>
            <w:bottom w:val="none" w:sz="0" w:space="0" w:color="auto"/>
            <w:right w:val="none" w:sz="0" w:space="0" w:color="auto"/>
          </w:divBdr>
        </w:div>
        <w:div w:id="1701080132">
          <w:marLeft w:val="0"/>
          <w:marRight w:val="0"/>
          <w:marTop w:val="0"/>
          <w:marBottom w:val="0"/>
          <w:divBdr>
            <w:top w:val="none" w:sz="0" w:space="0" w:color="auto"/>
            <w:left w:val="none" w:sz="0" w:space="0" w:color="auto"/>
            <w:bottom w:val="none" w:sz="0" w:space="0" w:color="auto"/>
            <w:right w:val="none" w:sz="0" w:space="0" w:color="auto"/>
          </w:divBdr>
        </w:div>
        <w:div w:id="527378879">
          <w:marLeft w:val="0"/>
          <w:marRight w:val="0"/>
          <w:marTop w:val="0"/>
          <w:marBottom w:val="0"/>
          <w:divBdr>
            <w:top w:val="none" w:sz="0" w:space="0" w:color="auto"/>
            <w:left w:val="none" w:sz="0" w:space="0" w:color="auto"/>
            <w:bottom w:val="none" w:sz="0" w:space="0" w:color="auto"/>
            <w:right w:val="none" w:sz="0" w:space="0" w:color="auto"/>
          </w:divBdr>
        </w:div>
        <w:div w:id="297683259">
          <w:marLeft w:val="0"/>
          <w:marRight w:val="0"/>
          <w:marTop w:val="0"/>
          <w:marBottom w:val="0"/>
          <w:divBdr>
            <w:top w:val="none" w:sz="0" w:space="0" w:color="auto"/>
            <w:left w:val="none" w:sz="0" w:space="0" w:color="auto"/>
            <w:bottom w:val="none" w:sz="0" w:space="0" w:color="auto"/>
            <w:right w:val="none" w:sz="0" w:space="0" w:color="auto"/>
          </w:divBdr>
        </w:div>
        <w:div w:id="2140025000">
          <w:marLeft w:val="0"/>
          <w:marRight w:val="0"/>
          <w:marTop w:val="0"/>
          <w:marBottom w:val="0"/>
          <w:divBdr>
            <w:top w:val="none" w:sz="0" w:space="0" w:color="auto"/>
            <w:left w:val="none" w:sz="0" w:space="0" w:color="auto"/>
            <w:bottom w:val="none" w:sz="0" w:space="0" w:color="auto"/>
            <w:right w:val="none" w:sz="0" w:space="0" w:color="auto"/>
          </w:divBdr>
        </w:div>
        <w:div w:id="1034817494">
          <w:marLeft w:val="0"/>
          <w:marRight w:val="0"/>
          <w:marTop w:val="0"/>
          <w:marBottom w:val="0"/>
          <w:divBdr>
            <w:top w:val="none" w:sz="0" w:space="0" w:color="auto"/>
            <w:left w:val="none" w:sz="0" w:space="0" w:color="auto"/>
            <w:bottom w:val="none" w:sz="0" w:space="0" w:color="auto"/>
            <w:right w:val="none" w:sz="0" w:space="0" w:color="auto"/>
          </w:divBdr>
        </w:div>
        <w:div w:id="350768887">
          <w:marLeft w:val="0"/>
          <w:marRight w:val="0"/>
          <w:marTop w:val="0"/>
          <w:marBottom w:val="0"/>
          <w:divBdr>
            <w:top w:val="none" w:sz="0" w:space="0" w:color="auto"/>
            <w:left w:val="none" w:sz="0" w:space="0" w:color="auto"/>
            <w:bottom w:val="none" w:sz="0" w:space="0" w:color="auto"/>
            <w:right w:val="none" w:sz="0" w:space="0" w:color="auto"/>
          </w:divBdr>
        </w:div>
        <w:div w:id="1797523342">
          <w:marLeft w:val="0"/>
          <w:marRight w:val="0"/>
          <w:marTop w:val="0"/>
          <w:marBottom w:val="0"/>
          <w:divBdr>
            <w:top w:val="none" w:sz="0" w:space="0" w:color="auto"/>
            <w:left w:val="none" w:sz="0" w:space="0" w:color="auto"/>
            <w:bottom w:val="none" w:sz="0" w:space="0" w:color="auto"/>
            <w:right w:val="none" w:sz="0" w:space="0" w:color="auto"/>
          </w:divBdr>
        </w:div>
        <w:div w:id="1871839731">
          <w:marLeft w:val="0"/>
          <w:marRight w:val="0"/>
          <w:marTop w:val="0"/>
          <w:marBottom w:val="0"/>
          <w:divBdr>
            <w:top w:val="none" w:sz="0" w:space="0" w:color="auto"/>
            <w:left w:val="none" w:sz="0" w:space="0" w:color="auto"/>
            <w:bottom w:val="none" w:sz="0" w:space="0" w:color="auto"/>
            <w:right w:val="none" w:sz="0" w:space="0" w:color="auto"/>
          </w:divBdr>
        </w:div>
        <w:div w:id="1621952678">
          <w:marLeft w:val="0"/>
          <w:marRight w:val="0"/>
          <w:marTop w:val="0"/>
          <w:marBottom w:val="0"/>
          <w:divBdr>
            <w:top w:val="none" w:sz="0" w:space="0" w:color="auto"/>
            <w:left w:val="none" w:sz="0" w:space="0" w:color="auto"/>
            <w:bottom w:val="none" w:sz="0" w:space="0" w:color="auto"/>
            <w:right w:val="none" w:sz="0" w:space="0" w:color="auto"/>
          </w:divBdr>
        </w:div>
        <w:div w:id="1496610304">
          <w:marLeft w:val="0"/>
          <w:marRight w:val="0"/>
          <w:marTop w:val="0"/>
          <w:marBottom w:val="0"/>
          <w:divBdr>
            <w:top w:val="none" w:sz="0" w:space="0" w:color="auto"/>
            <w:left w:val="none" w:sz="0" w:space="0" w:color="auto"/>
            <w:bottom w:val="none" w:sz="0" w:space="0" w:color="auto"/>
            <w:right w:val="none" w:sz="0" w:space="0" w:color="auto"/>
          </w:divBdr>
        </w:div>
        <w:div w:id="329069331">
          <w:marLeft w:val="0"/>
          <w:marRight w:val="0"/>
          <w:marTop w:val="0"/>
          <w:marBottom w:val="0"/>
          <w:divBdr>
            <w:top w:val="none" w:sz="0" w:space="0" w:color="auto"/>
            <w:left w:val="none" w:sz="0" w:space="0" w:color="auto"/>
            <w:bottom w:val="none" w:sz="0" w:space="0" w:color="auto"/>
            <w:right w:val="none" w:sz="0" w:space="0" w:color="auto"/>
          </w:divBdr>
        </w:div>
        <w:div w:id="1793281068">
          <w:marLeft w:val="0"/>
          <w:marRight w:val="0"/>
          <w:marTop w:val="0"/>
          <w:marBottom w:val="0"/>
          <w:divBdr>
            <w:top w:val="none" w:sz="0" w:space="0" w:color="auto"/>
            <w:left w:val="none" w:sz="0" w:space="0" w:color="auto"/>
            <w:bottom w:val="none" w:sz="0" w:space="0" w:color="auto"/>
            <w:right w:val="none" w:sz="0" w:space="0" w:color="auto"/>
          </w:divBdr>
        </w:div>
        <w:div w:id="1221330449">
          <w:marLeft w:val="0"/>
          <w:marRight w:val="0"/>
          <w:marTop w:val="0"/>
          <w:marBottom w:val="0"/>
          <w:divBdr>
            <w:top w:val="none" w:sz="0" w:space="0" w:color="auto"/>
            <w:left w:val="none" w:sz="0" w:space="0" w:color="auto"/>
            <w:bottom w:val="none" w:sz="0" w:space="0" w:color="auto"/>
            <w:right w:val="none" w:sz="0" w:space="0" w:color="auto"/>
          </w:divBdr>
        </w:div>
        <w:div w:id="1157651520">
          <w:marLeft w:val="0"/>
          <w:marRight w:val="0"/>
          <w:marTop w:val="0"/>
          <w:marBottom w:val="0"/>
          <w:divBdr>
            <w:top w:val="none" w:sz="0" w:space="0" w:color="auto"/>
            <w:left w:val="none" w:sz="0" w:space="0" w:color="auto"/>
            <w:bottom w:val="none" w:sz="0" w:space="0" w:color="auto"/>
            <w:right w:val="none" w:sz="0" w:space="0" w:color="auto"/>
          </w:divBdr>
        </w:div>
        <w:div w:id="333850036">
          <w:marLeft w:val="0"/>
          <w:marRight w:val="0"/>
          <w:marTop w:val="0"/>
          <w:marBottom w:val="0"/>
          <w:divBdr>
            <w:top w:val="none" w:sz="0" w:space="0" w:color="auto"/>
            <w:left w:val="none" w:sz="0" w:space="0" w:color="auto"/>
            <w:bottom w:val="none" w:sz="0" w:space="0" w:color="auto"/>
            <w:right w:val="none" w:sz="0" w:space="0" w:color="auto"/>
          </w:divBdr>
        </w:div>
        <w:div w:id="222833806">
          <w:marLeft w:val="0"/>
          <w:marRight w:val="0"/>
          <w:marTop w:val="0"/>
          <w:marBottom w:val="0"/>
          <w:divBdr>
            <w:top w:val="none" w:sz="0" w:space="0" w:color="auto"/>
            <w:left w:val="none" w:sz="0" w:space="0" w:color="auto"/>
            <w:bottom w:val="none" w:sz="0" w:space="0" w:color="auto"/>
            <w:right w:val="none" w:sz="0" w:space="0" w:color="auto"/>
          </w:divBdr>
        </w:div>
        <w:div w:id="1519999694">
          <w:marLeft w:val="0"/>
          <w:marRight w:val="0"/>
          <w:marTop w:val="0"/>
          <w:marBottom w:val="0"/>
          <w:divBdr>
            <w:top w:val="none" w:sz="0" w:space="0" w:color="auto"/>
            <w:left w:val="none" w:sz="0" w:space="0" w:color="auto"/>
            <w:bottom w:val="none" w:sz="0" w:space="0" w:color="auto"/>
            <w:right w:val="none" w:sz="0" w:space="0" w:color="auto"/>
          </w:divBdr>
        </w:div>
      </w:divsChild>
    </w:div>
    <w:div w:id="1136491239">
      <w:bodyDiv w:val="1"/>
      <w:marLeft w:val="390"/>
      <w:marRight w:val="390"/>
      <w:marTop w:val="0"/>
      <w:marBottom w:val="0"/>
      <w:divBdr>
        <w:top w:val="none" w:sz="0" w:space="0" w:color="auto"/>
        <w:left w:val="none" w:sz="0" w:space="0" w:color="auto"/>
        <w:bottom w:val="none" w:sz="0" w:space="0" w:color="auto"/>
        <w:right w:val="none" w:sz="0" w:space="0" w:color="auto"/>
      </w:divBdr>
      <w:divsChild>
        <w:div w:id="23603168">
          <w:marLeft w:val="0"/>
          <w:marRight w:val="0"/>
          <w:marTop w:val="0"/>
          <w:marBottom w:val="120"/>
          <w:divBdr>
            <w:top w:val="none" w:sz="0" w:space="0" w:color="auto"/>
            <w:left w:val="none" w:sz="0" w:space="0" w:color="auto"/>
            <w:bottom w:val="none" w:sz="0" w:space="0" w:color="auto"/>
            <w:right w:val="none" w:sz="0" w:space="0" w:color="auto"/>
          </w:divBdr>
          <w:divsChild>
            <w:div w:id="1047336914">
              <w:marLeft w:val="0"/>
              <w:marRight w:val="0"/>
              <w:marTop w:val="0"/>
              <w:marBottom w:val="0"/>
              <w:divBdr>
                <w:top w:val="none" w:sz="0" w:space="0" w:color="auto"/>
                <w:left w:val="none" w:sz="0" w:space="0" w:color="auto"/>
                <w:bottom w:val="none" w:sz="0" w:space="0" w:color="auto"/>
                <w:right w:val="none" w:sz="0" w:space="0" w:color="auto"/>
              </w:divBdr>
            </w:div>
            <w:div w:id="18282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3190">
      <w:bodyDiv w:val="1"/>
      <w:marLeft w:val="0"/>
      <w:marRight w:val="0"/>
      <w:marTop w:val="0"/>
      <w:marBottom w:val="0"/>
      <w:divBdr>
        <w:top w:val="none" w:sz="0" w:space="0" w:color="auto"/>
        <w:left w:val="none" w:sz="0" w:space="0" w:color="auto"/>
        <w:bottom w:val="none" w:sz="0" w:space="0" w:color="auto"/>
        <w:right w:val="none" w:sz="0" w:space="0" w:color="auto"/>
      </w:divBdr>
      <w:divsChild>
        <w:div w:id="1991053337">
          <w:marLeft w:val="0"/>
          <w:marRight w:val="0"/>
          <w:marTop w:val="0"/>
          <w:marBottom w:val="0"/>
          <w:divBdr>
            <w:top w:val="none" w:sz="0" w:space="0" w:color="auto"/>
            <w:left w:val="none" w:sz="0" w:space="0" w:color="auto"/>
            <w:bottom w:val="none" w:sz="0" w:space="0" w:color="auto"/>
            <w:right w:val="none" w:sz="0" w:space="0" w:color="auto"/>
          </w:divBdr>
        </w:div>
        <w:div w:id="658459810">
          <w:marLeft w:val="0"/>
          <w:marRight w:val="0"/>
          <w:marTop w:val="0"/>
          <w:marBottom w:val="0"/>
          <w:divBdr>
            <w:top w:val="none" w:sz="0" w:space="0" w:color="auto"/>
            <w:left w:val="none" w:sz="0" w:space="0" w:color="auto"/>
            <w:bottom w:val="none" w:sz="0" w:space="0" w:color="auto"/>
            <w:right w:val="none" w:sz="0" w:space="0" w:color="auto"/>
          </w:divBdr>
        </w:div>
        <w:div w:id="220483859">
          <w:marLeft w:val="0"/>
          <w:marRight w:val="0"/>
          <w:marTop w:val="0"/>
          <w:marBottom w:val="0"/>
          <w:divBdr>
            <w:top w:val="none" w:sz="0" w:space="0" w:color="auto"/>
            <w:left w:val="none" w:sz="0" w:space="0" w:color="auto"/>
            <w:bottom w:val="none" w:sz="0" w:space="0" w:color="auto"/>
            <w:right w:val="none" w:sz="0" w:space="0" w:color="auto"/>
          </w:divBdr>
        </w:div>
        <w:div w:id="1901862278">
          <w:marLeft w:val="0"/>
          <w:marRight w:val="0"/>
          <w:marTop w:val="0"/>
          <w:marBottom w:val="0"/>
          <w:divBdr>
            <w:top w:val="none" w:sz="0" w:space="0" w:color="auto"/>
            <w:left w:val="none" w:sz="0" w:space="0" w:color="auto"/>
            <w:bottom w:val="none" w:sz="0" w:space="0" w:color="auto"/>
            <w:right w:val="none" w:sz="0" w:space="0" w:color="auto"/>
          </w:divBdr>
        </w:div>
        <w:div w:id="1080903520">
          <w:marLeft w:val="0"/>
          <w:marRight w:val="0"/>
          <w:marTop w:val="0"/>
          <w:marBottom w:val="0"/>
          <w:divBdr>
            <w:top w:val="none" w:sz="0" w:space="0" w:color="auto"/>
            <w:left w:val="none" w:sz="0" w:space="0" w:color="auto"/>
            <w:bottom w:val="none" w:sz="0" w:space="0" w:color="auto"/>
            <w:right w:val="none" w:sz="0" w:space="0" w:color="auto"/>
          </w:divBdr>
        </w:div>
      </w:divsChild>
    </w:div>
    <w:div w:id="1174295365">
      <w:bodyDiv w:val="1"/>
      <w:marLeft w:val="0"/>
      <w:marRight w:val="0"/>
      <w:marTop w:val="0"/>
      <w:marBottom w:val="0"/>
      <w:divBdr>
        <w:top w:val="none" w:sz="0" w:space="0" w:color="auto"/>
        <w:left w:val="none" w:sz="0" w:space="0" w:color="auto"/>
        <w:bottom w:val="none" w:sz="0" w:space="0" w:color="auto"/>
        <w:right w:val="none" w:sz="0" w:space="0" w:color="auto"/>
      </w:divBdr>
    </w:div>
    <w:div w:id="1262837617">
      <w:bodyDiv w:val="1"/>
      <w:marLeft w:val="0"/>
      <w:marRight w:val="0"/>
      <w:marTop w:val="0"/>
      <w:marBottom w:val="0"/>
      <w:divBdr>
        <w:top w:val="none" w:sz="0" w:space="0" w:color="auto"/>
        <w:left w:val="none" w:sz="0" w:space="0" w:color="auto"/>
        <w:bottom w:val="none" w:sz="0" w:space="0" w:color="auto"/>
        <w:right w:val="none" w:sz="0" w:space="0" w:color="auto"/>
      </w:divBdr>
    </w:div>
    <w:div w:id="1287547338">
      <w:bodyDiv w:val="1"/>
      <w:marLeft w:val="0"/>
      <w:marRight w:val="0"/>
      <w:marTop w:val="0"/>
      <w:marBottom w:val="0"/>
      <w:divBdr>
        <w:top w:val="none" w:sz="0" w:space="0" w:color="auto"/>
        <w:left w:val="none" w:sz="0" w:space="0" w:color="auto"/>
        <w:bottom w:val="none" w:sz="0" w:space="0" w:color="auto"/>
        <w:right w:val="none" w:sz="0" w:space="0" w:color="auto"/>
      </w:divBdr>
    </w:div>
    <w:div w:id="1288925930">
      <w:bodyDiv w:val="1"/>
      <w:marLeft w:val="0"/>
      <w:marRight w:val="0"/>
      <w:marTop w:val="0"/>
      <w:marBottom w:val="0"/>
      <w:divBdr>
        <w:top w:val="none" w:sz="0" w:space="0" w:color="auto"/>
        <w:left w:val="none" w:sz="0" w:space="0" w:color="auto"/>
        <w:bottom w:val="none" w:sz="0" w:space="0" w:color="auto"/>
        <w:right w:val="none" w:sz="0" w:space="0" w:color="auto"/>
      </w:divBdr>
    </w:div>
    <w:div w:id="1307857367">
      <w:bodyDiv w:val="1"/>
      <w:marLeft w:val="0"/>
      <w:marRight w:val="0"/>
      <w:marTop w:val="0"/>
      <w:marBottom w:val="0"/>
      <w:divBdr>
        <w:top w:val="none" w:sz="0" w:space="0" w:color="auto"/>
        <w:left w:val="none" w:sz="0" w:space="0" w:color="auto"/>
        <w:bottom w:val="none" w:sz="0" w:space="0" w:color="auto"/>
        <w:right w:val="none" w:sz="0" w:space="0" w:color="auto"/>
      </w:divBdr>
      <w:divsChild>
        <w:div w:id="750078764">
          <w:marLeft w:val="0"/>
          <w:marRight w:val="0"/>
          <w:marTop w:val="0"/>
          <w:marBottom w:val="0"/>
          <w:divBdr>
            <w:top w:val="none" w:sz="0" w:space="0" w:color="auto"/>
            <w:left w:val="none" w:sz="0" w:space="0" w:color="auto"/>
            <w:bottom w:val="none" w:sz="0" w:space="0" w:color="auto"/>
            <w:right w:val="none" w:sz="0" w:space="0" w:color="auto"/>
          </w:divBdr>
        </w:div>
        <w:div w:id="45179152">
          <w:marLeft w:val="0"/>
          <w:marRight w:val="0"/>
          <w:marTop w:val="0"/>
          <w:marBottom w:val="0"/>
          <w:divBdr>
            <w:top w:val="none" w:sz="0" w:space="0" w:color="auto"/>
            <w:left w:val="none" w:sz="0" w:space="0" w:color="auto"/>
            <w:bottom w:val="none" w:sz="0" w:space="0" w:color="auto"/>
            <w:right w:val="none" w:sz="0" w:space="0" w:color="auto"/>
          </w:divBdr>
        </w:div>
        <w:div w:id="1335106037">
          <w:marLeft w:val="0"/>
          <w:marRight w:val="0"/>
          <w:marTop w:val="0"/>
          <w:marBottom w:val="0"/>
          <w:divBdr>
            <w:top w:val="none" w:sz="0" w:space="0" w:color="auto"/>
            <w:left w:val="none" w:sz="0" w:space="0" w:color="auto"/>
            <w:bottom w:val="none" w:sz="0" w:space="0" w:color="auto"/>
            <w:right w:val="none" w:sz="0" w:space="0" w:color="auto"/>
          </w:divBdr>
        </w:div>
        <w:div w:id="1380057928">
          <w:marLeft w:val="0"/>
          <w:marRight w:val="0"/>
          <w:marTop w:val="0"/>
          <w:marBottom w:val="0"/>
          <w:divBdr>
            <w:top w:val="none" w:sz="0" w:space="0" w:color="auto"/>
            <w:left w:val="none" w:sz="0" w:space="0" w:color="auto"/>
            <w:bottom w:val="none" w:sz="0" w:space="0" w:color="auto"/>
            <w:right w:val="none" w:sz="0" w:space="0" w:color="auto"/>
          </w:divBdr>
        </w:div>
        <w:div w:id="1804538356">
          <w:marLeft w:val="0"/>
          <w:marRight w:val="0"/>
          <w:marTop w:val="0"/>
          <w:marBottom w:val="0"/>
          <w:divBdr>
            <w:top w:val="none" w:sz="0" w:space="0" w:color="auto"/>
            <w:left w:val="none" w:sz="0" w:space="0" w:color="auto"/>
            <w:bottom w:val="none" w:sz="0" w:space="0" w:color="auto"/>
            <w:right w:val="none" w:sz="0" w:space="0" w:color="auto"/>
          </w:divBdr>
        </w:div>
        <w:div w:id="1515195121">
          <w:marLeft w:val="0"/>
          <w:marRight w:val="0"/>
          <w:marTop w:val="0"/>
          <w:marBottom w:val="0"/>
          <w:divBdr>
            <w:top w:val="none" w:sz="0" w:space="0" w:color="auto"/>
            <w:left w:val="none" w:sz="0" w:space="0" w:color="auto"/>
            <w:bottom w:val="none" w:sz="0" w:space="0" w:color="auto"/>
            <w:right w:val="none" w:sz="0" w:space="0" w:color="auto"/>
          </w:divBdr>
        </w:div>
        <w:div w:id="1460879356">
          <w:marLeft w:val="0"/>
          <w:marRight w:val="0"/>
          <w:marTop w:val="0"/>
          <w:marBottom w:val="0"/>
          <w:divBdr>
            <w:top w:val="none" w:sz="0" w:space="0" w:color="auto"/>
            <w:left w:val="none" w:sz="0" w:space="0" w:color="auto"/>
            <w:bottom w:val="none" w:sz="0" w:space="0" w:color="auto"/>
            <w:right w:val="none" w:sz="0" w:space="0" w:color="auto"/>
          </w:divBdr>
        </w:div>
        <w:div w:id="1248928174">
          <w:marLeft w:val="0"/>
          <w:marRight w:val="0"/>
          <w:marTop w:val="0"/>
          <w:marBottom w:val="0"/>
          <w:divBdr>
            <w:top w:val="none" w:sz="0" w:space="0" w:color="auto"/>
            <w:left w:val="none" w:sz="0" w:space="0" w:color="auto"/>
            <w:bottom w:val="none" w:sz="0" w:space="0" w:color="auto"/>
            <w:right w:val="none" w:sz="0" w:space="0" w:color="auto"/>
          </w:divBdr>
        </w:div>
        <w:div w:id="435558289">
          <w:marLeft w:val="0"/>
          <w:marRight w:val="0"/>
          <w:marTop w:val="0"/>
          <w:marBottom w:val="0"/>
          <w:divBdr>
            <w:top w:val="none" w:sz="0" w:space="0" w:color="auto"/>
            <w:left w:val="none" w:sz="0" w:space="0" w:color="auto"/>
            <w:bottom w:val="none" w:sz="0" w:space="0" w:color="auto"/>
            <w:right w:val="none" w:sz="0" w:space="0" w:color="auto"/>
          </w:divBdr>
        </w:div>
        <w:div w:id="392435822">
          <w:marLeft w:val="0"/>
          <w:marRight w:val="0"/>
          <w:marTop w:val="0"/>
          <w:marBottom w:val="0"/>
          <w:divBdr>
            <w:top w:val="none" w:sz="0" w:space="0" w:color="auto"/>
            <w:left w:val="none" w:sz="0" w:space="0" w:color="auto"/>
            <w:bottom w:val="none" w:sz="0" w:space="0" w:color="auto"/>
            <w:right w:val="none" w:sz="0" w:space="0" w:color="auto"/>
          </w:divBdr>
        </w:div>
        <w:div w:id="814956539">
          <w:marLeft w:val="0"/>
          <w:marRight w:val="0"/>
          <w:marTop w:val="0"/>
          <w:marBottom w:val="0"/>
          <w:divBdr>
            <w:top w:val="none" w:sz="0" w:space="0" w:color="auto"/>
            <w:left w:val="none" w:sz="0" w:space="0" w:color="auto"/>
            <w:bottom w:val="none" w:sz="0" w:space="0" w:color="auto"/>
            <w:right w:val="none" w:sz="0" w:space="0" w:color="auto"/>
          </w:divBdr>
        </w:div>
        <w:div w:id="308942659">
          <w:marLeft w:val="0"/>
          <w:marRight w:val="0"/>
          <w:marTop w:val="0"/>
          <w:marBottom w:val="0"/>
          <w:divBdr>
            <w:top w:val="none" w:sz="0" w:space="0" w:color="auto"/>
            <w:left w:val="none" w:sz="0" w:space="0" w:color="auto"/>
            <w:bottom w:val="none" w:sz="0" w:space="0" w:color="auto"/>
            <w:right w:val="none" w:sz="0" w:space="0" w:color="auto"/>
          </w:divBdr>
        </w:div>
        <w:div w:id="1641613182">
          <w:marLeft w:val="0"/>
          <w:marRight w:val="0"/>
          <w:marTop w:val="0"/>
          <w:marBottom w:val="0"/>
          <w:divBdr>
            <w:top w:val="none" w:sz="0" w:space="0" w:color="auto"/>
            <w:left w:val="none" w:sz="0" w:space="0" w:color="auto"/>
            <w:bottom w:val="none" w:sz="0" w:space="0" w:color="auto"/>
            <w:right w:val="none" w:sz="0" w:space="0" w:color="auto"/>
          </w:divBdr>
        </w:div>
        <w:div w:id="133302690">
          <w:marLeft w:val="0"/>
          <w:marRight w:val="0"/>
          <w:marTop w:val="0"/>
          <w:marBottom w:val="0"/>
          <w:divBdr>
            <w:top w:val="none" w:sz="0" w:space="0" w:color="auto"/>
            <w:left w:val="none" w:sz="0" w:space="0" w:color="auto"/>
            <w:bottom w:val="none" w:sz="0" w:space="0" w:color="auto"/>
            <w:right w:val="none" w:sz="0" w:space="0" w:color="auto"/>
          </w:divBdr>
        </w:div>
        <w:div w:id="126435634">
          <w:marLeft w:val="0"/>
          <w:marRight w:val="0"/>
          <w:marTop w:val="0"/>
          <w:marBottom w:val="0"/>
          <w:divBdr>
            <w:top w:val="none" w:sz="0" w:space="0" w:color="auto"/>
            <w:left w:val="none" w:sz="0" w:space="0" w:color="auto"/>
            <w:bottom w:val="none" w:sz="0" w:space="0" w:color="auto"/>
            <w:right w:val="none" w:sz="0" w:space="0" w:color="auto"/>
          </w:divBdr>
        </w:div>
        <w:div w:id="738095386">
          <w:marLeft w:val="0"/>
          <w:marRight w:val="0"/>
          <w:marTop w:val="0"/>
          <w:marBottom w:val="0"/>
          <w:divBdr>
            <w:top w:val="none" w:sz="0" w:space="0" w:color="auto"/>
            <w:left w:val="none" w:sz="0" w:space="0" w:color="auto"/>
            <w:bottom w:val="none" w:sz="0" w:space="0" w:color="auto"/>
            <w:right w:val="none" w:sz="0" w:space="0" w:color="auto"/>
          </w:divBdr>
        </w:div>
        <w:div w:id="739909434">
          <w:marLeft w:val="0"/>
          <w:marRight w:val="0"/>
          <w:marTop w:val="0"/>
          <w:marBottom w:val="0"/>
          <w:divBdr>
            <w:top w:val="none" w:sz="0" w:space="0" w:color="auto"/>
            <w:left w:val="none" w:sz="0" w:space="0" w:color="auto"/>
            <w:bottom w:val="none" w:sz="0" w:space="0" w:color="auto"/>
            <w:right w:val="none" w:sz="0" w:space="0" w:color="auto"/>
          </w:divBdr>
        </w:div>
        <w:div w:id="13849562">
          <w:marLeft w:val="0"/>
          <w:marRight w:val="0"/>
          <w:marTop w:val="0"/>
          <w:marBottom w:val="0"/>
          <w:divBdr>
            <w:top w:val="none" w:sz="0" w:space="0" w:color="auto"/>
            <w:left w:val="none" w:sz="0" w:space="0" w:color="auto"/>
            <w:bottom w:val="none" w:sz="0" w:space="0" w:color="auto"/>
            <w:right w:val="none" w:sz="0" w:space="0" w:color="auto"/>
          </w:divBdr>
        </w:div>
        <w:div w:id="2125146153">
          <w:marLeft w:val="0"/>
          <w:marRight w:val="0"/>
          <w:marTop w:val="0"/>
          <w:marBottom w:val="0"/>
          <w:divBdr>
            <w:top w:val="none" w:sz="0" w:space="0" w:color="auto"/>
            <w:left w:val="none" w:sz="0" w:space="0" w:color="auto"/>
            <w:bottom w:val="none" w:sz="0" w:space="0" w:color="auto"/>
            <w:right w:val="none" w:sz="0" w:space="0" w:color="auto"/>
          </w:divBdr>
        </w:div>
        <w:div w:id="942804847">
          <w:marLeft w:val="0"/>
          <w:marRight w:val="0"/>
          <w:marTop w:val="0"/>
          <w:marBottom w:val="0"/>
          <w:divBdr>
            <w:top w:val="none" w:sz="0" w:space="0" w:color="auto"/>
            <w:left w:val="none" w:sz="0" w:space="0" w:color="auto"/>
            <w:bottom w:val="none" w:sz="0" w:space="0" w:color="auto"/>
            <w:right w:val="none" w:sz="0" w:space="0" w:color="auto"/>
          </w:divBdr>
        </w:div>
        <w:div w:id="789974291">
          <w:marLeft w:val="0"/>
          <w:marRight w:val="0"/>
          <w:marTop w:val="0"/>
          <w:marBottom w:val="0"/>
          <w:divBdr>
            <w:top w:val="none" w:sz="0" w:space="0" w:color="auto"/>
            <w:left w:val="none" w:sz="0" w:space="0" w:color="auto"/>
            <w:bottom w:val="none" w:sz="0" w:space="0" w:color="auto"/>
            <w:right w:val="none" w:sz="0" w:space="0" w:color="auto"/>
          </w:divBdr>
        </w:div>
        <w:div w:id="487139742">
          <w:marLeft w:val="0"/>
          <w:marRight w:val="0"/>
          <w:marTop w:val="0"/>
          <w:marBottom w:val="0"/>
          <w:divBdr>
            <w:top w:val="none" w:sz="0" w:space="0" w:color="auto"/>
            <w:left w:val="none" w:sz="0" w:space="0" w:color="auto"/>
            <w:bottom w:val="none" w:sz="0" w:space="0" w:color="auto"/>
            <w:right w:val="none" w:sz="0" w:space="0" w:color="auto"/>
          </w:divBdr>
        </w:div>
        <w:div w:id="795149579">
          <w:marLeft w:val="0"/>
          <w:marRight w:val="0"/>
          <w:marTop w:val="0"/>
          <w:marBottom w:val="0"/>
          <w:divBdr>
            <w:top w:val="none" w:sz="0" w:space="0" w:color="auto"/>
            <w:left w:val="none" w:sz="0" w:space="0" w:color="auto"/>
            <w:bottom w:val="none" w:sz="0" w:space="0" w:color="auto"/>
            <w:right w:val="none" w:sz="0" w:space="0" w:color="auto"/>
          </w:divBdr>
        </w:div>
        <w:div w:id="2105375579">
          <w:marLeft w:val="0"/>
          <w:marRight w:val="0"/>
          <w:marTop w:val="0"/>
          <w:marBottom w:val="0"/>
          <w:divBdr>
            <w:top w:val="none" w:sz="0" w:space="0" w:color="auto"/>
            <w:left w:val="none" w:sz="0" w:space="0" w:color="auto"/>
            <w:bottom w:val="none" w:sz="0" w:space="0" w:color="auto"/>
            <w:right w:val="none" w:sz="0" w:space="0" w:color="auto"/>
          </w:divBdr>
        </w:div>
        <w:div w:id="2043822368">
          <w:marLeft w:val="0"/>
          <w:marRight w:val="0"/>
          <w:marTop w:val="0"/>
          <w:marBottom w:val="0"/>
          <w:divBdr>
            <w:top w:val="none" w:sz="0" w:space="0" w:color="auto"/>
            <w:left w:val="none" w:sz="0" w:space="0" w:color="auto"/>
            <w:bottom w:val="none" w:sz="0" w:space="0" w:color="auto"/>
            <w:right w:val="none" w:sz="0" w:space="0" w:color="auto"/>
          </w:divBdr>
        </w:div>
        <w:div w:id="1996453931">
          <w:marLeft w:val="0"/>
          <w:marRight w:val="0"/>
          <w:marTop w:val="0"/>
          <w:marBottom w:val="0"/>
          <w:divBdr>
            <w:top w:val="none" w:sz="0" w:space="0" w:color="auto"/>
            <w:left w:val="none" w:sz="0" w:space="0" w:color="auto"/>
            <w:bottom w:val="none" w:sz="0" w:space="0" w:color="auto"/>
            <w:right w:val="none" w:sz="0" w:space="0" w:color="auto"/>
          </w:divBdr>
        </w:div>
        <w:div w:id="1215461020">
          <w:marLeft w:val="0"/>
          <w:marRight w:val="0"/>
          <w:marTop w:val="0"/>
          <w:marBottom w:val="0"/>
          <w:divBdr>
            <w:top w:val="none" w:sz="0" w:space="0" w:color="auto"/>
            <w:left w:val="none" w:sz="0" w:space="0" w:color="auto"/>
            <w:bottom w:val="none" w:sz="0" w:space="0" w:color="auto"/>
            <w:right w:val="none" w:sz="0" w:space="0" w:color="auto"/>
          </w:divBdr>
        </w:div>
        <w:div w:id="1564365558">
          <w:marLeft w:val="0"/>
          <w:marRight w:val="0"/>
          <w:marTop w:val="0"/>
          <w:marBottom w:val="0"/>
          <w:divBdr>
            <w:top w:val="none" w:sz="0" w:space="0" w:color="auto"/>
            <w:left w:val="none" w:sz="0" w:space="0" w:color="auto"/>
            <w:bottom w:val="none" w:sz="0" w:space="0" w:color="auto"/>
            <w:right w:val="none" w:sz="0" w:space="0" w:color="auto"/>
          </w:divBdr>
        </w:div>
        <w:div w:id="1422877471">
          <w:marLeft w:val="0"/>
          <w:marRight w:val="0"/>
          <w:marTop w:val="0"/>
          <w:marBottom w:val="0"/>
          <w:divBdr>
            <w:top w:val="none" w:sz="0" w:space="0" w:color="auto"/>
            <w:left w:val="none" w:sz="0" w:space="0" w:color="auto"/>
            <w:bottom w:val="none" w:sz="0" w:space="0" w:color="auto"/>
            <w:right w:val="none" w:sz="0" w:space="0" w:color="auto"/>
          </w:divBdr>
        </w:div>
        <w:div w:id="878591852">
          <w:marLeft w:val="0"/>
          <w:marRight w:val="0"/>
          <w:marTop w:val="0"/>
          <w:marBottom w:val="0"/>
          <w:divBdr>
            <w:top w:val="none" w:sz="0" w:space="0" w:color="auto"/>
            <w:left w:val="none" w:sz="0" w:space="0" w:color="auto"/>
            <w:bottom w:val="none" w:sz="0" w:space="0" w:color="auto"/>
            <w:right w:val="none" w:sz="0" w:space="0" w:color="auto"/>
          </w:divBdr>
        </w:div>
        <w:div w:id="752439202">
          <w:marLeft w:val="0"/>
          <w:marRight w:val="0"/>
          <w:marTop w:val="0"/>
          <w:marBottom w:val="0"/>
          <w:divBdr>
            <w:top w:val="none" w:sz="0" w:space="0" w:color="auto"/>
            <w:left w:val="none" w:sz="0" w:space="0" w:color="auto"/>
            <w:bottom w:val="none" w:sz="0" w:space="0" w:color="auto"/>
            <w:right w:val="none" w:sz="0" w:space="0" w:color="auto"/>
          </w:divBdr>
        </w:div>
        <w:div w:id="492917626">
          <w:marLeft w:val="0"/>
          <w:marRight w:val="0"/>
          <w:marTop w:val="0"/>
          <w:marBottom w:val="0"/>
          <w:divBdr>
            <w:top w:val="none" w:sz="0" w:space="0" w:color="auto"/>
            <w:left w:val="none" w:sz="0" w:space="0" w:color="auto"/>
            <w:bottom w:val="none" w:sz="0" w:space="0" w:color="auto"/>
            <w:right w:val="none" w:sz="0" w:space="0" w:color="auto"/>
          </w:divBdr>
        </w:div>
        <w:div w:id="83848444">
          <w:marLeft w:val="0"/>
          <w:marRight w:val="0"/>
          <w:marTop w:val="0"/>
          <w:marBottom w:val="0"/>
          <w:divBdr>
            <w:top w:val="none" w:sz="0" w:space="0" w:color="auto"/>
            <w:left w:val="none" w:sz="0" w:space="0" w:color="auto"/>
            <w:bottom w:val="none" w:sz="0" w:space="0" w:color="auto"/>
            <w:right w:val="none" w:sz="0" w:space="0" w:color="auto"/>
          </w:divBdr>
        </w:div>
        <w:div w:id="407265770">
          <w:marLeft w:val="0"/>
          <w:marRight w:val="0"/>
          <w:marTop w:val="0"/>
          <w:marBottom w:val="0"/>
          <w:divBdr>
            <w:top w:val="none" w:sz="0" w:space="0" w:color="auto"/>
            <w:left w:val="none" w:sz="0" w:space="0" w:color="auto"/>
            <w:bottom w:val="none" w:sz="0" w:space="0" w:color="auto"/>
            <w:right w:val="none" w:sz="0" w:space="0" w:color="auto"/>
          </w:divBdr>
        </w:div>
        <w:div w:id="46727437">
          <w:marLeft w:val="0"/>
          <w:marRight w:val="0"/>
          <w:marTop w:val="0"/>
          <w:marBottom w:val="0"/>
          <w:divBdr>
            <w:top w:val="none" w:sz="0" w:space="0" w:color="auto"/>
            <w:left w:val="none" w:sz="0" w:space="0" w:color="auto"/>
            <w:bottom w:val="none" w:sz="0" w:space="0" w:color="auto"/>
            <w:right w:val="none" w:sz="0" w:space="0" w:color="auto"/>
          </w:divBdr>
        </w:div>
      </w:divsChild>
    </w:div>
    <w:div w:id="1338121678">
      <w:bodyDiv w:val="1"/>
      <w:marLeft w:val="0"/>
      <w:marRight w:val="0"/>
      <w:marTop w:val="0"/>
      <w:marBottom w:val="0"/>
      <w:divBdr>
        <w:top w:val="none" w:sz="0" w:space="0" w:color="auto"/>
        <w:left w:val="none" w:sz="0" w:space="0" w:color="auto"/>
        <w:bottom w:val="none" w:sz="0" w:space="0" w:color="auto"/>
        <w:right w:val="none" w:sz="0" w:space="0" w:color="auto"/>
      </w:divBdr>
    </w:div>
    <w:div w:id="1428885956">
      <w:bodyDiv w:val="1"/>
      <w:marLeft w:val="0"/>
      <w:marRight w:val="0"/>
      <w:marTop w:val="0"/>
      <w:marBottom w:val="0"/>
      <w:divBdr>
        <w:top w:val="none" w:sz="0" w:space="0" w:color="auto"/>
        <w:left w:val="none" w:sz="0" w:space="0" w:color="auto"/>
        <w:bottom w:val="none" w:sz="0" w:space="0" w:color="auto"/>
        <w:right w:val="none" w:sz="0" w:space="0" w:color="auto"/>
      </w:divBdr>
    </w:div>
    <w:div w:id="1487555988">
      <w:bodyDiv w:val="1"/>
      <w:marLeft w:val="0"/>
      <w:marRight w:val="0"/>
      <w:marTop w:val="0"/>
      <w:marBottom w:val="0"/>
      <w:divBdr>
        <w:top w:val="none" w:sz="0" w:space="0" w:color="auto"/>
        <w:left w:val="none" w:sz="0" w:space="0" w:color="auto"/>
        <w:bottom w:val="none" w:sz="0" w:space="0" w:color="auto"/>
        <w:right w:val="none" w:sz="0" w:space="0" w:color="auto"/>
      </w:divBdr>
    </w:div>
    <w:div w:id="1511287030">
      <w:bodyDiv w:val="1"/>
      <w:marLeft w:val="0"/>
      <w:marRight w:val="0"/>
      <w:marTop w:val="0"/>
      <w:marBottom w:val="0"/>
      <w:divBdr>
        <w:top w:val="none" w:sz="0" w:space="0" w:color="auto"/>
        <w:left w:val="none" w:sz="0" w:space="0" w:color="auto"/>
        <w:bottom w:val="none" w:sz="0" w:space="0" w:color="auto"/>
        <w:right w:val="none" w:sz="0" w:space="0" w:color="auto"/>
      </w:divBdr>
      <w:divsChild>
        <w:div w:id="1733655640">
          <w:marLeft w:val="0"/>
          <w:marRight w:val="0"/>
          <w:marTop w:val="0"/>
          <w:marBottom w:val="0"/>
          <w:divBdr>
            <w:top w:val="none" w:sz="0" w:space="0" w:color="auto"/>
            <w:left w:val="none" w:sz="0" w:space="0" w:color="auto"/>
            <w:bottom w:val="none" w:sz="0" w:space="0" w:color="auto"/>
            <w:right w:val="none" w:sz="0" w:space="0" w:color="auto"/>
          </w:divBdr>
        </w:div>
        <w:div w:id="2036493130">
          <w:marLeft w:val="0"/>
          <w:marRight w:val="0"/>
          <w:marTop w:val="0"/>
          <w:marBottom w:val="0"/>
          <w:divBdr>
            <w:top w:val="none" w:sz="0" w:space="0" w:color="auto"/>
            <w:left w:val="none" w:sz="0" w:space="0" w:color="auto"/>
            <w:bottom w:val="none" w:sz="0" w:space="0" w:color="auto"/>
            <w:right w:val="none" w:sz="0" w:space="0" w:color="auto"/>
          </w:divBdr>
        </w:div>
        <w:div w:id="569661640">
          <w:marLeft w:val="0"/>
          <w:marRight w:val="0"/>
          <w:marTop w:val="0"/>
          <w:marBottom w:val="0"/>
          <w:divBdr>
            <w:top w:val="none" w:sz="0" w:space="0" w:color="auto"/>
            <w:left w:val="none" w:sz="0" w:space="0" w:color="auto"/>
            <w:bottom w:val="none" w:sz="0" w:space="0" w:color="auto"/>
            <w:right w:val="none" w:sz="0" w:space="0" w:color="auto"/>
          </w:divBdr>
        </w:div>
        <w:div w:id="381681882">
          <w:marLeft w:val="0"/>
          <w:marRight w:val="0"/>
          <w:marTop w:val="0"/>
          <w:marBottom w:val="0"/>
          <w:divBdr>
            <w:top w:val="none" w:sz="0" w:space="0" w:color="auto"/>
            <w:left w:val="none" w:sz="0" w:space="0" w:color="auto"/>
            <w:bottom w:val="none" w:sz="0" w:space="0" w:color="auto"/>
            <w:right w:val="none" w:sz="0" w:space="0" w:color="auto"/>
          </w:divBdr>
        </w:div>
        <w:div w:id="1060859767">
          <w:marLeft w:val="0"/>
          <w:marRight w:val="0"/>
          <w:marTop w:val="0"/>
          <w:marBottom w:val="0"/>
          <w:divBdr>
            <w:top w:val="none" w:sz="0" w:space="0" w:color="auto"/>
            <w:left w:val="none" w:sz="0" w:space="0" w:color="auto"/>
            <w:bottom w:val="none" w:sz="0" w:space="0" w:color="auto"/>
            <w:right w:val="none" w:sz="0" w:space="0" w:color="auto"/>
          </w:divBdr>
        </w:div>
        <w:div w:id="1261715466">
          <w:marLeft w:val="0"/>
          <w:marRight w:val="0"/>
          <w:marTop w:val="0"/>
          <w:marBottom w:val="0"/>
          <w:divBdr>
            <w:top w:val="none" w:sz="0" w:space="0" w:color="auto"/>
            <w:left w:val="none" w:sz="0" w:space="0" w:color="auto"/>
            <w:bottom w:val="none" w:sz="0" w:space="0" w:color="auto"/>
            <w:right w:val="none" w:sz="0" w:space="0" w:color="auto"/>
          </w:divBdr>
        </w:div>
        <w:div w:id="1248227562">
          <w:marLeft w:val="0"/>
          <w:marRight w:val="0"/>
          <w:marTop w:val="0"/>
          <w:marBottom w:val="0"/>
          <w:divBdr>
            <w:top w:val="none" w:sz="0" w:space="0" w:color="auto"/>
            <w:left w:val="none" w:sz="0" w:space="0" w:color="auto"/>
            <w:bottom w:val="none" w:sz="0" w:space="0" w:color="auto"/>
            <w:right w:val="none" w:sz="0" w:space="0" w:color="auto"/>
          </w:divBdr>
        </w:div>
        <w:div w:id="1535654307">
          <w:marLeft w:val="0"/>
          <w:marRight w:val="0"/>
          <w:marTop w:val="0"/>
          <w:marBottom w:val="0"/>
          <w:divBdr>
            <w:top w:val="none" w:sz="0" w:space="0" w:color="auto"/>
            <w:left w:val="none" w:sz="0" w:space="0" w:color="auto"/>
            <w:bottom w:val="none" w:sz="0" w:space="0" w:color="auto"/>
            <w:right w:val="none" w:sz="0" w:space="0" w:color="auto"/>
          </w:divBdr>
        </w:div>
        <w:div w:id="976102986">
          <w:marLeft w:val="0"/>
          <w:marRight w:val="0"/>
          <w:marTop w:val="0"/>
          <w:marBottom w:val="0"/>
          <w:divBdr>
            <w:top w:val="none" w:sz="0" w:space="0" w:color="auto"/>
            <w:left w:val="none" w:sz="0" w:space="0" w:color="auto"/>
            <w:bottom w:val="none" w:sz="0" w:space="0" w:color="auto"/>
            <w:right w:val="none" w:sz="0" w:space="0" w:color="auto"/>
          </w:divBdr>
        </w:div>
        <w:div w:id="1728450027">
          <w:marLeft w:val="0"/>
          <w:marRight w:val="0"/>
          <w:marTop w:val="0"/>
          <w:marBottom w:val="0"/>
          <w:divBdr>
            <w:top w:val="none" w:sz="0" w:space="0" w:color="auto"/>
            <w:left w:val="none" w:sz="0" w:space="0" w:color="auto"/>
            <w:bottom w:val="none" w:sz="0" w:space="0" w:color="auto"/>
            <w:right w:val="none" w:sz="0" w:space="0" w:color="auto"/>
          </w:divBdr>
        </w:div>
        <w:div w:id="2110195207">
          <w:marLeft w:val="0"/>
          <w:marRight w:val="0"/>
          <w:marTop w:val="0"/>
          <w:marBottom w:val="0"/>
          <w:divBdr>
            <w:top w:val="none" w:sz="0" w:space="0" w:color="auto"/>
            <w:left w:val="none" w:sz="0" w:space="0" w:color="auto"/>
            <w:bottom w:val="none" w:sz="0" w:space="0" w:color="auto"/>
            <w:right w:val="none" w:sz="0" w:space="0" w:color="auto"/>
          </w:divBdr>
        </w:div>
        <w:div w:id="1432239681">
          <w:marLeft w:val="0"/>
          <w:marRight w:val="0"/>
          <w:marTop w:val="0"/>
          <w:marBottom w:val="0"/>
          <w:divBdr>
            <w:top w:val="none" w:sz="0" w:space="0" w:color="auto"/>
            <w:left w:val="none" w:sz="0" w:space="0" w:color="auto"/>
            <w:bottom w:val="none" w:sz="0" w:space="0" w:color="auto"/>
            <w:right w:val="none" w:sz="0" w:space="0" w:color="auto"/>
          </w:divBdr>
        </w:div>
        <w:div w:id="1580754907">
          <w:marLeft w:val="0"/>
          <w:marRight w:val="0"/>
          <w:marTop w:val="0"/>
          <w:marBottom w:val="0"/>
          <w:divBdr>
            <w:top w:val="none" w:sz="0" w:space="0" w:color="auto"/>
            <w:left w:val="none" w:sz="0" w:space="0" w:color="auto"/>
            <w:bottom w:val="none" w:sz="0" w:space="0" w:color="auto"/>
            <w:right w:val="none" w:sz="0" w:space="0" w:color="auto"/>
          </w:divBdr>
        </w:div>
        <w:div w:id="1718315768">
          <w:marLeft w:val="0"/>
          <w:marRight w:val="0"/>
          <w:marTop w:val="0"/>
          <w:marBottom w:val="0"/>
          <w:divBdr>
            <w:top w:val="none" w:sz="0" w:space="0" w:color="auto"/>
            <w:left w:val="none" w:sz="0" w:space="0" w:color="auto"/>
            <w:bottom w:val="none" w:sz="0" w:space="0" w:color="auto"/>
            <w:right w:val="none" w:sz="0" w:space="0" w:color="auto"/>
          </w:divBdr>
        </w:div>
        <w:div w:id="1546217875">
          <w:marLeft w:val="0"/>
          <w:marRight w:val="0"/>
          <w:marTop w:val="0"/>
          <w:marBottom w:val="0"/>
          <w:divBdr>
            <w:top w:val="none" w:sz="0" w:space="0" w:color="auto"/>
            <w:left w:val="none" w:sz="0" w:space="0" w:color="auto"/>
            <w:bottom w:val="none" w:sz="0" w:space="0" w:color="auto"/>
            <w:right w:val="none" w:sz="0" w:space="0" w:color="auto"/>
          </w:divBdr>
        </w:div>
      </w:divsChild>
    </w:div>
    <w:div w:id="1551915449">
      <w:bodyDiv w:val="1"/>
      <w:marLeft w:val="0"/>
      <w:marRight w:val="0"/>
      <w:marTop w:val="0"/>
      <w:marBottom w:val="0"/>
      <w:divBdr>
        <w:top w:val="none" w:sz="0" w:space="0" w:color="auto"/>
        <w:left w:val="none" w:sz="0" w:space="0" w:color="auto"/>
        <w:bottom w:val="none" w:sz="0" w:space="0" w:color="auto"/>
        <w:right w:val="none" w:sz="0" w:space="0" w:color="auto"/>
      </w:divBdr>
    </w:div>
    <w:div w:id="1579512424">
      <w:bodyDiv w:val="1"/>
      <w:marLeft w:val="0"/>
      <w:marRight w:val="0"/>
      <w:marTop w:val="0"/>
      <w:marBottom w:val="0"/>
      <w:divBdr>
        <w:top w:val="none" w:sz="0" w:space="0" w:color="auto"/>
        <w:left w:val="none" w:sz="0" w:space="0" w:color="auto"/>
        <w:bottom w:val="none" w:sz="0" w:space="0" w:color="auto"/>
        <w:right w:val="none" w:sz="0" w:space="0" w:color="auto"/>
      </w:divBdr>
    </w:div>
    <w:div w:id="1635788003">
      <w:bodyDiv w:val="1"/>
      <w:marLeft w:val="0"/>
      <w:marRight w:val="0"/>
      <w:marTop w:val="0"/>
      <w:marBottom w:val="0"/>
      <w:divBdr>
        <w:top w:val="none" w:sz="0" w:space="0" w:color="auto"/>
        <w:left w:val="none" w:sz="0" w:space="0" w:color="auto"/>
        <w:bottom w:val="none" w:sz="0" w:space="0" w:color="auto"/>
        <w:right w:val="none" w:sz="0" w:space="0" w:color="auto"/>
      </w:divBdr>
      <w:divsChild>
        <w:div w:id="1190799876">
          <w:marLeft w:val="0"/>
          <w:marRight w:val="0"/>
          <w:marTop w:val="0"/>
          <w:marBottom w:val="0"/>
          <w:divBdr>
            <w:top w:val="none" w:sz="0" w:space="0" w:color="auto"/>
            <w:left w:val="none" w:sz="0" w:space="0" w:color="auto"/>
            <w:bottom w:val="none" w:sz="0" w:space="0" w:color="auto"/>
            <w:right w:val="none" w:sz="0" w:space="0" w:color="auto"/>
          </w:divBdr>
        </w:div>
        <w:div w:id="1946379624">
          <w:marLeft w:val="0"/>
          <w:marRight w:val="0"/>
          <w:marTop w:val="0"/>
          <w:marBottom w:val="0"/>
          <w:divBdr>
            <w:top w:val="none" w:sz="0" w:space="0" w:color="auto"/>
            <w:left w:val="none" w:sz="0" w:space="0" w:color="auto"/>
            <w:bottom w:val="none" w:sz="0" w:space="0" w:color="auto"/>
            <w:right w:val="none" w:sz="0" w:space="0" w:color="auto"/>
          </w:divBdr>
        </w:div>
      </w:divsChild>
    </w:div>
    <w:div w:id="1675064924">
      <w:bodyDiv w:val="1"/>
      <w:marLeft w:val="0"/>
      <w:marRight w:val="0"/>
      <w:marTop w:val="0"/>
      <w:marBottom w:val="0"/>
      <w:divBdr>
        <w:top w:val="none" w:sz="0" w:space="0" w:color="auto"/>
        <w:left w:val="none" w:sz="0" w:space="0" w:color="auto"/>
        <w:bottom w:val="none" w:sz="0" w:space="0" w:color="auto"/>
        <w:right w:val="none" w:sz="0" w:space="0" w:color="auto"/>
      </w:divBdr>
    </w:div>
    <w:div w:id="1779525592">
      <w:bodyDiv w:val="1"/>
      <w:marLeft w:val="0"/>
      <w:marRight w:val="0"/>
      <w:marTop w:val="0"/>
      <w:marBottom w:val="0"/>
      <w:divBdr>
        <w:top w:val="none" w:sz="0" w:space="0" w:color="auto"/>
        <w:left w:val="none" w:sz="0" w:space="0" w:color="auto"/>
        <w:bottom w:val="none" w:sz="0" w:space="0" w:color="auto"/>
        <w:right w:val="none" w:sz="0" w:space="0" w:color="auto"/>
      </w:divBdr>
    </w:div>
    <w:div w:id="1797336325">
      <w:bodyDiv w:val="1"/>
      <w:marLeft w:val="0"/>
      <w:marRight w:val="0"/>
      <w:marTop w:val="0"/>
      <w:marBottom w:val="0"/>
      <w:divBdr>
        <w:top w:val="none" w:sz="0" w:space="0" w:color="auto"/>
        <w:left w:val="none" w:sz="0" w:space="0" w:color="auto"/>
        <w:bottom w:val="none" w:sz="0" w:space="0" w:color="auto"/>
        <w:right w:val="none" w:sz="0" w:space="0" w:color="auto"/>
      </w:divBdr>
    </w:div>
    <w:div w:id="1798178828">
      <w:bodyDiv w:val="1"/>
      <w:marLeft w:val="0"/>
      <w:marRight w:val="0"/>
      <w:marTop w:val="0"/>
      <w:marBottom w:val="0"/>
      <w:divBdr>
        <w:top w:val="none" w:sz="0" w:space="0" w:color="auto"/>
        <w:left w:val="none" w:sz="0" w:space="0" w:color="auto"/>
        <w:bottom w:val="none" w:sz="0" w:space="0" w:color="auto"/>
        <w:right w:val="none" w:sz="0" w:space="0" w:color="auto"/>
      </w:divBdr>
    </w:div>
    <w:div w:id="1827168746">
      <w:bodyDiv w:val="1"/>
      <w:marLeft w:val="0"/>
      <w:marRight w:val="0"/>
      <w:marTop w:val="0"/>
      <w:marBottom w:val="0"/>
      <w:divBdr>
        <w:top w:val="none" w:sz="0" w:space="0" w:color="auto"/>
        <w:left w:val="none" w:sz="0" w:space="0" w:color="auto"/>
        <w:bottom w:val="none" w:sz="0" w:space="0" w:color="auto"/>
        <w:right w:val="none" w:sz="0" w:space="0" w:color="auto"/>
      </w:divBdr>
    </w:div>
    <w:div w:id="1835099727">
      <w:bodyDiv w:val="1"/>
      <w:marLeft w:val="0"/>
      <w:marRight w:val="0"/>
      <w:marTop w:val="0"/>
      <w:marBottom w:val="0"/>
      <w:divBdr>
        <w:top w:val="none" w:sz="0" w:space="0" w:color="auto"/>
        <w:left w:val="none" w:sz="0" w:space="0" w:color="auto"/>
        <w:bottom w:val="none" w:sz="0" w:space="0" w:color="auto"/>
        <w:right w:val="none" w:sz="0" w:space="0" w:color="auto"/>
      </w:divBdr>
    </w:div>
    <w:div w:id="1860385747">
      <w:bodyDiv w:val="1"/>
      <w:marLeft w:val="0"/>
      <w:marRight w:val="0"/>
      <w:marTop w:val="0"/>
      <w:marBottom w:val="0"/>
      <w:divBdr>
        <w:top w:val="none" w:sz="0" w:space="0" w:color="auto"/>
        <w:left w:val="none" w:sz="0" w:space="0" w:color="auto"/>
        <w:bottom w:val="none" w:sz="0" w:space="0" w:color="auto"/>
        <w:right w:val="none" w:sz="0" w:space="0" w:color="auto"/>
      </w:divBdr>
    </w:div>
    <w:div w:id="2040278074">
      <w:bodyDiv w:val="1"/>
      <w:marLeft w:val="0"/>
      <w:marRight w:val="0"/>
      <w:marTop w:val="0"/>
      <w:marBottom w:val="0"/>
      <w:divBdr>
        <w:top w:val="none" w:sz="0" w:space="0" w:color="auto"/>
        <w:left w:val="none" w:sz="0" w:space="0" w:color="auto"/>
        <w:bottom w:val="none" w:sz="0" w:space="0" w:color="auto"/>
        <w:right w:val="none" w:sz="0" w:space="0" w:color="auto"/>
      </w:divBdr>
      <w:divsChild>
        <w:div w:id="650673770">
          <w:marLeft w:val="0"/>
          <w:marRight w:val="0"/>
          <w:marTop w:val="0"/>
          <w:marBottom w:val="0"/>
          <w:divBdr>
            <w:top w:val="none" w:sz="0" w:space="0" w:color="auto"/>
            <w:left w:val="none" w:sz="0" w:space="0" w:color="auto"/>
            <w:bottom w:val="none" w:sz="0" w:space="0" w:color="auto"/>
            <w:right w:val="none" w:sz="0" w:space="0" w:color="auto"/>
          </w:divBdr>
        </w:div>
        <w:div w:id="1278949875">
          <w:marLeft w:val="0"/>
          <w:marRight w:val="0"/>
          <w:marTop w:val="0"/>
          <w:marBottom w:val="0"/>
          <w:divBdr>
            <w:top w:val="none" w:sz="0" w:space="0" w:color="auto"/>
            <w:left w:val="none" w:sz="0" w:space="0" w:color="auto"/>
            <w:bottom w:val="none" w:sz="0" w:space="0" w:color="auto"/>
            <w:right w:val="none" w:sz="0" w:space="0" w:color="auto"/>
          </w:divBdr>
        </w:div>
        <w:div w:id="864516758">
          <w:marLeft w:val="0"/>
          <w:marRight w:val="0"/>
          <w:marTop w:val="0"/>
          <w:marBottom w:val="0"/>
          <w:divBdr>
            <w:top w:val="none" w:sz="0" w:space="0" w:color="auto"/>
            <w:left w:val="none" w:sz="0" w:space="0" w:color="auto"/>
            <w:bottom w:val="none" w:sz="0" w:space="0" w:color="auto"/>
            <w:right w:val="none" w:sz="0" w:space="0" w:color="auto"/>
          </w:divBdr>
        </w:div>
        <w:div w:id="148790956">
          <w:marLeft w:val="0"/>
          <w:marRight w:val="0"/>
          <w:marTop w:val="0"/>
          <w:marBottom w:val="0"/>
          <w:divBdr>
            <w:top w:val="none" w:sz="0" w:space="0" w:color="auto"/>
            <w:left w:val="none" w:sz="0" w:space="0" w:color="auto"/>
            <w:bottom w:val="none" w:sz="0" w:space="0" w:color="auto"/>
            <w:right w:val="none" w:sz="0" w:space="0" w:color="auto"/>
          </w:divBdr>
        </w:div>
        <w:div w:id="440611310">
          <w:marLeft w:val="0"/>
          <w:marRight w:val="0"/>
          <w:marTop w:val="0"/>
          <w:marBottom w:val="0"/>
          <w:divBdr>
            <w:top w:val="none" w:sz="0" w:space="0" w:color="auto"/>
            <w:left w:val="none" w:sz="0" w:space="0" w:color="auto"/>
            <w:bottom w:val="none" w:sz="0" w:space="0" w:color="auto"/>
            <w:right w:val="none" w:sz="0" w:space="0" w:color="auto"/>
          </w:divBdr>
        </w:div>
        <w:div w:id="389302818">
          <w:marLeft w:val="0"/>
          <w:marRight w:val="0"/>
          <w:marTop w:val="0"/>
          <w:marBottom w:val="0"/>
          <w:divBdr>
            <w:top w:val="none" w:sz="0" w:space="0" w:color="auto"/>
            <w:left w:val="none" w:sz="0" w:space="0" w:color="auto"/>
            <w:bottom w:val="none" w:sz="0" w:space="0" w:color="auto"/>
            <w:right w:val="none" w:sz="0" w:space="0" w:color="auto"/>
          </w:divBdr>
        </w:div>
        <w:div w:id="458114003">
          <w:marLeft w:val="0"/>
          <w:marRight w:val="0"/>
          <w:marTop w:val="0"/>
          <w:marBottom w:val="0"/>
          <w:divBdr>
            <w:top w:val="none" w:sz="0" w:space="0" w:color="auto"/>
            <w:left w:val="none" w:sz="0" w:space="0" w:color="auto"/>
            <w:bottom w:val="none" w:sz="0" w:space="0" w:color="auto"/>
            <w:right w:val="none" w:sz="0" w:space="0" w:color="auto"/>
          </w:divBdr>
        </w:div>
        <w:div w:id="534192785">
          <w:marLeft w:val="0"/>
          <w:marRight w:val="0"/>
          <w:marTop w:val="0"/>
          <w:marBottom w:val="0"/>
          <w:divBdr>
            <w:top w:val="none" w:sz="0" w:space="0" w:color="auto"/>
            <w:left w:val="none" w:sz="0" w:space="0" w:color="auto"/>
            <w:bottom w:val="none" w:sz="0" w:space="0" w:color="auto"/>
            <w:right w:val="none" w:sz="0" w:space="0" w:color="auto"/>
          </w:divBdr>
        </w:div>
        <w:div w:id="927889323">
          <w:marLeft w:val="0"/>
          <w:marRight w:val="0"/>
          <w:marTop w:val="0"/>
          <w:marBottom w:val="0"/>
          <w:divBdr>
            <w:top w:val="none" w:sz="0" w:space="0" w:color="auto"/>
            <w:left w:val="none" w:sz="0" w:space="0" w:color="auto"/>
            <w:bottom w:val="none" w:sz="0" w:space="0" w:color="auto"/>
            <w:right w:val="none" w:sz="0" w:space="0" w:color="auto"/>
          </w:divBdr>
        </w:div>
      </w:divsChild>
    </w:div>
    <w:div w:id="2050833148">
      <w:bodyDiv w:val="1"/>
      <w:marLeft w:val="0"/>
      <w:marRight w:val="0"/>
      <w:marTop w:val="0"/>
      <w:marBottom w:val="0"/>
      <w:divBdr>
        <w:top w:val="none" w:sz="0" w:space="0" w:color="auto"/>
        <w:left w:val="none" w:sz="0" w:space="0" w:color="auto"/>
        <w:bottom w:val="none" w:sz="0" w:space="0" w:color="auto"/>
        <w:right w:val="none" w:sz="0" w:space="0" w:color="auto"/>
      </w:divBdr>
    </w:div>
    <w:div w:id="2083982996">
      <w:bodyDiv w:val="1"/>
      <w:marLeft w:val="0"/>
      <w:marRight w:val="0"/>
      <w:marTop w:val="0"/>
      <w:marBottom w:val="0"/>
      <w:divBdr>
        <w:top w:val="none" w:sz="0" w:space="0" w:color="auto"/>
        <w:left w:val="none" w:sz="0" w:space="0" w:color="auto"/>
        <w:bottom w:val="none" w:sz="0" w:space="0" w:color="auto"/>
        <w:right w:val="none" w:sz="0" w:space="0" w:color="auto"/>
      </w:divBdr>
    </w:div>
    <w:div w:id="2122675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4534">
          <w:marLeft w:val="0"/>
          <w:marRight w:val="0"/>
          <w:marTop w:val="0"/>
          <w:marBottom w:val="120"/>
          <w:divBdr>
            <w:top w:val="none" w:sz="0" w:space="0" w:color="auto"/>
            <w:left w:val="none" w:sz="0" w:space="0" w:color="auto"/>
            <w:bottom w:val="none" w:sz="0" w:space="0" w:color="auto"/>
            <w:right w:val="none" w:sz="0" w:space="0" w:color="auto"/>
          </w:divBdr>
          <w:divsChild>
            <w:div w:id="302932184">
              <w:marLeft w:val="0"/>
              <w:marRight w:val="0"/>
              <w:marTop w:val="0"/>
              <w:marBottom w:val="0"/>
              <w:divBdr>
                <w:top w:val="none" w:sz="0" w:space="0" w:color="auto"/>
                <w:left w:val="none" w:sz="0" w:space="0" w:color="auto"/>
                <w:bottom w:val="none" w:sz="0" w:space="0" w:color="auto"/>
                <w:right w:val="none" w:sz="0" w:space="0" w:color="auto"/>
              </w:divBdr>
            </w:div>
            <w:div w:id="16412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1867">
      <w:bodyDiv w:val="1"/>
      <w:marLeft w:val="0"/>
      <w:marRight w:val="0"/>
      <w:marTop w:val="0"/>
      <w:marBottom w:val="0"/>
      <w:divBdr>
        <w:top w:val="none" w:sz="0" w:space="0" w:color="auto"/>
        <w:left w:val="none" w:sz="0" w:space="0" w:color="auto"/>
        <w:bottom w:val="none" w:sz="0" w:space="0" w:color="auto"/>
        <w:right w:val="none" w:sz="0" w:space="0" w:color="auto"/>
      </w:divBdr>
      <w:divsChild>
        <w:div w:id="1714501561">
          <w:marLeft w:val="0"/>
          <w:marRight w:val="0"/>
          <w:marTop w:val="0"/>
          <w:marBottom w:val="0"/>
          <w:divBdr>
            <w:top w:val="none" w:sz="0" w:space="0" w:color="auto"/>
            <w:left w:val="none" w:sz="0" w:space="0" w:color="auto"/>
            <w:bottom w:val="none" w:sz="0" w:space="0" w:color="auto"/>
            <w:right w:val="none" w:sz="0" w:space="0" w:color="auto"/>
          </w:divBdr>
        </w:div>
        <w:div w:id="1577477690">
          <w:marLeft w:val="0"/>
          <w:marRight w:val="0"/>
          <w:marTop w:val="0"/>
          <w:marBottom w:val="0"/>
          <w:divBdr>
            <w:top w:val="none" w:sz="0" w:space="0" w:color="auto"/>
            <w:left w:val="none" w:sz="0" w:space="0" w:color="auto"/>
            <w:bottom w:val="none" w:sz="0" w:space="0" w:color="auto"/>
            <w:right w:val="none" w:sz="0" w:space="0" w:color="auto"/>
          </w:divBdr>
        </w:div>
        <w:div w:id="1441993565">
          <w:marLeft w:val="0"/>
          <w:marRight w:val="0"/>
          <w:marTop w:val="0"/>
          <w:marBottom w:val="0"/>
          <w:divBdr>
            <w:top w:val="none" w:sz="0" w:space="0" w:color="auto"/>
            <w:left w:val="none" w:sz="0" w:space="0" w:color="auto"/>
            <w:bottom w:val="none" w:sz="0" w:space="0" w:color="auto"/>
            <w:right w:val="none" w:sz="0" w:space="0" w:color="auto"/>
          </w:divBdr>
        </w:div>
        <w:div w:id="1957834300">
          <w:marLeft w:val="0"/>
          <w:marRight w:val="0"/>
          <w:marTop w:val="0"/>
          <w:marBottom w:val="0"/>
          <w:divBdr>
            <w:top w:val="none" w:sz="0" w:space="0" w:color="auto"/>
            <w:left w:val="none" w:sz="0" w:space="0" w:color="auto"/>
            <w:bottom w:val="none" w:sz="0" w:space="0" w:color="auto"/>
            <w:right w:val="none" w:sz="0" w:space="0" w:color="auto"/>
          </w:divBdr>
        </w:div>
        <w:div w:id="1365599542">
          <w:marLeft w:val="0"/>
          <w:marRight w:val="0"/>
          <w:marTop w:val="0"/>
          <w:marBottom w:val="0"/>
          <w:divBdr>
            <w:top w:val="none" w:sz="0" w:space="0" w:color="auto"/>
            <w:left w:val="none" w:sz="0" w:space="0" w:color="auto"/>
            <w:bottom w:val="none" w:sz="0" w:space="0" w:color="auto"/>
            <w:right w:val="none" w:sz="0" w:space="0" w:color="auto"/>
          </w:divBdr>
        </w:div>
        <w:div w:id="1757903558">
          <w:marLeft w:val="0"/>
          <w:marRight w:val="0"/>
          <w:marTop w:val="0"/>
          <w:marBottom w:val="0"/>
          <w:divBdr>
            <w:top w:val="none" w:sz="0" w:space="0" w:color="auto"/>
            <w:left w:val="none" w:sz="0" w:space="0" w:color="auto"/>
            <w:bottom w:val="none" w:sz="0" w:space="0" w:color="auto"/>
            <w:right w:val="none" w:sz="0" w:space="0" w:color="auto"/>
          </w:divBdr>
        </w:div>
        <w:div w:id="507445677">
          <w:marLeft w:val="0"/>
          <w:marRight w:val="0"/>
          <w:marTop w:val="0"/>
          <w:marBottom w:val="0"/>
          <w:divBdr>
            <w:top w:val="none" w:sz="0" w:space="0" w:color="auto"/>
            <w:left w:val="none" w:sz="0" w:space="0" w:color="auto"/>
            <w:bottom w:val="none" w:sz="0" w:space="0" w:color="auto"/>
            <w:right w:val="none" w:sz="0" w:space="0" w:color="auto"/>
          </w:divBdr>
        </w:div>
        <w:div w:id="1218710113">
          <w:marLeft w:val="0"/>
          <w:marRight w:val="0"/>
          <w:marTop w:val="0"/>
          <w:marBottom w:val="0"/>
          <w:divBdr>
            <w:top w:val="none" w:sz="0" w:space="0" w:color="auto"/>
            <w:left w:val="none" w:sz="0" w:space="0" w:color="auto"/>
            <w:bottom w:val="none" w:sz="0" w:space="0" w:color="auto"/>
            <w:right w:val="none" w:sz="0" w:space="0" w:color="auto"/>
          </w:divBdr>
        </w:div>
        <w:div w:id="702831261">
          <w:marLeft w:val="0"/>
          <w:marRight w:val="0"/>
          <w:marTop w:val="0"/>
          <w:marBottom w:val="0"/>
          <w:divBdr>
            <w:top w:val="none" w:sz="0" w:space="0" w:color="auto"/>
            <w:left w:val="none" w:sz="0" w:space="0" w:color="auto"/>
            <w:bottom w:val="none" w:sz="0" w:space="0" w:color="auto"/>
            <w:right w:val="none" w:sz="0" w:space="0" w:color="auto"/>
          </w:divBdr>
        </w:div>
        <w:div w:id="1379281189">
          <w:marLeft w:val="0"/>
          <w:marRight w:val="0"/>
          <w:marTop w:val="0"/>
          <w:marBottom w:val="0"/>
          <w:divBdr>
            <w:top w:val="none" w:sz="0" w:space="0" w:color="auto"/>
            <w:left w:val="none" w:sz="0" w:space="0" w:color="auto"/>
            <w:bottom w:val="none" w:sz="0" w:space="0" w:color="auto"/>
            <w:right w:val="none" w:sz="0" w:space="0" w:color="auto"/>
          </w:divBdr>
        </w:div>
        <w:div w:id="1915239171">
          <w:marLeft w:val="0"/>
          <w:marRight w:val="0"/>
          <w:marTop w:val="0"/>
          <w:marBottom w:val="0"/>
          <w:divBdr>
            <w:top w:val="none" w:sz="0" w:space="0" w:color="auto"/>
            <w:left w:val="none" w:sz="0" w:space="0" w:color="auto"/>
            <w:bottom w:val="none" w:sz="0" w:space="0" w:color="auto"/>
            <w:right w:val="none" w:sz="0" w:space="0" w:color="auto"/>
          </w:divBdr>
        </w:div>
        <w:div w:id="2050955082">
          <w:marLeft w:val="0"/>
          <w:marRight w:val="0"/>
          <w:marTop w:val="0"/>
          <w:marBottom w:val="0"/>
          <w:divBdr>
            <w:top w:val="none" w:sz="0" w:space="0" w:color="auto"/>
            <w:left w:val="none" w:sz="0" w:space="0" w:color="auto"/>
            <w:bottom w:val="none" w:sz="0" w:space="0" w:color="auto"/>
            <w:right w:val="none" w:sz="0" w:space="0" w:color="auto"/>
          </w:divBdr>
        </w:div>
        <w:div w:id="2039504817">
          <w:marLeft w:val="0"/>
          <w:marRight w:val="0"/>
          <w:marTop w:val="0"/>
          <w:marBottom w:val="0"/>
          <w:divBdr>
            <w:top w:val="none" w:sz="0" w:space="0" w:color="auto"/>
            <w:left w:val="none" w:sz="0" w:space="0" w:color="auto"/>
            <w:bottom w:val="none" w:sz="0" w:space="0" w:color="auto"/>
            <w:right w:val="none" w:sz="0" w:space="0" w:color="auto"/>
          </w:divBdr>
        </w:div>
        <w:div w:id="709259206">
          <w:marLeft w:val="0"/>
          <w:marRight w:val="0"/>
          <w:marTop w:val="0"/>
          <w:marBottom w:val="0"/>
          <w:divBdr>
            <w:top w:val="none" w:sz="0" w:space="0" w:color="auto"/>
            <w:left w:val="none" w:sz="0" w:space="0" w:color="auto"/>
            <w:bottom w:val="none" w:sz="0" w:space="0" w:color="auto"/>
            <w:right w:val="none" w:sz="0" w:space="0" w:color="auto"/>
          </w:divBdr>
        </w:div>
        <w:div w:id="787234290">
          <w:marLeft w:val="0"/>
          <w:marRight w:val="0"/>
          <w:marTop w:val="0"/>
          <w:marBottom w:val="0"/>
          <w:divBdr>
            <w:top w:val="none" w:sz="0" w:space="0" w:color="auto"/>
            <w:left w:val="none" w:sz="0" w:space="0" w:color="auto"/>
            <w:bottom w:val="none" w:sz="0" w:space="0" w:color="auto"/>
            <w:right w:val="none" w:sz="0" w:space="0" w:color="auto"/>
          </w:divBdr>
        </w:div>
        <w:div w:id="210965563">
          <w:marLeft w:val="0"/>
          <w:marRight w:val="0"/>
          <w:marTop w:val="0"/>
          <w:marBottom w:val="0"/>
          <w:divBdr>
            <w:top w:val="none" w:sz="0" w:space="0" w:color="auto"/>
            <w:left w:val="none" w:sz="0" w:space="0" w:color="auto"/>
            <w:bottom w:val="none" w:sz="0" w:space="0" w:color="auto"/>
            <w:right w:val="none" w:sz="0" w:space="0" w:color="auto"/>
          </w:divBdr>
        </w:div>
        <w:div w:id="485246200">
          <w:marLeft w:val="0"/>
          <w:marRight w:val="0"/>
          <w:marTop w:val="0"/>
          <w:marBottom w:val="0"/>
          <w:divBdr>
            <w:top w:val="none" w:sz="0" w:space="0" w:color="auto"/>
            <w:left w:val="none" w:sz="0" w:space="0" w:color="auto"/>
            <w:bottom w:val="none" w:sz="0" w:space="0" w:color="auto"/>
            <w:right w:val="none" w:sz="0" w:space="0" w:color="auto"/>
          </w:divBdr>
        </w:div>
        <w:div w:id="15809026">
          <w:marLeft w:val="0"/>
          <w:marRight w:val="0"/>
          <w:marTop w:val="0"/>
          <w:marBottom w:val="0"/>
          <w:divBdr>
            <w:top w:val="none" w:sz="0" w:space="0" w:color="auto"/>
            <w:left w:val="none" w:sz="0" w:space="0" w:color="auto"/>
            <w:bottom w:val="none" w:sz="0" w:space="0" w:color="auto"/>
            <w:right w:val="none" w:sz="0" w:space="0" w:color="auto"/>
          </w:divBdr>
        </w:div>
        <w:div w:id="113063287">
          <w:marLeft w:val="0"/>
          <w:marRight w:val="0"/>
          <w:marTop w:val="0"/>
          <w:marBottom w:val="0"/>
          <w:divBdr>
            <w:top w:val="none" w:sz="0" w:space="0" w:color="auto"/>
            <w:left w:val="none" w:sz="0" w:space="0" w:color="auto"/>
            <w:bottom w:val="none" w:sz="0" w:space="0" w:color="auto"/>
            <w:right w:val="none" w:sz="0" w:space="0" w:color="auto"/>
          </w:divBdr>
        </w:div>
        <w:div w:id="1001472394">
          <w:marLeft w:val="0"/>
          <w:marRight w:val="0"/>
          <w:marTop w:val="0"/>
          <w:marBottom w:val="0"/>
          <w:divBdr>
            <w:top w:val="none" w:sz="0" w:space="0" w:color="auto"/>
            <w:left w:val="none" w:sz="0" w:space="0" w:color="auto"/>
            <w:bottom w:val="none" w:sz="0" w:space="0" w:color="auto"/>
            <w:right w:val="none" w:sz="0" w:space="0" w:color="auto"/>
          </w:divBdr>
        </w:div>
        <w:div w:id="1953901509">
          <w:marLeft w:val="0"/>
          <w:marRight w:val="0"/>
          <w:marTop w:val="0"/>
          <w:marBottom w:val="0"/>
          <w:divBdr>
            <w:top w:val="none" w:sz="0" w:space="0" w:color="auto"/>
            <w:left w:val="none" w:sz="0" w:space="0" w:color="auto"/>
            <w:bottom w:val="none" w:sz="0" w:space="0" w:color="auto"/>
            <w:right w:val="none" w:sz="0" w:space="0" w:color="auto"/>
          </w:divBdr>
        </w:div>
        <w:div w:id="949700113">
          <w:marLeft w:val="0"/>
          <w:marRight w:val="0"/>
          <w:marTop w:val="0"/>
          <w:marBottom w:val="0"/>
          <w:divBdr>
            <w:top w:val="none" w:sz="0" w:space="0" w:color="auto"/>
            <w:left w:val="none" w:sz="0" w:space="0" w:color="auto"/>
            <w:bottom w:val="none" w:sz="0" w:space="0" w:color="auto"/>
            <w:right w:val="none" w:sz="0" w:space="0" w:color="auto"/>
          </w:divBdr>
        </w:div>
        <w:div w:id="139158219">
          <w:marLeft w:val="0"/>
          <w:marRight w:val="0"/>
          <w:marTop w:val="0"/>
          <w:marBottom w:val="0"/>
          <w:divBdr>
            <w:top w:val="none" w:sz="0" w:space="0" w:color="auto"/>
            <w:left w:val="none" w:sz="0" w:space="0" w:color="auto"/>
            <w:bottom w:val="none" w:sz="0" w:space="0" w:color="auto"/>
            <w:right w:val="none" w:sz="0" w:space="0" w:color="auto"/>
          </w:divBdr>
        </w:div>
        <w:div w:id="924338788">
          <w:marLeft w:val="0"/>
          <w:marRight w:val="0"/>
          <w:marTop w:val="0"/>
          <w:marBottom w:val="0"/>
          <w:divBdr>
            <w:top w:val="none" w:sz="0" w:space="0" w:color="auto"/>
            <w:left w:val="none" w:sz="0" w:space="0" w:color="auto"/>
            <w:bottom w:val="none" w:sz="0" w:space="0" w:color="auto"/>
            <w:right w:val="none" w:sz="0" w:space="0" w:color="auto"/>
          </w:divBdr>
        </w:div>
        <w:div w:id="1964845807">
          <w:marLeft w:val="0"/>
          <w:marRight w:val="0"/>
          <w:marTop w:val="0"/>
          <w:marBottom w:val="0"/>
          <w:divBdr>
            <w:top w:val="none" w:sz="0" w:space="0" w:color="auto"/>
            <w:left w:val="none" w:sz="0" w:space="0" w:color="auto"/>
            <w:bottom w:val="none" w:sz="0" w:space="0" w:color="auto"/>
            <w:right w:val="none" w:sz="0" w:space="0" w:color="auto"/>
          </w:divBdr>
        </w:div>
        <w:div w:id="901260069">
          <w:marLeft w:val="0"/>
          <w:marRight w:val="0"/>
          <w:marTop w:val="0"/>
          <w:marBottom w:val="0"/>
          <w:divBdr>
            <w:top w:val="none" w:sz="0" w:space="0" w:color="auto"/>
            <w:left w:val="none" w:sz="0" w:space="0" w:color="auto"/>
            <w:bottom w:val="none" w:sz="0" w:space="0" w:color="auto"/>
            <w:right w:val="none" w:sz="0" w:space="0" w:color="auto"/>
          </w:divBdr>
        </w:div>
        <w:div w:id="1223253417">
          <w:marLeft w:val="0"/>
          <w:marRight w:val="0"/>
          <w:marTop w:val="0"/>
          <w:marBottom w:val="0"/>
          <w:divBdr>
            <w:top w:val="none" w:sz="0" w:space="0" w:color="auto"/>
            <w:left w:val="none" w:sz="0" w:space="0" w:color="auto"/>
            <w:bottom w:val="none" w:sz="0" w:space="0" w:color="auto"/>
            <w:right w:val="none" w:sz="0" w:space="0" w:color="auto"/>
          </w:divBdr>
        </w:div>
        <w:div w:id="1235353785">
          <w:marLeft w:val="0"/>
          <w:marRight w:val="0"/>
          <w:marTop w:val="0"/>
          <w:marBottom w:val="0"/>
          <w:divBdr>
            <w:top w:val="none" w:sz="0" w:space="0" w:color="auto"/>
            <w:left w:val="none" w:sz="0" w:space="0" w:color="auto"/>
            <w:bottom w:val="none" w:sz="0" w:space="0" w:color="auto"/>
            <w:right w:val="none" w:sz="0" w:space="0" w:color="auto"/>
          </w:divBdr>
        </w:div>
        <w:div w:id="1231429301">
          <w:marLeft w:val="0"/>
          <w:marRight w:val="0"/>
          <w:marTop w:val="0"/>
          <w:marBottom w:val="0"/>
          <w:divBdr>
            <w:top w:val="none" w:sz="0" w:space="0" w:color="auto"/>
            <w:left w:val="none" w:sz="0" w:space="0" w:color="auto"/>
            <w:bottom w:val="none" w:sz="0" w:space="0" w:color="auto"/>
            <w:right w:val="none" w:sz="0" w:space="0" w:color="auto"/>
          </w:divBdr>
        </w:div>
        <w:div w:id="369038756">
          <w:marLeft w:val="0"/>
          <w:marRight w:val="0"/>
          <w:marTop w:val="0"/>
          <w:marBottom w:val="0"/>
          <w:divBdr>
            <w:top w:val="none" w:sz="0" w:space="0" w:color="auto"/>
            <w:left w:val="none" w:sz="0" w:space="0" w:color="auto"/>
            <w:bottom w:val="none" w:sz="0" w:space="0" w:color="auto"/>
            <w:right w:val="none" w:sz="0" w:space="0" w:color="auto"/>
          </w:divBdr>
        </w:div>
        <w:div w:id="1171408095">
          <w:marLeft w:val="0"/>
          <w:marRight w:val="0"/>
          <w:marTop w:val="0"/>
          <w:marBottom w:val="0"/>
          <w:divBdr>
            <w:top w:val="none" w:sz="0" w:space="0" w:color="auto"/>
            <w:left w:val="none" w:sz="0" w:space="0" w:color="auto"/>
            <w:bottom w:val="none" w:sz="0" w:space="0" w:color="auto"/>
            <w:right w:val="none" w:sz="0" w:space="0" w:color="auto"/>
          </w:divBdr>
        </w:div>
        <w:div w:id="812255415">
          <w:marLeft w:val="0"/>
          <w:marRight w:val="0"/>
          <w:marTop w:val="0"/>
          <w:marBottom w:val="0"/>
          <w:divBdr>
            <w:top w:val="none" w:sz="0" w:space="0" w:color="auto"/>
            <w:left w:val="none" w:sz="0" w:space="0" w:color="auto"/>
            <w:bottom w:val="none" w:sz="0" w:space="0" w:color="auto"/>
            <w:right w:val="none" w:sz="0" w:space="0" w:color="auto"/>
          </w:divBdr>
        </w:div>
        <w:div w:id="1854757394">
          <w:marLeft w:val="0"/>
          <w:marRight w:val="0"/>
          <w:marTop w:val="0"/>
          <w:marBottom w:val="0"/>
          <w:divBdr>
            <w:top w:val="none" w:sz="0" w:space="0" w:color="auto"/>
            <w:left w:val="none" w:sz="0" w:space="0" w:color="auto"/>
            <w:bottom w:val="none" w:sz="0" w:space="0" w:color="auto"/>
            <w:right w:val="none" w:sz="0" w:space="0" w:color="auto"/>
          </w:divBdr>
        </w:div>
        <w:div w:id="103959561">
          <w:marLeft w:val="0"/>
          <w:marRight w:val="0"/>
          <w:marTop w:val="0"/>
          <w:marBottom w:val="0"/>
          <w:divBdr>
            <w:top w:val="none" w:sz="0" w:space="0" w:color="auto"/>
            <w:left w:val="none" w:sz="0" w:space="0" w:color="auto"/>
            <w:bottom w:val="none" w:sz="0" w:space="0" w:color="auto"/>
            <w:right w:val="none" w:sz="0" w:space="0" w:color="auto"/>
          </w:divBdr>
        </w:div>
        <w:div w:id="587740566">
          <w:marLeft w:val="0"/>
          <w:marRight w:val="0"/>
          <w:marTop w:val="0"/>
          <w:marBottom w:val="0"/>
          <w:divBdr>
            <w:top w:val="none" w:sz="0" w:space="0" w:color="auto"/>
            <w:left w:val="none" w:sz="0" w:space="0" w:color="auto"/>
            <w:bottom w:val="none" w:sz="0" w:space="0" w:color="auto"/>
            <w:right w:val="none" w:sz="0" w:space="0" w:color="auto"/>
          </w:divBdr>
        </w:div>
        <w:div w:id="1714111898">
          <w:marLeft w:val="0"/>
          <w:marRight w:val="0"/>
          <w:marTop w:val="0"/>
          <w:marBottom w:val="0"/>
          <w:divBdr>
            <w:top w:val="none" w:sz="0" w:space="0" w:color="auto"/>
            <w:left w:val="none" w:sz="0" w:space="0" w:color="auto"/>
            <w:bottom w:val="none" w:sz="0" w:space="0" w:color="auto"/>
            <w:right w:val="none" w:sz="0" w:space="0" w:color="auto"/>
          </w:divBdr>
        </w:div>
        <w:div w:id="1041590437">
          <w:marLeft w:val="0"/>
          <w:marRight w:val="0"/>
          <w:marTop w:val="0"/>
          <w:marBottom w:val="0"/>
          <w:divBdr>
            <w:top w:val="none" w:sz="0" w:space="0" w:color="auto"/>
            <w:left w:val="none" w:sz="0" w:space="0" w:color="auto"/>
            <w:bottom w:val="none" w:sz="0" w:space="0" w:color="auto"/>
            <w:right w:val="none" w:sz="0" w:space="0" w:color="auto"/>
          </w:divBdr>
        </w:div>
        <w:div w:id="372122803">
          <w:marLeft w:val="0"/>
          <w:marRight w:val="0"/>
          <w:marTop w:val="0"/>
          <w:marBottom w:val="0"/>
          <w:divBdr>
            <w:top w:val="none" w:sz="0" w:space="0" w:color="auto"/>
            <w:left w:val="none" w:sz="0" w:space="0" w:color="auto"/>
            <w:bottom w:val="none" w:sz="0" w:space="0" w:color="auto"/>
            <w:right w:val="none" w:sz="0" w:space="0" w:color="auto"/>
          </w:divBdr>
        </w:div>
        <w:div w:id="2019386414">
          <w:marLeft w:val="0"/>
          <w:marRight w:val="0"/>
          <w:marTop w:val="0"/>
          <w:marBottom w:val="0"/>
          <w:divBdr>
            <w:top w:val="none" w:sz="0" w:space="0" w:color="auto"/>
            <w:left w:val="none" w:sz="0" w:space="0" w:color="auto"/>
            <w:bottom w:val="none" w:sz="0" w:space="0" w:color="auto"/>
            <w:right w:val="none" w:sz="0" w:space="0" w:color="auto"/>
          </w:divBdr>
        </w:div>
        <w:div w:id="1870752468">
          <w:marLeft w:val="0"/>
          <w:marRight w:val="0"/>
          <w:marTop w:val="0"/>
          <w:marBottom w:val="0"/>
          <w:divBdr>
            <w:top w:val="none" w:sz="0" w:space="0" w:color="auto"/>
            <w:left w:val="none" w:sz="0" w:space="0" w:color="auto"/>
            <w:bottom w:val="none" w:sz="0" w:space="0" w:color="auto"/>
            <w:right w:val="none" w:sz="0" w:space="0" w:color="auto"/>
          </w:divBdr>
        </w:div>
        <w:div w:id="11539344">
          <w:marLeft w:val="0"/>
          <w:marRight w:val="0"/>
          <w:marTop w:val="0"/>
          <w:marBottom w:val="0"/>
          <w:divBdr>
            <w:top w:val="none" w:sz="0" w:space="0" w:color="auto"/>
            <w:left w:val="none" w:sz="0" w:space="0" w:color="auto"/>
            <w:bottom w:val="none" w:sz="0" w:space="0" w:color="auto"/>
            <w:right w:val="none" w:sz="0" w:space="0" w:color="auto"/>
          </w:divBdr>
        </w:div>
        <w:div w:id="330331402">
          <w:marLeft w:val="0"/>
          <w:marRight w:val="0"/>
          <w:marTop w:val="0"/>
          <w:marBottom w:val="0"/>
          <w:divBdr>
            <w:top w:val="none" w:sz="0" w:space="0" w:color="auto"/>
            <w:left w:val="none" w:sz="0" w:space="0" w:color="auto"/>
            <w:bottom w:val="none" w:sz="0" w:space="0" w:color="auto"/>
            <w:right w:val="none" w:sz="0" w:space="0" w:color="auto"/>
          </w:divBdr>
        </w:div>
        <w:div w:id="935789679">
          <w:marLeft w:val="0"/>
          <w:marRight w:val="0"/>
          <w:marTop w:val="0"/>
          <w:marBottom w:val="0"/>
          <w:divBdr>
            <w:top w:val="none" w:sz="0" w:space="0" w:color="auto"/>
            <w:left w:val="none" w:sz="0" w:space="0" w:color="auto"/>
            <w:bottom w:val="none" w:sz="0" w:space="0" w:color="auto"/>
            <w:right w:val="none" w:sz="0" w:space="0" w:color="auto"/>
          </w:divBdr>
        </w:div>
        <w:div w:id="460538197">
          <w:marLeft w:val="0"/>
          <w:marRight w:val="0"/>
          <w:marTop w:val="0"/>
          <w:marBottom w:val="0"/>
          <w:divBdr>
            <w:top w:val="none" w:sz="0" w:space="0" w:color="auto"/>
            <w:left w:val="none" w:sz="0" w:space="0" w:color="auto"/>
            <w:bottom w:val="none" w:sz="0" w:space="0" w:color="auto"/>
            <w:right w:val="none" w:sz="0" w:space="0" w:color="auto"/>
          </w:divBdr>
        </w:div>
        <w:div w:id="1808627508">
          <w:marLeft w:val="0"/>
          <w:marRight w:val="0"/>
          <w:marTop w:val="0"/>
          <w:marBottom w:val="0"/>
          <w:divBdr>
            <w:top w:val="none" w:sz="0" w:space="0" w:color="auto"/>
            <w:left w:val="none" w:sz="0" w:space="0" w:color="auto"/>
            <w:bottom w:val="none" w:sz="0" w:space="0" w:color="auto"/>
            <w:right w:val="none" w:sz="0" w:space="0" w:color="auto"/>
          </w:divBdr>
        </w:div>
        <w:div w:id="74503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63F5B-0871-491F-A256-3163B224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4787</Words>
  <Characters>27292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Справка за отразяване на постъпилите предложения от обществените консултации</vt:lpstr>
    </vt:vector>
  </TitlesOfParts>
  <LinksUpToDate>false</LinksUpToDate>
  <CharactersWithSpaces>32015</CharactersWithSpaces>
  <SharedDoc>false</SharedDoc>
  <HLinks>
    <vt:vector size="6" baseType="variant">
      <vt:variant>
        <vt:i4>6946915</vt:i4>
      </vt:variant>
      <vt:variant>
        <vt:i4>0</vt:i4>
      </vt:variant>
      <vt:variant>
        <vt:i4>0</vt:i4>
      </vt:variant>
      <vt:variant>
        <vt:i4>5</vt:i4>
      </vt:variant>
      <vt:variant>
        <vt:lpwstr>https://eur-lex.europa.eu/legal-content/AUTO/?uri=CELEX:32016R0679&amp;qid=1532525037562&amp;rid=1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за отразяване на постъпилите предложения от обществените консултации</dc:title>
  <dc:creator/>
  <cp:lastModifiedBy/>
  <cp:revision>1</cp:revision>
  <dcterms:created xsi:type="dcterms:W3CDTF">2024-11-11T11:21:00Z</dcterms:created>
  <dcterms:modified xsi:type="dcterms:W3CDTF">2024-12-12T08:27:00Z</dcterms:modified>
</cp:coreProperties>
</file>